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22631672"/>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F54F1"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28D8ADDD"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DA1B1"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2525E0">
        <w:rPr>
          <w:noProof/>
          <w:lang w:eastAsia="en-GB"/>
        </w:rPr>
        <w:t>Iraq</w:t>
      </w:r>
      <w:r w:rsidR="00EA3BC4">
        <w:rPr>
          <w:noProof/>
          <w:lang w:eastAsia="en-GB"/>
        </w:rPr>
        <w:t xml:space="preserve">: </w:t>
      </w:r>
      <w:r w:rsidR="00921E1E">
        <w:rPr>
          <w:noProof/>
          <w:lang w:eastAsia="en-GB"/>
        </w:rPr>
        <w:t>Baath</w:t>
      </w:r>
      <w:r w:rsidR="002525E0">
        <w:rPr>
          <w:noProof/>
          <w:lang w:eastAsia="en-GB"/>
        </w:rPr>
        <w:t>ists</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35BEBE2F" w:rsidR="00EA3BC4" w:rsidRDefault="00EA3BC4" w:rsidP="00EA3BC4">
      <w:pPr>
        <w:pStyle w:val="subheading2"/>
      </w:pPr>
      <w:r>
        <w:t xml:space="preserve">Version </w:t>
      </w:r>
      <w:r w:rsidR="002525E0">
        <w:t>2.0</w:t>
      </w:r>
    </w:p>
    <w:p w14:paraId="3F48F875" w14:textId="29FCE7D2" w:rsidR="00EA3BC4" w:rsidRPr="004F6C4A" w:rsidRDefault="007D65AB" w:rsidP="00EA3BC4">
      <w:pPr>
        <w:pStyle w:val="subheading2"/>
      </w:pPr>
      <w:r>
        <w:t>January 2020</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2" w:name="_Contents"/>
      <w:bookmarkStart w:id="3" w:name="_Toc409598707"/>
      <w:bookmarkEnd w:id="2"/>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3FE9DCF1" w:rsidR="00EA3BC4" w:rsidRDefault="00EA3BC4" w:rsidP="00EA3BC4">
      <w:pPr>
        <w:pStyle w:val="CPITPrefaceText"/>
        <w:ind w:right="95"/>
      </w:pPr>
      <w:r>
        <w:t>It is split into two main sections: (1) analysis</w:t>
      </w:r>
      <w:r w:rsidR="00647EBD">
        <w:t xml:space="preserve"> and assessment</w:t>
      </w:r>
      <w:r>
        <w:t xml:space="preserve"> of COI</w:t>
      </w:r>
      <w:r w:rsidR="00647EBD">
        <w:t xml:space="preserve"> and other evidence</w:t>
      </w:r>
      <w:r>
        <w:t xml:space="preserve">; and (2) COI. These are explained in more detail below. </w:t>
      </w:r>
    </w:p>
    <w:p w14:paraId="5C6D7EE6" w14:textId="77777777" w:rsidR="00EA3BC4" w:rsidRDefault="00EA3BC4" w:rsidP="00EA3BC4">
      <w:pPr>
        <w:pStyle w:val="subheading2"/>
        <w:rPr>
          <w:sz w:val="24"/>
          <w:szCs w:val="24"/>
        </w:rPr>
      </w:pPr>
    </w:p>
    <w:p w14:paraId="6FAA3237" w14:textId="449FF1F5" w:rsidR="00EA3BC4" w:rsidRPr="00BF31D7" w:rsidRDefault="00647EBD" w:rsidP="00EA3BC4">
      <w:pPr>
        <w:pStyle w:val="subheading2"/>
        <w:rPr>
          <w:sz w:val="24"/>
          <w:szCs w:val="24"/>
        </w:rPr>
      </w:pPr>
      <w:r>
        <w:rPr>
          <w:sz w:val="24"/>
          <w:szCs w:val="24"/>
        </w:rPr>
        <w:t>Assessment</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EA3BC4">
      <w:pPr>
        <w:numPr>
          <w:ilvl w:val="0"/>
          <w:numId w:val="9"/>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EA3BC4">
      <w:pPr>
        <w:numPr>
          <w:ilvl w:val="0"/>
          <w:numId w:val="9"/>
        </w:numPr>
      </w:pPr>
      <w:r w:rsidRPr="00BF31D7">
        <w:t>A person is able to obtain protection from th</w:t>
      </w:r>
      <w:r>
        <w:t>e state (or quasi state bodies)</w:t>
      </w:r>
    </w:p>
    <w:p w14:paraId="15AB1921" w14:textId="50153955" w:rsidR="00EA3BC4" w:rsidRDefault="00EA3BC4" w:rsidP="00EA3BC4">
      <w:pPr>
        <w:numPr>
          <w:ilvl w:val="0"/>
          <w:numId w:val="9"/>
        </w:numPr>
      </w:pPr>
      <w:r w:rsidRPr="00BF31D7">
        <w:t>A person is reasonably able to relocate within a country or territory</w:t>
      </w:r>
    </w:p>
    <w:p w14:paraId="5FEFC3E7" w14:textId="1AB059FB" w:rsidR="00EA3BC4" w:rsidRDefault="00EA3BC4" w:rsidP="00EA3BC4">
      <w:pPr>
        <w:numPr>
          <w:ilvl w:val="0"/>
          <w:numId w:val="9"/>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EA3BC4">
      <w:pPr>
        <w:numPr>
          <w:ilvl w:val="0"/>
          <w:numId w:val="9"/>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57997E5A"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0B2FA6">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74A47D5B" w:rsidR="00EA3BC4" w:rsidRDefault="003D41D5" w:rsidP="00EA3BC4">
      <w:r w:rsidRPr="00647EBD">
        <w:t>All i</w:t>
      </w:r>
      <w:r w:rsidR="00EA3BC4" w:rsidRPr="00647EBD">
        <w:t xml:space="preserve">nformation </w:t>
      </w:r>
      <w:r w:rsidRPr="00647EBD">
        <w:t>included in the note was published or made publicly available on or before</w:t>
      </w:r>
      <w:r w:rsidR="00EA3BC4" w:rsidRPr="00647EBD">
        <w:t xml:space="preserve"> the </w:t>
      </w:r>
      <w:r w:rsidRPr="00647EBD">
        <w:t>‘</w:t>
      </w:r>
      <w:r w:rsidR="00EA3BC4" w:rsidRPr="00647EBD">
        <w:t>cut-off</w:t>
      </w:r>
      <w:r w:rsidRPr="00647EBD">
        <w:t>’</w:t>
      </w:r>
      <w:r w:rsidR="00EA3BC4" w:rsidRPr="00647EBD">
        <w:t xml:space="preserve"> date</w:t>
      </w:r>
      <w:r w:rsidR="00657C11" w:rsidRPr="00647EBD">
        <w:t>(s)</w:t>
      </w:r>
      <w:r w:rsidR="00EA3BC4" w:rsidRPr="00647EBD">
        <w:t xml:space="preserve"> in the country information section. Any event taking place or</w:t>
      </w:r>
      <w:r w:rsidRPr="00647EBD">
        <w:t xml:space="preserve"> </w:t>
      </w:r>
      <w:r w:rsidR="00EA3BC4" w:rsidRPr="00647EBD">
        <w:t xml:space="preserve">report/article published after </w:t>
      </w:r>
      <w:r w:rsidR="00647EBD">
        <w:t>these date(s)</w:t>
      </w:r>
      <w:r w:rsidR="00EA3BC4" w:rsidRPr="00647EBD">
        <w:t xml:space="preserve"> is not included.</w:t>
      </w:r>
      <w:r w:rsidR="00657C11">
        <w:t xml:space="preserve"> </w:t>
      </w:r>
    </w:p>
    <w:p w14:paraId="433B8BCA" w14:textId="222BD41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5E6EACC2" w14:textId="5038F350"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EA3BC4">
      <w:pPr>
        <w:numPr>
          <w:ilvl w:val="0"/>
          <w:numId w:val="10"/>
        </w:numPr>
      </w:pPr>
      <w:r w:rsidRPr="00BF31D7">
        <w:t>the motivation, purpose, knowledge and experience of the source</w:t>
      </w:r>
    </w:p>
    <w:p w14:paraId="60621B6A" w14:textId="6CFA3FCE" w:rsidR="00EA3BC4" w:rsidRPr="00BF31D7" w:rsidRDefault="00EA3BC4" w:rsidP="00EA3BC4">
      <w:pPr>
        <w:numPr>
          <w:ilvl w:val="0"/>
          <w:numId w:val="10"/>
        </w:numPr>
      </w:pPr>
      <w:r w:rsidRPr="00BF31D7">
        <w:t>how the information was obtained, including specific methodologies used</w:t>
      </w:r>
    </w:p>
    <w:p w14:paraId="2EC2A20D" w14:textId="08292CB4" w:rsidR="00EA3BC4" w:rsidRPr="00BF31D7" w:rsidRDefault="00EA3BC4" w:rsidP="00EA3BC4">
      <w:pPr>
        <w:numPr>
          <w:ilvl w:val="0"/>
          <w:numId w:val="10"/>
        </w:numPr>
      </w:pPr>
      <w:r w:rsidRPr="00BF31D7">
        <w:t>the currency and detail of information</w:t>
      </w:r>
      <w:r w:rsidR="00EE4AC8">
        <w:t>,</w:t>
      </w:r>
      <w:r>
        <w:t xml:space="preserve"> and</w:t>
      </w:r>
    </w:p>
    <w:p w14:paraId="7BCF9FD1" w14:textId="77777777" w:rsidR="00EA3BC4" w:rsidRPr="00BF31D7" w:rsidRDefault="00EA3BC4" w:rsidP="00EA3BC4">
      <w:pPr>
        <w:numPr>
          <w:ilvl w:val="0"/>
          <w:numId w:val="10"/>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46096C10" w:rsidR="00EA3BC4" w:rsidRDefault="00EA3BC4" w:rsidP="00EA3BC4">
      <w:pPr>
        <w:pStyle w:val="CPITPrefaceText"/>
      </w:pPr>
      <w:r w:rsidRPr="000549F2">
        <w:t xml:space="preserve">Our goal is to continuously improve our material. Therefore, if you would like to comment on this note, please email </w:t>
      </w:r>
      <w:r w:rsidRPr="000B2FA6">
        <w:t xml:space="preserve">the </w:t>
      </w:r>
      <w:hyperlink r:id="rId14" w:history="1">
        <w:r w:rsidRPr="000B2FA6">
          <w:rPr>
            <w:rStyle w:val="Hyperlink"/>
          </w:rPr>
          <w:t>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4306072E" w:rsidR="00EA3BC4" w:rsidRPr="002E0C2A" w:rsidRDefault="00EA3BC4" w:rsidP="00EA3BC4">
      <w:pPr>
        <w:pStyle w:val="CPITPrefaceText"/>
        <w:ind w:left="720"/>
      </w:pPr>
      <w:r w:rsidRPr="002E0C2A">
        <w:t xml:space="preserve">Email: </w:t>
      </w:r>
      <w:hyperlink r:id="rId16" w:history="1">
        <w:r w:rsidR="000B2FA6" w:rsidRPr="004C2D9D">
          <w:rPr>
            <w:rStyle w:val="Hyperlink"/>
          </w:rPr>
          <w:t>chiefinspector@icinspector.gov.uk</w:t>
        </w:r>
      </w:hyperlink>
      <w:r w:rsidR="000B2FA6">
        <w:t xml:space="preserve"> </w:t>
      </w:r>
      <w:r w:rsidRPr="002E0C2A">
        <w:t xml:space="preserve">    </w:t>
      </w:r>
    </w:p>
    <w:p w14:paraId="78A21245" w14:textId="4647F0C7" w:rsidR="00EA3BC4" w:rsidRDefault="00EA3BC4" w:rsidP="00EA3BC4">
      <w:r w:rsidRPr="002E0C2A">
        <w:t>Information about the IAGCI’s work and a list of the documents which have been reviewed by the IAGCI can be found on the Independent Chief Inspector</w:t>
      </w:r>
      <w:r w:rsidR="002616E1">
        <w:t>’</w:t>
      </w:r>
      <w:r w:rsidRPr="002E0C2A">
        <w:t xml:space="preserve">s pages of the </w:t>
      </w:r>
      <w:hyperlink r:id="rId17"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4057EF88" w14:textId="77777777" w:rsidR="008B155F" w:rsidRDefault="00EA3BC4" w:rsidP="00EA3BC4">
      <w:pPr>
        <w:pStyle w:val="Subheading"/>
        <w:rPr>
          <w:noProof/>
        </w:rPr>
      </w:pPr>
      <w:bookmarkStart w:id="4" w:name="_Contents_1"/>
      <w:bookmarkStart w:id="5" w:name="contents"/>
      <w:bookmarkEnd w:id="4"/>
      <w:r>
        <w:lastRenderedPageBreak/>
        <w:t>Contents</w:t>
      </w:r>
      <w:bookmarkEnd w:id="5"/>
      <w:r>
        <w:rPr>
          <w:b/>
        </w:rPr>
        <w:fldChar w:fldCharType="begin"/>
      </w:r>
      <w:r>
        <w:instrText xml:space="preserve"> TOC \o "1-3" \h \z \u </w:instrText>
      </w:r>
      <w:r>
        <w:rPr>
          <w:b/>
        </w:rPr>
        <w:fldChar w:fldCharType="separate"/>
      </w:r>
    </w:p>
    <w:p w14:paraId="088D1CC9" w14:textId="3AA3A4F6" w:rsidR="008B155F" w:rsidRDefault="007F14B5">
      <w:pPr>
        <w:pStyle w:val="TOC1"/>
        <w:tabs>
          <w:tab w:val="right" w:leader="dot" w:pos="9016"/>
        </w:tabs>
        <w:rPr>
          <w:rFonts w:asciiTheme="minorHAnsi" w:eastAsiaTheme="minorEastAsia" w:hAnsiTheme="minorHAnsi" w:cstheme="minorBidi"/>
          <w:b w:val="0"/>
          <w:noProof/>
          <w:color w:val="auto"/>
          <w:sz w:val="22"/>
          <w:lang w:eastAsia="en-GB"/>
        </w:rPr>
      </w:pPr>
      <w:hyperlink w:anchor="_Toc29827672" w:history="1">
        <w:r w:rsidR="008B155F" w:rsidRPr="002C5938">
          <w:rPr>
            <w:rStyle w:val="Hyperlink"/>
            <w:noProof/>
          </w:rPr>
          <w:t>Assessment</w:t>
        </w:r>
        <w:r w:rsidR="008B155F">
          <w:rPr>
            <w:noProof/>
            <w:webHidden/>
          </w:rPr>
          <w:tab/>
        </w:r>
        <w:r w:rsidR="008B155F">
          <w:rPr>
            <w:noProof/>
            <w:webHidden/>
          </w:rPr>
          <w:fldChar w:fldCharType="begin"/>
        </w:r>
        <w:r w:rsidR="008B155F">
          <w:rPr>
            <w:noProof/>
            <w:webHidden/>
          </w:rPr>
          <w:instrText xml:space="preserve"> PAGEREF _Toc29827672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2895FF79" w14:textId="6FD52C1D" w:rsidR="008B155F" w:rsidRDefault="007F14B5">
      <w:pPr>
        <w:pStyle w:val="TOC2"/>
        <w:rPr>
          <w:rFonts w:asciiTheme="minorHAnsi" w:eastAsiaTheme="minorEastAsia" w:hAnsiTheme="minorHAnsi" w:cstheme="minorBidi"/>
          <w:noProof/>
          <w:color w:val="auto"/>
          <w:sz w:val="22"/>
          <w:lang w:eastAsia="en-GB"/>
        </w:rPr>
      </w:pPr>
      <w:hyperlink w:anchor="_Toc29827673" w:history="1">
        <w:r w:rsidR="008B155F" w:rsidRPr="002C5938">
          <w:rPr>
            <w:rStyle w:val="Hyperlink"/>
            <w:noProof/>
          </w:rPr>
          <w:t>1.</w:t>
        </w:r>
        <w:r w:rsidR="008B155F">
          <w:rPr>
            <w:rFonts w:asciiTheme="minorHAnsi" w:eastAsiaTheme="minorEastAsia" w:hAnsiTheme="minorHAnsi" w:cstheme="minorBidi"/>
            <w:noProof/>
            <w:color w:val="auto"/>
            <w:sz w:val="22"/>
            <w:lang w:eastAsia="en-GB"/>
          </w:rPr>
          <w:tab/>
        </w:r>
        <w:r w:rsidR="008B155F" w:rsidRPr="002C5938">
          <w:rPr>
            <w:rStyle w:val="Hyperlink"/>
            <w:noProof/>
          </w:rPr>
          <w:t>Introduction</w:t>
        </w:r>
        <w:r w:rsidR="008B155F">
          <w:rPr>
            <w:noProof/>
            <w:webHidden/>
          </w:rPr>
          <w:tab/>
        </w:r>
        <w:r w:rsidR="008B155F">
          <w:rPr>
            <w:noProof/>
            <w:webHidden/>
          </w:rPr>
          <w:fldChar w:fldCharType="begin"/>
        </w:r>
        <w:r w:rsidR="008B155F">
          <w:rPr>
            <w:noProof/>
            <w:webHidden/>
          </w:rPr>
          <w:instrText xml:space="preserve"> PAGEREF _Toc29827673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1D767E21" w14:textId="35DBE29E" w:rsidR="008B155F" w:rsidRDefault="007F14B5">
      <w:pPr>
        <w:pStyle w:val="TOC3"/>
        <w:rPr>
          <w:rFonts w:asciiTheme="minorHAnsi" w:eastAsiaTheme="minorEastAsia" w:hAnsiTheme="minorHAnsi" w:cstheme="minorBidi"/>
          <w:noProof/>
          <w:color w:val="auto"/>
          <w:sz w:val="22"/>
          <w:lang w:eastAsia="en-GB"/>
        </w:rPr>
      </w:pPr>
      <w:hyperlink w:anchor="_Toc29827674" w:history="1">
        <w:r w:rsidR="008B155F" w:rsidRPr="002C5938">
          <w:rPr>
            <w:rStyle w:val="Hyperlink"/>
            <w:noProof/>
          </w:rPr>
          <w:t>1.1</w:t>
        </w:r>
        <w:r w:rsidR="008B155F">
          <w:rPr>
            <w:rFonts w:asciiTheme="minorHAnsi" w:eastAsiaTheme="minorEastAsia" w:hAnsiTheme="minorHAnsi" w:cstheme="minorBidi"/>
            <w:noProof/>
            <w:color w:val="auto"/>
            <w:sz w:val="22"/>
            <w:lang w:eastAsia="en-GB"/>
          </w:rPr>
          <w:tab/>
        </w:r>
        <w:r w:rsidR="008B155F" w:rsidRPr="002C5938">
          <w:rPr>
            <w:rStyle w:val="Hyperlink"/>
            <w:noProof/>
          </w:rPr>
          <w:t>Basis of claim</w:t>
        </w:r>
        <w:r w:rsidR="008B155F">
          <w:rPr>
            <w:noProof/>
            <w:webHidden/>
          </w:rPr>
          <w:tab/>
        </w:r>
        <w:r w:rsidR="008B155F">
          <w:rPr>
            <w:noProof/>
            <w:webHidden/>
          </w:rPr>
          <w:fldChar w:fldCharType="begin"/>
        </w:r>
        <w:r w:rsidR="008B155F">
          <w:rPr>
            <w:noProof/>
            <w:webHidden/>
          </w:rPr>
          <w:instrText xml:space="preserve"> PAGEREF _Toc29827674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65D1822A" w14:textId="52AB2682" w:rsidR="008B155F" w:rsidRDefault="007F14B5">
      <w:pPr>
        <w:pStyle w:val="TOC2"/>
        <w:rPr>
          <w:rFonts w:asciiTheme="minorHAnsi" w:eastAsiaTheme="minorEastAsia" w:hAnsiTheme="minorHAnsi" w:cstheme="minorBidi"/>
          <w:noProof/>
          <w:color w:val="auto"/>
          <w:sz w:val="22"/>
          <w:lang w:eastAsia="en-GB"/>
        </w:rPr>
      </w:pPr>
      <w:hyperlink w:anchor="_Toc29827675" w:history="1">
        <w:r w:rsidR="008B155F" w:rsidRPr="002C5938">
          <w:rPr>
            <w:rStyle w:val="Hyperlink"/>
            <w:noProof/>
          </w:rPr>
          <w:t>2.</w:t>
        </w:r>
        <w:r w:rsidR="008B155F">
          <w:rPr>
            <w:rFonts w:asciiTheme="minorHAnsi" w:eastAsiaTheme="minorEastAsia" w:hAnsiTheme="minorHAnsi" w:cstheme="minorBidi"/>
            <w:noProof/>
            <w:color w:val="auto"/>
            <w:sz w:val="22"/>
            <w:lang w:eastAsia="en-GB"/>
          </w:rPr>
          <w:tab/>
        </w:r>
        <w:r w:rsidR="008B155F" w:rsidRPr="002C5938">
          <w:rPr>
            <w:rStyle w:val="Hyperlink"/>
            <w:noProof/>
          </w:rPr>
          <w:t>Consideration of issues</w:t>
        </w:r>
        <w:r w:rsidR="008B155F">
          <w:rPr>
            <w:noProof/>
            <w:webHidden/>
          </w:rPr>
          <w:tab/>
        </w:r>
        <w:r w:rsidR="008B155F">
          <w:rPr>
            <w:noProof/>
            <w:webHidden/>
          </w:rPr>
          <w:fldChar w:fldCharType="begin"/>
        </w:r>
        <w:r w:rsidR="008B155F">
          <w:rPr>
            <w:noProof/>
            <w:webHidden/>
          </w:rPr>
          <w:instrText xml:space="preserve"> PAGEREF _Toc29827675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317B7EB8" w14:textId="681717AA" w:rsidR="008B155F" w:rsidRDefault="007F14B5">
      <w:pPr>
        <w:pStyle w:val="TOC3"/>
        <w:rPr>
          <w:rFonts w:asciiTheme="minorHAnsi" w:eastAsiaTheme="minorEastAsia" w:hAnsiTheme="minorHAnsi" w:cstheme="minorBidi"/>
          <w:noProof/>
          <w:color w:val="auto"/>
          <w:sz w:val="22"/>
          <w:lang w:eastAsia="en-GB"/>
        </w:rPr>
      </w:pPr>
      <w:hyperlink w:anchor="_Toc29827676" w:history="1">
        <w:r w:rsidR="008B155F" w:rsidRPr="002C5938">
          <w:rPr>
            <w:rStyle w:val="Hyperlink"/>
            <w:noProof/>
          </w:rPr>
          <w:t>2.1</w:t>
        </w:r>
        <w:r w:rsidR="008B155F">
          <w:rPr>
            <w:rFonts w:asciiTheme="minorHAnsi" w:eastAsiaTheme="minorEastAsia" w:hAnsiTheme="minorHAnsi" w:cstheme="minorBidi"/>
            <w:noProof/>
            <w:color w:val="auto"/>
            <w:sz w:val="22"/>
            <w:lang w:eastAsia="en-GB"/>
          </w:rPr>
          <w:tab/>
        </w:r>
        <w:r w:rsidR="008B155F" w:rsidRPr="002C5938">
          <w:rPr>
            <w:rStyle w:val="Hyperlink"/>
            <w:noProof/>
          </w:rPr>
          <w:t>Credibility</w:t>
        </w:r>
        <w:r w:rsidR="008B155F">
          <w:rPr>
            <w:noProof/>
            <w:webHidden/>
          </w:rPr>
          <w:tab/>
        </w:r>
        <w:r w:rsidR="008B155F">
          <w:rPr>
            <w:noProof/>
            <w:webHidden/>
          </w:rPr>
          <w:fldChar w:fldCharType="begin"/>
        </w:r>
        <w:r w:rsidR="008B155F">
          <w:rPr>
            <w:noProof/>
            <w:webHidden/>
          </w:rPr>
          <w:instrText xml:space="preserve"> PAGEREF _Toc29827676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69B91D2D" w14:textId="77C0E3FA" w:rsidR="008B155F" w:rsidRDefault="007F14B5">
      <w:pPr>
        <w:pStyle w:val="TOC3"/>
        <w:rPr>
          <w:rFonts w:asciiTheme="minorHAnsi" w:eastAsiaTheme="minorEastAsia" w:hAnsiTheme="minorHAnsi" w:cstheme="minorBidi"/>
          <w:noProof/>
          <w:color w:val="auto"/>
          <w:sz w:val="22"/>
          <w:lang w:eastAsia="en-GB"/>
        </w:rPr>
      </w:pPr>
      <w:hyperlink w:anchor="_Toc29827677" w:history="1">
        <w:r w:rsidR="008B155F" w:rsidRPr="002C5938">
          <w:rPr>
            <w:rStyle w:val="Hyperlink"/>
            <w:noProof/>
          </w:rPr>
          <w:t>2.2</w:t>
        </w:r>
        <w:r w:rsidR="008B155F">
          <w:rPr>
            <w:rFonts w:asciiTheme="minorHAnsi" w:eastAsiaTheme="minorEastAsia" w:hAnsiTheme="minorHAnsi" w:cstheme="minorBidi"/>
            <w:noProof/>
            <w:color w:val="auto"/>
            <w:sz w:val="22"/>
            <w:lang w:eastAsia="en-GB"/>
          </w:rPr>
          <w:tab/>
        </w:r>
        <w:r w:rsidR="008B155F" w:rsidRPr="002C5938">
          <w:rPr>
            <w:rStyle w:val="Hyperlink"/>
            <w:noProof/>
          </w:rPr>
          <w:t>Exclusion</w:t>
        </w:r>
        <w:r w:rsidR="008B155F">
          <w:rPr>
            <w:noProof/>
            <w:webHidden/>
          </w:rPr>
          <w:tab/>
        </w:r>
        <w:r w:rsidR="008B155F">
          <w:rPr>
            <w:noProof/>
            <w:webHidden/>
          </w:rPr>
          <w:fldChar w:fldCharType="begin"/>
        </w:r>
        <w:r w:rsidR="008B155F">
          <w:rPr>
            <w:noProof/>
            <w:webHidden/>
          </w:rPr>
          <w:instrText xml:space="preserve"> PAGEREF _Toc29827677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7DA13A5C" w14:textId="5B5D43DD" w:rsidR="008B155F" w:rsidRDefault="007F14B5">
      <w:pPr>
        <w:pStyle w:val="TOC3"/>
        <w:rPr>
          <w:rFonts w:asciiTheme="minorHAnsi" w:eastAsiaTheme="minorEastAsia" w:hAnsiTheme="minorHAnsi" w:cstheme="minorBidi"/>
          <w:noProof/>
          <w:color w:val="auto"/>
          <w:sz w:val="22"/>
          <w:lang w:eastAsia="en-GB"/>
        </w:rPr>
      </w:pPr>
      <w:hyperlink w:anchor="_Toc29827678" w:history="1">
        <w:r w:rsidR="008B155F" w:rsidRPr="002C5938">
          <w:rPr>
            <w:rStyle w:val="Hyperlink"/>
            <w:noProof/>
          </w:rPr>
          <w:t>2.3</w:t>
        </w:r>
        <w:r w:rsidR="008B155F">
          <w:rPr>
            <w:rFonts w:asciiTheme="minorHAnsi" w:eastAsiaTheme="minorEastAsia" w:hAnsiTheme="minorHAnsi" w:cstheme="minorBidi"/>
            <w:noProof/>
            <w:color w:val="auto"/>
            <w:sz w:val="22"/>
            <w:lang w:eastAsia="en-GB"/>
          </w:rPr>
          <w:tab/>
        </w:r>
        <w:r w:rsidR="008B155F" w:rsidRPr="002C5938">
          <w:rPr>
            <w:rStyle w:val="Hyperlink"/>
            <w:noProof/>
          </w:rPr>
          <w:t>Convention reason(s)</w:t>
        </w:r>
        <w:r w:rsidR="008B155F">
          <w:rPr>
            <w:noProof/>
            <w:webHidden/>
          </w:rPr>
          <w:tab/>
        </w:r>
        <w:r w:rsidR="008B155F">
          <w:rPr>
            <w:noProof/>
            <w:webHidden/>
          </w:rPr>
          <w:fldChar w:fldCharType="begin"/>
        </w:r>
        <w:r w:rsidR="008B155F">
          <w:rPr>
            <w:noProof/>
            <w:webHidden/>
          </w:rPr>
          <w:instrText xml:space="preserve"> PAGEREF _Toc29827678 \h </w:instrText>
        </w:r>
        <w:r w:rsidR="008B155F">
          <w:rPr>
            <w:noProof/>
            <w:webHidden/>
          </w:rPr>
        </w:r>
        <w:r w:rsidR="008B155F">
          <w:rPr>
            <w:noProof/>
            <w:webHidden/>
          </w:rPr>
          <w:fldChar w:fldCharType="separate"/>
        </w:r>
        <w:r w:rsidR="008B155F">
          <w:rPr>
            <w:noProof/>
            <w:webHidden/>
          </w:rPr>
          <w:t>5</w:t>
        </w:r>
        <w:r w:rsidR="008B155F">
          <w:rPr>
            <w:noProof/>
            <w:webHidden/>
          </w:rPr>
          <w:fldChar w:fldCharType="end"/>
        </w:r>
      </w:hyperlink>
    </w:p>
    <w:p w14:paraId="2D48D4A8" w14:textId="3204119A" w:rsidR="008B155F" w:rsidRDefault="007F14B5">
      <w:pPr>
        <w:pStyle w:val="TOC3"/>
        <w:rPr>
          <w:rFonts w:asciiTheme="minorHAnsi" w:eastAsiaTheme="minorEastAsia" w:hAnsiTheme="minorHAnsi" w:cstheme="minorBidi"/>
          <w:noProof/>
          <w:color w:val="auto"/>
          <w:sz w:val="22"/>
          <w:lang w:eastAsia="en-GB"/>
        </w:rPr>
      </w:pPr>
      <w:hyperlink w:anchor="_Toc29827679" w:history="1">
        <w:r w:rsidR="008B155F" w:rsidRPr="002C5938">
          <w:rPr>
            <w:rStyle w:val="Hyperlink"/>
            <w:noProof/>
          </w:rPr>
          <w:t>2.4</w:t>
        </w:r>
        <w:r w:rsidR="008B155F">
          <w:rPr>
            <w:rFonts w:asciiTheme="minorHAnsi" w:eastAsiaTheme="minorEastAsia" w:hAnsiTheme="minorHAnsi" w:cstheme="minorBidi"/>
            <w:noProof/>
            <w:color w:val="auto"/>
            <w:sz w:val="22"/>
            <w:lang w:eastAsia="en-GB"/>
          </w:rPr>
          <w:tab/>
        </w:r>
        <w:r w:rsidR="008B155F" w:rsidRPr="002C5938">
          <w:rPr>
            <w:rStyle w:val="Hyperlink"/>
            <w:noProof/>
          </w:rPr>
          <w:t>Risk</w:t>
        </w:r>
        <w:r w:rsidR="008B155F">
          <w:rPr>
            <w:noProof/>
            <w:webHidden/>
          </w:rPr>
          <w:tab/>
        </w:r>
        <w:r w:rsidR="008B155F">
          <w:rPr>
            <w:noProof/>
            <w:webHidden/>
          </w:rPr>
          <w:fldChar w:fldCharType="begin"/>
        </w:r>
        <w:r w:rsidR="008B155F">
          <w:rPr>
            <w:noProof/>
            <w:webHidden/>
          </w:rPr>
          <w:instrText xml:space="preserve"> PAGEREF _Toc29827679 \h </w:instrText>
        </w:r>
        <w:r w:rsidR="008B155F">
          <w:rPr>
            <w:noProof/>
            <w:webHidden/>
          </w:rPr>
        </w:r>
        <w:r w:rsidR="008B155F">
          <w:rPr>
            <w:noProof/>
            <w:webHidden/>
          </w:rPr>
          <w:fldChar w:fldCharType="separate"/>
        </w:r>
        <w:r w:rsidR="008B155F">
          <w:rPr>
            <w:noProof/>
            <w:webHidden/>
          </w:rPr>
          <w:t>6</w:t>
        </w:r>
        <w:r w:rsidR="008B155F">
          <w:rPr>
            <w:noProof/>
            <w:webHidden/>
          </w:rPr>
          <w:fldChar w:fldCharType="end"/>
        </w:r>
      </w:hyperlink>
    </w:p>
    <w:p w14:paraId="5E1306F9" w14:textId="19345C52" w:rsidR="008B155F" w:rsidRDefault="007F14B5">
      <w:pPr>
        <w:pStyle w:val="TOC3"/>
        <w:rPr>
          <w:rFonts w:asciiTheme="minorHAnsi" w:eastAsiaTheme="minorEastAsia" w:hAnsiTheme="minorHAnsi" w:cstheme="minorBidi"/>
          <w:noProof/>
          <w:color w:val="auto"/>
          <w:sz w:val="22"/>
          <w:lang w:eastAsia="en-GB"/>
        </w:rPr>
      </w:pPr>
      <w:hyperlink w:anchor="_Toc29827680" w:history="1">
        <w:r w:rsidR="008B155F" w:rsidRPr="002C5938">
          <w:rPr>
            <w:rStyle w:val="Hyperlink"/>
            <w:noProof/>
          </w:rPr>
          <w:t>2.5</w:t>
        </w:r>
        <w:r w:rsidR="008B155F">
          <w:rPr>
            <w:rFonts w:asciiTheme="minorHAnsi" w:eastAsiaTheme="minorEastAsia" w:hAnsiTheme="minorHAnsi" w:cstheme="minorBidi"/>
            <w:noProof/>
            <w:color w:val="auto"/>
            <w:sz w:val="22"/>
            <w:lang w:eastAsia="en-GB"/>
          </w:rPr>
          <w:tab/>
        </w:r>
        <w:r w:rsidR="008B155F" w:rsidRPr="002C5938">
          <w:rPr>
            <w:rStyle w:val="Hyperlink"/>
            <w:noProof/>
          </w:rPr>
          <w:t>Protection</w:t>
        </w:r>
        <w:r w:rsidR="008B155F">
          <w:rPr>
            <w:noProof/>
            <w:webHidden/>
          </w:rPr>
          <w:tab/>
        </w:r>
        <w:r w:rsidR="008B155F">
          <w:rPr>
            <w:noProof/>
            <w:webHidden/>
          </w:rPr>
          <w:fldChar w:fldCharType="begin"/>
        </w:r>
        <w:r w:rsidR="008B155F">
          <w:rPr>
            <w:noProof/>
            <w:webHidden/>
          </w:rPr>
          <w:instrText xml:space="preserve"> PAGEREF _Toc29827680 \h </w:instrText>
        </w:r>
        <w:r w:rsidR="008B155F">
          <w:rPr>
            <w:noProof/>
            <w:webHidden/>
          </w:rPr>
        </w:r>
        <w:r w:rsidR="008B155F">
          <w:rPr>
            <w:noProof/>
            <w:webHidden/>
          </w:rPr>
          <w:fldChar w:fldCharType="separate"/>
        </w:r>
        <w:r w:rsidR="008B155F">
          <w:rPr>
            <w:noProof/>
            <w:webHidden/>
          </w:rPr>
          <w:t>7</w:t>
        </w:r>
        <w:r w:rsidR="008B155F">
          <w:rPr>
            <w:noProof/>
            <w:webHidden/>
          </w:rPr>
          <w:fldChar w:fldCharType="end"/>
        </w:r>
      </w:hyperlink>
    </w:p>
    <w:p w14:paraId="1AFF6569" w14:textId="4A0C3204" w:rsidR="008B155F" w:rsidRDefault="007F14B5">
      <w:pPr>
        <w:pStyle w:val="TOC3"/>
        <w:rPr>
          <w:rFonts w:asciiTheme="minorHAnsi" w:eastAsiaTheme="minorEastAsia" w:hAnsiTheme="minorHAnsi" w:cstheme="minorBidi"/>
          <w:noProof/>
          <w:color w:val="auto"/>
          <w:sz w:val="22"/>
          <w:lang w:eastAsia="en-GB"/>
        </w:rPr>
      </w:pPr>
      <w:hyperlink w:anchor="_Toc29827681" w:history="1">
        <w:r w:rsidR="008B155F" w:rsidRPr="002C5938">
          <w:rPr>
            <w:rStyle w:val="Hyperlink"/>
            <w:noProof/>
          </w:rPr>
          <w:t>2.6</w:t>
        </w:r>
        <w:r w:rsidR="008B155F">
          <w:rPr>
            <w:rFonts w:asciiTheme="minorHAnsi" w:eastAsiaTheme="minorEastAsia" w:hAnsiTheme="minorHAnsi" w:cstheme="minorBidi"/>
            <w:noProof/>
            <w:color w:val="auto"/>
            <w:sz w:val="22"/>
            <w:lang w:eastAsia="en-GB"/>
          </w:rPr>
          <w:tab/>
        </w:r>
        <w:r w:rsidR="008B155F" w:rsidRPr="002C5938">
          <w:rPr>
            <w:rStyle w:val="Hyperlink"/>
            <w:noProof/>
          </w:rPr>
          <w:t>Internal relocation</w:t>
        </w:r>
        <w:r w:rsidR="008B155F">
          <w:rPr>
            <w:noProof/>
            <w:webHidden/>
          </w:rPr>
          <w:tab/>
        </w:r>
        <w:r w:rsidR="008B155F">
          <w:rPr>
            <w:noProof/>
            <w:webHidden/>
          </w:rPr>
          <w:fldChar w:fldCharType="begin"/>
        </w:r>
        <w:r w:rsidR="008B155F">
          <w:rPr>
            <w:noProof/>
            <w:webHidden/>
          </w:rPr>
          <w:instrText xml:space="preserve"> PAGEREF _Toc29827681 \h </w:instrText>
        </w:r>
        <w:r w:rsidR="008B155F">
          <w:rPr>
            <w:noProof/>
            <w:webHidden/>
          </w:rPr>
        </w:r>
        <w:r w:rsidR="008B155F">
          <w:rPr>
            <w:noProof/>
            <w:webHidden/>
          </w:rPr>
          <w:fldChar w:fldCharType="separate"/>
        </w:r>
        <w:r w:rsidR="008B155F">
          <w:rPr>
            <w:noProof/>
            <w:webHidden/>
          </w:rPr>
          <w:t>7</w:t>
        </w:r>
        <w:r w:rsidR="008B155F">
          <w:rPr>
            <w:noProof/>
            <w:webHidden/>
          </w:rPr>
          <w:fldChar w:fldCharType="end"/>
        </w:r>
      </w:hyperlink>
    </w:p>
    <w:p w14:paraId="52E236A6" w14:textId="28A59966" w:rsidR="008B155F" w:rsidRDefault="007F14B5">
      <w:pPr>
        <w:pStyle w:val="TOC3"/>
        <w:rPr>
          <w:rFonts w:asciiTheme="minorHAnsi" w:eastAsiaTheme="minorEastAsia" w:hAnsiTheme="minorHAnsi" w:cstheme="minorBidi"/>
          <w:noProof/>
          <w:color w:val="auto"/>
          <w:sz w:val="22"/>
          <w:lang w:eastAsia="en-GB"/>
        </w:rPr>
      </w:pPr>
      <w:hyperlink w:anchor="_Toc29827682" w:history="1">
        <w:r w:rsidR="008B155F" w:rsidRPr="002C5938">
          <w:rPr>
            <w:rStyle w:val="Hyperlink"/>
            <w:noProof/>
          </w:rPr>
          <w:t>2.7</w:t>
        </w:r>
        <w:r w:rsidR="008B155F">
          <w:rPr>
            <w:rFonts w:asciiTheme="minorHAnsi" w:eastAsiaTheme="minorEastAsia" w:hAnsiTheme="minorHAnsi" w:cstheme="minorBidi"/>
            <w:noProof/>
            <w:color w:val="auto"/>
            <w:sz w:val="22"/>
            <w:lang w:eastAsia="en-GB"/>
          </w:rPr>
          <w:tab/>
        </w:r>
        <w:r w:rsidR="008B155F" w:rsidRPr="002C5938">
          <w:rPr>
            <w:rStyle w:val="Hyperlink"/>
            <w:noProof/>
          </w:rPr>
          <w:t>Certification</w:t>
        </w:r>
        <w:r w:rsidR="008B155F">
          <w:rPr>
            <w:noProof/>
            <w:webHidden/>
          </w:rPr>
          <w:tab/>
        </w:r>
        <w:r w:rsidR="008B155F">
          <w:rPr>
            <w:noProof/>
            <w:webHidden/>
          </w:rPr>
          <w:fldChar w:fldCharType="begin"/>
        </w:r>
        <w:r w:rsidR="008B155F">
          <w:rPr>
            <w:noProof/>
            <w:webHidden/>
          </w:rPr>
          <w:instrText xml:space="preserve"> PAGEREF _Toc29827682 \h </w:instrText>
        </w:r>
        <w:r w:rsidR="008B155F">
          <w:rPr>
            <w:noProof/>
            <w:webHidden/>
          </w:rPr>
        </w:r>
        <w:r w:rsidR="008B155F">
          <w:rPr>
            <w:noProof/>
            <w:webHidden/>
          </w:rPr>
          <w:fldChar w:fldCharType="separate"/>
        </w:r>
        <w:r w:rsidR="008B155F">
          <w:rPr>
            <w:noProof/>
            <w:webHidden/>
          </w:rPr>
          <w:t>8</w:t>
        </w:r>
        <w:r w:rsidR="008B155F">
          <w:rPr>
            <w:noProof/>
            <w:webHidden/>
          </w:rPr>
          <w:fldChar w:fldCharType="end"/>
        </w:r>
      </w:hyperlink>
    </w:p>
    <w:p w14:paraId="4B575F69" w14:textId="280A55D5" w:rsidR="008B155F" w:rsidRDefault="007F14B5">
      <w:pPr>
        <w:pStyle w:val="TOC1"/>
        <w:tabs>
          <w:tab w:val="right" w:leader="dot" w:pos="9016"/>
        </w:tabs>
        <w:rPr>
          <w:rFonts w:asciiTheme="minorHAnsi" w:eastAsiaTheme="minorEastAsia" w:hAnsiTheme="minorHAnsi" w:cstheme="minorBidi"/>
          <w:b w:val="0"/>
          <w:noProof/>
          <w:color w:val="auto"/>
          <w:sz w:val="22"/>
          <w:lang w:eastAsia="en-GB"/>
        </w:rPr>
      </w:pPr>
      <w:hyperlink w:anchor="_Toc29827683" w:history="1">
        <w:r w:rsidR="008B155F" w:rsidRPr="002C5938">
          <w:rPr>
            <w:rStyle w:val="Hyperlink"/>
            <w:noProof/>
          </w:rPr>
          <w:t>Country information</w:t>
        </w:r>
        <w:r w:rsidR="008B155F">
          <w:rPr>
            <w:noProof/>
            <w:webHidden/>
          </w:rPr>
          <w:tab/>
        </w:r>
        <w:r w:rsidR="008B155F">
          <w:rPr>
            <w:noProof/>
            <w:webHidden/>
          </w:rPr>
          <w:fldChar w:fldCharType="begin"/>
        </w:r>
        <w:r w:rsidR="008B155F">
          <w:rPr>
            <w:noProof/>
            <w:webHidden/>
          </w:rPr>
          <w:instrText xml:space="preserve"> PAGEREF _Toc29827683 \h </w:instrText>
        </w:r>
        <w:r w:rsidR="008B155F">
          <w:rPr>
            <w:noProof/>
            <w:webHidden/>
          </w:rPr>
        </w:r>
        <w:r w:rsidR="008B155F">
          <w:rPr>
            <w:noProof/>
            <w:webHidden/>
          </w:rPr>
          <w:fldChar w:fldCharType="separate"/>
        </w:r>
        <w:r w:rsidR="008B155F">
          <w:rPr>
            <w:noProof/>
            <w:webHidden/>
          </w:rPr>
          <w:t>8</w:t>
        </w:r>
        <w:r w:rsidR="008B155F">
          <w:rPr>
            <w:noProof/>
            <w:webHidden/>
          </w:rPr>
          <w:fldChar w:fldCharType="end"/>
        </w:r>
      </w:hyperlink>
    </w:p>
    <w:p w14:paraId="71F42891" w14:textId="64563370" w:rsidR="008B155F" w:rsidRDefault="007F14B5">
      <w:pPr>
        <w:pStyle w:val="TOC2"/>
        <w:rPr>
          <w:rFonts w:asciiTheme="minorHAnsi" w:eastAsiaTheme="minorEastAsia" w:hAnsiTheme="minorHAnsi" w:cstheme="minorBidi"/>
          <w:noProof/>
          <w:color w:val="auto"/>
          <w:sz w:val="22"/>
          <w:lang w:eastAsia="en-GB"/>
        </w:rPr>
      </w:pPr>
      <w:hyperlink w:anchor="_Toc29827684" w:history="1">
        <w:r w:rsidR="008B155F" w:rsidRPr="002C5938">
          <w:rPr>
            <w:rStyle w:val="Hyperlink"/>
            <w:noProof/>
          </w:rPr>
          <w:t>3</w:t>
        </w:r>
        <w:r w:rsidR="008B155F">
          <w:rPr>
            <w:rFonts w:asciiTheme="minorHAnsi" w:eastAsiaTheme="minorEastAsia" w:hAnsiTheme="minorHAnsi" w:cstheme="minorBidi"/>
            <w:noProof/>
            <w:color w:val="auto"/>
            <w:sz w:val="22"/>
            <w:lang w:eastAsia="en-GB"/>
          </w:rPr>
          <w:tab/>
        </w:r>
        <w:r w:rsidR="008B155F" w:rsidRPr="002C5938">
          <w:rPr>
            <w:rStyle w:val="Hyperlink"/>
            <w:noProof/>
          </w:rPr>
          <w:t>Baath Party</w:t>
        </w:r>
        <w:r w:rsidR="008B155F">
          <w:rPr>
            <w:noProof/>
            <w:webHidden/>
          </w:rPr>
          <w:tab/>
        </w:r>
        <w:r w:rsidR="008B155F">
          <w:rPr>
            <w:noProof/>
            <w:webHidden/>
          </w:rPr>
          <w:fldChar w:fldCharType="begin"/>
        </w:r>
        <w:r w:rsidR="008B155F">
          <w:rPr>
            <w:noProof/>
            <w:webHidden/>
          </w:rPr>
          <w:instrText xml:space="preserve"> PAGEREF _Toc29827684 \h </w:instrText>
        </w:r>
        <w:r w:rsidR="008B155F">
          <w:rPr>
            <w:noProof/>
            <w:webHidden/>
          </w:rPr>
        </w:r>
        <w:r w:rsidR="008B155F">
          <w:rPr>
            <w:noProof/>
            <w:webHidden/>
          </w:rPr>
          <w:fldChar w:fldCharType="separate"/>
        </w:r>
        <w:r w:rsidR="008B155F">
          <w:rPr>
            <w:noProof/>
            <w:webHidden/>
          </w:rPr>
          <w:t>8</w:t>
        </w:r>
        <w:r w:rsidR="008B155F">
          <w:rPr>
            <w:noProof/>
            <w:webHidden/>
          </w:rPr>
          <w:fldChar w:fldCharType="end"/>
        </w:r>
      </w:hyperlink>
    </w:p>
    <w:p w14:paraId="3EC53252" w14:textId="41CC4659" w:rsidR="008B155F" w:rsidRDefault="007F14B5">
      <w:pPr>
        <w:pStyle w:val="TOC3"/>
        <w:rPr>
          <w:rFonts w:asciiTheme="minorHAnsi" w:eastAsiaTheme="minorEastAsia" w:hAnsiTheme="minorHAnsi" w:cstheme="minorBidi"/>
          <w:noProof/>
          <w:color w:val="auto"/>
          <w:sz w:val="22"/>
          <w:lang w:eastAsia="en-GB"/>
        </w:rPr>
      </w:pPr>
      <w:hyperlink w:anchor="_Toc29827685" w:history="1">
        <w:r w:rsidR="008B155F" w:rsidRPr="002C5938">
          <w:rPr>
            <w:rStyle w:val="Hyperlink"/>
            <w:noProof/>
          </w:rPr>
          <w:t>3.1</w:t>
        </w:r>
        <w:r w:rsidR="008B155F">
          <w:rPr>
            <w:rFonts w:asciiTheme="minorHAnsi" w:eastAsiaTheme="minorEastAsia" w:hAnsiTheme="minorHAnsi" w:cstheme="minorBidi"/>
            <w:noProof/>
            <w:color w:val="auto"/>
            <w:sz w:val="22"/>
            <w:lang w:eastAsia="en-GB"/>
          </w:rPr>
          <w:tab/>
        </w:r>
        <w:r w:rsidR="008B155F" w:rsidRPr="002C5938">
          <w:rPr>
            <w:rStyle w:val="Hyperlink"/>
            <w:noProof/>
          </w:rPr>
          <w:t>History</w:t>
        </w:r>
        <w:r w:rsidR="008B155F">
          <w:rPr>
            <w:noProof/>
            <w:webHidden/>
          </w:rPr>
          <w:tab/>
        </w:r>
        <w:r w:rsidR="008B155F">
          <w:rPr>
            <w:noProof/>
            <w:webHidden/>
          </w:rPr>
          <w:fldChar w:fldCharType="begin"/>
        </w:r>
        <w:r w:rsidR="008B155F">
          <w:rPr>
            <w:noProof/>
            <w:webHidden/>
          </w:rPr>
          <w:instrText xml:space="preserve"> PAGEREF _Toc29827685 \h </w:instrText>
        </w:r>
        <w:r w:rsidR="008B155F">
          <w:rPr>
            <w:noProof/>
            <w:webHidden/>
          </w:rPr>
        </w:r>
        <w:r w:rsidR="008B155F">
          <w:rPr>
            <w:noProof/>
            <w:webHidden/>
          </w:rPr>
          <w:fldChar w:fldCharType="separate"/>
        </w:r>
        <w:r w:rsidR="008B155F">
          <w:rPr>
            <w:noProof/>
            <w:webHidden/>
          </w:rPr>
          <w:t>8</w:t>
        </w:r>
        <w:r w:rsidR="008B155F">
          <w:rPr>
            <w:noProof/>
            <w:webHidden/>
          </w:rPr>
          <w:fldChar w:fldCharType="end"/>
        </w:r>
      </w:hyperlink>
    </w:p>
    <w:p w14:paraId="2E284024" w14:textId="51A49E44" w:rsidR="008B155F" w:rsidRDefault="007F14B5">
      <w:pPr>
        <w:pStyle w:val="TOC3"/>
        <w:rPr>
          <w:rFonts w:asciiTheme="minorHAnsi" w:eastAsiaTheme="minorEastAsia" w:hAnsiTheme="minorHAnsi" w:cstheme="minorBidi"/>
          <w:noProof/>
          <w:color w:val="auto"/>
          <w:sz w:val="22"/>
          <w:lang w:eastAsia="en-GB"/>
        </w:rPr>
      </w:pPr>
      <w:hyperlink w:anchor="_Toc29827686" w:history="1">
        <w:r w:rsidR="008B155F" w:rsidRPr="002C5938">
          <w:rPr>
            <w:rStyle w:val="Hyperlink"/>
            <w:noProof/>
          </w:rPr>
          <w:t>3.2</w:t>
        </w:r>
        <w:r w:rsidR="008B155F">
          <w:rPr>
            <w:rFonts w:asciiTheme="minorHAnsi" w:eastAsiaTheme="minorEastAsia" w:hAnsiTheme="minorHAnsi" w:cstheme="minorBidi"/>
            <w:noProof/>
            <w:color w:val="auto"/>
            <w:sz w:val="22"/>
            <w:lang w:eastAsia="en-GB"/>
          </w:rPr>
          <w:tab/>
        </w:r>
        <w:r w:rsidR="008B155F" w:rsidRPr="002C5938">
          <w:rPr>
            <w:rStyle w:val="Hyperlink"/>
            <w:noProof/>
          </w:rPr>
          <w:t>Structure</w:t>
        </w:r>
        <w:r w:rsidR="008B155F">
          <w:rPr>
            <w:noProof/>
            <w:webHidden/>
          </w:rPr>
          <w:tab/>
        </w:r>
        <w:r w:rsidR="008B155F">
          <w:rPr>
            <w:noProof/>
            <w:webHidden/>
          </w:rPr>
          <w:fldChar w:fldCharType="begin"/>
        </w:r>
        <w:r w:rsidR="008B155F">
          <w:rPr>
            <w:noProof/>
            <w:webHidden/>
          </w:rPr>
          <w:instrText xml:space="preserve"> PAGEREF _Toc29827686 \h </w:instrText>
        </w:r>
        <w:r w:rsidR="008B155F">
          <w:rPr>
            <w:noProof/>
            <w:webHidden/>
          </w:rPr>
        </w:r>
        <w:r w:rsidR="008B155F">
          <w:rPr>
            <w:noProof/>
            <w:webHidden/>
          </w:rPr>
          <w:fldChar w:fldCharType="separate"/>
        </w:r>
        <w:r w:rsidR="008B155F">
          <w:rPr>
            <w:noProof/>
            <w:webHidden/>
          </w:rPr>
          <w:t>8</w:t>
        </w:r>
        <w:r w:rsidR="008B155F">
          <w:rPr>
            <w:noProof/>
            <w:webHidden/>
          </w:rPr>
          <w:fldChar w:fldCharType="end"/>
        </w:r>
      </w:hyperlink>
    </w:p>
    <w:p w14:paraId="59318270" w14:textId="29F5F8C9" w:rsidR="008B155F" w:rsidRDefault="007F14B5">
      <w:pPr>
        <w:pStyle w:val="TOC3"/>
        <w:rPr>
          <w:rFonts w:asciiTheme="minorHAnsi" w:eastAsiaTheme="minorEastAsia" w:hAnsiTheme="minorHAnsi" w:cstheme="minorBidi"/>
          <w:noProof/>
          <w:color w:val="auto"/>
          <w:sz w:val="22"/>
          <w:lang w:eastAsia="en-GB"/>
        </w:rPr>
      </w:pPr>
      <w:hyperlink w:anchor="_Toc29827687" w:history="1">
        <w:r w:rsidR="008B155F" w:rsidRPr="002C5938">
          <w:rPr>
            <w:rStyle w:val="Hyperlink"/>
            <w:noProof/>
          </w:rPr>
          <w:t>3.3</w:t>
        </w:r>
        <w:r w:rsidR="008B155F">
          <w:rPr>
            <w:rFonts w:asciiTheme="minorHAnsi" w:eastAsiaTheme="minorEastAsia" w:hAnsiTheme="minorHAnsi" w:cstheme="minorBidi"/>
            <w:noProof/>
            <w:color w:val="auto"/>
            <w:sz w:val="22"/>
            <w:lang w:eastAsia="en-GB"/>
          </w:rPr>
          <w:tab/>
        </w:r>
        <w:r w:rsidR="008B155F" w:rsidRPr="002C5938">
          <w:rPr>
            <w:rStyle w:val="Hyperlink"/>
            <w:noProof/>
          </w:rPr>
          <w:t>Size</w:t>
        </w:r>
        <w:r w:rsidR="008B155F">
          <w:rPr>
            <w:noProof/>
            <w:webHidden/>
          </w:rPr>
          <w:tab/>
        </w:r>
        <w:r w:rsidR="008B155F">
          <w:rPr>
            <w:noProof/>
            <w:webHidden/>
          </w:rPr>
          <w:fldChar w:fldCharType="begin"/>
        </w:r>
        <w:r w:rsidR="008B155F">
          <w:rPr>
            <w:noProof/>
            <w:webHidden/>
          </w:rPr>
          <w:instrText xml:space="preserve"> PAGEREF _Toc29827687 \h </w:instrText>
        </w:r>
        <w:r w:rsidR="008B155F">
          <w:rPr>
            <w:noProof/>
            <w:webHidden/>
          </w:rPr>
        </w:r>
        <w:r w:rsidR="008B155F">
          <w:rPr>
            <w:noProof/>
            <w:webHidden/>
          </w:rPr>
          <w:fldChar w:fldCharType="separate"/>
        </w:r>
        <w:r w:rsidR="008B155F">
          <w:rPr>
            <w:noProof/>
            <w:webHidden/>
          </w:rPr>
          <w:t>10</w:t>
        </w:r>
        <w:r w:rsidR="008B155F">
          <w:rPr>
            <w:noProof/>
            <w:webHidden/>
          </w:rPr>
          <w:fldChar w:fldCharType="end"/>
        </w:r>
      </w:hyperlink>
    </w:p>
    <w:p w14:paraId="5B65E8F7" w14:textId="34DE0839" w:rsidR="008B155F" w:rsidRDefault="007F14B5">
      <w:pPr>
        <w:pStyle w:val="TOC3"/>
        <w:rPr>
          <w:rFonts w:asciiTheme="minorHAnsi" w:eastAsiaTheme="minorEastAsia" w:hAnsiTheme="minorHAnsi" w:cstheme="minorBidi"/>
          <w:noProof/>
          <w:color w:val="auto"/>
          <w:sz w:val="22"/>
          <w:lang w:eastAsia="en-GB"/>
        </w:rPr>
      </w:pPr>
      <w:hyperlink w:anchor="_Toc29827688" w:history="1">
        <w:r w:rsidR="008B155F" w:rsidRPr="002C5938">
          <w:rPr>
            <w:rStyle w:val="Hyperlink"/>
            <w:noProof/>
          </w:rPr>
          <w:t>3.4</w:t>
        </w:r>
        <w:r w:rsidR="008B155F">
          <w:rPr>
            <w:rFonts w:asciiTheme="minorHAnsi" w:eastAsiaTheme="minorEastAsia" w:hAnsiTheme="minorHAnsi" w:cstheme="minorBidi"/>
            <w:noProof/>
            <w:color w:val="auto"/>
            <w:sz w:val="22"/>
            <w:lang w:eastAsia="en-GB"/>
          </w:rPr>
          <w:tab/>
        </w:r>
        <w:r w:rsidR="008B155F" w:rsidRPr="002C5938">
          <w:rPr>
            <w:rStyle w:val="Hyperlink"/>
            <w:noProof/>
          </w:rPr>
          <w:t>Composition</w:t>
        </w:r>
        <w:r w:rsidR="008B155F">
          <w:rPr>
            <w:noProof/>
            <w:webHidden/>
          </w:rPr>
          <w:tab/>
        </w:r>
        <w:r w:rsidR="008B155F">
          <w:rPr>
            <w:noProof/>
            <w:webHidden/>
          </w:rPr>
          <w:fldChar w:fldCharType="begin"/>
        </w:r>
        <w:r w:rsidR="008B155F">
          <w:rPr>
            <w:noProof/>
            <w:webHidden/>
          </w:rPr>
          <w:instrText xml:space="preserve"> PAGEREF _Toc29827688 \h </w:instrText>
        </w:r>
        <w:r w:rsidR="008B155F">
          <w:rPr>
            <w:noProof/>
            <w:webHidden/>
          </w:rPr>
        </w:r>
        <w:r w:rsidR="008B155F">
          <w:rPr>
            <w:noProof/>
            <w:webHidden/>
          </w:rPr>
          <w:fldChar w:fldCharType="separate"/>
        </w:r>
        <w:r w:rsidR="008B155F">
          <w:rPr>
            <w:noProof/>
            <w:webHidden/>
          </w:rPr>
          <w:t>11</w:t>
        </w:r>
        <w:r w:rsidR="008B155F">
          <w:rPr>
            <w:noProof/>
            <w:webHidden/>
          </w:rPr>
          <w:fldChar w:fldCharType="end"/>
        </w:r>
      </w:hyperlink>
    </w:p>
    <w:p w14:paraId="6FA7233E" w14:textId="1FA824BD" w:rsidR="008B155F" w:rsidRDefault="007F14B5">
      <w:pPr>
        <w:pStyle w:val="TOC3"/>
        <w:rPr>
          <w:rFonts w:asciiTheme="minorHAnsi" w:eastAsiaTheme="minorEastAsia" w:hAnsiTheme="minorHAnsi" w:cstheme="minorBidi"/>
          <w:noProof/>
          <w:color w:val="auto"/>
          <w:sz w:val="22"/>
          <w:lang w:eastAsia="en-GB"/>
        </w:rPr>
      </w:pPr>
      <w:hyperlink w:anchor="_Toc29827689" w:history="1">
        <w:r w:rsidR="008B155F" w:rsidRPr="002C5938">
          <w:rPr>
            <w:rStyle w:val="Hyperlink"/>
            <w:noProof/>
          </w:rPr>
          <w:t>3.5</w:t>
        </w:r>
        <w:r w:rsidR="008B155F">
          <w:rPr>
            <w:rFonts w:asciiTheme="minorHAnsi" w:eastAsiaTheme="minorEastAsia" w:hAnsiTheme="minorHAnsi" w:cstheme="minorBidi"/>
            <w:noProof/>
            <w:color w:val="auto"/>
            <w:sz w:val="22"/>
            <w:lang w:eastAsia="en-GB"/>
          </w:rPr>
          <w:tab/>
        </w:r>
        <w:r w:rsidR="008B155F" w:rsidRPr="002C5938">
          <w:rPr>
            <w:rStyle w:val="Hyperlink"/>
            <w:noProof/>
          </w:rPr>
          <w:t>Current status</w:t>
        </w:r>
        <w:r w:rsidR="008B155F">
          <w:rPr>
            <w:noProof/>
            <w:webHidden/>
          </w:rPr>
          <w:tab/>
        </w:r>
        <w:r w:rsidR="008B155F">
          <w:rPr>
            <w:noProof/>
            <w:webHidden/>
          </w:rPr>
          <w:fldChar w:fldCharType="begin"/>
        </w:r>
        <w:r w:rsidR="008B155F">
          <w:rPr>
            <w:noProof/>
            <w:webHidden/>
          </w:rPr>
          <w:instrText xml:space="preserve"> PAGEREF _Toc29827689 \h </w:instrText>
        </w:r>
        <w:r w:rsidR="008B155F">
          <w:rPr>
            <w:noProof/>
            <w:webHidden/>
          </w:rPr>
        </w:r>
        <w:r w:rsidR="008B155F">
          <w:rPr>
            <w:noProof/>
            <w:webHidden/>
          </w:rPr>
          <w:fldChar w:fldCharType="separate"/>
        </w:r>
        <w:r w:rsidR="008B155F">
          <w:rPr>
            <w:noProof/>
            <w:webHidden/>
          </w:rPr>
          <w:t>12</w:t>
        </w:r>
        <w:r w:rsidR="008B155F">
          <w:rPr>
            <w:noProof/>
            <w:webHidden/>
          </w:rPr>
          <w:fldChar w:fldCharType="end"/>
        </w:r>
      </w:hyperlink>
    </w:p>
    <w:p w14:paraId="7A0007B7" w14:textId="3D2D0D4B" w:rsidR="008B155F" w:rsidRDefault="007F14B5">
      <w:pPr>
        <w:pStyle w:val="TOC2"/>
        <w:rPr>
          <w:rFonts w:asciiTheme="minorHAnsi" w:eastAsiaTheme="minorEastAsia" w:hAnsiTheme="minorHAnsi" w:cstheme="minorBidi"/>
          <w:noProof/>
          <w:color w:val="auto"/>
          <w:sz w:val="22"/>
          <w:lang w:eastAsia="en-GB"/>
        </w:rPr>
      </w:pPr>
      <w:hyperlink w:anchor="_Toc29827690" w:history="1">
        <w:r w:rsidR="008B155F" w:rsidRPr="002C5938">
          <w:rPr>
            <w:rStyle w:val="Hyperlink"/>
            <w:noProof/>
          </w:rPr>
          <w:t>4</w:t>
        </w:r>
        <w:r w:rsidR="008B155F">
          <w:rPr>
            <w:rFonts w:asciiTheme="minorHAnsi" w:eastAsiaTheme="minorEastAsia" w:hAnsiTheme="minorHAnsi" w:cstheme="minorBidi"/>
            <w:noProof/>
            <w:color w:val="auto"/>
            <w:sz w:val="22"/>
            <w:lang w:eastAsia="en-GB"/>
          </w:rPr>
          <w:tab/>
        </w:r>
        <w:r w:rsidR="008B155F" w:rsidRPr="002C5938">
          <w:rPr>
            <w:rStyle w:val="Hyperlink"/>
            <w:noProof/>
          </w:rPr>
          <w:t>Linked groups</w:t>
        </w:r>
        <w:r w:rsidR="008B155F">
          <w:rPr>
            <w:noProof/>
            <w:webHidden/>
          </w:rPr>
          <w:tab/>
        </w:r>
        <w:r w:rsidR="008B155F">
          <w:rPr>
            <w:noProof/>
            <w:webHidden/>
          </w:rPr>
          <w:fldChar w:fldCharType="begin"/>
        </w:r>
        <w:r w:rsidR="008B155F">
          <w:rPr>
            <w:noProof/>
            <w:webHidden/>
          </w:rPr>
          <w:instrText xml:space="preserve"> PAGEREF _Toc29827690 \h </w:instrText>
        </w:r>
        <w:r w:rsidR="008B155F">
          <w:rPr>
            <w:noProof/>
            <w:webHidden/>
          </w:rPr>
        </w:r>
        <w:r w:rsidR="008B155F">
          <w:rPr>
            <w:noProof/>
            <w:webHidden/>
          </w:rPr>
          <w:fldChar w:fldCharType="separate"/>
        </w:r>
        <w:r w:rsidR="008B155F">
          <w:rPr>
            <w:noProof/>
            <w:webHidden/>
          </w:rPr>
          <w:t>13</w:t>
        </w:r>
        <w:r w:rsidR="008B155F">
          <w:rPr>
            <w:noProof/>
            <w:webHidden/>
          </w:rPr>
          <w:fldChar w:fldCharType="end"/>
        </w:r>
      </w:hyperlink>
    </w:p>
    <w:p w14:paraId="6E3503F8" w14:textId="6D4539C6" w:rsidR="008B155F" w:rsidRDefault="007F14B5">
      <w:pPr>
        <w:pStyle w:val="TOC3"/>
        <w:rPr>
          <w:rFonts w:asciiTheme="minorHAnsi" w:eastAsiaTheme="minorEastAsia" w:hAnsiTheme="minorHAnsi" w:cstheme="minorBidi"/>
          <w:noProof/>
          <w:color w:val="auto"/>
          <w:sz w:val="22"/>
          <w:lang w:eastAsia="en-GB"/>
        </w:rPr>
      </w:pPr>
      <w:hyperlink w:anchor="_Toc29827691" w:history="1">
        <w:r w:rsidR="008B155F" w:rsidRPr="002C5938">
          <w:rPr>
            <w:rStyle w:val="Hyperlink"/>
            <w:noProof/>
          </w:rPr>
          <w:t>4.1</w:t>
        </w:r>
        <w:r w:rsidR="008B155F">
          <w:rPr>
            <w:rFonts w:asciiTheme="minorHAnsi" w:eastAsiaTheme="minorEastAsia" w:hAnsiTheme="minorHAnsi" w:cstheme="minorBidi"/>
            <w:noProof/>
            <w:color w:val="auto"/>
            <w:sz w:val="22"/>
            <w:lang w:eastAsia="en-GB"/>
          </w:rPr>
          <w:tab/>
        </w:r>
        <w:r w:rsidR="008B155F" w:rsidRPr="002C5938">
          <w:rPr>
            <w:rStyle w:val="Hyperlink"/>
            <w:noProof/>
          </w:rPr>
          <w:t>Baathists and Daesh</w:t>
        </w:r>
        <w:r w:rsidR="008B155F">
          <w:rPr>
            <w:noProof/>
            <w:webHidden/>
          </w:rPr>
          <w:tab/>
        </w:r>
        <w:r w:rsidR="008B155F">
          <w:rPr>
            <w:noProof/>
            <w:webHidden/>
          </w:rPr>
          <w:fldChar w:fldCharType="begin"/>
        </w:r>
        <w:r w:rsidR="008B155F">
          <w:rPr>
            <w:noProof/>
            <w:webHidden/>
          </w:rPr>
          <w:instrText xml:space="preserve"> PAGEREF _Toc29827691 \h </w:instrText>
        </w:r>
        <w:r w:rsidR="008B155F">
          <w:rPr>
            <w:noProof/>
            <w:webHidden/>
          </w:rPr>
        </w:r>
        <w:r w:rsidR="008B155F">
          <w:rPr>
            <w:noProof/>
            <w:webHidden/>
          </w:rPr>
          <w:fldChar w:fldCharType="separate"/>
        </w:r>
        <w:r w:rsidR="008B155F">
          <w:rPr>
            <w:noProof/>
            <w:webHidden/>
          </w:rPr>
          <w:t>13</w:t>
        </w:r>
        <w:r w:rsidR="008B155F">
          <w:rPr>
            <w:noProof/>
            <w:webHidden/>
          </w:rPr>
          <w:fldChar w:fldCharType="end"/>
        </w:r>
      </w:hyperlink>
    </w:p>
    <w:p w14:paraId="02E6311E" w14:textId="0C9D13CD" w:rsidR="008B155F" w:rsidRDefault="007F14B5">
      <w:pPr>
        <w:pStyle w:val="TOC3"/>
        <w:rPr>
          <w:rFonts w:asciiTheme="minorHAnsi" w:eastAsiaTheme="minorEastAsia" w:hAnsiTheme="minorHAnsi" w:cstheme="minorBidi"/>
          <w:noProof/>
          <w:color w:val="auto"/>
          <w:sz w:val="22"/>
          <w:lang w:eastAsia="en-GB"/>
        </w:rPr>
      </w:pPr>
      <w:hyperlink w:anchor="_Toc29827692" w:history="1">
        <w:r w:rsidR="008B155F" w:rsidRPr="002C5938">
          <w:rPr>
            <w:rStyle w:val="Hyperlink"/>
            <w:noProof/>
          </w:rPr>
          <w:t>4.2</w:t>
        </w:r>
        <w:r w:rsidR="008B155F">
          <w:rPr>
            <w:rFonts w:asciiTheme="minorHAnsi" w:eastAsiaTheme="minorEastAsia" w:hAnsiTheme="minorHAnsi" w:cstheme="minorBidi"/>
            <w:noProof/>
            <w:color w:val="auto"/>
            <w:sz w:val="22"/>
            <w:lang w:eastAsia="en-GB"/>
          </w:rPr>
          <w:tab/>
        </w:r>
        <w:r w:rsidR="008B155F" w:rsidRPr="002C5938">
          <w:rPr>
            <w:rStyle w:val="Hyperlink"/>
            <w:noProof/>
          </w:rPr>
          <w:t>Naqshbandi Order (JRTN)</w:t>
        </w:r>
        <w:r w:rsidR="008B155F">
          <w:rPr>
            <w:noProof/>
            <w:webHidden/>
          </w:rPr>
          <w:tab/>
        </w:r>
        <w:r w:rsidR="008B155F">
          <w:rPr>
            <w:noProof/>
            <w:webHidden/>
          </w:rPr>
          <w:fldChar w:fldCharType="begin"/>
        </w:r>
        <w:r w:rsidR="008B155F">
          <w:rPr>
            <w:noProof/>
            <w:webHidden/>
          </w:rPr>
          <w:instrText xml:space="preserve"> PAGEREF _Toc29827692 \h </w:instrText>
        </w:r>
        <w:r w:rsidR="008B155F">
          <w:rPr>
            <w:noProof/>
            <w:webHidden/>
          </w:rPr>
        </w:r>
        <w:r w:rsidR="008B155F">
          <w:rPr>
            <w:noProof/>
            <w:webHidden/>
          </w:rPr>
          <w:fldChar w:fldCharType="separate"/>
        </w:r>
        <w:r w:rsidR="008B155F">
          <w:rPr>
            <w:noProof/>
            <w:webHidden/>
          </w:rPr>
          <w:t>14</w:t>
        </w:r>
        <w:r w:rsidR="008B155F">
          <w:rPr>
            <w:noProof/>
            <w:webHidden/>
          </w:rPr>
          <w:fldChar w:fldCharType="end"/>
        </w:r>
      </w:hyperlink>
    </w:p>
    <w:p w14:paraId="53F6EE4A" w14:textId="393C508E" w:rsidR="008B155F" w:rsidRDefault="007F14B5">
      <w:pPr>
        <w:pStyle w:val="TOC3"/>
        <w:rPr>
          <w:rFonts w:asciiTheme="minorHAnsi" w:eastAsiaTheme="minorEastAsia" w:hAnsiTheme="minorHAnsi" w:cstheme="minorBidi"/>
          <w:noProof/>
          <w:color w:val="auto"/>
          <w:sz w:val="22"/>
          <w:lang w:eastAsia="en-GB"/>
        </w:rPr>
      </w:pPr>
      <w:hyperlink w:anchor="_Toc29827693" w:history="1">
        <w:r w:rsidR="008B155F" w:rsidRPr="002C5938">
          <w:rPr>
            <w:rStyle w:val="Hyperlink"/>
            <w:noProof/>
            <w:lang w:eastAsia="en-GB"/>
          </w:rPr>
          <w:t>4.3</w:t>
        </w:r>
        <w:r w:rsidR="008B155F">
          <w:rPr>
            <w:rFonts w:asciiTheme="minorHAnsi" w:eastAsiaTheme="minorEastAsia" w:hAnsiTheme="minorHAnsi" w:cstheme="minorBidi"/>
            <w:noProof/>
            <w:color w:val="auto"/>
            <w:sz w:val="22"/>
            <w:lang w:eastAsia="en-GB"/>
          </w:rPr>
          <w:tab/>
        </w:r>
        <w:r w:rsidR="008B155F" w:rsidRPr="002C5938">
          <w:rPr>
            <w:rStyle w:val="Hyperlink"/>
            <w:noProof/>
            <w:lang w:eastAsia="en-GB"/>
          </w:rPr>
          <w:t>General Military Council for Iraqi Revolutionaries (GMCIR)</w:t>
        </w:r>
        <w:r w:rsidR="008B155F">
          <w:rPr>
            <w:noProof/>
            <w:webHidden/>
          </w:rPr>
          <w:tab/>
        </w:r>
        <w:r w:rsidR="008B155F">
          <w:rPr>
            <w:noProof/>
            <w:webHidden/>
          </w:rPr>
          <w:fldChar w:fldCharType="begin"/>
        </w:r>
        <w:r w:rsidR="008B155F">
          <w:rPr>
            <w:noProof/>
            <w:webHidden/>
          </w:rPr>
          <w:instrText xml:space="preserve"> PAGEREF _Toc29827693 \h </w:instrText>
        </w:r>
        <w:r w:rsidR="008B155F">
          <w:rPr>
            <w:noProof/>
            <w:webHidden/>
          </w:rPr>
        </w:r>
        <w:r w:rsidR="008B155F">
          <w:rPr>
            <w:noProof/>
            <w:webHidden/>
          </w:rPr>
          <w:fldChar w:fldCharType="separate"/>
        </w:r>
        <w:r w:rsidR="008B155F">
          <w:rPr>
            <w:noProof/>
            <w:webHidden/>
          </w:rPr>
          <w:t>15</w:t>
        </w:r>
        <w:r w:rsidR="008B155F">
          <w:rPr>
            <w:noProof/>
            <w:webHidden/>
          </w:rPr>
          <w:fldChar w:fldCharType="end"/>
        </w:r>
      </w:hyperlink>
    </w:p>
    <w:p w14:paraId="43207509" w14:textId="7AF0733C" w:rsidR="008B155F" w:rsidRDefault="007F14B5">
      <w:pPr>
        <w:pStyle w:val="TOC2"/>
        <w:rPr>
          <w:rFonts w:asciiTheme="minorHAnsi" w:eastAsiaTheme="minorEastAsia" w:hAnsiTheme="minorHAnsi" w:cstheme="minorBidi"/>
          <w:noProof/>
          <w:color w:val="auto"/>
          <w:sz w:val="22"/>
          <w:lang w:eastAsia="en-GB"/>
        </w:rPr>
      </w:pPr>
      <w:hyperlink w:anchor="_Toc29827694" w:history="1">
        <w:r w:rsidR="008B155F" w:rsidRPr="002C5938">
          <w:rPr>
            <w:rStyle w:val="Hyperlink"/>
            <w:noProof/>
          </w:rPr>
          <w:t>5</w:t>
        </w:r>
        <w:r w:rsidR="008B155F">
          <w:rPr>
            <w:rFonts w:asciiTheme="minorHAnsi" w:eastAsiaTheme="minorEastAsia" w:hAnsiTheme="minorHAnsi" w:cstheme="minorBidi"/>
            <w:noProof/>
            <w:color w:val="auto"/>
            <w:sz w:val="22"/>
            <w:lang w:eastAsia="en-GB"/>
          </w:rPr>
          <w:tab/>
        </w:r>
        <w:r w:rsidR="008B155F" w:rsidRPr="002C5938">
          <w:rPr>
            <w:rStyle w:val="Hyperlink"/>
            <w:noProof/>
          </w:rPr>
          <w:t>De-Baathification</w:t>
        </w:r>
        <w:r w:rsidR="008B155F">
          <w:rPr>
            <w:noProof/>
            <w:webHidden/>
          </w:rPr>
          <w:tab/>
        </w:r>
        <w:r w:rsidR="008B155F">
          <w:rPr>
            <w:noProof/>
            <w:webHidden/>
          </w:rPr>
          <w:fldChar w:fldCharType="begin"/>
        </w:r>
        <w:r w:rsidR="008B155F">
          <w:rPr>
            <w:noProof/>
            <w:webHidden/>
          </w:rPr>
          <w:instrText xml:space="preserve"> PAGEREF _Toc29827694 \h </w:instrText>
        </w:r>
        <w:r w:rsidR="008B155F">
          <w:rPr>
            <w:noProof/>
            <w:webHidden/>
          </w:rPr>
        </w:r>
        <w:r w:rsidR="008B155F">
          <w:rPr>
            <w:noProof/>
            <w:webHidden/>
          </w:rPr>
          <w:fldChar w:fldCharType="separate"/>
        </w:r>
        <w:r w:rsidR="008B155F">
          <w:rPr>
            <w:noProof/>
            <w:webHidden/>
          </w:rPr>
          <w:t>15</w:t>
        </w:r>
        <w:r w:rsidR="008B155F">
          <w:rPr>
            <w:noProof/>
            <w:webHidden/>
          </w:rPr>
          <w:fldChar w:fldCharType="end"/>
        </w:r>
      </w:hyperlink>
    </w:p>
    <w:p w14:paraId="4F36B72E" w14:textId="1F15A905" w:rsidR="008B155F" w:rsidRDefault="007F14B5">
      <w:pPr>
        <w:pStyle w:val="TOC2"/>
        <w:rPr>
          <w:rFonts w:asciiTheme="minorHAnsi" w:eastAsiaTheme="minorEastAsia" w:hAnsiTheme="minorHAnsi" w:cstheme="minorBidi"/>
          <w:noProof/>
          <w:color w:val="auto"/>
          <w:sz w:val="22"/>
          <w:lang w:eastAsia="en-GB"/>
        </w:rPr>
      </w:pPr>
      <w:hyperlink w:anchor="_Toc29827695" w:history="1">
        <w:r w:rsidR="008B155F" w:rsidRPr="002C5938">
          <w:rPr>
            <w:rStyle w:val="Hyperlink"/>
            <w:noProof/>
          </w:rPr>
          <w:t>6</w:t>
        </w:r>
        <w:r w:rsidR="008B155F">
          <w:rPr>
            <w:rFonts w:asciiTheme="minorHAnsi" w:eastAsiaTheme="minorEastAsia" w:hAnsiTheme="minorHAnsi" w:cstheme="minorBidi"/>
            <w:noProof/>
            <w:color w:val="auto"/>
            <w:sz w:val="22"/>
            <w:lang w:eastAsia="en-GB"/>
          </w:rPr>
          <w:tab/>
        </w:r>
        <w:r w:rsidR="008B155F" w:rsidRPr="002C5938">
          <w:rPr>
            <w:rStyle w:val="Hyperlink"/>
            <w:noProof/>
          </w:rPr>
          <w:t>Treatment of Baathists</w:t>
        </w:r>
        <w:r w:rsidR="008B155F">
          <w:rPr>
            <w:noProof/>
            <w:webHidden/>
          </w:rPr>
          <w:tab/>
        </w:r>
        <w:r w:rsidR="008B155F">
          <w:rPr>
            <w:noProof/>
            <w:webHidden/>
          </w:rPr>
          <w:fldChar w:fldCharType="begin"/>
        </w:r>
        <w:r w:rsidR="008B155F">
          <w:rPr>
            <w:noProof/>
            <w:webHidden/>
          </w:rPr>
          <w:instrText xml:space="preserve"> PAGEREF _Toc29827695 \h </w:instrText>
        </w:r>
        <w:r w:rsidR="008B155F">
          <w:rPr>
            <w:noProof/>
            <w:webHidden/>
          </w:rPr>
        </w:r>
        <w:r w:rsidR="008B155F">
          <w:rPr>
            <w:noProof/>
            <w:webHidden/>
          </w:rPr>
          <w:fldChar w:fldCharType="separate"/>
        </w:r>
        <w:r w:rsidR="008B155F">
          <w:rPr>
            <w:noProof/>
            <w:webHidden/>
          </w:rPr>
          <w:t>19</w:t>
        </w:r>
        <w:r w:rsidR="008B155F">
          <w:rPr>
            <w:noProof/>
            <w:webHidden/>
          </w:rPr>
          <w:fldChar w:fldCharType="end"/>
        </w:r>
      </w:hyperlink>
    </w:p>
    <w:p w14:paraId="011E428C" w14:textId="56291335" w:rsidR="008B155F" w:rsidRDefault="007F14B5">
      <w:pPr>
        <w:pStyle w:val="TOC1"/>
        <w:tabs>
          <w:tab w:val="right" w:leader="dot" w:pos="9016"/>
        </w:tabs>
        <w:rPr>
          <w:rFonts w:asciiTheme="minorHAnsi" w:eastAsiaTheme="minorEastAsia" w:hAnsiTheme="minorHAnsi" w:cstheme="minorBidi"/>
          <w:b w:val="0"/>
          <w:noProof/>
          <w:color w:val="auto"/>
          <w:sz w:val="22"/>
          <w:lang w:eastAsia="en-GB"/>
        </w:rPr>
      </w:pPr>
      <w:hyperlink w:anchor="_Toc29827696" w:history="1">
        <w:r w:rsidR="008B155F" w:rsidRPr="002C5938">
          <w:rPr>
            <w:rStyle w:val="Hyperlink"/>
            <w:noProof/>
          </w:rPr>
          <w:t>Terms of Reference</w:t>
        </w:r>
        <w:r w:rsidR="008B155F">
          <w:rPr>
            <w:noProof/>
            <w:webHidden/>
          </w:rPr>
          <w:tab/>
        </w:r>
        <w:r w:rsidR="008B155F">
          <w:rPr>
            <w:noProof/>
            <w:webHidden/>
          </w:rPr>
          <w:fldChar w:fldCharType="begin"/>
        </w:r>
        <w:r w:rsidR="008B155F">
          <w:rPr>
            <w:noProof/>
            <w:webHidden/>
          </w:rPr>
          <w:instrText xml:space="preserve"> PAGEREF _Toc29827696 \h </w:instrText>
        </w:r>
        <w:r w:rsidR="008B155F">
          <w:rPr>
            <w:noProof/>
            <w:webHidden/>
          </w:rPr>
        </w:r>
        <w:r w:rsidR="008B155F">
          <w:rPr>
            <w:noProof/>
            <w:webHidden/>
          </w:rPr>
          <w:fldChar w:fldCharType="separate"/>
        </w:r>
        <w:r w:rsidR="008B155F">
          <w:rPr>
            <w:noProof/>
            <w:webHidden/>
          </w:rPr>
          <w:t>24</w:t>
        </w:r>
        <w:r w:rsidR="008B155F">
          <w:rPr>
            <w:noProof/>
            <w:webHidden/>
          </w:rPr>
          <w:fldChar w:fldCharType="end"/>
        </w:r>
      </w:hyperlink>
    </w:p>
    <w:p w14:paraId="00EB9861" w14:textId="1BCAEAB1" w:rsidR="008B155F" w:rsidRDefault="007F14B5">
      <w:pPr>
        <w:pStyle w:val="TOC1"/>
        <w:tabs>
          <w:tab w:val="right" w:leader="dot" w:pos="9016"/>
        </w:tabs>
        <w:rPr>
          <w:rFonts w:asciiTheme="minorHAnsi" w:eastAsiaTheme="minorEastAsia" w:hAnsiTheme="minorHAnsi" w:cstheme="minorBidi"/>
          <w:b w:val="0"/>
          <w:noProof/>
          <w:color w:val="auto"/>
          <w:sz w:val="22"/>
          <w:lang w:eastAsia="en-GB"/>
        </w:rPr>
      </w:pPr>
      <w:hyperlink w:anchor="_Toc29827697" w:history="1">
        <w:r w:rsidR="008B155F" w:rsidRPr="002C5938">
          <w:rPr>
            <w:rStyle w:val="Hyperlink"/>
            <w:noProof/>
          </w:rPr>
          <w:t>Bibliography</w:t>
        </w:r>
        <w:r w:rsidR="008B155F">
          <w:rPr>
            <w:noProof/>
            <w:webHidden/>
          </w:rPr>
          <w:tab/>
        </w:r>
        <w:r w:rsidR="008B155F">
          <w:rPr>
            <w:noProof/>
            <w:webHidden/>
          </w:rPr>
          <w:fldChar w:fldCharType="begin"/>
        </w:r>
        <w:r w:rsidR="008B155F">
          <w:rPr>
            <w:noProof/>
            <w:webHidden/>
          </w:rPr>
          <w:instrText xml:space="preserve"> PAGEREF _Toc29827697 \h </w:instrText>
        </w:r>
        <w:r w:rsidR="008B155F">
          <w:rPr>
            <w:noProof/>
            <w:webHidden/>
          </w:rPr>
        </w:r>
        <w:r w:rsidR="008B155F">
          <w:rPr>
            <w:noProof/>
            <w:webHidden/>
          </w:rPr>
          <w:fldChar w:fldCharType="separate"/>
        </w:r>
        <w:r w:rsidR="008B155F">
          <w:rPr>
            <w:noProof/>
            <w:webHidden/>
          </w:rPr>
          <w:t>25</w:t>
        </w:r>
        <w:r w:rsidR="008B155F">
          <w:rPr>
            <w:noProof/>
            <w:webHidden/>
          </w:rPr>
          <w:fldChar w:fldCharType="end"/>
        </w:r>
      </w:hyperlink>
    </w:p>
    <w:p w14:paraId="69417876" w14:textId="487FA5E7" w:rsidR="008B155F" w:rsidRDefault="007F14B5">
      <w:pPr>
        <w:pStyle w:val="TOC2"/>
        <w:rPr>
          <w:rFonts w:asciiTheme="minorHAnsi" w:eastAsiaTheme="minorEastAsia" w:hAnsiTheme="minorHAnsi" w:cstheme="minorBidi"/>
          <w:noProof/>
          <w:color w:val="auto"/>
          <w:sz w:val="22"/>
          <w:lang w:eastAsia="en-GB"/>
        </w:rPr>
      </w:pPr>
      <w:hyperlink w:anchor="_Toc29827698" w:history="1">
        <w:r w:rsidR="008B155F" w:rsidRPr="002C5938">
          <w:rPr>
            <w:rStyle w:val="Hyperlink"/>
            <w:noProof/>
          </w:rPr>
          <w:t>Sources cited</w:t>
        </w:r>
        <w:r w:rsidR="008B155F">
          <w:rPr>
            <w:noProof/>
            <w:webHidden/>
          </w:rPr>
          <w:tab/>
        </w:r>
        <w:r w:rsidR="008B155F">
          <w:rPr>
            <w:noProof/>
            <w:webHidden/>
          </w:rPr>
          <w:fldChar w:fldCharType="begin"/>
        </w:r>
        <w:r w:rsidR="008B155F">
          <w:rPr>
            <w:noProof/>
            <w:webHidden/>
          </w:rPr>
          <w:instrText xml:space="preserve"> PAGEREF _Toc29827698 \h </w:instrText>
        </w:r>
        <w:r w:rsidR="008B155F">
          <w:rPr>
            <w:noProof/>
            <w:webHidden/>
          </w:rPr>
        </w:r>
        <w:r w:rsidR="008B155F">
          <w:rPr>
            <w:noProof/>
            <w:webHidden/>
          </w:rPr>
          <w:fldChar w:fldCharType="separate"/>
        </w:r>
        <w:r w:rsidR="008B155F">
          <w:rPr>
            <w:noProof/>
            <w:webHidden/>
          </w:rPr>
          <w:t>25</w:t>
        </w:r>
        <w:r w:rsidR="008B155F">
          <w:rPr>
            <w:noProof/>
            <w:webHidden/>
          </w:rPr>
          <w:fldChar w:fldCharType="end"/>
        </w:r>
      </w:hyperlink>
    </w:p>
    <w:p w14:paraId="0FB72730" w14:textId="21502BE0" w:rsidR="008B155F" w:rsidRDefault="007F14B5">
      <w:pPr>
        <w:pStyle w:val="TOC2"/>
        <w:rPr>
          <w:rFonts w:asciiTheme="minorHAnsi" w:eastAsiaTheme="minorEastAsia" w:hAnsiTheme="minorHAnsi" w:cstheme="minorBidi"/>
          <w:noProof/>
          <w:color w:val="auto"/>
          <w:sz w:val="22"/>
          <w:lang w:eastAsia="en-GB"/>
        </w:rPr>
      </w:pPr>
      <w:hyperlink w:anchor="_Toc29827699" w:history="1">
        <w:r w:rsidR="008B155F" w:rsidRPr="002C5938">
          <w:rPr>
            <w:rStyle w:val="Hyperlink"/>
            <w:noProof/>
          </w:rPr>
          <w:t>Sources consulted but not cited</w:t>
        </w:r>
        <w:r w:rsidR="008B155F">
          <w:rPr>
            <w:noProof/>
            <w:webHidden/>
          </w:rPr>
          <w:tab/>
        </w:r>
        <w:r w:rsidR="008B155F">
          <w:rPr>
            <w:noProof/>
            <w:webHidden/>
          </w:rPr>
          <w:fldChar w:fldCharType="begin"/>
        </w:r>
        <w:r w:rsidR="008B155F">
          <w:rPr>
            <w:noProof/>
            <w:webHidden/>
          </w:rPr>
          <w:instrText xml:space="preserve"> PAGEREF _Toc29827699 \h </w:instrText>
        </w:r>
        <w:r w:rsidR="008B155F">
          <w:rPr>
            <w:noProof/>
            <w:webHidden/>
          </w:rPr>
        </w:r>
        <w:r w:rsidR="008B155F">
          <w:rPr>
            <w:noProof/>
            <w:webHidden/>
          </w:rPr>
          <w:fldChar w:fldCharType="separate"/>
        </w:r>
        <w:r w:rsidR="008B155F">
          <w:rPr>
            <w:noProof/>
            <w:webHidden/>
          </w:rPr>
          <w:t>27</w:t>
        </w:r>
        <w:r w:rsidR="008B155F">
          <w:rPr>
            <w:noProof/>
            <w:webHidden/>
          </w:rPr>
          <w:fldChar w:fldCharType="end"/>
        </w:r>
      </w:hyperlink>
    </w:p>
    <w:p w14:paraId="00671F47" w14:textId="0EF0C8B2" w:rsidR="008B155F" w:rsidRDefault="007F14B5">
      <w:pPr>
        <w:pStyle w:val="TOC1"/>
        <w:tabs>
          <w:tab w:val="right" w:leader="dot" w:pos="9016"/>
        </w:tabs>
        <w:rPr>
          <w:rFonts w:asciiTheme="minorHAnsi" w:eastAsiaTheme="minorEastAsia" w:hAnsiTheme="minorHAnsi" w:cstheme="minorBidi"/>
          <w:b w:val="0"/>
          <w:noProof/>
          <w:color w:val="auto"/>
          <w:sz w:val="22"/>
          <w:lang w:eastAsia="en-GB"/>
        </w:rPr>
      </w:pPr>
      <w:hyperlink w:anchor="_Toc29827700" w:history="1">
        <w:r w:rsidR="008B155F" w:rsidRPr="002C5938">
          <w:rPr>
            <w:rStyle w:val="Hyperlink"/>
            <w:noProof/>
          </w:rPr>
          <w:t>Version control</w:t>
        </w:r>
        <w:r w:rsidR="008B155F">
          <w:rPr>
            <w:noProof/>
            <w:webHidden/>
          </w:rPr>
          <w:tab/>
        </w:r>
        <w:r w:rsidR="008B155F">
          <w:rPr>
            <w:noProof/>
            <w:webHidden/>
          </w:rPr>
          <w:fldChar w:fldCharType="begin"/>
        </w:r>
        <w:r w:rsidR="008B155F">
          <w:rPr>
            <w:noProof/>
            <w:webHidden/>
          </w:rPr>
          <w:instrText xml:space="preserve"> PAGEREF _Toc29827700 \h </w:instrText>
        </w:r>
        <w:r w:rsidR="008B155F">
          <w:rPr>
            <w:noProof/>
            <w:webHidden/>
          </w:rPr>
        </w:r>
        <w:r w:rsidR="008B155F">
          <w:rPr>
            <w:noProof/>
            <w:webHidden/>
          </w:rPr>
          <w:fldChar w:fldCharType="separate"/>
        </w:r>
        <w:r w:rsidR="008B155F">
          <w:rPr>
            <w:noProof/>
            <w:webHidden/>
          </w:rPr>
          <w:t>28</w:t>
        </w:r>
        <w:r w:rsidR="008B155F">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6" w:name="_Toc29827672"/>
      <w:bookmarkStart w:id="7" w:name="_Toc500775364"/>
      <w:r>
        <w:lastRenderedPageBreak/>
        <w:t>A</w:t>
      </w:r>
      <w:r w:rsidR="00647EBD">
        <w:t>ssessment</w:t>
      </w:r>
      <w:bookmarkEnd w:id="6"/>
    </w:p>
    <w:p w14:paraId="1602650D" w14:textId="0DB5813C" w:rsidR="00EA3BC4" w:rsidRPr="00AF62ED" w:rsidRDefault="00EA3BC4" w:rsidP="00EA3BC4">
      <w:pPr>
        <w:jc w:val="right"/>
        <w:rPr>
          <w:color w:val="7030A0"/>
        </w:rPr>
      </w:pPr>
      <w:r w:rsidRPr="00AF62ED">
        <w:rPr>
          <w:color w:val="7030A0"/>
        </w:rPr>
        <w:t xml:space="preserve">Updated: </w:t>
      </w:r>
      <w:bookmarkEnd w:id="3"/>
      <w:bookmarkEnd w:id="7"/>
      <w:r w:rsidR="00954873">
        <w:rPr>
          <w:color w:val="7030A0"/>
        </w:rPr>
        <w:t>1 November</w:t>
      </w:r>
      <w:r w:rsidR="005E5E5F">
        <w:rPr>
          <w:color w:val="7030A0"/>
        </w:rPr>
        <w:t xml:space="preserve"> 2019</w:t>
      </w:r>
    </w:p>
    <w:p w14:paraId="74EB6655" w14:textId="77777777" w:rsidR="00EA3BC4" w:rsidRDefault="00EA3BC4" w:rsidP="00C837CE">
      <w:pPr>
        <w:pStyle w:val="Heading2"/>
        <w:ind w:left="851" w:hanging="851"/>
      </w:pPr>
      <w:bookmarkStart w:id="8" w:name="_Toc29827673"/>
      <w:r>
        <w:t>Introduction</w:t>
      </w:r>
      <w:bookmarkEnd w:id="8"/>
    </w:p>
    <w:p w14:paraId="05C1B714" w14:textId="77777777" w:rsidR="00EA3BC4" w:rsidRPr="00FE3E58" w:rsidRDefault="00EA3BC4" w:rsidP="009C02CE">
      <w:pPr>
        <w:pStyle w:val="Heading3"/>
        <w:ind w:left="851" w:hanging="851"/>
      </w:pPr>
      <w:bookmarkStart w:id="9" w:name="_Basis_of_claim"/>
      <w:bookmarkStart w:id="10" w:name="_Toc29827674"/>
      <w:bookmarkEnd w:id="9"/>
      <w:r>
        <w:t>Basis of claim</w:t>
      </w:r>
      <w:bookmarkEnd w:id="10"/>
    </w:p>
    <w:p w14:paraId="739938D4" w14:textId="683D4335" w:rsidR="00EA3BC4" w:rsidRDefault="00C9337E" w:rsidP="00EA3BC4">
      <w:pPr>
        <w:pStyle w:val="ListParagraph"/>
      </w:pPr>
      <w:r>
        <w:t>Fear of persecution and/or serious harm</w:t>
      </w:r>
      <w:r w:rsidRPr="00C9337E">
        <w:t xml:space="preserve"> </w:t>
      </w:r>
      <w:r w:rsidRPr="00485E21">
        <w:t xml:space="preserve">by state or non-state actors </w:t>
      </w:r>
      <w:r>
        <w:t>because</w:t>
      </w:r>
      <w:r w:rsidR="002525E0">
        <w:t xml:space="preserve"> of the person’s actual or perceived </w:t>
      </w:r>
      <w:r w:rsidR="00376288">
        <w:t xml:space="preserve">past </w:t>
      </w:r>
      <w:r w:rsidR="002525E0">
        <w:t xml:space="preserve">affiliation with the former ruling </w:t>
      </w:r>
      <w:r w:rsidR="00921E1E">
        <w:t>Baath</w:t>
      </w:r>
      <w:r w:rsidR="002525E0">
        <w:t xml:space="preserve"> Party</w:t>
      </w:r>
      <w:r w:rsidR="00B7497F">
        <w:t xml:space="preserve"> or f</w:t>
      </w:r>
      <w:r w:rsidR="00ED0718">
        <w:t>or being or being perceived to be an active member or proponent of Baathist ideology</w:t>
      </w:r>
      <w:r w:rsidR="002525E0">
        <w:t xml:space="preserve">. </w:t>
      </w:r>
    </w:p>
    <w:p w14:paraId="47A5AE10" w14:textId="77777777" w:rsidR="00EA3BC4" w:rsidRDefault="007F14B5" w:rsidP="0049481E">
      <w:pPr>
        <w:pStyle w:val="Backtocontents"/>
      </w:pPr>
      <w:hyperlink w:anchor="contents" w:history="1">
        <w:r w:rsidR="00EA3BC4" w:rsidRPr="006B4863">
          <w:rPr>
            <w:rStyle w:val="Hyperlink"/>
          </w:rPr>
          <w:t>Back to Contents</w:t>
        </w:r>
      </w:hyperlink>
    </w:p>
    <w:p w14:paraId="3A136F35" w14:textId="77777777" w:rsidR="00EA3BC4" w:rsidRDefault="00EA3BC4" w:rsidP="00C837CE">
      <w:pPr>
        <w:pStyle w:val="Heading2"/>
        <w:ind w:left="851" w:hanging="851"/>
      </w:pPr>
      <w:bookmarkStart w:id="11" w:name="_Toc29827675"/>
      <w:r>
        <w:t>Consideration of i</w:t>
      </w:r>
      <w:r w:rsidRPr="00FE3E58">
        <w:t>ssues</w:t>
      </w:r>
      <w:bookmarkEnd w:id="11"/>
      <w:r>
        <w:t xml:space="preserve"> </w:t>
      </w:r>
    </w:p>
    <w:p w14:paraId="5222470E" w14:textId="55E48065" w:rsidR="00AB58EB" w:rsidRDefault="00AB58EB" w:rsidP="009C02CE">
      <w:pPr>
        <w:pStyle w:val="Heading3"/>
        <w:ind w:left="851" w:hanging="851"/>
      </w:pPr>
      <w:bookmarkStart w:id="12" w:name="_Toc29827676"/>
      <w:r>
        <w:t>Credibility</w:t>
      </w:r>
      <w:bookmarkEnd w:id="12"/>
    </w:p>
    <w:p w14:paraId="29503850" w14:textId="22433533" w:rsidR="007C2805" w:rsidRDefault="007C2805" w:rsidP="00BA194D">
      <w:pPr>
        <w:pStyle w:val="ListParagraph"/>
        <w:numPr>
          <w:ilvl w:val="2"/>
          <w:numId w:val="14"/>
        </w:numPr>
        <w:ind w:left="851" w:hanging="851"/>
      </w:pPr>
      <w:r>
        <w:t xml:space="preserve">For </w:t>
      </w:r>
      <w:r w:rsidRPr="00BA194D">
        <w:t>information</w:t>
      </w:r>
      <w:r>
        <w:t xml:space="preserve"> on assessing credibility, </w:t>
      </w:r>
      <w:r w:rsidR="00D72A2C" w:rsidRPr="00485E21">
        <w:t xml:space="preserve">see the instruction on </w:t>
      </w:r>
      <w:hyperlink r:id="rId18" w:history="1">
        <w:r w:rsidR="00D72A2C" w:rsidRPr="00485E21">
          <w:rPr>
            <w:rStyle w:val="Hyperlink"/>
          </w:rPr>
          <w:t>Assessing Credibility and Refugee Status</w:t>
        </w:r>
      </w:hyperlink>
      <w:r w:rsidR="00D72A2C">
        <w:rPr>
          <w:rStyle w:val="Hyperlink"/>
          <w:u w:val="none"/>
        </w:rPr>
        <w:t>.</w:t>
      </w:r>
    </w:p>
    <w:p w14:paraId="058D1F18" w14:textId="77777777" w:rsidR="007C2805" w:rsidRDefault="007C2805" w:rsidP="007C2805">
      <w:pPr>
        <w:pStyle w:val="ListParagraph"/>
        <w:numPr>
          <w:ilvl w:val="2"/>
          <w:numId w:val="14"/>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19" w:history="1">
        <w:r>
          <w:rPr>
            <w:rStyle w:val="Hyperlink"/>
          </w:rPr>
          <w:t>Asylum Instruction on Visa Matches, Asylum Claims from UK Visa Applicants</w:t>
        </w:r>
      </w:hyperlink>
      <w:r>
        <w:t>).</w:t>
      </w:r>
    </w:p>
    <w:p w14:paraId="11EEA0E1" w14:textId="2945A474" w:rsidR="007C2805" w:rsidRPr="00BA194D" w:rsidRDefault="007C2805" w:rsidP="00BA194D">
      <w:pPr>
        <w:pStyle w:val="ListParagraph"/>
        <w:numPr>
          <w:ilvl w:val="2"/>
          <w:numId w:val="14"/>
        </w:numPr>
        <w:ind w:left="851" w:hanging="851"/>
      </w:pPr>
      <w:r>
        <w:t xml:space="preserve">Decision makers should also consider the need to conduct language </w:t>
      </w:r>
      <w:r w:rsidRPr="00BA194D">
        <w:t>analysis</w:t>
      </w:r>
      <w:r>
        <w:t xml:space="preserve"> testing (see </w:t>
      </w:r>
      <w:r w:rsidRPr="007C20A7">
        <w:rPr>
          <w:szCs w:val="24"/>
        </w:rPr>
        <w:t>the</w:t>
      </w:r>
      <w:r>
        <w:rPr>
          <w:szCs w:val="24"/>
        </w:rPr>
        <w:t xml:space="preserve"> </w:t>
      </w:r>
      <w:hyperlink r:id="rId20" w:history="1">
        <w:r w:rsidRPr="007C20A7">
          <w:rPr>
            <w:rStyle w:val="Hyperlink"/>
            <w:szCs w:val="24"/>
          </w:rPr>
          <w:t>Asylum Instruction on Language Analysis</w:t>
        </w:r>
      </w:hyperlink>
      <w:r w:rsidRPr="007C20A7">
        <w:rPr>
          <w:szCs w:val="24"/>
        </w:rPr>
        <w:t>)</w:t>
      </w:r>
      <w:r>
        <w:rPr>
          <w:szCs w:val="24"/>
        </w:rPr>
        <w:t>.</w:t>
      </w:r>
    </w:p>
    <w:p w14:paraId="3A1E92A3" w14:textId="0A9EA452" w:rsidR="007C2805" w:rsidRPr="007C2805" w:rsidRDefault="007F14B5" w:rsidP="00C965B5">
      <w:pPr>
        <w:pStyle w:val="Backtocontents"/>
        <w:spacing w:before="120"/>
      </w:pPr>
      <w:hyperlink w:anchor="contents" w:history="1">
        <w:r w:rsidR="007C2805" w:rsidRPr="006B4863">
          <w:rPr>
            <w:rStyle w:val="Hyperlink"/>
          </w:rPr>
          <w:t>Back to Contents</w:t>
        </w:r>
      </w:hyperlink>
    </w:p>
    <w:p w14:paraId="174F1111" w14:textId="7C96C0CA" w:rsidR="00AB58EB" w:rsidRDefault="00AB58EB" w:rsidP="00BA194D">
      <w:pPr>
        <w:pStyle w:val="Heading3"/>
        <w:numPr>
          <w:ilvl w:val="1"/>
          <w:numId w:val="14"/>
        </w:numPr>
        <w:ind w:left="851" w:hanging="851"/>
      </w:pPr>
      <w:bookmarkStart w:id="13" w:name="_Toc29827677"/>
      <w:r w:rsidRPr="00AB58EB">
        <w:t>Exclusion</w:t>
      </w:r>
      <w:bookmarkEnd w:id="13"/>
    </w:p>
    <w:p w14:paraId="3CE43719" w14:textId="0E413052" w:rsidR="002525E0" w:rsidRDefault="002525E0" w:rsidP="002525E0">
      <w:pPr>
        <w:pStyle w:val="ListParagraph"/>
        <w:numPr>
          <w:ilvl w:val="2"/>
          <w:numId w:val="14"/>
        </w:numPr>
        <w:ind w:left="851" w:hanging="851"/>
        <w:rPr>
          <w:szCs w:val="20"/>
        </w:rPr>
      </w:pPr>
      <w:bookmarkStart w:id="14" w:name="_Hlk535222909"/>
      <w:r w:rsidRPr="002525E0">
        <w:rPr>
          <w:szCs w:val="20"/>
        </w:rPr>
        <w:t xml:space="preserve">Some mid to high ranking </w:t>
      </w:r>
      <w:r w:rsidR="00921E1E">
        <w:rPr>
          <w:szCs w:val="20"/>
        </w:rPr>
        <w:t>Baath</w:t>
      </w:r>
      <w:r w:rsidRPr="002525E0">
        <w:rPr>
          <w:szCs w:val="20"/>
        </w:rPr>
        <w:t xml:space="preserve">ists may be responsible for serious human rights abuses. If there are serious reasons for considering that the person has been involved in such </w:t>
      </w:r>
      <w:r w:rsidR="002766E8" w:rsidRPr="002525E0">
        <w:rPr>
          <w:szCs w:val="20"/>
        </w:rPr>
        <w:t>abuses,</w:t>
      </w:r>
      <w:r w:rsidRPr="002525E0">
        <w:rPr>
          <w:szCs w:val="20"/>
        </w:rPr>
        <w:t xml:space="preserve"> then decision makers must consider whether one of the Exclusion clauses is applicable. Particular considerations will include the person’s rank, position and family.  </w:t>
      </w:r>
    </w:p>
    <w:p w14:paraId="57FC7605" w14:textId="77777777" w:rsidR="00D0107E" w:rsidRPr="00D0107E" w:rsidRDefault="00EF2A51" w:rsidP="00D0107E">
      <w:pPr>
        <w:pStyle w:val="ListParagraph"/>
        <w:numPr>
          <w:ilvl w:val="2"/>
          <w:numId w:val="14"/>
        </w:numPr>
        <w:ind w:left="851" w:hanging="851"/>
        <w:rPr>
          <w:szCs w:val="20"/>
        </w:rPr>
      </w:pPr>
      <w:r>
        <w:rPr>
          <w:szCs w:val="20"/>
        </w:rPr>
        <w:t>S</w:t>
      </w:r>
      <w:r w:rsidR="002525E0" w:rsidRPr="002525E0">
        <w:rPr>
          <w:szCs w:val="20"/>
        </w:rPr>
        <w:t xml:space="preserve">ome </w:t>
      </w:r>
      <w:r w:rsidR="00921E1E">
        <w:rPr>
          <w:szCs w:val="20"/>
        </w:rPr>
        <w:t>Baath</w:t>
      </w:r>
      <w:r w:rsidR="002525E0" w:rsidRPr="002525E0">
        <w:rPr>
          <w:szCs w:val="20"/>
        </w:rPr>
        <w:t>ists may have links with Daesh or other</w:t>
      </w:r>
      <w:r>
        <w:rPr>
          <w:szCs w:val="20"/>
        </w:rPr>
        <w:t xml:space="preserve"> Sunni</w:t>
      </w:r>
      <w:r w:rsidR="002525E0" w:rsidRPr="002525E0">
        <w:rPr>
          <w:szCs w:val="20"/>
        </w:rPr>
        <w:t xml:space="preserve"> insurgent organisations such as the Naqshbandi Order (JRTN), Former Regime Loyalists (FRL) or the General Military Council of Iraq’s Revolutionaries (GMCIR) (see </w:t>
      </w:r>
      <w:hyperlink w:anchor="_Linked_Groups" w:history="1">
        <w:r w:rsidR="002525E0" w:rsidRPr="00AB0D97">
          <w:rPr>
            <w:rStyle w:val="Hyperlink"/>
            <w:szCs w:val="20"/>
          </w:rPr>
          <w:t>Linked groups</w:t>
        </w:r>
      </w:hyperlink>
      <w:r w:rsidR="002525E0" w:rsidRPr="002525E0">
        <w:rPr>
          <w:szCs w:val="20"/>
        </w:rPr>
        <w:t>). Decision makers should explore any such links with these</w:t>
      </w:r>
      <w:r w:rsidR="002525E0">
        <w:rPr>
          <w:szCs w:val="20"/>
        </w:rPr>
        <w:t xml:space="preserve"> groups and consider Exclusion. </w:t>
      </w:r>
      <w:r w:rsidR="002525E0">
        <w:t>Each case must be considered on its individual facts and merits.</w:t>
      </w:r>
    </w:p>
    <w:p w14:paraId="354CC39A" w14:textId="77777777" w:rsidR="00D0107E" w:rsidRPr="00D0107E" w:rsidRDefault="00D0107E" w:rsidP="00D0107E">
      <w:pPr>
        <w:pStyle w:val="ListParagraph"/>
        <w:numPr>
          <w:ilvl w:val="2"/>
          <w:numId w:val="14"/>
        </w:numPr>
        <w:ind w:left="851" w:hanging="851"/>
        <w:rPr>
          <w:szCs w:val="20"/>
        </w:rPr>
      </w:pPr>
      <w:r w:rsidRPr="00D0107E">
        <w:rPr>
          <w:rFonts w:eastAsia="Calibri"/>
        </w:rPr>
        <w:t xml:space="preserve">If the person is excluded from the Refugee Convention, they will also be excluded from a grant of humanitarian protection.  </w:t>
      </w:r>
    </w:p>
    <w:p w14:paraId="5FFF4433" w14:textId="441D5B85" w:rsidR="00D0107E" w:rsidRPr="00D0107E" w:rsidRDefault="00D0107E" w:rsidP="00D0107E">
      <w:pPr>
        <w:pStyle w:val="ListParagraph"/>
        <w:numPr>
          <w:ilvl w:val="2"/>
          <w:numId w:val="14"/>
        </w:numPr>
        <w:ind w:left="851" w:hanging="851"/>
        <w:rPr>
          <w:szCs w:val="20"/>
        </w:rPr>
      </w:pPr>
      <w:r w:rsidRPr="00D0107E">
        <w:rPr>
          <w:rFonts w:eastAsia="Calibri"/>
        </w:rPr>
        <w:t xml:space="preserve">For further guidance on the exclusion clauses and restricted leave, see the Asylum Instructions on </w:t>
      </w:r>
      <w:hyperlink r:id="rId21" w:history="1">
        <w:r w:rsidRPr="00D0107E">
          <w:rPr>
            <w:rFonts w:eastAsia="Calibri"/>
            <w:color w:val="0000FF" w:themeColor="hyperlink"/>
            <w:u w:val="single"/>
          </w:rPr>
          <w:t>Exclusion under Articles 1F and 33(2) of the Refugee Convention</w:t>
        </w:r>
      </w:hyperlink>
      <w:r w:rsidRPr="00D0107E">
        <w:rPr>
          <w:rFonts w:eastAsia="Calibri"/>
        </w:rPr>
        <w:t xml:space="preserve">, </w:t>
      </w:r>
      <w:hyperlink r:id="rId22" w:history="1">
        <w:r w:rsidRPr="00D0107E">
          <w:rPr>
            <w:rFonts w:eastAsia="Calibri"/>
            <w:color w:val="0000FF" w:themeColor="hyperlink"/>
            <w:u w:val="single"/>
          </w:rPr>
          <w:t>Humanitarian Protection</w:t>
        </w:r>
      </w:hyperlink>
      <w:r w:rsidRPr="00D0107E">
        <w:rPr>
          <w:rFonts w:eastAsia="Calibri"/>
        </w:rPr>
        <w:t xml:space="preserve"> and </w:t>
      </w:r>
      <w:hyperlink r:id="rId23" w:history="1">
        <w:r w:rsidRPr="00D0107E">
          <w:rPr>
            <w:rFonts w:eastAsia="Calibri"/>
            <w:color w:val="0000FF" w:themeColor="hyperlink"/>
            <w:u w:val="single"/>
          </w:rPr>
          <w:t>Restricted Leave</w:t>
        </w:r>
      </w:hyperlink>
      <w:r w:rsidRPr="00D0107E">
        <w:rPr>
          <w:rFonts w:eastAsia="Calibri"/>
        </w:rPr>
        <w:t>.</w:t>
      </w:r>
    </w:p>
    <w:bookmarkEnd w:id="14"/>
    <w:p w14:paraId="3E6F097B" w14:textId="36D58D5E" w:rsidR="007C2805" w:rsidRPr="007C2805" w:rsidRDefault="007C2805" w:rsidP="00D0107E">
      <w:pPr>
        <w:pStyle w:val="Backtocontents"/>
        <w:spacing w:before="120"/>
      </w:pPr>
      <w:r>
        <w:fldChar w:fldCharType="begin"/>
      </w:r>
      <w:r>
        <w:instrText xml:space="preserve"> HYPERLINK \l "contents" </w:instrText>
      </w:r>
      <w:r>
        <w:fldChar w:fldCharType="separate"/>
      </w:r>
      <w:r w:rsidRPr="006B4863">
        <w:rPr>
          <w:rStyle w:val="Hyperlink"/>
        </w:rPr>
        <w:t>Back to Contents</w:t>
      </w:r>
      <w:r>
        <w:rPr>
          <w:rStyle w:val="Hyperlink"/>
        </w:rPr>
        <w:fldChar w:fldCharType="end"/>
      </w:r>
    </w:p>
    <w:p w14:paraId="7293A2C6" w14:textId="4736D90A" w:rsidR="00AB58EB" w:rsidRDefault="00DE1F0B" w:rsidP="00BA194D">
      <w:pPr>
        <w:pStyle w:val="Heading3"/>
        <w:numPr>
          <w:ilvl w:val="1"/>
          <w:numId w:val="14"/>
        </w:numPr>
        <w:ind w:left="851" w:hanging="851"/>
      </w:pPr>
      <w:bookmarkStart w:id="15" w:name="_Toc29827678"/>
      <w:r>
        <w:t>C</w:t>
      </w:r>
      <w:r w:rsidR="007C2805">
        <w:t>onvention r</w:t>
      </w:r>
      <w:r w:rsidR="00AB58EB" w:rsidRPr="00AB58EB">
        <w:t>eason</w:t>
      </w:r>
      <w:r>
        <w:t>(s)</w:t>
      </w:r>
      <w:bookmarkEnd w:id="15"/>
    </w:p>
    <w:p w14:paraId="24609F95" w14:textId="64BACB2B" w:rsidR="007C2805" w:rsidRPr="00485E21" w:rsidRDefault="007C2805" w:rsidP="00BA194D">
      <w:pPr>
        <w:pStyle w:val="ListParagraph"/>
        <w:numPr>
          <w:ilvl w:val="2"/>
          <w:numId w:val="14"/>
        </w:numPr>
        <w:ind w:left="851" w:hanging="851"/>
      </w:pPr>
      <w:r>
        <w:t>A person’s actual or imputed</w:t>
      </w:r>
      <w:r w:rsidRPr="002525E0">
        <w:t xml:space="preserve"> political opinion</w:t>
      </w:r>
      <w:r w:rsidR="002525E0">
        <w:t>.</w:t>
      </w:r>
      <w:r w:rsidRPr="00485E21">
        <w:t xml:space="preserve"> </w:t>
      </w:r>
    </w:p>
    <w:p w14:paraId="29D6CA75" w14:textId="77777777" w:rsidR="007C2805" w:rsidRPr="00485E21" w:rsidRDefault="007C2805" w:rsidP="00BA194D">
      <w:pPr>
        <w:pStyle w:val="ListParagraph"/>
        <w:numPr>
          <w:ilvl w:val="2"/>
          <w:numId w:val="14"/>
        </w:numPr>
        <w:ind w:left="851" w:hanging="851"/>
      </w:pPr>
      <w:r w:rsidRPr="00485E21">
        <w:lastRenderedPageBreak/>
        <w:t>Establishing a convention reason alone is not sufficient to be recognised as a refugee. The question to be addressed in each case is whether the particular person will face a real risk of persecution on account of their actual or imputed convention reason.</w:t>
      </w:r>
    </w:p>
    <w:p w14:paraId="03851AC5" w14:textId="4DAEF768" w:rsidR="007C2805" w:rsidRDefault="007C2805" w:rsidP="00BA194D">
      <w:pPr>
        <w:pStyle w:val="ListParagraph"/>
        <w:numPr>
          <w:ilvl w:val="2"/>
          <w:numId w:val="14"/>
        </w:numPr>
        <w:ind w:left="851" w:hanging="851"/>
      </w:pPr>
      <w:r w:rsidRPr="00485E21">
        <w:t>For further guidance on Convention reas</w:t>
      </w:r>
      <w:r>
        <w:t xml:space="preserve">ons </w:t>
      </w:r>
      <w:r w:rsidRPr="00485E21">
        <w:t xml:space="preserve">see </w:t>
      </w:r>
      <w:r w:rsidR="00D72A2C" w:rsidRPr="00485E21">
        <w:t xml:space="preserve">the instruction on </w:t>
      </w:r>
      <w:hyperlink r:id="rId24" w:history="1">
        <w:r w:rsidR="00D72A2C" w:rsidRPr="00485E21">
          <w:rPr>
            <w:rStyle w:val="Hyperlink"/>
          </w:rPr>
          <w:t>Assessing Credibility and Refugee Status</w:t>
        </w:r>
      </w:hyperlink>
      <w:r w:rsidR="00D72A2C">
        <w:rPr>
          <w:rStyle w:val="Hyperlink"/>
          <w:u w:val="none"/>
        </w:rPr>
        <w:t>.</w:t>
      </w:r>
    </w:p>
    <w:p w14:paraId="2639B09D" w14:textId="0B07CCD9" w:rsidR="00D61D64" w:rsidRPr="008B155F" w:rsidRDefault="007F14B5" w:rsidP="00D72A2C">
      <w:pPr>
        <w:pStyle w:val="Backtocontents"/>
        <w:rPr>
          <w:color w:val="0000FF" w:themeColor="hyperlink"/>
        </w:rPr>
      </w:pPr>
      <w:hyperlink w:anchor="contents" w:history="1">
        <w:r w:rsidR="00D72A2C" w:rsidRPr="006B4863">
          <w:rPr>
            <w:rStyle w:val="Hyperlink"/>
          </w:rPr>
          <w:t>Back to Contents</w:t>
        </w:r>
      </w:hyperlink>
    </w:p>
    <w:p w14:paraId="1E658EC4" w14:textId="61B372B7" w:rsidR="00AB58EB" w:rsidRDefault="00AB58EB" w:rsidP="00BA194D">
      <w:pPr>
        <w:pStyle w:val="Heading3"/>
        <w:numPr>
          <w:ilvl w:val="1"/>
          <w:numId w:val="14"/>
        </w:numPr>
        <w:ind w:left="851" w:hanging="851"/>
      </w:pPr>
      <w:bookmarkStart w:id="16" w:name="_Toc29827679"/>
      <w:r>
        <w:t>Risk</w:t>
      </w:r>
      <w:bookmarkEnd w:id="16"/>
    </w:p>
    <w:p w14:paraId="3C44B2A5" w14:textId="7BEE80B6" w:rsidR="00F643D6" w:rsidRDefault="00F643D6" w:rsidP="00DE1F0B">
      <w:pPr>
        <w:pStyle w:val="Heading3a"/>
      </w:pPr>
      <w:r>
        <w:t xml:space="preserve">State </w:t>
      </w:r>
      <w:r w:rsidRPr="00DE1F0B">
        <w:t>treatment</w:t>
      </w:r>
    </w:p>
    <w:p w14:paraId="1B3A5EB2" w14:textId="74920E80" w:rsidR="00787CDD" w:rsidRPr="00787CDD" w:rsidRDefault="007540C0" w:rsidP="00E15FDF">
      <w:pPr>
        <w:pStyle w:val="ListParagraph"/>
        <w:numPr>
          <w:ilvl w:val="2"/>
          <w:numId w:val="14"/>
        </w:numPr>
        <w:ind w:left="851" w:hanging="851"/>
      </w:pPr>
      <w:r w:rsidRPr="007540C0">
        <w:t xml:space="preserve">The </w:t>
      </w:r>
      <w:r w:rsidR="00921E1E">
        <w:t>Baath</w:t>
      </w:r>
      <w:r w:rsidRPr="007540C0">
        <w:t xml:space="preserve"> Party </w:t>
      </w:r>
      <w:r w:rsidR="001B2075">
        <w:t>was banned under the 2005 constitution</w:t>
      </w:r>
      <w:r w:rsidRPr="007540C0">
        <w:t>.</w:t>
      </w:r>
      <w:r w:rsidR="00E15FDF">
        <w:t xml:space="preserve"> </w:t>
      </w:r>
      <w:r w:rsidR="00787CDD" w:rsidRPr="00787CDD">
        <w:t>After the fall of the Saddam Hussein regime, Iraq underwent a programme of ‘de-</w:t>
      </w:r>
      <w:r w:rsidR="00921E1E">
        <w:t>Baath</w:t>
      </w:r>
      <w:r w:rsidR="00787CDD" w:rsidRPr="00787CDD">
        <w:t>ification’ which involved the dismantling of the party and various associated organisations. Senior party members, party members who occupied high positions within the civil service (director general and above) and members of certain organisations</w:t>
      </w:r>
      <w:r w:rsidR="0096230D">
        <w:t xml:space="preserve"> </w:t>
      </w:r>
      <w:r w:rsidR="00787CDD" w:rsidRPr="00787CDD">
        <w:t xml:space="preserve">particularly associated with the </w:t>
      </w:r>
      <w:r w:rsidR="00921E1E">
        <w:t>Baath</w:t>
      </w:r>
      <w:r w:rsidR="00787CDD" w:rsidRPr="00787CDD">
        <w:t>ist regime</w:t>
      </w:r>
      <w:r w:rsidR="00B11556">
        <w:t xml:space="preserve"> (</w:t>
      </w:r>
      <w:r w:rsidR="00954873">
        <w:t>e.g.</w:t>
      </w:r>
      <w:r w:rsidR="00B11556">
        <w:t xml:space="preserve"> military or police, intelligence services etc)</w:t>
      </w:r>
      <w:r w:rsidR="00787CDD" w:rsidRPr="00787CDD">
        <w:t xml:space="preserve">, lost their jobs. </w:t>
      </w:r>
      <w:r w:rsidR="000E4AF6">
        <w:t>I</w:t>
      </w:r>
      <w:r w:rsidR="00787CDD" w:rsidRPr="00787CDD">
        <w:t>n recent years the process has eased off</w:t>
      </w:r>
      <w:r w:rsidR="0096230D">
        <w:t xml:space="preserve"> with the introduction of </w:t>
      </w:r>
      <w:r w:rsidR="00954873">
        <w:t>t</w:t>
      </w:r>
      <w:r w:rsidR="0096230D" w:rsidRPr="00FA1274">
        <w:t>he Accountability and Justice Act</w:t>
      </w:r>
      <w:r w:rsidR="0096230D">
        <w:t xml:space="preserve"> in 2008, </w:t>
      </w:r>
      <w:r w:rsidR="004D2588">
        <w:t xml:space="preserve">along </w:t>
      </w:r>
      <w:r w:rsidR="008D66D4">
        <w:t xml:space="preserve">with calls </w:t>
      </w:r>
      <w:r w:rsidR="00130330">
        <w:t xml:space="preserve">in 2014 </w:t>
      </w:r>
      <w:r w:rsidR="008D66D4">
        <w:t>for the de-Ba</w:t>
      </w:r>
      <w:r w:rsidR="00FD3E5D">
        <w:t>a</w:t>
      </w:r>
      <w:r w:rsidR="008D66D4">
        <w:t>thification laws to be repealed</w:t>
      </w:r>
      <w:r w:rsidR="00DE1F0B">
        <w:t>. M</w:t>
      </w:r>
      <w:r w:rsidR="00787CDD" w:rsidRPr="00787CDD">
        <w:t>any who lost their jobs have since been reinstated</w:t>
      </w:r>
      <w:r w:rsidR="00E22F74">
        <w:t>, particularly those senior party members of Firqa (Ferqa) group level and below</w:t>
      </w:r>
      <w:r w:rsidR="0096230D">
        <w:t>. M</w:t>
      </w:r>
      <w:r w:rsidR="009068B8">
        <w:t xml:space="preserve">any </w:t>
      </w:r>
      <w:r w:rsidR="00E22F74">
        <w:t>have</w:t>
      </w:r>
      <w:r w:rsidR="0096230D">
        <w:t xml:space="preserve"> also</w:t>
      </w:r>
      <w:r w:rsidR="00E22F74">
        <w:t xml:space="preserve"> been </w:t>
      </w:r>
      <w:r w:rsidR="009068B8">
        <w:t>reabsorbed into new military and security institutions</w:t>
      </w:r>
      <w:r w:rsidR="00A32F87">
        <w:t>. However, a</w:t>
      </w:r>
      <w:r w:rsidR="00A32F87" w:rsidRPr="00A32F87">
        <w:t xml:space="preserve"> law was passed in 2016 that strengthened the</w:t>
      </w:r>
      <w:r w:rsidR="00A32F87">
        <w:t xml:space="preserve"> 2005</w:t>
      </w:r>
      <w:r w:rsidR="00A32F87" w:rsidRPr="00A32F87">
        <w:t xml:space="preserve"> ban, criminalising the promotion of Baathist protests and the promotion of Baathist ideas</w:t>
      </w:r>
      <w:r w:rsidR="000E4AF6">
        <w:t xml:space="preserve"> </w:t>
      </w:r>
      <w:r w:rsidR="00787CDD" w:rsidRPr="00787CDD">
        <w:t>(see</w:t>
      </w:r>
      <w:r w:rsidR="00A32F87">
        <w:t xml:space="preserve"> </w:t>
      </w:r>
      <w:hyperlink w:anchor="_Current_status" w:history="1">
        <w:r w:rsidR="00A32F87" w:rsidRPr="00A32F87">
          <w:rPr>
            <w:rStyle w:val="Hyperlink"/>
          </w:rPr>
          <w:t>Current status</w:t>
        </w:r>
      </w:hyperlink>
      <w:r w:rsidR="00A32F87">
        <w:t xml:space="preserve">, </w:t>
      </w:r>
      <w:hyperlink w:anchor="_Structure" w:history="1">
        <w:r w:rsidR="001B5D70" w:rsidRPr="001B5D70">
          <w:rPr>
            <w:rStyle w:val="Hyperlink"/>
          </w:rPr>
          <w:t>Structure</w:t>
        </w:r>
      </w:hyperlink>
      <w:r w:rsidR="001B5D70">
        <w:t xml:space="preserve">, </w:t>
      </w:r>
      <w:hyperlink w:anchor="_Size" w:history="1">
        <w:r w:rsidR="001B5D70" w:rsidRPr="001B5D70">
          <w:rPr>
            <w:rStyle w:val="Hyperlink"/>
          </w:rPr>
          <w:t>Size</w:t>
        </w:r>
      </w:hyperlink>
      <w:r w:rsidR="002C4100">
        <w:t xml:space="preserve"> and</w:t>
      </w:r>
      <w:r w:rsidR="00787CDD" w:rsidRPr="00787CDD">
        <w:t xml:space="preserve"> ‘</w:t>
      </w:r>
      <w:hyperlink w:anchor="_De-Ba’athification" w:history="1">
        <w:r w:rsidR="00787CDD" w:rsidRPr="00195FC8">
          <w:rPr>
            <w:rStyle w:val="Hyperlink"/>
          </w:rPr>
          <w:t>De-</w:t>
        </w:r>
        <w:r w:rsidR="00921E1E">
          <w:rPr>
            <w:rStyle w:val="Hyperlink"/>
          </w:rPr>
          <w:t>Baath</w:t>
        </w:r>
        <w:r w:rsidR="00787CDD" w:rsidRPr="00195FC8">
          <w:rPr>
            <w:rStyle w:val="Hyperlink"/>
          </w:rPr>
          <w:t>ification’</w:t>
        </w:r>
      </w:hyperlink>
      <w:r w:rsidR="00787CDD" w:rsidRPr="00787CDD">
        <w:t>).</w:t>
      </w:r>
    </w:p>
    <w:p w14:paraId="57BF0FF4" w14:textId="2DCA6736" w:rsidR="00E15FDF" w:rsidRDefault="00E15FDF" w:rsidP="00E15FDF">
      <w:pPr>
        <w:pStyle w:val="ListParagraph"/>
        <w:numPr>
          <w:ilvl w:val="2"/>
          <w:numId w:val="14"/>
        </w:numPr>
        <w:ind w:left="851" w:hanging="851"/>
      </w:pPr>
      <w:r>
        <w:t>In general, a person will not be at risk of serious harm or persecution</w:t>
      </w:r>
      <w:r w:rsidR="00A32F87">
        <w:t xml:space="preserve"> by the state</w:t>
      </w:r>
      <w:r>
        <w:t xml:space="preserve"> because of their previous involvement with the </w:t>
      </w:r>
      <w:r w:rsidR="00921E1E">
        <w:t>Baath</w:t>
      </w:r>
      <w:r>
        <w:t xml:space="preserve"> Party. However, each case must be assessed on its merits, as there may be individual circumstances in which a person is at risk. </w:t>
      </w:r>
      <w:r w:rsidR="00EF2A51">
        <w:t>Factors to consider</w:t>
      </w:r>
      <w:r>
        <w:t xml:space="preserve"> include:</w:t>
      </w:r>
    </w:p>
    <w:p w14:paraId="216D8C21" w14:textId="6AAA5B29" w:rsidR="00E15FDF" w:rsidRDefault="00E15FDF" w:rsidP="00E15FDF">
      <w:pPr>
        <w:pStyle w:val="ListParagraph"/>
        <w:numPr>
          <w:ilvl w:val="0"/>
          <w:numId w:val="31"/>
        </w:numPr>
      </w:pPr>
      <w:r>
        <w:t xml:space="preserve">a person’s </w:t>
      </w:r>
      <w:r w:rsidR="00EF2A51">
        <w:t xml:space="preserve">former </w:t>
      </w:r>
      <w:r>
        <w:t xml:space="preserve">rank and/or position within the </w:t>
      </w:r>
      <w:r w:rsidR="00921E1E">
        <w:t>Baath</w:t>
      </w:r>
      <w:r>
        <w:t xml:space="preserve"> Party; </w:t>
      </w:r>
    </w:p>
    <w:p w14:paraId="5AB5599A" w14:textId="45814F12" w:rsidR="00E15FDF" w:rsidRDefault="00E15FDF" w:rsidP="00E15FDF">
      <w:pPr>
        <w:pStyle w:val="ListParagraph"/>
        <w:numPr>
          <w:ilvl w:val="0"/>
          <w:numId w:val="31"/>
        </w:numPr>
      </w:pPr>
      <w:r>
        <w:t>whether the person has been involved in any particular activities</w:t>
      </w:r>
      <w:r w:rsidR="007046A6">
        <w:t xml:space="preserve"> such as serving in the intelligence or police services</w:t>
      </w:r>
      <w:r>
        <w:t xml:space="preserve">, or </w:t>
      </w:r>
      <w:r w:rsidR="007046A6">
        <w:t xml:space="preserve">if they are </w:t>
      </w:r>
      <w:r>
        <w:t xml:space="preserve">associated with the wider abuses of the </w:t>
      </w:r>
      <w:r w:rsidR="00921E1E">
        <w:t>Baath</w:t>
      </w:r>
      <w:r>
        <w:t xml:space="preserve">ist regime; </w:t>
      </w:r>
    </w:p>
    <w:p w14:paraId="23E626A1" w14:textId="17FFFFBC" w:rsidR="00E15FDF" w:rsidRDefault="00E15FDF" w:rsidP="00E15FDF">
      <w:pPr>
        <w:pStyle w:val="ListParagraph"/>
        <w:numPr>
          <w:ilvl w:val="0"/>
          <w:numId w:val="31"/>
        </w:numPr>
      </w:pPr>
      <w:r>
        <w:t>how those activities or their profile have brought them to the adverse attention of those they fear</w:t>
      </w:r>
      <w:r w:rsidR="002616E1">
        <w:t>.</w:t>
      </w:r>
    </w:p>
    <w:p w14:paraId="7854583F" w14:textId="0A3715A9" w:rsidR="00E02AFC" w:rsidRDefault="00EF2A51" w:rsidP="00BA194D">
      <w:pPr>
        <w:pStyle w:val="ListParagraph"/>
        <w:numPr>
          <w:ilvl w:val="2"/>
          <w:numId w:val="14"/>
        </w:numPr>
        <w:ind w:left="851" w:hanging="851"/>
      </w:pPr>
      <w:r>
        <w:t>A</w:t>
      </w:r>
      <w:r w:rsidR="00E15FDF">
        <w:t xml:space="preserve"> new bill </w:t>
      </w:r>
      <w:r w:rsidR="00A32F87">
        <w:t>passed</w:t>
      </w:r>
      <w:r w:rsidR="00E15FDF">
        <w:t xml:space="preserve"> in August 2016 states that becoming a member of the Baath Party or promoting its ideas and opinions by any means may result in a prison sentence of up to 10 years. A</w:t>
      </w:r>
      <w:r w:rsidR="00DE1F0B">
        <w:t xml:space="preserve"> person</w:t>
      </w:r>
      <w:r w:rsidR="00E15FDF">
        <w:t xml:space="preserve"> may</w:t>
      </w:r>
      <w:r w:rsidR="00921E1E">
        <w:t xml:space="preserve"> therefore</w:t>
      </w:r>
      <w:r w:rsidR="00E15FDF">
        <w:t xml:space="preserve"> be at risk of </w:t>
      </w:r>
      <w:r w:rsidR="00B86D83">
        <w:t xml:space="preserve">prosecution and </w:t>
      </w:r>
      <w:r w:rsidR="00E15FDF">
        <w:t>imprisonment depending on thei</w:t>
      </w:r>
      <w:r w:rsidR="005D3121">
        <w:t>r</w:t>
      </w:r>
      <w:r w:rsidR="00921E1E">
        <w:t xml:space="preserve"> </w:t>
      </w:r>
      <w:r w:rsidR="00E15FDF">
        <w:t xml:space="preserve">public support of the </w:t>
      </w:r>
      <w:r w:rsidR="00921E1E">
        <w:t>Baath</w:t>
      </w:r>
      <w:r w:rsidR="00E15FDF">
        <w:t xml:space="preserve"> party</w:t>
      </w:r>
      <w:r w:rsidR="00921E1E">
        <w:t xml:space="preserve"> and its ideologies</w:t>
      </w:r>
      <w:r w:rsidR="00E9089A">
        <w:t xml:space="preserve"> </w:t>
      </w:r>
      <w:bookmarkStart w:id="17" w:name="_Hlk23409733"/>
      <w:r w:rsidR="00E9089A">
        <w:t xml:space="preserve">(see </w:t>
      </w:r>
      <w:hyperlink w:anchor="_De-Baathification" w:history="1">
        <w:r w:rsidR="00E9089A" w:rsidRPr="00E9089A">
          <w:rPr>
            <w:rStyle w:val="Hyperlink"/>
          </w:rPr>
          <w:t>De-Baathification</w:t>
        </w:r>
      </w:hyperlink>
      <w:r w:rsidR="00E9089A">
        <w:t>)</w:t>
      </w:r>
      <w:r w:rsidR="00E15FDF">
        <w:t>.</w:t>
      </w:r>
    </w:p>
    <w:bookmarkEnd w:id="17"/>
    <w:p w14:paraId="27EC6EC5" w14:textId="77777777" w:rsidR="00DE1F0B" w:rsidRDefault="00DE1F0B" w:rsidP="00DE1F0B">
      <w:pPr>
        <w:pStyle w:val="ListParagraph"/>
        <w:numPr>
          <w:ilvl w:val="2"/>
          <w:numId w:val="14"/>
        </w:numPr>
        <w:ind w:left="851" w:hanging="851"/>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Pr="00CE588D">
        <w:rPr>
          <w:rStyle w:val="ListParagraphChar"/>
        </w:rPr>
        <w:t>see the</w:t>
      </w:r>
      <w:r w:rsidRPr="00DE1F0B">
        <w:rPr>
          <w:szCs w:val="24"/>
        </w:rPr>
        <w:t xml:space="preserve"> </w:t>
      </w:r>
      <w:hyperlink r:id="rId25" w:history="1">
        <w:r w:rsidRPr="00DE1F0B">
          <w:rPr>
            <w:rStyle w:val="Hyperlink"/>
            <w:szCs w:val="24"/>
          </w:rPr>
          <w:t>Asylum Instruction on Assessing Credibility and Refugee Status</w:t>
        </w:r>
      </w:hyperlink>
      <w:r w:rsidRPr="00DE1F0B">
        <w:rPr>
          <w:szCs w:val="24"/>
        </w:rPr>
        <w:t>.</w:t>
      </w:r>
    </w:p>
    <w:p w14:paraId="0DC18B0D" w14:textId="6E12A0C7" w:rsidR="00C9337E" w:rsidRDefault="00C9337E" w:rsidP="00DE1F0B">
      <w:pPr>
        <w:pStyle w:val="Heading4"/>
      </w:pPr>
      <w:r>
        <w:t>Societal treatment</w:t>
      </w:r>
    </w:p>
    <w:p w14:paraId="68178DFB" w14:textId="5BA76770" w:rsidR="00E02AFC" w:rsidRDefault="5679980B" w:rsidP="00DE1F0B">
      <w:pPr>
        <w:pStyle w:val="ListParagraph"/>
        <w:numPr>
          <w:ilvl w:val="2"/>
          <w:numId w:val="14"/>
        </w:numPr>
        <w:ind w:left="851" w:hanging="851"/>
      </w:pPr>
      <w:r>
        <w:t xml:space="preserve">In general, former Baath Party members are not at risk of harm by societal actors. Although Shia militia have sometimes targeted some alleged or </w:t>
      </w:r>
      <w:r>
        <w:lastRenderedPageBreak/>
        <w:t xml:space="preserve">actual former Baathists, such targeting is not systematic and is often dependent on a person’s past profile and activities within the Baath party (see </w:t>
      </w:r>
      <w:r w:rsidRPr="5679980B">
        <w:rPr>
          <w:rStyle w:val="Hyperlink"/>
        </w:rPr>
        <w:t>Treatment of Baathists</w:t>
      </w:r>
      <w:r>
        <w:t xml:space="preserve"> and </w:t>
      </w:r>
      <w:r w:rsidRPr="5679980B">
        <w:rPr>
          <w:rStyle w:val="Hyperlink"/>
        </w:rPr>
        <w:t>Risk profiles</w:t>
      </w:r>
      <w:r>
        <w:t xml:space="preserve">). Whether a person faces treatment amounting to persecution will depend on their former or current profile and activities, and the capabilities and motivation of the non-state actors who they fear. Each case will need to be considered on its facts, with the onus on the person to demonstrate that they are at risk of persecution. </w:t>
      </w:r>
      <w:hyperlink w:anchor="_Treatment_of_Baathists" w:history="1"/>
      <w:hyperlink w:anchor="_Risk_profiles" w:history="1"/>
    </w:p>
    <w:p w14:paraId="743B02F7" w14:textId="46279DB0" w:rsidR="00C9337E" w:rsidRPr="00C9337E" w:rsidRDefault="002C4EE2" w:rsidP="00E02AFC">
      <w:pPr>
        <w:pStyle w:val="ListParagraph"/>
        <w:numPr>
          <w:ilvl w:val="2"/>
          <w:numId w:val="14"/>
        </w:numPr>
        <w:ind w:left="851" w:hanging="851"/>
      </w:pPr>
      <w:r w:rsidRPr="002C4EE2">
        <w:t xml:space="preserve">Accusations of </w:t>
      </w:r>
      <w:r w:rsidR="00921E1E">
        <w:t>Baath</w:t>
      </w:r>
      <w:r w:rsidRPr="002C4EE2">
        <w:t xml:space="preserve"> Party affiliation may be linked with the wider sectarian targeting of Sunnis, particularly following the Daesh insurgency.</w:t>
      </w:r>
      <w:r w:rsidR="00FB2EDC">
        <w:t xml:space="preserve"> For more information on the treatment of Sunni Muslims see the</w:t>
      </w:r>
      <w:r w:rsidR="00D64CB2">
        <w:t xml:space="preserve"> Country Policy and Information Note on </w:t>
      </w:r>
      <w:hyperlink r:id="rId26" w:history="1">
        <w:r w:rsidR="00FB2EDC" w:rsidRPr="00FB2EDC">
          <w:rPr>
            <w:rStyle w:val="Hyperlink"/>
          </w:rPr>
          <w:t>Iraq</w:t>
        </w:r>
        <w:r w:rsidR="00D64CB2">
          <w:rPr>
            <w:rStyle w:val="Hyperlink"/>
          </w:rPr>
          <w:t xml:space="preserve">: </w:t>
        </w:r>
        <w:r w:rsidR="00FB2EDC" w:rsidRPr="00FB2EDC">
          <w:rPr>
            <w:rStyle w:val="Hyperlink"/>
          </w:rPr>
          <w:t>Sunni Arabs</w:t>
        </w:r>
      </w:hyperlink>
      <w:r w:rsidR="00FB2EDC">
        <w:t>.</w:t>
      </w:r>
    </w:p>
    <w:p w14:paraId="2A2DD6DF" w14:textId="4136748E" w:rsidR="00C9337E" w:rsidRDefault="00C9337E" w:rsidP="00BA194D">
      <w:pPr>
        <w:pStyle w:val="ListParagraph"/>
        <w:numPr>
          <w:ilvl w:val="2"/>
          <w:numId w:val="14"/>
        </w:numPr>
        <w:ind w:left="851" w:hanging="851"/>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00DE1F0B" w:rsidRPr="00CE588D">
        <w:rPr>
          <w:rStyle w:val="ListParagraphChar"/>
        </w:rPr>
        <w:t>see the</w:t>
      </w:r>
      <w:r w:rsidR="00DE1F0B" w:rsidRPr="00DE1F0B">
        <w:rPr>
          <w:szCs w:val="24"/>
        </w:rPr>
        <w:t xml:space="preserve"> </w:t>
      </w:r>
      <w:hyperlink r:id="rId27" w:history="1">
        <w:r w:rsidR="00DE1F0B" w:rsidRPr="00DE1F0B">
          <w:rPr>
            <w:rStyle w:val="Hyperlink"/>
            <w:szCs w:val="24"/>
          </w:rPr>
          <w:t>Asylum Instruction on Assessing Credibility and Refugee Status</w:t>
        </w:r>
      </w:hyperlink>
      <w:r w:rsidR="00DE1F0B" w:rsidRPr="00DE1F0B">
        <w:rPr>
          <w:szCs w:val="24"/>
        </w:rPr>
        <w:t>.</w:t>
      </w:r>
    </w:p>
    <w:p w14:paraId="3F19BDC2" w14:textId="12E4DFCE" w:rsidR="00C9337E" w:rsidRDefault="007F14B5" w:rsidP="00C9337E">
      <w:pPr>
        <w:pStyle w:val="Backtocontents"/>
      </w:pPr>
      <w:hyperlink w:anchor="contents" w:history="1">
        <w:r w:rsidR="00C9337E" w:rsidRPr="006B4863">
          <w:rPr>
            <w:rStyle w:val="Hyperlink"/>
          </w:rPr>
          <w:t>Back to Contents</w:t>
        </w:r>
      </w:hyperlink>
    </w:p>
    <w:p w14:paraId="4E57F5C6" w14:textId="07576711" w:rsidR="00AB58EB" w:rsidRDefault="00AB58EB" w:rsidP="00BA194D">
      <w:pPr>
        <w:pStyle w:val="Heading3"/>
        <w:numPr>
          <w:ilvl w:val="1"/>
          <w:numId w:val="14"/>
        </w:numPr>
        <w:ind w:left="851" w:hanging="851"/>
      </w:pPr>
      <w:bookmarkStart w:id="18" w:name="_Toc29827680"/>
      <w:r>
        <w:t>Protection</w:t>
      </w:r>
      <w:bookmarkEnd w:id="18"/>
    </w:p>
    <w:p w14:paraId="5AA85E66" w14:textId="53A9DD6B" w:rsidR="00D72A2C" w:rsidRPr="00485E21" w:rsidRDefault="00DE1F0B" w:rsidP="00BA194D">
      <w:pPr>
        <w:pStyle w:val="ListParagraph"/>
        <w:numPr>
          <w:ilvl w:val="2"/>
          <w:numId w:val="14"/>
        </w:numPr>
        <w:ind w:left="851" w:hanging="851"/>
      </w:pPr>
      <w:r w:rsidRPr="003722AC">
        <w:t>Where the person has a well-founded fear of persecution from the state, they are unlikely to be able to avail themselves of the protection of the authorities.</w:t>
      </w:r>
    </w:p>
    <w:p w14:paraId="120F0BFE" w14:textId="08A48D56" w:rsidR="00C52991" w:rsidRPr="00C52991" w:rsidRDefault="00BA194D" w:rsidP="00BA194D">
      <w:pPr>
        <w:pStyle w:val="ListParagraph"/>
        <w:numPr>
          <w:ilvl w:val="2"/>
          <w:numId w:val="14"/>
        </w:numPr>
        <w:ind w:left="851" w:hanging="851"/>
      </w:pPr>
      <w:r>
        <w:t>Where the person has a well-founded</w:t>
      </w:r>
      <w:r w:rsidRPr="00485E21">
        <w:t xml:space="preserve"> fear of persecution </w:t>
      </w:r>
      <w:r>
        <w:t>from</w:t>
      </w:r>
      <w:r w:rsidR="00D72A2C" w:rsidRPr="00485E21">
        <w:t xml:space="preserve"> non-state actors</w:t>
      </w:r>
      <w:r>
        <w:t xml:space="preserve"> – including ‘rogue’ state actors –</w:t>
      </w:r>
      <w:r w:rsidR="00D72A2C" w:rsidRPr="00485E21">
        <w:t xml:space="preserve"> </w:t>
      </w:r>
      <w:r w:rsidR="00D72A2C" w:rsidRPr="00485E21">
        <w:rPr>
          <w:szCs w:val="24"/>
        </w:rPr>
        <w:t>decision makers must assess whether the state can provide effective protection</w:t>
      </w:r>
      <w:r w:rsidR="00D64CB2">
        <w:rPr>
          <w:szCs w:val="24"/>
        </w:rPr>
        <w:t>.</w:t>
      </w:r>
      <w:r w:rsidR="00C52991">
        <w:rPr>
          <w:szCs w:val="24"/>
        </w:rPr>
        <w:t xml:space="preserve"> </w:t>
      </w:r>
    </w:p>
    <w:p w14:paraId="2F110736" w14:textId="77777777" w:rsidR="00DE1F0B" w:rsidRDefault="00324B2E" w:rsidP="00DE1F0B">
      <w:pPr>
        <w:pStyle w:val="ListParagraph"/>
        <w:numPr>
          <w:ilvl w:val="2"/>
          <w:numId w:val="14"/>
        </w:numPr>
        <w:ind w:left="851" w:hanging="851"/>
      </w:pPr>
      <w:r w:rsidRPr="00247497">
        <w:t xml:space="preserve">The Upper Tribunal, in </w:t>
      </w:r>
      <w:hyperlink r:id="rId28" w:history="1">
        <w:r w:rsidRPr="00247497">
          <w:rPr>
            <w:rStyle w:val="Hyperlink"/>
          </w:rPr>
          <w:t>BA (Returns to Baghdad)</w:t>
        </w:r>
      </w:hyperlink>
      <w:r w:rsidRPr="00247497">
        <w:t>, found: ‘In general, the authorities in Baghdad are unable, and in the case of Sunni complainants, are likely to be unwilling to provide sufficient protection’ (paragraph 107 (vii)).</w:t>
      </w:r>
      <w:r>
        <w:t xml:space="preserve"> </w:t>
      </w:r>
      <w:r w:rsidR="00BC75CB">
        <w:rPr>
          <w:szCs w:val="24"/>
        </w:rPr>
        <w:t>F</w:t>
      </w:r>
      <w:r w:rsidR="00D64CB2" w:rsidRPr="00324B2E">
        <w:rPr>
          <w:szCs w:val="24"/>
        </w:rPr>
        <w:t xml:space="preserve">or more information see the Country Policy and Information Note on </w:t>
      </w:r>
      <w:hyperlink r:id="rId29" w:history="1">
        <w:r w:rsidR="00D64CB2" w:rsidRPr="00FB2EDC">
          <w:rPr>
            <w:rStyle w:val="Hyperlink"/>
          </w:rPr>
          <w:t>Iraq</w:t>
        </w:r>
        <w:r w:rsidR="00D64CB2">
          <w:rPr>
            <w:rStyle w:val="Hyperlink"/>
          </w:rPr>
          <w:t xml:space="preserve">: </w:t>
        </w:r>
        <w:r w:rsidR="00D64CB2" w:rsidRPr="00FB2EDC">
          <w:rPr>
            <w:rStyle w:val="Hyperlink"/>
          </w:rPr>
          <w:t>Sunni Arabs</w:t>
        </w:r>
      </w:hyperlink>
      <w:r w:rsidR="00D64CB2">
        <w:t>.</w:t>
      </w:r>
    </w:p>
    <w:p w14:paraId="1589865B" w14:textId="128FBB4C" w:rsidR="00DE1F0B" w:rsidRPr="00DE1F0B" w:rsidRDefault="00DE1F0B" w:rsidP="00DE1F0B">
      <w:pPr>
        <w:pStyle w:val="ListParagraph"/>
        <w:numPr>
          <w:ilvl w:val="2"/>
          <w:numId w:val="14"/>
        </w:numPr>
        <w:ind w:left="851" w:hanging="851"/>
      </w:pPr>
      <w:r w:rsidRPr="00CE588D">
        <w:rPr>
          <w:rStyle w:val="ListParagraphChar"/>
        </w:rPr>
        <w:t>For further guidance on assessing the availability of state protection, see the</w:t>
      </w:r>
      <w:r w:rsidRPr="00DE1F0B">
        <w:rPr>
          <w:szCs w:val="24"/>
        </w:rPr>
        <w:t xml:space="preserve"> </w:t>
      </w:r>
      <w:hyperlink r:id="rId30" w:history="1">
        <w:r w:rsidRPr="00DE1F0B">
          <w:rPr>
            <w:rStyle w:val="Hyperlink"/>
            <w:szCs w:val="24"/>
          </w:rPr>
          <w:t>Asylum Instruction on Assessing Credibility and Refugee Status</w:t>
        </w:r>
      </w:hyperlink>
      <w:r w:rsidRPr="00DE1F0B">
        <w:rPr>
          <w:szCs w:val="24"/>
        </w:rPr>
        <w:t>.</w:t>
      </w:r>
    </w:p>
    <w:p w14:paraId="430F02CF" w14:textId="0569E162" w:rsidR="00D72A2C" w:rsidRPr="00D72A2C" w:rsidRDefault="007F14B5" w:rsidP="00D72A2C">
      <w:pPr>
        <w:pStyle w:val="Backtocontents"/>
      </w:pPr>
      <w:hyperlink w:anchor="contents" w:history="1">
        <w:r w:rsidR="00D72A2C" w:rsidRPr="006B4863">
          <w:rPr>
            <w:rStyle w:val="Hyperlink"/>
          </w:rPr>
          <w:t>Back to Contents</w:t>
        </w:r>
      </w:hyperlink>
    </w:p>
    <w:p w14:paraId="559059FC" w14:textId="0E922575" w:rsidR="00AB58EB" w:rsidRDefault="00AB58EB" w:rsidP="00BA194D">
      <w:pPr>
        <w:pStyle w:val="Heading3"/>
        <w:numPr>
          <w:ilvl w:val="1"/>
          <w:numId w:val="14"/>
        </w:numPr>
        <w:ind w:left="851" w:hanging="851"/>
      </w:pPr>
      <w:bookmarkStart w:id="19" w:name="_Toc29827681"/>
      <w:r>
        <w:t xml:space="preserve">Internal </w:t>
      </w:r>
      <w:r w:rsidR="00E52C57">
        <w:t>r</w:t>
      </w:r>
      <w:r>
        <w:t>elocation</w:t>
      </w:r>
      <w:bookmarkEnd w:id="19"/>
    </w:p>
    <w:p w14:paraId="01BB4F8F" w14:textId="2B585617" w:rsidR="00D72A2C" w:rsidRDefault="00BA194D" w:rsidP="00BA194D">
      <w:pPr>
        <w:pStyle w:val="ListParagraph"/>
        <w:numPr>
          <w:ilvl w:val="2"/>
          <w:numId w:val="14"/>
        </w:numPr>
        <w:ind w:left="851" w:hanging="851"/>
      </w:pPr>
      <w:r>
        <w:t>Where the person has a well-founded</w:t>
      </w:r>
      <w:r w:rsidRPr="00485E21">
        <w:t xml:space="preserve"> fear of persecution </w:t>
      </w:r>
      <w:r>
        <w:t>from</w:t>
      </w:r>
      <w:r w:rsidRPr="00485E21">
        <w:t xml:space="preserve"> state</w:t>
      </w:r>
      <w:r>
        <w:t xml:space="preserve"> actors, it is unlikely to be </w:t>
      </w:r>
      <w:r w:rsidR="006725B5">
        <w:t>possible</w:t>
      </w:r>
      <w:r>
        <w:t xml:space="preserve"> for them</w:t>
      </w:r>
      <w:r w:rsidR="00D72A2C" w:rsidRPr="00485E21">
        <w:t xml:space="preserve"> to relocate to escape that risk.</w:t>
      </w:r>
    </w:p>
    <w:p w14:paraId="2E9B005D" w14:textId="77777777" w:rsidR="00DE1F0B" w:rsidRDefault="00BA194D" w:rsidP="00DE1F0B">
      <w:pPr>
        <w:pStyle w:val="ListParagraph"/>
        <w:numPr>
          <w:ilvl w:val="2"/>
          <w:numId w:val="14"/>
        </w:numPr>
        <w:ind w:left="851" w:hanging="851"/>
      </w:pPr>
      <w:r>
        <w:t>Where the person has a well-founded</w:t>
      </w:r>
      <w:r w:rsidRPr="00485E21">
        <w:t xml:space="preserve"> fear of persecution </w:t>
      </w:r>
      <w:r>
        <w:t>from</w:t>
      </w:r>
      <w:r w:rsidRPr="00485E21">
        <w:t xml:space="preserve"> </w:t>
      </w:r>
      <w:r w:rsidR="005E5E5F">
        <w:t>non-</w:t>
      </w:r>
      <w:r w:rsidRPr="00485E21">
        <w:t>state</w:t>
      </w:r>
      <w:r>
        <w:t xml:space="preserve"> actors, </w:t>
      </w:r>
      <w:r w:rsidR="00D72A2C">
        <w:t>d</w:t>
      </w:r>
      <w:r w:rsidR="00D72A2C" w:rsidRPr="00011BC1">
        <w:t xml:space="preserve">ecision makers must determine whether the person could relocate internally to a place where they would not face a real risk of </w:t>
      </w:r>
      <w:r w:rsidR="00D72A2C">
        <w:t xml:space="preserve">persecution or </w:t>
      </w:r>
      <w:r w:rsidR="00D72A2C" w:rsidRPr="00011BC1">
        <w:t>serious harm and where they can reasonably be expected to stay.</w:t>
      </w:r>
      <w:r w:rsidR="00D72A2C">
        <w:t xml:space="preserve"> E</w:t>
      </w:r>
      <w:r w:rsidR="00D72A2C" w:rsidRPr="008E2F29">
        <w:t xml:space="preserve">ach case </w:t>
      </w:r>
      <w:r w:rsidR="00D72A2C">
        <w:t>must</w:t>
      </w:r>
      <w:r w:rsidR="00D72A2C" w:rsidRPr="008E2F29">
        <w:t xml:space="preserve"> be considered on its individual merits</w:t>
      </w:r>
      <w:r w:rsidR="00D64CB2">
        <w:t xml:space="preserve"> taking into account who the persecutor is and their capability and motivation in pursing the person</w:t>
      </w:r>
      <w:r w:rsidR="00D72A2C">
        <w:t>.</w:t>
      </w:r>
      <w:r w:rsidR="00590F8F">
        <w:t xml:space="preserve"> For more information see the Country Policy and Information Note on </w:t>
      </w:r>
      <w:hyperlink r:id="rId31" w:history="1">
        <w:r w:rsidR="00590F8F">
          <w:rPr>
            <w:rStyle w:val="Hyperlink"/>
          </w:rPr>
          <w:t>Iraq: Internal relocation, civil documentation and returns</w:t>
        </w:r>
      </w:hyperlink>
      <w:r w:rsidR="00590F8F">
        <w:t xml:space="preserve">. </w:t>
      </w:r>
    </w:p>
    <w:p w14:paraId="27D9BF32" w14:textId="475F505E" w:rsidR="00DE1F0B" w:rsidRPr="00DE1F0B" w:rsidRDefault="00DE1F0B" w:rsidP="00DE1F0B">
      <w:pPr>
        <w:pStyle w:val="ListParagraph"/>
        <w:numPr>
          <w:ilvl w:val="2"/>
          <w:numId w:val="14"/>
        </w:numPr>
        <w:ind w:left="851" w:hanging="851"/>
        <w:rPr>
          <w:rStyle w:val="Hyperlink"/>
          <w:color w:val="auto"/>
          <w:u w:val="none"/>
        </w:rPr>
      </w:pPr>
      <w:r w:rsidRPr="008D1262">
        <w:t>For further guidance on considering internal relocation and factors to be taken into account, see</w:t>
      </w:r>
      <w:r>
        <w:t xml:space="preserve"> the</w:t>
      </w:r>
      <w:r w:rsidRPr="008D1262">
        <w:t xml:space="preserve"> </w:t>
      </w:r>
      <w:hyperlink r:id="rId32" w:history="1">
        <w:r w:rsidRPr="008D1262">
          <w:rPr>
            <w:rStyle w:val="Hyperlink"/>
          </w:rPr>
          <w:t>Asylum Instruction on Assessing Credibility and Refugee Status</w:t>
        </w:r>
      </w:hyperlink>
      <w:r w:rsidRPr="00CE588D">
        <w:rPr>
          <w:rStyle w:val="Hyperlink"/>
        </w:rPr>
        <w:t>.</w:t>
      </w:r>
      <w:r w:rsidRPr="008D1262">
        <w:t xml:space="preserve"> </w:t>
      </w:r>
    </w:p>
    <w:p w14:paraId="07D30804" w14:textId="051FB8EC" w:rsidR="00D72A2C" w:rsidRPr="00D72A2C" w:rsidRDefault="007F14B5" w:rsidP="00D72A2C">
      <w:pPr>
        <w:pStyle w:val="Backtocontents"/>
      </w:pPr>
      <w:hyperlink w:anchor="contents" w:history="1">
        <w:r w:rsidR="00D72A2C" w:rsidRPr="006B4863">
          <w:rPr>
            <w:rStyle w:val="Hyperlink"/>
          </w:rPr>
          <w:t>Back to Contents</w:t>
        </w:r>
      </w:hyperlink>
    </w:p>
    <w:p w14:paraId="23573B3F" w14:textId="77777777" w:rsidR="00D72A2C" w:rsidRDefault="00AB58EB" w:rsidP="00BA194D">
      <w:pPr>
        <w:pStyle w:val="Heading3"/>
        <w:numPr>
          <w:ilvl w:val="1"/>
          <w:numId w:val="14"/>
        </w:numPr>
        <w:ind w:left="851" w:hanging="851"/>
      </w:pPr>
      <w:bookmarkStart w:id="20" w:name="_Toc29827682"/>
      <w:r>
        <w:lastRenderedPageBreak/>
        <w:t>Certification</w:t>
      </w:r>
      <w:bookmarkEnd w:id="20"/>
    </w:p>
    <w:p w14:paraId="212809DC" w14:textId="74181660" w:rsidR="00D72A2C" w:rsidRDefault="00D72A2C" w:rsidP="00BA194D">
      <w:pPr>
        <w:pStyle w:val="ListParagraph"/>
        <w:numPr>
          <w:ilvl w:val="2"/>
          <w:numId w:val="14"/>
        </w:numPr>
        <w:ind w:left="851" w:hanging="851"/>
      </w:pPr>
      <w:r w:rsidRPr="00485E21">
        <w:t>Wh</w:t>
      </w:r>
      <w:r>
        <w:t xml:space="preserve">ere a claim is refused, </w:t>
      </w:r>
      <w:r w:rsidRPr="00B56795">
        <w:t xml:space="preserve">it is </w:t>
      </w:r>
      <w:r w:rsidRPr="00195FC8">
        <w:t>unlikely</w:t>
      </w:r>
      <w:r w:rsidRPr="00B56795">
        <w:t xml:space="preserve"> to be certifiable as ‘clearly unfounded’</w:t>
      </w:r>
      <w:r w:rsidRPr="00485E21">
        <w:t xml:space="preserve"> under section 94 of the Nationality, Immigration and Asylum Act 2002.</w:t>
      </w:r>
    </w:p>
    <w:p w14:paraId="180F01A2" w14:textId="77777777" w:rsidR="00D72A2C" w:rsidRPr="00AB58EB" w:rsidRDefault="00D72A2C" w:rsidP="00BA194D">
      <w:pPr>
        <w:pStyle w:val="ListParagraph"/>
        <w:numPr>
          <w:ilvl w:val="2"/>
          <w:numId w:val="14"/>
        </w:numPr>
        <w:ind w:left="851" w:hanging="851"/>
      </w:pPr>
      <w:r w:rsidRPr="00743DA7">
        <w:rPr>
          <w:szCs w:val="24"/>
        </w:rPr>
        <w:t xml:space="preserve">For further guidance on certification, see </w:t>
      </w:r>
      <w:hyperlink r:id="rId33"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t xml:space="preserve"> </w:t>
      </w:r>
    </w:p>
    <w:p w14:paraId="12BE6CFC" w14:textId="77777777" w:rsidR="00D72A2C" w:rsidRDefault="007F14B5" w:rsidP="00D72A2C">
      <w:pPr>
        <w:jc w:val="right"/>
        <w:rPr>
          <w:rStyle w:val="Hyperlink"/>
          <w:szCs w:val="24"/>
        </w:rPr>
      </w:pPr>
      <w:hyperlink w:anchor="contents" w:history="1">
        <w:r w:rsidR="00D72A2C" w:rsidRPr="006B4863">
          <w:rPr>
            <w:rStyle w:val="Hyperlink"/>
            <w:szCs w:val="24"/>
          </w:rPr>
          <w:t>Back to Contents</w:t>
        </w:r>
      </w:hyperlink>
    </w:p>
    <w:p w14:paraId="0F9AAC85" w14:textId="27EEA897" w:rsidR="00954873" w:rsidRPr="004934F3" w:rsidRDefault="00AB58EB" w:rsidP="004934F3">
      <w:pPr>
        <w:pStyle w:val="ListParagraph"/>
        <w:numPr>
          <w:ilvl w:val="0"/>
          <w:numId w:val="0"/>
        </w:numPr>
        <w:ind w:left="851"/>
      </w:pPr>
      <w:r>
        <w:t xml:space="preserve"> </w:t>
      </w:r>
      <w:bookmarkStart w:id="21" w:name="_Country_information"/>
      <w:bookmarkStart w:id="22" w:name="_Country_information_1"/>
      <w:bookmarkStart w:id="23" w:name="_Toc500775370"/>
      <w:bookmarkStart w:id="24" w:name="_Toc409598708"/>
      <w:bookmarkEnd w:id="21"/>
      <w:bookmarkEnd w:id="22"/>
    </w:p>
    <w:p w14:paraId="7456BF4D" w14:textId="426DF69D" w:rsidR="00EA3BC4" w:rsidRDefault="00EA3BC4" w:rsidP="00A11C1B">
      <w:pPr>
        <w:pStyle w:val="Heading1"/>
      </w:pPr>
      <w:bookmarkStart w:id="25" w:name="_Toc29827683"/>
      <w:r>
        <w:t>Country information</w:t>
      </w:r>
      <w:bookmarkEnd w:id="23"/>
      <w:bookmarkEnd w:id="25"/>
    </w:p>
    <w:p w14:paraId="18D4DDE7" w14:textId="354A18A3" w:rsidR="00131BEC" w:rsidRPr="00AF62ED" w:rsidRDefault="003F3A03" w:rsidP="003F3A03">
      <w:pPr>
        <w:pStyle w:val="Sectionupdate"/>
      </w:pPr>
      <w:bookmarkStart w:id="26" w:name="_Toc500775371"/>
      <w:r>
        <w:t>Section 3</w:t>
      </w:r>
      <w:r w:rsidR="00131BEC">
        <w:t xml:space="preserve"> u</w:t>
      </w:r>
      <w:r w:rsidR="00131BEC" w:rsidRPr="00AF62ED">
        <w:t xml:space="preserve">pdated: </w:t>
      </w:r>
      <w:r w:rsidR="00954873">
        <w:t>1 November</w:t>
      </w:r>
      <w:r w:rsidR="005E5E5F">
        <w:t xml:space="preserve"> 2019</w:t>
      </w:r>
    </w:p>
    <w:p w14:paraId="4F2183A0" w14:textId="083AA314" w:rsidR="00455211" w:rsidRDefault="002525E0" w:rsidP="00455211">
      <w:pPr>
        <w:pStyle w:val="Heading2"/>
        <w:numPr>
          <w:ilvl w:val="0"/>
          <w:numId w:val="14"/>
        </w:numPr>
        <w:ind w:left="851" w:hanging="851"/>
      </w:pPr>
      <w:bookmarkStart w:id="27" w:name="_Toc29827684"/>
      <w:bookmarkEnd w:id="26"/>
      <w:r>
        <w:t>Baath Party</w:t>
      </w:r>
      <w:bookmarkEnd w:id="27"/>
    </w:p>
    <w:p w14:paraId="1E7FAA04" w14:textId="5D9D152C" w:rsidR="00455211" w:rsidRPr="00455211" w:rsidRDefault="005C5527" w:rsidP="005C5527">
      <w:pPr>
        <w:pStyle w:val="Heading3"/>
        <w:numPr>
          <w:ilvl w:val="1"/>
          <w:numId w:val="14"/>
        </w:numPr>
        <w:ind w:left="851" w:hanging="851"/>
      </w:pPr>
      <w:bookmarkStart w:id="28" w:name="_Toc29827685"/>
      <w:r>
        <w:t>History</w:t>
      </w:r>
      <w:bookmarkEnd w:id="28"/>
    </w:p>
    <w:p w14:paraId="16BCAA3C" w14:textId="6A4C1429" w:rsidR="002525E0" w:rsidRDefault="002525E0" w:rsidP="002525E0">
      <w:pPr>
        <w:pStyle w:val="ListParagraph"/>
        <w:numPr>
          <w:ilvl w:val="2"/>
          <w:numId w:val="14"/>
        </w:numPr>
        <w:ind w:left="851" w:hanging="851"/>
      </w:pPr>
      <w:r>
        <w:t xml:space="preserve">The </w:t>
      </w:r>
      <w:hyperlink r:id="rId34" w:history="1">
        <w:r w:rsidRPr="003F509C">
          <w:rPr>
            <w:rStyle w:val="Hyperlink"/>
          </w:rPr>
          <w:t xml:space="preserve">BBC News profile and history of the </w:t>
        </w:r>
        <w:r w:rsidR="00921E1E">
          <w:rPr>
            <w:rStyle w:val="Hyperlink"/>
          </w:rPr>
          <w:t>Baath</w:t>
        </w:r>
        <w:r w:rsidRPr="003F509C">
          <w:rPr>
            <w:rStyle w:val="Hyperlink"/>
          </w:rPr>
          <w:t xml:space="preserve"> Party</w:t>
        </w:r>
      </w:hyperlink>
      <w:r>
        <w:t xml:space="preserve"> explained that: </w:t>
      </w:r>
    </w:p>
    <w:p w14:paraId="5EDB6FC0" w14:textId="4F7D6373" w:rsidR="002525E0" w:rsidRDefault="002525E0" w:rsidP="002525E0">
      <w:pPr>
        <w:pStyle w:val="ListParagraph"/>
        <w:numPr>
          <w:ilvl w:val="0"/>
          <w:numId w:val="17"/>
        </w:numPr>
      </w:pPr>
      <w:r>
        <w:t>it was founded in Syria in the 1940s (</w:t>
      </w:r>
      <w:r w:rsidR="007E5D45">
        <w:t>where it</w:t>
      </w:r>
      <w:r>
        <w:t xml:space="preserve"> is still the ruling party); </w:t>
      </w:r>
    </w:p>
    <w:p w14:paraId="235AFC2F" w14:textId="77777777" w:rsidR="002525E0" w:rsidRDefault="002525E0" w:rsidP="002525E0">
      <w:pPr>
        <w:pStyle w:val="ListParagraph"/>
        <w:numPr>
          <w:ilvl w:val="0"/>
          <w:numId w:val="17"/>
        </w:numPr>
      </w:pPr>
      <w:r>
        <w:t xml:space="preserve">the Iraqi branch of the party was founded in 1951; </w:t>
      </w:r>
    </w:p>
    <w:p w14:paraId="74894BF9" w14:textId="77777777" w:rsidR="002525E0" w:rsidRDefault="002525E0" w:rsidP="002525E0">
      <w:pPr>
        <w:pStyle w:val="ListParagraph"/>
        <w:numPr>
          <w:ilvl w:val="0"/>
          <w:numId w:val="17"/>
        </w:numPr>
      </w:pPr>
      <w:r>
        <w:t xml:space="preserve">the party came to power in Iraq initially in 1963 and then again in 1968; </w:t>
      </w:r>
    </w:p>
    <w:p w14:paraId="52347270" w14:textId="51DDD9F7" w:rsidR="002525E0" w:rsidRDefault="002525E0" w:rsidP="002525E0">
      <w:pPr>
        <w:pStyle w:val="ListParagraph"/>
        <w:numPr>
          <w:ilvl w:val="0"/>
          <w:numId w:val="17"/>
        </w:numPr>
      </w:pPr>
      <w:r>
        <w:t xml:space="preserve">from 1979 to 2003 Saddam Hussein was secretary general of the (Iraqi) </w:t>
      </w:r>
      <w:r w:rsidR="00921E1E">
        <w:t>Baath</w:t>
      </w:r>
      <w:r>
        <w:t xml:space="preserve"> Party and President of Iraq; </w:t>
      </w:r>
    </w:p>
    <w:p w14:paraId="41170A94" w14:textId="5AD41850" w:rsidR="002525E0" w:rsidRDefault="002525E0" w:rsidP="002525E0">
      <w:pPr>
        <w:pStyle w:val="ListParagraph"/>
        <w:numPr>
          <w:ilvl w:val="0"/>
          <w:numId w:val="17"/>
        </w:numPr>
      </w:pPr>
      <w:r>
        <w:t>‘</w:t>
      </w:r>
      <w:r w:rsidR="00921E1E">
        <w:t>Baath</w:t>
      </w:r>
      <w:r>
        <w:t xml:space="preserve">’ means ‘renaissance’ in Arabic and the party’s ideology is pan-Arab, secular nationalism. </w:t>
      </w:r>
    </w:p>
    <w:p w14:paraId="7B2729DF" w14:textId="77777777" w:rsidR="00512BC8" w:rsidRDefault="002525E0" w:rsidP="002525E0">
      <w:pPr>
        <w:pStyle w:val="ListParagraph"/>
        <w:numPr>
          <w:ilvl w:val="0"/>
          <w:numId w:val="17"/>
        </w:numPr>
      </w:pPr>
      <w:r>
        <w:t>power was concentrated in the hands of a narrow elite united by family and tribal ties</w:t>
      </w:r>
    </w:p>
    <w:p w14:paraId="2BFDAC14" w14:textId="361068F6" w:rsidR="002525E0" w:rsidRPr="003F509C" w:rsidRDefault="00AD49F8" w:rsidP="002525E0">
      <w:pPr>
        <w:pStyle w:val="ListParagraph"/>
        <w:numPr>
          <w:ilvl w:val="0"/>
          <w:numId w:val="17"/>
        </w:numPr>
      </w:pPr>
      <w:r w:rsidRPr="007F798C">
        <w:rPr>
          <w:lang w:val="en-US"/>
        </w:rPr>
        <w:t>The party had a highly regimented structure. At the lowest level - the village - it had cells of between three and seven people, rising up to regional commands and a national command</w:t>
      </w:r>
      <w:r>
        <w:rPr>
          <w:rStyle w:val="FootnoteReference"/>
          <w:rFonts w:eastAsia="Times New Roman"/>
          <w:szCs w:val="24"/>
          <w:shd w:val="clear" w:color="auto" w:fill="FFFFFF"/>
          <w:lang w:eastAsia="en-GB"/>
        </w:rPr>
        <w:t xml:space="preserve"> </w:t>
      </w:r>
      <w:r w:rsidR="002525E0">
        <w:rPr>
          <w:rStyle w:val="FootnoteReference"/>
          <w:rFonts w:eastAsia="Times New Roman"/>
          <w:szCs w:val="24"/>
          <w:shd w:val="clear" w:color="auto" w:fill="FFFFFF"/>
          <w:lang w:eastAsia="en-GB"/>
        </w:rPr>
        <w:footnoteReference w:id="2"/>
      </w:r>
      <w:r w:rsidR="000D3679">
        <w:t>.</w:t>
      </w:r>
    </w:p>
    <w:p w14:paraId="20E5D929" w14:textId="7DCA8D0B" w:rsidR="00455211" w:rsidRDefault="007F14B5" w:rsidP="00455211">
      <w:pPr>
        <w:pStyle w:val="ListParagraph"/>
        <w:numPr>
          <w:ilvl w:val="0"/>
          <w:numId w:val="0"/>
        </w:numPr>
        <w:ind w:left="851"/>
        <w:jc w:val="right"/>
      </w:pPr>
      <w:hyperlink w:anchor="contents" w:history="1">
        <w:r w:rsidR="00EA3BC4" w:rsidRPr="006B4863">
          <w:rPr>
            <w:rStyle w:val="Hyperlink"/>
            <w:szCs w:val="24"/>
          </w:rPr>
          <w:t>Back to Contents</w:t>
        </w:r>
      </w:hyperlink>
      <w:bookmarkStart w:id="29" w:name="_Size_and_structure"/>
      <w:bookmarkEnd w:id="29"/>
    </w:p>
    <w:p w14:paraId="6864EC86" w14:textId="11C07F71" w:rsidR="00EA3BC4" w:rsidRPr="00455211" w:rsidRDefault="00455211" w:rsidP="00455211">
      <w:pPr>
        <w:pStyle w:val="Heading3"/>
        <w:numPr>
          <w:ilvl w:val="1"/>
          <w:numId w:val="14"/>
        </w:numPr>
        <w:ind w:left="851" w:hanging="851"/>
      </w:pPr>
      <w:bookmarkStart w:id="30" w:name="_Structure"/>
      <w:bookmarkStart w:id="31" w:name="_Toc29827686"/>
      <w:bookmarkEnd w:id="30"/>
      <w:r>
        <w:t>S</w:t>
      </w:r>
      <w:r w:rsidR="009644A0" w:rsidRPr="00455211">
        <w:t>tructure</w:t>
      </w:r>
      <w:bookmarkEnd w:id="31"/>
    </w:p>
    <w:p w14:paraId="679F5994" w14:textId="4A551357" w:rsidR="00EA3BC4" w:rsidRDefault="00455211" w:rsidP="00455211">
      <w:pPr>
        <w:pStyle w:val="ListParagraph"/>
        <w:numPr>
          <w:ilvl w:val="2"/>
          <w:numId w:val="14"/>
        </w:numPr>
        <w:ind w:left="851" w:hanging="851"/>
      </w:pPr>
      <w:r w:rsidRPr="00BB3A6F">
        <w:t>The International Centre for Transitional Justice (ICTJ), in a report dated March 2013 (‘the ICTJ report’), commented</w:t>
      </w:r>
      <w:r>
        <w:t xml:space="preserve"> on the structure and composition of the Baath party</w:t>
      </w:r>
      <w:r w:rsidRPr="00BB3A6F">
        <w:t>:</w:t>
      </w:r>
    </w:p>
    <w:p w14:paraId="19A8CE90" w14:textId="1DB55F52" w:rsidR="00853532" w:rsidRDefault="00853532" w:rsidP="00853532">
      <w:pPr>
        <w:pStyle w:val="ListParagraph"/>
        <w:numPr>
          <w:ilvl w:val="0"/>
          <w:numId w:val="0"/>
        </w:numPr>
        <w:ind w:left="851"/>
      </w:pPr>
      <w:r>
        <w:t>‘It is hard to develop a clear picture of the party’s structure or membership levels prior to the US-led invasion of Iraq in 2003. According to the Higher National De-</w:t>
      </w:r>
      <w:r w:rsidR="00921E1E">
        <w:t>Baath</w:t>
      </w:r>
      <w:r>
        <w:t>ification Commission (HNDC), the regional command consisted of 15 bureaus: two for most governorates, except Baghdad and the Kurdish region, which had three and one respectively. In addition, there were women’s, military, professional, and students’ bureaus.</w:t>
      </w:r>
    </w:p>
    <w:p w14:paraId="7C093C35" w14:textId="3F674815" w:rsidR="00853532" w:rsidRDefault="00853532" w:rsidP="00853532">
      <w:pPr>
        <w:pStyle w:val="ListParagraph"/>
        <w:numPr>
          <w:ilvl w:val="0"/>
          <w:numId w:val="0"/>
        </w:numPr>
        <w:ind w:left="851"/>
      </w:pPr>
      <w:r>
        <w:t xml:space="preserve">‘Each geographical bureau reportedly consisted of four branches. Each branch had four to eight sections, depending on the population and size of </w:t>
      </w:r>
      <w:r>
        <w:lastRenderedPageBreak/>
        <w:t>the area. Each section consisted of four to eight units, depending on the population and size of the area. Similarly, each unit was made up of a variable number of organizations. Circle and cell, widely used in English to describe the lowest-level unit of party organization, are synonymous. These members usually met in school buildings and did not have their own offices.</w:t>
      </w:r>
    </w:p>
    <w:p w14:paraId="0FE03C0F" w14:textId="7C5547E0" w:rsidR="00F2764B" w:rsidRDefault="00853532" w:rsidP="00853532">
      <w:pPr>
        <w:pStyle w:val="ListParagraph"/>
        <w:numPr>
          <w:ilvl w:val="0"/>
          <w:numId w:val="0"/>
        </w:numPr>
        <w:ind w:left="851"/>
      </w:pPr>
      <w:r>
        <w:t>‘Of the three professional bureaus, the student office regulated students in post-secondary education, including universities, colleges, and training institutes. The professional office reportedly oversaw state officials and professional associates and syndicates, such as the Iraqi Women’s Association and the Farmers’ Union. The military office was reportedly restricted to members of the interior and defense ministries and the military.’</w:t>
      </w:r>
      <w:r>
        <w:rPr>
          <w:rStyle w:val="FootnoteReference"/>
        </w:rPr>
        <w:footnoteReference w:id="3"/>
      </w:r>
    </w:p>
    <w:p w14:paraId="721E89A5" w14:textId="473BD5E7" w:rsidR="00F2764B" w:rsidRDefault="00F2764B" w:rsidP="00F2764B">
      <w:pPr>
        <w:pStyle w:val="ListParagraph"/>
        <w:numPr>
          <w:ilvl w:val="2"/>
          <w:numId w:val="14"/>
        </w:numPr>
        <w:ind w:left="851" w:hanging="851"/>
      </w:pPr>
      <w:r>
        <w:t>The BBC also stated that the party had a highly r</w:t>
      </w:r>
      <w:r w:rsidR="00DB374E">
        <w:t xml:space="preserve">egimented structure and </w:t>
      </w:r>
      <w:r>
        <w:t>all major decisions went through Saddam Hussein</w:t>
      </w:r>
      <w:r w:rsidR="00DB374E">
        <w:t xml:space="preserve"> who from </w:t>
      </w:r>
      <w:r>
        <w:t xml:space="preserve">1979 was president, head of the Revolutionary Command Council and secretary general of the </w:t>
      </w:r>
      <w:r w:rsidR="00921E1E">
        <w:t>Baath</w:t>
      </w:r>
      <w:r>
        <w:t xml:space="preserve"> </w:t>
      </w:r>
      <w:r w:rsidR="00E52C57">
        <w:t>P</w:t>
      </w:r>
      <w:r>
        <w:t>arty</w:t>
      </w:r>
      <w:r w:rsidR="00DB374E">
        <w:rPr>
          <w:rStyle w:val="FootnoteReference"/>
        </w:rPr>
        <w:footnoteReference w:id="4"/>
      </w:r>
      <w:r>
        <w:t xml:space="preserve">. </w:t>
      </w:r>
    </w:p>
    <w:p w14:paraId="242F220D" w14:textId="36BFDA72" w:rsidR="0073415C" w:rsidRDefault="00455211" w:rsidP="007E5D45">
      <w:pPr>
        <w:pStyle w:val="ListParagraph"/>
        <w:numPr>
          <w:ilvl w:val="2"/>
          <w:numId w:val="14"/>
        </w:numPr>
        <w:ind w:left="851" w:hanging="851"/>
      </w:pPr>
      <w:r>
        <w:t>The European Asylum Support Office (EASO) report on Iraq published in June 2019 which cited a range of sources</w:t>
      </w:r>
      <w:r w:rsidR="005C5527">
        <w:t>,</w:t>
      </w:r>
      <w:r>
        <w:t xml:space="preserve"> stated </w:t>
      </w:r>
      <w:r w:rsidR="0073415C">
        <w:t>‘</w:t>
      </w:r>
      <w:r w:rsidR="0073415C" w:rsidRPr="0073415C">
        <w:t>The Arab Socialist Baath party, which ruled Iraq from 1968 to 2003, since 1979 under Saddam Hussein, has been described as a brutal authoritarian regime.</w:t>
      </w:r>
      <w:r w:rsidR="007838EB">
        <w:t xml:space="preserve"> […]</w:t>
      </w:r>
      <w:r w:rsidR="0073415C" w:rsidRPr="0073415C">
        <w:t xml:space="preserve"> Saddam Hussein and the Baath party used violence, killing, torture, execution, and various forms of repression to control the population.</w:t>
      </w:r>
      <w:r w:rsidR="0073415C">
        <w:t>’</w:t>
      </w:r>
      <w:r w:rsidR="0073415C">
        <w:rPr>
          <w:rStyle w:val="FootnoteReference"/>
        </w:rPr>
        <w:footnoteReference w:id="5"/>
      </w:r>
    </w:p>
    <w:p w14:paraId="14ED2FCD" w14:textId="49ACA1DA" w:rsidR="00DB374E" w:rsidRDefault="004E62F0" w:rsidP="00F2764B">
      <w:pPr>
        <w:pStyle w:val="ListParagraph"/>
        <w:numPr>
          <w:ilvl w:val="2"/>
          <w:numId w:val="14"/>
        </w:numPr>
        <w:ind w:left="851" w:hanging="851"/>
      </w:pPr>
      <w:r>
        <w:t xml:space="preserve">The ICTJ produced the following table showing the different membership levels of the </w:t>
      </w:r>
      <w:r w:rsidR="00921E1E">
        <w:t>Baath</w:t>
      </w:r>
      <w:r>
        <w:t xml:space="preserve"> Party</w:t>
      </w:r>
      <w:r w:rsidR="003751B1">
        <w:rPr>
          <w:rStyle w:val="FootnoteReference"/>
        </w:rPr>
        <w:footnoteReference w:id="6"/>
      </w:r>
      <w:r>
        <w:t>:</w:t>
      </w:r>
    </w:p>
    <w:tbl>
      <w:tblPr>
        <w:tblStyle w:val="TableGrid"/>
        <w:tblW w:w="9209" w:type="dxa"/>
        <w:tblInd w:w="851" w:type="dxa"/>
        <w:tblLook w:val="04A0" w:firstRow="1" w:lastRow="0" w:firstColumn="1" w:lastColumn="0" w:noHBand="0" w:noVBand="1"/>
      </w:tblPr>
      <w:tblGrid>
        <w:gridCol w:w="1643"/>
        <w:gridCol w:w="1558"/>
        <w:gridCol w:w="1626"/>
        <w:gridCol w:w="1405"/>
        <w:gridCol w:w="2977"/>
      </w:tblGrid>
      <w:tr w:rsidR="004E62F0" w14:paraId="17F0E9EF" w14:textId="77777777" w:rsidTr="007E5D45">
        <w:tc>
          <w:tcPr>
            <w:tcW w:w="1643" w:type="dxa"/>
          </w:tcPr>
          <w:p w14:paraId="13AD591E" w14:textId="2F18CBD5" w:rsidR="004E62F0" w:rsidRPr="0077315C" w:rsidRDefault="004E62F0" w:rsidP="0077315C">
            <w:pPr>
              <w:pStyle w:val="ListParagraph"/>
              <w:numPr>
                <w:ilvl w:val="0"/>
                <w:numId w:val="0"/>
              </w:numPr>
              <w:spacing w:after="0"/>
              <w:rPr>
                <w:b/>
                <w:sz w:val="20"/>
              </w:rPr>
            </w:pPr>
            <w:r w:rsidRPr="0077315C">
              <w:rPr>
                <w:b/>
                <w:sz w:val="20"/>
              </w:rPr>
              <w:t>Level in Party Hierarchy</w:t>
            </w:r>
          </w:p>
        </w:tc>
        <w:tc>
          <w:tcPr>
            <w:tcW w:w="1558" w:type="dxa"/>
          </w:tcPr>
          <w:p w14:paraId="7C40831A" w14:textId="337CD4DE" w:rsidR="004E62F0" w:rsidRPr="0077315C" w:rsidRDefault="004E62F0" w:rsidP="0077315C">
            <w:pPr>
              <w:pStyle w:val="ListParagraph"/>
              <w:numPr>
                <w:ilvl w:val="0"/>
                <w:numId w:val="0"/>
              </w:numPr>
              <w:spacing w:after="0"/>
              <w:rPr>
                <w:b/>
                <w:sz w:val="20"/>
              </w:rPr>
            </w:pPr>
            <w:r w:rsidRPr="0077315C">
              <w:rPr>
                <w:b/>
                <w:sz w:val="20"/>
              </w:rPr>
              <w:t>Rank – English</w:t>
            </w:r>
          </w:p>
        </w:tc>
        <w:tc>
          <w:tcPr>
            <w:tcW w:w="1626" w:type="dxa"/>
          </w:tcPr>
          <w:p w14:paraId="51F266EB" w14:textId="31FA70E4" w:rsidR="004E62F0" w:rsidRPr="0077315C" w:rsidRDefault="004E62F0" w:rsidP="0077315C">
            <w:pPr>
              <w:pStyle w:val="ListParagraph"/>
              <w:numPr>
                <w:ilvl w:val="0"/>
                <w:numId w:val="0"/>
              </w:numPr>
              <w:spacing w:after="0"/>
              <w:rPr>
                <w:b/>
                <w:sz w:val="20"/>
              </w:rPr>
            </w:pPr>
            <w:r w:rsidRPr="0077315C">
              <w:rPr>
                <w:b/>
                <w:sz w:val="20"/>
              </w:rPr>
              <w:t xml:space="preserve">Rank – Arabic </w:t>
            </w:r>
          </w:p>
        </w:tc>
        <w:tc>
          <w:tcPr>
            <w:tcW w:w="1405" w:type="dxa"/>
          </w:tcPr>
          <w:p w14:paraId="5B63238E" w14:textId="14353101" w:rsidR="004E62F0" w:rsidRPr="0077315C" w:rsidRDefault="004E62F0" w:rsidP="0077315C">
            <w:pPr>
              <w:pStyle w:val="ListParagraph"/>
              <w:numPr>
                <w:ilvl w:val="0"/>
                <w:numId w:val="0"/>
              </w:numPr>
              <w:spacing w:after="0"/>
              <w:rPr>
                <w:b/>
                <w:sz w:val="20"/>
              </w:rPr>
            </w:pPr>
            <w:r w:rsidRPr="0077315C">
              <w:rPr>
                <w:b/>
                <w:sz w:val="20"/>
              </w:rPr>
              <w:t>Belongs To</w:t>
            </w:r>
          </w:p>
        </w:tc>
        <w:tc>
          <w:tcPr>
            <w:tcW w:w="2977" w:type="dxa"/>
          </w:tcPr>
          <w:p w14:paraId="0557E4CB" w14:textId="49A021B1" w:rsidR="004E62F0" w:rsidRPr="0077315C" w:rsidRDefault="004E62F0" w:rsidP="0077315C">
            <w:pPr>
              <w:pStyle w:val="ListParagraph"/>
              <w:numPr>
                <w:ilvl w:val="0"/>
                <w:numId w:val="0"/>
              </w:numPr>
              <w:spacing w:after="0"/>
              <w:rPr>
                <w:b/>
                <w:sz w:val="20"/>
              </w:rPr>
            </w:pPr>
            <w:r w:rsidRPr="0077315C">
              <w:rPr>
                <w:b/>
                <w:sz w:val="20"/>
              </w:rPr>
              <w:t>Powers</w:t>
            </w:r>
          </w:p>
        </w:tc>
      </w:tr>
      <w:tr w:rsidR="004E62F0" w14:paraId="728905A8" w14:textId="77777777" w:rsidTr="007E5D45">
        <w:tc>
          <w:tcPr>
            <w:tcW w:w="1643" w:type="dxa"/>
          </w:tcPr>
          <w:p w14:paraId="104B336B" w14:textId="784387F4" w:rsidR="004E62F0" w:rsidRPr="0077315C" w:rsidRDefault="004E62F0" w:rsidP="0077315C">
            <w:pPr>
              <w:pStyle w:val="ListParagraph"/>
              <w:numPr>
                <w:ilvl w:val="0"/>
                <w:numId w:val="0"/>
              </w:numPr>
              <w:spacing w:after="0"/>
              <w:rPr>
                <w:sz w:val="20"/>
                <w:szCs w:val="20"/>
              </w:rPr>
            </w:pPr>
            <w:r w:rsidRPr="0077315C">
              <w:rPr>
                <w:sz w:val="20"/>
                <w:szCs w:val="20"/>
              </w:rPr>
              <w:t>Highest level (symbolic only)</w:t>
            </w:r>
          </w:p>
        </w:tc>
        <w:tc>
          <w:tcPr>
            <w:tcW w:w="1558" w:type="dxa"/>
          </w:tcPr>
          <w:p w14:paraId="30004F30" w14:textId="2AD9C768" w:rsidR="004E62F0" w:rsidRPr="0077315C" w:rsidRDefault="004E62F0" w:rsidP="0077315C">
            <w:pPr>
              <w:pStyle w:val="ListParagraph"/>
              <w:numPr>
                <w:ilvl w:val="0"/>
                <w:numId w:val="0"/>
              </w:numPr>
              <w:spacing w:after="0"/>
              <w:rPr>
                <w:sz w:val="20"/>
                <w:szCs w:val="20"/>
              </w:rPr>
            </w:pPr>
            <w:r w:rsidRPr="0077315C">
              <w:rPr>
                <w:sz w:val="20"/>
                <w:szCs w:val="20"/>
              </w:rPr>
              <w:t>National command member</w:t>
            </w:r>
          </w:p>
        </w:tc>
        <w:tc>
          <w:tcPr>
            <w:tcW w:w="1626" w:type="dxa"/>
          </w:tcPr>
          <w:p w14:paraId="16EAAA93" w14:textId="238431CD" w:rsidR="004E62F0" w:rsidRPr="0077315C" w:rsidRDefault="004E62F0" w:rsidP="0077315C">
            <w:pPr>
              <w:pStyle w:val="ListParagraph"/>
              <w:numPr>
                <w:ilvl w:val="0"/>
                <w:numId w:val="0"/>
              </w:numPr>
              <w:spacing w:after="0"/>
              <w:rPr>
                <w:sz w:val="20"/>
                <w:szCs w:val="20"/>
              </w:rPr>
            </w:pPr>
            <w:r w:rsidRPr="0077315C">
              <w:rPr>
                <w:sz w:val="20"/>
                <w:szCs w:val="20"/>
              </w:rPr>
              <w:t>‘Udu Qiyada Qawmiyya</w:t>
            </w:r>
          </w:p>
        </w:tc>
        <w:tc>
          <w:tcPr>
            <w:tcW w:w="1405" w:type="dxa"/>
          </w:tcPr>
          <w:p w14:paraId="439E7D7A" w14:textId="418C6BBA" w:rsidR="004E62F0" w:rsidRPr="0077315C" w:rsidRDefault="004E62F0" w:rsidP="0077315C">
            <w:pPr>
              <w:pStyle w:val="ListParagraph"/>
              <w:numPr>
                <w:ilvl w:val="0"/>
                <w:numId w:val="0"/>
              </w:numPr>
              <w:spacing w:after="0"/>
              <w:rPr>
                <w:sz w:val="20"/>
                <w:szCs w:val="20"/>
              </w:rPr>
            </w:pPr>
            <w:r w:rsidRPr="0077315C">
              <w:rPr>
                <w:sz w:val="20"/>
                <w:szCs w:val="20"/>
              </w:rPr>
              <w:t>National Command (Arab region)</w:t>
            </w:r>
          </w:p>
        </w:tc>
        <w:tc>
          <w:tcPr>
            <w:tcW w:w="2977" w:type="dxa"/>
          </w:tcPr>
          <w:p w14:paraId="32409460" w14:textId="256C0CF6" w:rsidR="004E62F0" w:rsidRPr="0077315C" w:rsidRDefault="004E62F0" w:rsidP="0077315C">
            <w:pPr>
              <w:pStyle w:val="ListParagraph"/>
              <w:numPr>
                <w:ilvl w:val="0"/>
                <w:numId w:val="0"/>
              </w:numPr>
              <w:spacing w:after="0"/>
              <w:rPr>
                <w:sz w:val="20"/>
                <w:szCs w:val="20"/>
              </w:rPr>
            </w:pPr>
            <w:r w:rsidRPr="0077315C">
              <w:rPr>
                <w:sz w:val="20"/>
                <w:szCs w:val="20"/>
              </w:rPr>
              <w:t>Symbolic Only</w:t>
            </w:r>
          </w:p>
        </w:tc>
      </w:tr>
      <w:tr w:rsidR="004E62F0" w14:paraId="76C22817" w14:textId="77777777" w:rsidTr="007E5D45">
        <w:tc>
          <w:tcPr>
            <w:tcW w:w="1643" w:type="dxa"/>
          </w:tcPr>
          <w:p w14:paraId="0DAAF59F" w14:textId="2536BE70" w:rsidR="004E62F0" w:rsidRPr="0077315C" w:rsidRDefault="008126E4" w:rsidP="0077315C">
            <w:pPr>
              <w:pStyle w:val="ListParagraph"/>
              <w:numPr>
                <w:ilvl w:val="0"/>
                <w:numId w:val="0"/>
              </w:numPr>
              <w:spacing w:after="0"/>
              <w:rPr>
                <w:sz w:val="20"/>
                <w:szCs w:val="20"/>
              </w:rPr>
            </w:pPr>
            <w:r>
              <w:rPr>
                <w:sz w:val="20"/>
                <w:szCs w:val="20"/>
              </w:rPr>
              <w:t>High</w:t>
            </w:r>
            <w:r w:rsidR="004E62F0" w:rsidRPr="0077315C">
              <w:rPr>
                <w:sz w:val="20"/>
                <w:szCs w:val="20"/>
              </w:rPr>
              <w:t>est level of Iraqi leadership</w:t>
            </w:r>
          </w:p>
        </w:tc>
        <w:tc>
          <w:tcPr>
            <w:tcW w:w="1558" w:type="dxa"/>
          </w:tcPr>
          <w:p w14:paraId="729D8457" w14:textId="3065D459" w:rsidR="004E62F0" w:rsidRPr="0077315C" w:rsidRDefault="004E62F0" w:rsidP="0077315C">
            <w:pPr>
              <w:pStyle w:val="ListParagraph"/>
              <w:numPr>
                <w:ilvl w:val="0"/>
                <w:numId w:val="0"/>
              </w:numPr>
              <w:spacing w:after="0"/>
              <w:rPr>
                <w:sz w:val="20"/>
                <w:szCs w:val="20"/>
              </w:rPr>
            </w:pPr>
            <w:r w:rsidRPr="0077315C">
              <w:rPr>
                <w:sz w:val="20"/>
                <w:szCs w:val="20"/>
              </w:rPr>
              <w:t>Regional command member</w:t>
            </w:r>
          </w:p>
        </w:tc>
        <w:tc>
          <w:tcPr>
            <w:tcW w:w="1626" w:type="dxa"/>
          </w:tcPr>
          <w:p w14:paraId="1FEAE48F" w14:textId="7725DB75" w:rsidR="004E62F0" w:rsidRPr="0077315C" w:rsidRDefault="004E62F0" w:rsidP="0077315C">
            <w:pPr>
              <w:pStyle w:val="ListParagraph"/>
              <w:numPr>
                <w:ilvl w:val="0"/>
                <w:numId w:val="0"/>
              </w:numPr>
              <w:spacing w:after="0"/>
              <w:rPr>
                <w:sz w:val="20"/>
                <w:szCs w:val="20"/>
              </w:rPr>
            </w:pPr>
            <w:r w:rsidRPr="0077315C">
              <w:rPr>
                <w:sz w:val="20"/>
                <w:szCs w:val="20"/>
              </w:rPr>
              <w:t>‘Udu Qutriyya</w:t>
            </w:r>
          </w:p>
        </w:tc>
        <w:tc>
          <w:tcPr>
            <w:tcW w:w="1405" w:type="dxa"/>
          </w:tcPr>
          <w:p w14:paraId="114F0B9B" w14:textId="382F562E" w:rsidR="004E62F0" w:rsidRPr="0077315C" w:rsidRDefault="004E62F0" w:rsidP="0077315C">
            <w:pPr>
              <w:pStyle w:val="ListParagraph"/>
              <w:numPr>
                <w:ilvl w:val="0"/>
                <w:numId w:val="0"/>
              </w:numPr>
              <w:spacing w:after="0"/>
              <w:rPr>
                <w:sz w:val="20"/>
                <w:szCs w:val="20"/>
              </w:rPr>
            </w:pPr>
            <w:r w:rsidRPr="0077315C">
              <w:rPr>
                <w:sz w:val="20"/>
                <w:szCs w:val="20"/>
              </w:rPr>
              <w:t>Regional Command (Iraq)</w:t>
            </w:r>
          </w:p>
        </w:tc>
        <w:tc>
          <w:tcPr>
            <w:tcW w:w="2977" w:type="dxa"/>
          </w:tcPr>
          <w:p w14:paraId="207D01FE" w14:textId="674516FA" w:rsidR="004E62F0" w:rsidRPr="0077315C" w:rsidRDefault="004E62F0" w:rsidP="0077315C">
            <w:pPr>
              <w:pStyle w:val="ListParagraph"/>
              <w:numPr>
                <w:ilvl w:val="0"/>
                <w:numId w:val="0"/>
              </w:numPr>
              <w:spacing w:after="0"/>
              <w:rPr>
                <w:sz w:val="20"/>
                <w:szCs w:val="20"/>
              </w:rPr>
            </w:pPr>
            <w:r w:rsidRPr="0077315C">
              <w:rPr>
                <w:sz w:val="20"/>
                <w:szCs w:val="20"/>
              </w:rPr>
              <w:t xml:space="preserve">Set state and party policies. Were often secretaries accountable only to regional command secretary (Hussein). Had official powers to order military operations. </w:t>
            </w:r>
          </w:p>
        </w:tc>
      </w:tr>
      <w:tr w:rsidR="004E62F0" w14:paraId="2115CA22" w14:textId="77777777" w:rsidTr="007E5D45">
        <w:tc>
          <w:tcPr>
            <w:tcW w:w="1643" w:type="dxa"/>
          </w:tcPr>
          <w:p w14:paraId="1188EAC0" w14:textId="273B6D23" w:rsidR="004E62F0" w:rsidRPr="0077315C" w:rsidRDefault="004E62F0" w:rsidP="0077315C">
            <w:pPr>
              <w:pStyle w:val="ListParagraph"/>
              <w:numPr>
                <w:ilvl w:val="0"/>
                <w:numId w:val="0"/>
              </w:numPr>
              <w:spacing w:after="0"/>
              <w:rPr>
                <w:sz w:val="20"/>
                <w:szCs w:val="20"/>
              </w:rPr>
            </w:pPr>
            <w:r w:rsidRPr="0077315C">
              <w:rPr>
                <w:sz w:val="20"/>
                <w:szCs w:val="20"/>
              </w:rPr>
              <w:t>Bureaus</w:t>
            </w:r>
            <w:r w:rsidR="0077315C" w:rsidRPr="0077315C">
              <w:rPr>
                <w:sz w:val="20"/>
                <w:szCs w:val="20"/>
              </w:rPr>
              <w:t>. C</w:t>
            </w:r>
            <w:r w:rsidRPr="0077315C">
              <w:rPr>
                <w:sz w:val="20"/>
                <w:szCs w:val="20"/>
              </w:rPr>
              <w:t>ould be geographical or professional (e.g. Students’ Bureau)</w:t>
            </w:r>
          </w:p>
        </w:tc>
        <w:tc>
          <w:tcPr>
            <w:tcW w:w="1558" w:type="dxa"/>
          </w:tcPr>
          <w:p w14:paraId="4CA28CE9" w14:textId="5BB45548" w:rsidR="004E62F0" w:rsidRPr="0077315C" w:rsidRDefault="004E62F0" w:rsidP="0077315C">
            <w:pPr>
              <w:pStyle w:val="ListParagraph"/>
              <w:numPr>
                <w:ilvl w:val="0"/>
                <w:numId w:val="0"/>
              </w:numPr>
              <w:spacing w:after="0"/>
              <w:rPr>
                <w:sz w:val="20"/>
                <w:szCs w:val="20"/>
              </w:rPr>
            </w:pPr>
            <w:r w:rsidRPr="0077315C">
              <w:rPr>
                <w:sz w:val="20"/>
                <w:szCs w:val="20"/>
              </w:rPr>
              <w:t>Office member</w:t>
            </w:r>
          </w:p>
        </w:tc>
        <w:tc>
          <w:tcPr>
            <w:tcW w:w="1626" w:type="dxa"/>
          </w:tcPr>
          <w:p w14:paraId="13049339" w14:textId="15613402" w:rsidR="004E62F0" w:rsidRPr="0077315C" w:rsidRDefault="004E62F0" w:rsidP="0077315C">
            <w:pPr>
              <w:pStyle w:val="ListParagraph"/>
              <w:numPr>
                <w:ilvl w:val="0"/>
                <w:numId w:val="0"/>
              </w:numPr>
              <w:spacing w:after="0"/>
              <w:rPr>
                <w:sz w:val="20"/>
                <w:szCs w:val="20"/>
              </w:rPr>
            </w:pPr>
            <w:r w:rsidRPr="0077315C">
              <w:rPr>
                <w:sz w:val="20"/>
                <w:szCs w:val="20"/>
              </w:rPr>
              <w:t>‘Udu Maktab</w:t>
            </w:r>
          </w:p>
        </w:tc>
        <w:tc>
          <w:tcPr>
            <w:tcW w:w="1405" w:type="dxa"/>
          </w:tcPr>
          <w:p w14:paraId="3190BD9C" w14:textId="356459AF" w:rsidR="004E62F0" w:rsidRPr="0077315C" w:rsidRDefault="004E62F0" w:rsidP="0077315C">
            <w:pPr>
              <w:pStyle w:val="ListParagraph"/>
              <w:numPr>
                <w:ilvl w:val="0"/>
                <w:numId w:val="0"/>
              </w:numPr>
              <w:spacing w:after="0"/>
              <w:rPr>
                <w:sz w:val="20"/>
                <w:szCs w:val="20"/>
              </w:rPr>
            </w:pPr>
            <w:r w:rsidRPr="0077315C">
              <w:rPr>
                <w:sz w:val="20"/>
                <w:szCs w:val="20"/>
              </w:rPr>
              <w:t>Office (aka bureau)</w:t>
            </w:r>
          </w:p>
        </w:tc>
        <w:tc>
          <w:tcPr>
            <w:tcW w:w="2977" w:type="dxa"/>
          </w:tcPr>
          <w:p w14:paraId="18C6E397" w14:textId="4AA61331" w:rsidR="004E62F0" w:rsidRPr="0077315C" w:rsidRDefault="004E62F0" w:rsidP="0077315C">
            <w:pPr>
              <w:pStyle w:val="ListParagraph"/>
              <w:numPr>
                <w:ilvl w:val="0"/>
                <w:numId w:val="0"/>
              </w:numPr>
              <w:spacing w:after="0"/>
              <w:rPr>
                <w:sz w:val="20"/>
                <w:szCs w:val="20"/>
              </w:rPr>
            </w:pPr>
            <w:r w:rsidRPr="0077315C">
              <w:rPr>
                <w:sz w:val="20"/>
                <w:szCs w:val="20"/>
              </w:rPr>
              <w:t xml:space="preserve">Supervised branch leaders. Some had powers to order military and security forces, including movement restrictions, house destructions, summonses, and interrogations. </w:t>
            </w:r>
          </w:p>
        </w:tc>
      </w:tr>
      <w:tr w:rsidR="004E62F0" w14:paraId="4A05F113" w14:textId="77777777" w:rsidTr="007E5D45">
        <w:tc>
          <w:tcPr>
            <w:tcW w:w="1643" w:type="dxa"/>
          </w:tcPr>
          <w:p w14:paraId="5BF84F9E" w14:textId="0D2E551A" w:rsidR="004E62F0" w:rsidRPr="0077315C" w:rsidRDefault="0077315C" w:rsidP="0077315C">
            <w:pPr>
              <w:pStyle w:val="ListParagraph"/>
              <w:numPr>
                <w:ilvl w:val="0"/>
                <w:numId w:val="0"/>
              </w:numPr>
              <w:spacing w:after="0"/>
              <w:rPr>
                <w:sz w:val="20"/>
                <w:szCs w:val="20"/>
              </w:rPr>
            </w:pPr>
            <w:r w:rsidRPr="0077315C">
              <w:rPr>
                <w:sz w:val="20"/>
                <w:szCs w:val="20"/>
              </w:rPr>
              <w:t>Senior Party Members</w:t>
            </w:r>
          </w:p>
        </w:tc>
        <w:tc>
          <w:tcPr>
            <w:tcW w:w="1558" w:type="dxa"/>
          </w:tcPr>
          <w:p w14:paraId="6013555C" w14:textId="7412B6E5" w:rsidR="004E62F0" w:rsidRPr="0077315C" w:rsidRDefault="0077315C" w:rsidP="0077315C">
            <w:pPr>
              <w:pStyle w:val="ListParagraph"/>
              <w:numPr>
                <w:ilvl w:val="0"/>
                <w:numId w:val="0"/>
              </w:numPr>
              <w:spacing w:after="0"/>
              <w:rPr>
                <w:sz w:val="20"/>
                <w:szCs w:val="20"/>
              </w:rPr>
            </w:pPr>
            <w:r w:rsidRPr="0077315C">
              <w:rPr>
                <w:sz w:val="20"/>
                <w:szCs w:val="20"/>
              </w:rPr>
              <w:t>Branch member</w:t>
            </w:r>
          </w:p>
        </w:tc>
        <w:tc>
          <w:tcPr>
            <w:tcW w:w="1626" w:type="dxa"/>
          </w:tcPr>
          <w:p w14:paraId="60BE9904" w14:textId="4595EB64" w:rsidR="004E62F0" w:rsidRPr="0077315C" w:rsidRDefault="0077315C" w:rsidP="0077315C">
            <w:pPr>
              <w:pStyle w:val="ListParagraph"/>
              <w:numPr>
                <w:ilvl w:val="0"/>
                <w:numId w:val="0"/>
              </w:numPr>
              <w:spacing w:after="0"/>
              <w:rPr>
                <w:sz w:val="20"/>
                <w:szCs w:val="20"/>
              </w:rPr>
            </w:pPr>
            <w:r w:rsidRPr="0077315C">
              <w:rPr>
                <w:sz w:val="20"/>
                <w:szCs w:val="20"/>
              </w:rPr>
              <w:t>‘Udu Far’</w:t>
            </w:r>
          </w:p>
        </w:tc>
        <w:tc>
          <w:tcPr>
            <w:tcW w:w="1405" w:type="dxa"/>
          </w:tcPr>
          <w:p w14:paraId="0B010C31" w14:textId="23A341EF" w:rsidR="004E62F0" w:rsidRPr="0077315C" w:rsidRDefault="0077315C" w:rsidP="0077315C">
            <w:pPr>
              <w:pStyle w:val="ListParagraph"/>
              <w:numPr>
                <w:ilvl w:val="0"/>
                <w:numId w:val="0"/>
              </w:numPr>
              <w:spacing w:after="0"/>
              <w:rPr>
                <w:sz w:val="20"/>
                <w:szCs w:val="20"/>
              </w:rPr>
            </w:pPr>
            <w:r w:rsidRPr="0077315C">
              <w:rPr>
                <w:sz w:val="20"/>
                <w:szCs w:val="20"/>
              </w:rPr>
              <w:t>Branch</w:t>
            </w:r>
          </w:p>
        </w:tc>
        <w:tc>
          <w:tcPr>
            <w:tcW w:w="2977" w:type="dxa"/>
          </w:tcPr>
          <w:p w14:paraId="423D7031" w14:textId="453EC0B7" w:rsidR="004E62F0" w:rsidRPr="0077315C" w:rsidRDefault="0077315C" w:rsidP="0077315C">
            <w:pPr>
              <w:pStyle w:val="ListParagraph"/>
              <w:numPr>
                <w:ilvl w:val="0"/>
                <w:numId w:val="0"/>
              </w:numPr>
              <w:spacing w:after="0"/>
              <w:rPr>
                <w:sz w:val="20"/>
                <w:szCs w:val="20"/>
              </w:rPr>
            </w:pPr>
            <w:r w:rsidRPr="0077315C">
              <w:rPr>
                <w:sz w:val="20"/>
                <w:szCs w:val="20"/>
              </w:rPr>
              <w:t xml:space="preserve">Led party sections (below). Could order security apparatus but not military to arrest. Authorized to use party firearms against suspected subversives. With other officials, could issue security </w:t>
            </w:r>
            <w:r w:rsidRPr="0077315C">
              <w:rPr>
                <w:sz w:val="20"/>
                <w:szCs w:val="20"/>
              </w:rPr>
              <w:lastRenderedPageBreak/>
              <w:t>decisions for area of responsibility.</w:t>
            </w:r>
          </w:p>
        </w:tc>
      </w:tr>
      <w:tr w:rsidR="004E62F0" w14:paraId="22A1F115" w14:textId="77777777" w:rsidTr="007E5D45">
        <w:tc>
          <w:tcPr>
            <w:tcW w:w="1643" w:type="dxa"/>
          </w:tcPr>
          <w:p w14:paraId="60FE479B" w14:textId="50A381F2" w:rsidR="004E62F0" w:rsidRPr="0077315C" w:rsidRDefault="0077315C" w:rsidP="0077315C">
            <w:pPr>
              <w:pStyle w:val="ListParagraph"/>
              <w:numPr>
                <w:ilvl w:val="0"/>
                <w:numId w:val="0"/>
              </w:numPr>
              <w:spacing w:after="0"/>
              <w:rPr>
                <w:sz w:val="20"/>
                <w:szCs w:val="20"/>
              </w:rPr>
            </w:pPr>
            <w:r w:rsidRPr="0077315C">
              <w:rPr>
                <w:sz w:val="20"/>
                <w:szCs w:val="20"/>
              </w:rPr>
              <w:lastRenderedPageBreak/>
              <w:t>Senior Party Members</w:t>
            </w:r>
          </w:p>
        </w:tc>
        <w:tc>
          <w:tcPr>
            <w:tcW w:w="1558" w:type="dxa"/>
          </w:tcPr>
          <w:p w14:paraId="160E001E" w14:textId="47D55DFF" w:rsidR="004E62F0" w:rsidRPr="0077315C" w:rsidRDefault="0077315C" w:rsidP="0077315C">
            <w:pPr>
              <w:pStyle w:val="ListParagraph"/>
              <w:numPr>
                <w:ilvl w:val="0"/>
                <w:numId w:val="0"/>
              </w:numPr>
              <w:spacing w:after="0"/>
              <w:rPr>
                <w:sz w:val="20"/>
                <w:szCs w:val="20"/>
              </w:rPr>
            </w:pPr>
            <w:r w:rsidRPr="0077315C">
              <w:rPr>
                <w:sz w:val="20"/>
                <w:szCs w:val="20"/>
              </w:rPr>
              <w:t>Section member</w:t>
            </w:r>
          </w:p>
        </w:tc>
        <w:tc>
          <w:tcPr>
            <w:tcW w:w="1626" w:type="dxa"/>
          </w:tcPr>
          <w:p w14:paraId="32274D93" w14:textId="462097D1" w:rsidR="004E62F0" w:rsidRPr="0077315C" w:rsidRDefault="0077315C" w:rsidP="0077315C">
            <w:pPr>
              <w:pStyle w:val="ListParagraph"/>
              <w:numPr>
                <w:ilvl w:val="0"/>
                <w:numId w:val="0"/>
              </w:numPr>
              <w:spacing w:after="0"/>
              <w:rPr>
                <w:sz w:val="20"/>
                <w:szCs w:val="20"/>
              </w:rPr>
            </w:pPr>
            <w:r w:rsidRPr="0077315C">
              <w:rPr>
                <w:sz w:val="20"/>
                <w:szCs w:val="20"/>
              </w:rPr>
              <w:t>‘Udu Sh’uba’</w:t>
            </w:r>
          </w:p>
        </w:tc>
        <w:tc>
          <w:tcPr>
            <w:tcW w:w="1405" w:type="dxa"/>
          </w:tcPr>
          <w:p w14:paraId="28D7CF9A" w14:textId="7C34FE8A" w:rsidR="004E62F0" w:rsidRPr="0077315C" w:rsidRDefault="0077315C" w:rsidP="0077315C">
            <w:pPr>
              <w:pStyle w:val="ListParagraph"/>
              <w:numPr>
                <w:ilvl w:val="0"/>
                <w:numId w:val="0"/>
              </w:numPr>
              <w:spacing w:after="0"/>
              <w:rPr>
                <w:sz w:val="20"/>
                <w:szCs w:val="20"/>
              </w:rPr>
            </w:pPr>
            <w:r w:rsidRPr="0077315C">
              <w:rPr>
                <w:sz w:val="20"/>
                <w:szCs w:val="20"/>
              </w:rPr>
              <w:t>Section</w:t>
            </w:r>
          </w:p>
        </w:tc>
        <w:tc>
          <w:tcPr>
            <w:tcW w:w="2977" w:type="dxa"/>
          </w:tcPr>
          <w:p w14:paraId="7A44208E" w14:textId="1356E467" w:rsidR="004E62F0" w:rsidRPr="0077315C" w:rsidRDefault="0077315C" w:rsidP="0077315C">
            <w:pPr>
              <w:pStyle w:val="ListParagraph"/>
              <w:numPr>
                <w:ilvl w:val="0"/>
                <w:numId w:val="0"/>
              </w:numPr>
              <w:spacing w:after="0"/>
              <w:rPr>
                <w:sz w:val="20"/>
                <w:szCs w:val="20"/>
              </w:rPr>
            </w:pPr>
            <w:r w:rsidRPr="0077315C">
              <w:rPr>
                <w:sz w:val="20"/>
                <w:szCs w:val="20"/>
              </w:rPr>
              <w:t>Led groups, supposedly supervised and followed up work of security forces, could order checkpoints and local states of alert. Could act with local security and militias to break up suspicious gatherings. Authorized to use party firearms.</w:t>
            </w:r>
          </w:p>
        </w:tc>
      </w:tr>
      <w:tr w:rsidR="004E62F0" w14:paraId="645C2108" w14:textId="77777777" w:rsidTr="007E5D45">
        <w:tc>
          <w:tcPr>
            <w:tcW w:w="1643" w:type="dxa"/>
          </w:tcPr>
          <w:p w14:paraId="39AA7218" w14:textId="2BBCFFB3" w:rsidR="004E62F0" w:rsidRPr="0077315C" w:rsidRDefault="0077315C" w:rsidP="0077315C">
            <w:pPr>
              <w:pStyle w:val="ListParagraph"/>
              <w:numPr>
                <w:ilvl w:val="0"/>
                <w:numId w:val="0"/>
              </w:numPr>
              <w:spacing w:after="0"/>
              <w:rPr>
                <w:sz w:val="20"/>
                <w:szCs w:val="20"/>
              </w:rPr>
            </w:pPr>
            <w:r w:rsidRPr="0077315C">
              <w:rPr>
                <w:sz w:val="20"/>
                <w:szCs w:val="20"/>
              </w:rPr>
              <w:t>Senior Party Members</w:t>
            </w:r>
          </w:p>
        </w:tc>
        <w:tc>
          <w:tcPr>
            <w:tcW w:w="1558" w:type="dxa"/>
          </w:tcPr>
          <w:p w14:paraId="5AE7D6C9" w14:textId="154AEE0C" w:rsidR="004E62F0" w:rsidRPr="0077315C" w:rsidRDefault="0077315C" w:rsidP="0077315C">
            <w:pPr>
              <w:pStyle w:val="ListParagraph"/>
              <w:numPr>
                <w:ilvl w:val="0"/>
                <w:numId w:val="0"/>
              </w:numPr>
              <w:spacing w:after="0"/>
              <w:rPr>
                <w:sz w:val="20"/>
                <w:szCs w:val="20"/>
              </w:rPr>
            </w:pPr>
            <w:r w:rsidRPr="0077315C">
              <w:rPr>
                <w:sz w:val="20"/>
                <w:szCs w:val="20"/>
              </w:rPr>
              <w:t>Unit member</w:t>
            </w:r>
          </w:p>
        </w:tc>
        <w:tc>
          <w:tcPr>
            <w:tcW w:w="1626" w:type="dxa"/>
          </w:tcPr>
          <w:p w14:paraId="0B27D595" w14:textId="3D75B07E" w:rsidR="004E62F0" w:rsidRPr="0077315C" w:rsidRDefault="0077315C" w:rsidP="0077315C">
            <w:pPr>
              <w:pStyle w:val="ListParagraph"/>
              <w:numPr>
                <w:ilvl w:val="0"/>
                <w:numId w:val="0"/>
              </w:numPr>
              <w:spacing w:after="0"/>
              <w:rPr>
                <w:sz w:val="20"/>
                <w:szCs w:val="20"/>
              </w:rPr>
            </w:pPr>
            <w:r w:rsidRPr="0077315C">
              <w:rPr>
                <w:sz w:val="20"/>
                <w:szCs w:val="20"/>
              </w:rPr>
              <w:t>‘Udu Ferqa</w:t>
            </w:r>
          </w:p>
        </w:tc>
        <w:tc>
          <w:tcPr>
            <w:tcW w:w="1405" w:type="dxa"/>
          </w:tcPr>
          <w:p w14:paraId="12397293" w14:textId="35AB574F" w:rsidR="004E62F0" w:rsidRPr="0077315C" w:rsidRDefault="0077315C" w:rsidP="0077315C">
            <w:pPr>
              <w:pStyle w:val="ListParagraph"/>
              <w:numPr>
                <w:ilvl w:val="0"/>
                <w:numId w:val="0"/>
              </w:numPr>
              <w:spacing w:after="0"/>
              <w:rPr>
                <w:sz w:val="20"/>
                <w:szCs w:val="20"/>
              </w:rPr>
            </w:pPr>
            <w:r w:rsidRPr="0077315C">
              <w:rPr>
                <w:sz w:val="20"/>
                <w:szCs w:val="20"/>
              </w:rPr>
              <w:t>Unit</w:t>
            </w:r>
          </w:p>
        </w:tc>
        <w:tc>
          <w:tcPr>
            <w:tcW w:w="2977" w:type="dxa"/>
          </w:tcPr>
          <w:p w14:paraId="40ED22C8" w14:textId="21A30EC2" w:rsidR="004E62F0" w:rsidRPr="0077315C" w:rsidRDefault="0077315C" w:rsidP="0077315C">
            <w:pPr>
              <w:pStyle w:val="ListParagraph"/>
              <w:numPr>
                <w:ilvl w:val="0"/>
                <w:numId w:val="0"/>
              </w:numPr>
              <w:spacing w:after="0"/>
              <w:rPr>
                <w:sz w:val="20"/>
                <w:szCs w:val="20"/>
              </w:rPr>
            </w:pPr>
            <w:r w:rsidRPr="0077315C">
              <w:rPr>
                <w:sz w:val="20"/>
                <w:szCs w:val="20"/>
              </w:rPr>
              <w:t>No decision-making role. Watched security and state administration. Followed up reports on individuals. Directly implemented orders of superiors, informed on individuals to competent authorities, gave character references, etc.</w:t>
            </w:r>
          </w:p>
        </w:tc>
      </w:tr>
      <w:tr w:rsidR="004E62F0" w14:paraId="0DD802C8" w14:textId="77777777" w:rsidTr="007E5D45">
        <w:tc>
          <w:tcPr>
            <w:tcW w:w="1643" w:type="dxa"/>
          </w:tcPr>
          <w:p w14:paraId="3D6C0999" w14:textId="77777777" w:rsidR="004E62F0" w:rsidRPr="0077315C" w:rsidRDefault="004E62F0" w:rsidP="0077315C">
            <w:pPr>
              <w:pStyle w:val="ListParagraph"/>
              <w:numPr>
                <w:ilvl w:val="0"/>
                <w:numId w:val="0"/>
              </w:numPr>
              <w:spacing w:after="0"/>
              <w:rPr>
                <w:sz w:val="20"/>
                <w:szCs w:val="20"/>
              </w:rPr>
            </w:pPr>
          </w:p>
        </w:tc>
        <w:tc>
          <w:tcPr>
            <w:tcW w:w="1558" w:type="dxa"/>
          </w:tcPr>
          <w:p w14:paraId="74B8F650" w14:textId="096B9126" w:rsidR="004E62F0" w:rsidRPr="0077315C" w:rsidRDefault="0077315C" w:rsidP="0077315C">
            <w:pPr>
              <w:pStyle w:val="ListParagraph"/>
              <w:numPr>
                <w:ilvl w:val="0"/>
                <w:numId w:val="0"/>
              </w:numPr>
              <w:spacing w:after="0"/>
              <w:rPr>
                <w:sz w:val="20"/>
                <w:szCs w:val="20"/>
              </w:rPr>
            </w:pPr>
            <w:r w:rsidRPr="0077315C">
              <w:rPr>
                <w:sz w:val="20"/>
                <w:szCs w:val="20"/>
              </w:rPr>
              <w:t>Active member</w:t>
            </w:r>
          </w:p>
        </w:tc>
        <w:tc>
          <w:tcPr>
            <w:tcW w:w="1626" w:type="dxa"/>
          </w:tcPr>
          <w:p w14:paraId="76CE630E" w14:textId="0EE9FF4E" w:rsidR="004E62F0" w:rsidRPr="0077315C" w:rsidRDefault="0077315C" w:rsidP="0077315C">
            <w:pPr>
              <w:pStyle w:val="ListParagraph"/>
              <w:numPr>
                <w:ilvl w:val="0"/>
                <w:numId w:val="0"/>
              </w:numPr>
              <w:spacing w:after="0"/>
              <w:rPr>
                <w:sz w:val="20"/>
                <w:szCs w:val="20"/>
              </w:rPr>
            </w:pPr>
            <w:r w:rsidRPr="0077315C">
              <w:rPr>
                <w:sz w:val="20"/>
                <w:szCs w:val="20"/>
              </w:rPr>
              <w:t>‘Udu ‘Amel</w:t>
            </w:r>
          </w:p>
        </w:tc>
        <w:tc>
          <w:tcPr>
            <w:tcW w:w="1405" w:type="dxa"/>
          </w:tcPr>
          <w:p w14:paraId="66BB03FF" w14:textId="4BC09E00" w:rsidR="004E62F0" w:rsidRPr="0077315C" w:rsidRDefault="0077315C" w:rsidP="0077315C">
            <w:pPr>
              <w:pStyle w:val="ListParagraph"/>
              <w:numPr>
                <w:ilvl w:val="0"/>
                <w:numId w:val="0"/>
              </w:numPr>
              <w:spacing w:after="0"/>
              <w:rPr>
                <w:sz w:val="20"/>
                <w:szCs w:val="20"/>
              </w:rPr>
            </w:pPr>
            <w:r w:rsidRPr="0077315C">
              <w:rPr>
                <w:sz w:val="20"/>
                <w:szCs w:val="20"/>
              </w:rPr>
              <w:t>Organization</w:t>
            </w:r>
          </w:p>
        </w:tc>
        <w:tc>
          <w:tcPr>
            <w:tcW w:w="2977" w:type="dxa"/>
          </w:tcPr>
          <w:p w14:paraId="2F954DD7" w14:textId="77777777" w:rsidR="004E62F0" w:rsidRPr="0077315C" w:rsidRDefault="004E62F0" w:rsidP="0077315C">
            <w:pPr>
              <w:pStyle w:val="ListParagraph"/>
              <w:numPr>
                <w:ilvl w:val="0"/>
                <w:numId w:val="0"/>
              </w:numPr>
              <w:spacing w:after="0"/>
              <w:rPr>
                <w:sz w:val="20"/>
                <w:szCs w:val="20"/>
              </w:rPr>
            </w:pPr>
          </w:p>
        </w:tc>
      </w:tr>
      <w:tr w:rsidR="004E62F0" w14:paraId="2EB4E90B" w14:textId="77777777" w:rsidTr="007E5D45">
        <w:tc>
          <w:tcPr>
            <w:tcW w:w="1643" w:type="dxa"/>
          </w:tcPr>
          <w:p w14:paraId="32EF65AF" w14:textId="24CCED83" w:rsidR="004E62F0" w:rsidRPr="0077315C" w:rsidRDefault="0077315C" w:rsidP="0077315C">
            <w:pPr>
              <w:pStyle w:val="ListParagraph"/>
              <w:numPr>
                <w:ilvl w:val="0"/>
                <w:numId w:val="0"/>
              </w:numPr>
              <w:spacing w:after="0"/>
              <w:rPr>
                <w:sz w:val="20"/>
                <w:szCs w:val="20"/>
              </w:rPr>
            </w:pPr>
            <w:r w:rsidRPr="0077315C">
              <w:rPr>
                <w:sz w:val="20"/>
                <w:szCs w:val="20"/>
              </w:rPr>
              <w:t>Actual membership commenced</w:t>
            </w:r>
          </w:p>
        </w:tc>
        <w:tc>
          <w:tcPr>
            <w:tcW w:w="1558" w:type="dxa"/>
          </w:tcPr>
          <w:p w14:paraId="251CB8CD" w14:textId="2FA10008" w:rsidR="004E62F0" w:rsidRPr="0077315C" w:rsidRDefault="0077315C" w:rsidP="0077315C">
            <w:pPr>
              <w:pStyle w:val="ListParagraph"/>
              <w:numPr>
                <w:ilvl w:val="0"/>
                <w:numId w:val="0"/>
              </w:numPr>
              <w:spacing w:after="0"/>
              <w:rPr>
                <w:sz w:val="20"/>
                <w:szCs w:val="20"/>
              </w:rPr>
            </w:pPr>
            <w:r w:rsidRPr="0077315C">
              <w:rPr>
                <w:sz w:val="20"/>
                <w:szCs w:val="20"/>
              </w:rPr>
              <w:t>Trainee member</w:t>
            </w:r>
          </w:p>
        </w:tc>
        <w:tc>
          <w:tcPr>
            <w:tcW w:w="1626" w:type="dxa"/>
          </w:tcPr>
          <w:p w14:paraId="59EA5C39" w14:textId="010D8034" w:rsidR="004E62F0" w:rsidRPr="0077315C" w:rsidRDefault="0077315C" w:rsidP="0077315C">
            <w:pPr>
              <w:pStyle w:val="ListParagraph"/>
              <w:numPr>
                <w:ilvl w:val="0"/>
                <w:numId w:val="0"/>
              </w:numPr>
              <w:spacing w:after="0"/>
              <w:rPr>
                <w:sz w:val="20"/>
                <w:szCs w:val="20"/>
              </w:rPr>
            </w:pPr>
            <w:r w:rsidRPr="0077315C">
              <w:rPr>
                <w:sz w:val="20"/>
                <w:szCs w:val="20"/>
              </w:rPr>
              <w:t>‘Udu Mutadarrib</w:t>
            </w:r>
          </w:p>
        </w:tc>
        <w:tc>
          <w:tcPr>
            <w:tcW w:w="1405" w:type="dxa"/>
          </w:tcPr>
          <w:p w14:paraId="0EE0E90D" w14:textId="71CC8EBE" w:rsidR="004E62F0" w:rsidRPr="0077315C" w:rsidRDefault="0077315C" w:rsidP="0077315C">
            <w:pPr>
              <w:pStyle w:val="ListParagraph"/>
              <w:numPr>
                <w:ilvl w:val="0"/>
                <w:numId w:val="0"/>
              </w:numPr>
              <w:spacing w:after="0"/>
              <w:rPr>
                <w:sz w:val="20"/>
                <w:szCs w:val="20"/>
              </w:rPr>
            </w:pPr>
            <w:r w:rsidRPr="0077315C">
              <w:rPr>
                <w:sz w:val="20"/>
                <w:szCs w:val="20"/>
              </w:rPr>
              <w:t>Cell/Circle</w:t>
            </w:r>
          </w:p>
        </w:tc>
        <w:tc>
          <w:tcPr>
            <w:tcW w:w="2977" w:type="dxa"/>
          </w:tcPr>
          <w:p w14:paraId="6559523D" w14:textId="54800DBC" w:rsidR="004E62F0" w:rsidRPr="0077315C" w:rsidRDefault="0077315C" w:rsidP="0077315C">
            <w:pPr>
              <w:pStyle w:val="ListParagraph"/>
              <w:numPr>
                <w:ilvl w:val="0"/>
                <w:numId w:val="0"/>
              </w:numPr>
              <w:spacing w:after="0"/>
              <w:rPr>
                <w:sz w:val="20"/>
                <w:szCs w:val="20"/>
              </w:rPr>
            </w:pPr>
            <w:r w:rsidRPr="0077315C">
              <w:rPr>
                <w:sz w:val="20"/>
                <w:szCs w:val="20"/>
              </w:rPr>
              <w:t>A member during his or her training period</w:t>
            </w:r>
          </w:p>
        </w:tc>
      </w:tr>
      <w:tr w:rsidR="004E62F0" w14:paraId="13524BC6" w14:textId="77777777" w:rsidTr="007E5D45">
        <w:tc>
          <w:tcPr>
            <w:tcW w:w="1643" w:type="dxa"/>
          </w:tcPr>
          <w:p w14:paraId="6D5D20A3" w14:textId="77777777" w:rsidR="004E62F0" w:rsidRPr="0077315C" w:rsidRDefault="004E62F0" w:rsidP="0077315C">
            <w:pPr>
              <w:pStyle w:val="ListParagraph"/>
              <w:numPr>
                <w:ilvl w:val="0"/>
                <w:numId w:val="0"/>
              </w:numPr>
              <w:spacing w:after="0"/>
              <w:rPr>
                <w:sz w:val="20"/>
                <w:szCs w:val="20"/>
              </w:rPr>
            </w:pPr>
          </w:p>
        </w:tc>
        <w:tc>
          <w:tcPr>
            <w:tcW w:w="1558" w:type="dxa"/>
          </w:tcPr>
          <w:p w14:paraId="28B9FEA8" w14:textId="130D3CA7" w:rsidR="004E62F0" w:rsidRPr="0077315C" w:rsidRDefault="0077315C" w:rsidP="0077315C">
            <w:pPr>
              <w:pStyle w:val="ListParagraph"/>
              <w:numPr>
                <w:ilvl w:val="0"/>
                <w:numId w:val="0"/>
              </w:numPr>
              <w:spacing w:after="0"/>
              <w:rPr>
                <w:sz w:val="20"/>
                <w:szCs w:val="20"/>
              </w:rPr>
            </w:pPr>
            <w:r w:rsidRPr="0077315C">
              <w:rPr>
                <w:sz w:val="20"/>
                <w:szCs w:val="20"/>
              </w:rPr>
              <w:t>Candidate</w:t>
            </w:r>
          </w:p>
        </w:tc>
        <w:tc>
          <w:tcPr>
            <w:tcW w:w="1626" w:type="dxa"/>
          </w:tcPr>
          <w:p w14:paraId="026B4D2D" w14:textId="6503081D" w:rsidR="004E62F0" w:rsidRPr="0077315C" w:rsidRDefault="0077315C" w:rsidP="0077315C">
            <w:pPr>
              <w:pStyle w:val="ListParagraph"/>
              <w:numPr>
                <w:ilvl w:val="0"/>
                <w:numId w:val="0"/>
              </w:numPr>
              <w:spacing w:after="0"/>
              <w:rPr>
                <w:sz w:val="20"/>
                <w:szCs w:val="20"/>
              </w:rPr>
            </w:pPr>
            <w:r w:rsidRPr="0077315C">
              <w:rPr>
                <w:sz w:val="20"/>
                <w:szCs w:val="20"/>
              </w:rPr>
              <w:t>Murashah lil ‘Udwiyya</w:t>
            </w:r>
          </w:p>
        </w:tc>
        <w:tc>
          <w:tcPr>
            <w:tcW w:w="1405" w:type="dxa"/>
          </w:tcPr>
          <w:p w14:paraId="697C582A" w14:textId="26C5880D" w:rsidR="004E62F0" w:rsidRPr="0077315C" w:rsidRDefault="0077315C" w:rsidP="0077315C">
            <w:pPr>
              <w:pStyle w:val="ListParagraph"/>
              <w:numPr>
                <w:ilvl w:val="0"/>
                <w:numId w:val="0"/>
              </w:numPr>
              <w:spacing w:after="0"/>
              <w:rPr>
                <w:sz w:val="20"/>
                <w:szCs w:val="20"/>
              </w:rPr>
            </w:pPr>
            <w:r w:rsidRPr="0077315C">
              <w:rPr>
                <w:sz w:val="20"/>
                <w:szCs w:val="20"/>
              </w:rPr>
              <w:t>Cell/Circle</w:t>
            </w:r>
          </w:p>
        </w:tc>
        <w:tc>
          <w:tcPr>
            <w:tcW w:w="2977" w:type="dxa"/>
          </w:tcPr>
          <w:p w14:paraId="624F3287" w14:textId="2A7E94AB" w:rsidR="004E62F0" w:rsidRPr="0077315C" w:rsidRDefault="0077315C" w:rsidP="0077315C">
            <w:pPr>
              <w:pStyle w:val="ListParagraph"/>
              <w:numPr>
                <w:ilvl w:val="0"/>
                <w:numId w:val="0"/>
              </w:numPr>
              <w:spacing w:after="0"/>
              <w:rPr>
                <w:sz w:val="20"/>
                <w:szCs w:val="20"/>
              </w:rPr>
            </w:pPr>
            <w:r w:rsidRPr="0077315C">
              <w:rPr>
                <w:sz w:val="20"/>
                <w:szCs w:val="20"/>
              </w:rPr>
              <w:t xml:space="preserve">A period during which a recruit is trained and examined. </w:t>
            </w:r>
          </w:p>
        </w:tc>
      </w:tr>
      <w:tr w:rsidR="004E62F0" w14:paraId="574DE708" w14:textId="77777777" w:rsidTr="007E5D45">
        <w:tc>
          <w:tcPr>
            <w:tcW w:w="1643" w:type="dxa"/>
          </w:tcPr>
          <w:p w14:paraId="57319F87" w14:textId="77777777" w:rsidR="004E62F0" w:rsidRPr="0077315C" w:rsidRDefault="004E62F0" w:rsidP="0077315C">
            <w:pPr>
              <w:pStyle w:val="ListParagraph"/>
              <w:numPr>
                <w:ilvl w:val="0"/>
                <w:numId w:val="0"/>
              </w:numPr>
              <w:spacing w:after="0"/>
              <w:rPr>
                <w:sz w:val="20"/>
                <w:szCs w:val="20"/>
              </w:rPr>
            </w:pPr>
          </w:p>
        </w:tc>
        <w:tc>
          <w:tcPr>
            <w:tcW w:w="1558" w:type="dxa"/>
          </w:tcPr>
          <w:p w14:paraId="25C1EB84" w14:textId="7A85E967" w:rsidR="004E62F0" w:rsidRPr="0077315C" w:rsidRDefault="0077315C" w:rsidP="0077315C">
            <w:pPr>
              <w:pStyle w:val="ListParagraph"/>
              <w:numPr>
                <w:ilvl w:val="0"/>
                <w:numId w:val="0"/>
              </w:numPr>
              <w:spacing w:after="0"/>
              <w:rPr>
                <w:sz w:val="20"/>
                <w:szCs w:val="20"/>
              </w:rPr>
            </w:pPr>
            <w:r w:rsidRPr="0077315C">
              <w:rPr>
                <w:sz w:val="20"/>
                <w:szCs w:val="20"/>
              </w:rPr>
              <w:t>Advanced partisan</w:t>
            </w:r>
          </w:p>
        </w:tc>
        <w:tc>
          <w:tcPr>
            <w:tcW w:w="1626" w:type="dxa"/>
          </w:tcPr>
          <w:p w14:paraId="1B74E8E5" w14:textId="1EE91D43" w:rsidR="004E62F0" w:rsidRPr="0077315C" w:rsidRDefault="0077315C" w:rsidP="0077315C">
            <w:pPr>
              <w:pStyle w:val="ListParagraph"/>
              <w:numPr>
                <w:ilvl w:val="0"/>
                <w:numId w:val="0"/>
              </w:numPr>
              <w:spacing w:after="0"/>
              <w:rPr>
                <w:sz w:val="20"/>
                <w:szCs w:val="20"/>
              </w:rPr>
            </w:pPr>
            <w:r w:rsidRPr="0077315C">
              <w:rPr>
                <w:sz w:val="20"/>
                <w:szCs w:val="20"/>
              </w:rPr>
              <w:t>Nasir Mutaqaddim</w:t>
            </w:r>
          </w:p>
        </w:tc>
        <w:tc>
          <w:tcPr>
            <w:tcW w:w="1405" w:type="dxa"/>
          </w:tcPr>
          <w:p w14:paraId="6F1746AC" w14:textId="1B2BA359" w:rsidR="004E62F0" w:rsidRPr="0077315C" w:rsidRDefault="0077315C" w:rsidP="0077315C">
            <w:pPr>
              <w:pStyle w:val="ListParagraph"/>
              <w:numPr>
                <w:ilvl w:val="0"/>
                <w:numId w:val="0"/>
              </w:numPr>
              <w:spacing w:after="0"/>
              <w:rPr>
                <w:sz w:val="20"/>
                <w:szCs w:val="20"/>
              </w:rPr>
            </w:pPr>
            <w:r w:rsidRPr="0077315C">
              <w:rPr>
                <w:sz w:val="20"/>
                <w:szCs w:val="20"/>
              </w:rPr>
              <w:t>Cell/Circle</w:t>
            </w:r>
          </w:p>
        </w:tc>
        <w:tc>
          <w:tcPr>
            <w:tcW w:w="2977" w:type="dxa"/>
          </w:tcPr>
          <w:p w14:paraId="6AFF1823" w14:textId="77777777" w:rsidR="004E62F0" w:rsidRPr="0077315C" w:rsidRDefault="004E62F0" w:rsidP="0077315C">
            <w:pPr>
              <w:pStyle w:val="ListParagraph"/>
              <w:numPr>
                <w:ilvl w:val="0"/>
                <w:numId w:val="0"/>
              </w:numPr>
              <w:spacing w:after="0"/>
              <w:rPr>
                <w:sz w:val="20"/>
                <w:szCs w:val="20"/>
              </w:rPr>
            </w:pPr>
          </w:p>
        </w:tc>
      </w:tr>
      <w:tr w:rsidR="0077315C" w14:paraId="159C433D" w14:textId="77777777" w:rsidTr="007E5D45">
        <w:tc>
          <w:tcPr>
            <w:tcW w:w="1643" w:type="dxa"/>
          </w:tcPr>
          <w:p w14:paraId="0AF58DCC" w14:textId="77777777" w:rsidR="0077315C" w:rsidRPr="0077315C" w:rsidRDefault="0077315C" w:rsidP="0077315C">
            <w:pPr>
              <w:pStyle w:val="ListParagraph"/>
              <w:numPr>
                <w:ilvl w:val="0"/>
                <w:numId w:val="0"/>
              </w:numPr>
              <w:spacing w:after="0"/>
              <w:rPr>
                <w:sz w:val="20"/>
                <w:szCs w:val="20"/>
              </w:rPr>
            </w:pPr>
          </w:p>
        </w:tc>
        <w:tc>
          <w:tcPr>
            <w:tcW w:w="1558" w:type="dxa"/>
          </w:tcPr>
          <w:p w14:paraId="094D8BA0" w14:textId="00E5E6E0" w:rsidR="0077315C" w:rsidRPr="0077315C" w:rsidRDefault="0077315C" w:rsidP="0077315C">
            <w:pPr>
              <w:pStyle w:val="ListParagraph"/>
              <w:numPr>
                <w:ilvl w:val="0"/>
                <w:numId w:val="0"/>
              </w:numPr>
              <w:spacing w:after="0"/>
              <w:rPr>
                <w:sz w:val="20"/>
                <w:szCs w:val="20"/>
              </w:rPr>
            </w:pPr>
            <w:r w:rsidRPr="0077315C">
              <w:rPr>
                <w:sz w:val="20"/>
                <w:szCs w:val="20"/>
              </w:rPr>
              <w:t>Nasir</w:t>
            </w:r>
          </w:p>
        </w:tc>
        <w:tc>
          <w:tcPr>
            <w:tcW w:w="1626" w:type="dxa"/>
          </w:tcPr>
          <w:p w14:paraId="7EF23BA8" w14:textId="6424F2A7" w:rsidR="0077315C" w:rsidRPr="0077315C" w:rsidRDefault="0077315C" w:rsidP="0077315C">
            <w:pPr>
              <w:pStyle w:val="ListParagraph"/>
              <w:numPr>
                <w:ilvl w:val="0"/>
                <w:numId w:val="0"/>
              </w:numPr>
              <w:spacing w:after="0"/>
              <w:rPr>
                <w:sz w:val="20"/>
                <w:szCs w:val="20"/>
              </w:rPr>
            </w:pPr>
            <w:r w:rsidRPr="0077315C">
              <w:rPr>
                <w:sz w:val="20"/>
                <w:szCs w:val="20"/>
              </w:rPr>
              <w:t>Nasir</w:t>
            </w:r>
          </w:p>
        </w:tc>
        <w:tc>
          <w:tcPr>
            <w:tcW w:w="1405" w:type="dxa"/>
          </w:tcPr>
          <w:p w14:paraId="2DE7A7A0" w14:textId="71E5272C" w:rsidR="0077315C" w:rsidRPr="0077315C" w:rsidRDefault="0077315C" w:rsidP="0077315C">
            <w:pPr>
              <w:pStyle w:val="ListParagraph"/>
              <w:numPr>
                <w:ilvl w:val="0"/>
                <w:numId w:val="0"/>
              </w:numPr>
              <w:spacing w:after="0"/>
              <w:rPr>
                <w:sz w:val="20"/>
                <w:szCs w:val="20"/>
              </w:rPr>
            </w:pPr>
            <w:r w:rsidRPr="0077315C">
              <w:rPr>
                <w:sz w:val="20"/>
                <w:szCs w:val="20"/>
              </w:rPr>
              <w:t>Cell/Circle</w:t>
            </w:r>
          </w:p>
        </w:tc>
        <w:tc>
          <w:tcPr>
            <w:tcW w:w="2977" w:type="dxa"/>
          </w:tcPr>
          <w:p w14:paraId="2B1667E3" w14:textId="11F1D175" w:rsidR="0077315C" w:rsidRPr="0077315C" w:rsidRDefault="0077315C" w:rsidP="0077315C">
            <w:pPr>
              <w:pStyle w:val="ListParagraph"/>
              <w:numPr>
                <w:ilvl w:val="0"/>
                <w:numId w:val="0"/>
              </w:numPr>
              <w:spacing w:after="0"/>
              <w:rPr>
                <w:sz w:val="20"/>
                <w:szCs w:val="20"/>
              </w:rPr>
            </w:pPr>
            <w:r w:rsidRPr="0077315C">
              <w:rPr>
                <w:sz w:val="20"/>
                <w:szCs w:val="20"/>
              </w:rPr>
              <w:t xml:space="preserve">Formerly a hard barrier beyond which one was subjected to party discipline. </w:t>
            </w:r>
          </w:p>
        </w:tc>
      </w:tr>
      <w:tr w:rsidR="004E62F0" w14:paraId="60A3A13F" w14:textId="77777777" w:rsidTr="007E5D45">
        <w:tc>
          <w:tcPr>
            <w:tcW w:w="1643" w:type="dxa"/>
          </w:tcPr>
          <w:p w14:paraId="62A50288" w14:textId="58305DE5" w:rsidR="004E62F0" w:rsidRPr="0077315C" w:rsidRDefault="0077315C" w:rsidP="0077315C">
            <w:pPr>
              <w:pStyle w:val="ListParagraph"/>
              <w:numPr>
                <w:ilvl w:val="0"/>
                <w:numId w:val="0"/>
              </w:numPr>
              <w:spacing w:after="0"/>
              <w:rPr>
                <w:sz w:val="20"/>
                <w:szCs w:val="20"/>
              </w:rPr>
            </w:pPr>
            <w:r w:rsidRPr="0077315C">
              <w:rPr>
                <w:sz w:val="20"/>
                <w:szCs w:val="20"/>
              </w:rPr>
              <w:t>Lowest level of association</w:t>
            </w:r>
          </w:p>
        </w:tc>
        <w:tc>
          <w:tcPr>
            <w:tcW w:w="1558" w:type="dxa"/>
          </w:tcPr>
          <w:p w14:paraId="6F5F196F" w14:textId="646DF9A4" w:rsidR="004E62F0" w:rsidRPr="0077315C" w:rsidRDefault="0077315C" w:rsidP="0077315C">
            <w:pPr>
              <w:pStyle w:val="ListParagraph"/>
              <w:numPr>
                <w:ilvl w:val="0"/>
                <w:numId w:val="0"/>
              </w:numPr>
              <w:spacing w:after="0"/>
              <w:rPr>
                <w:sz w:val="20"/>
                <w:szCs w:val="20"/>
              </w:rPr>
            </w:pPr>
            <w:r w:rsidRPr="0077315C">
              <w:rPr>
                <w:sz w:val="20"/>
                <w:szCs w:val="20"/>
              </w:rPr>
              <w:t>Supporter</w:t>
            </w:r>
          </w:p>
        </w:tc>
        <w:tc>
          <w:tcPr>
            <w:tcW w:w="1626" w:type="dxa"/>
          </w:tcPr>
          <w:p w14:paraId="2E5FA518" w14:textId="7AD28209" w:rsidR="004E62F0" w:rsidRPr="0077315C" w:rsidRDefault="0077315C" w:rsidP="0077315C">
            <w:pPr>
              <w:pStyle w:val="ListParagraph"/>
              <w:numPr>
                <w:ilvl w:val="0"/>
                <w:numId w:val="0"/>
              </w:numPr>
              <w:spacing w:after="0"/>
              <w:rPr>
                <w:sz w:val="20"/>
                <w:szCs w:val="20"/>
              </w:rPr>
            </w:pPr>
            <w:r w:rsidRPr="0077315C">
              <w:rPr>
                <w:sz w:val="20"/>
                <w:szCs w:val="20"/>
              </w:rPr>
              <w:t>Mua’yyid</w:t>
            </w:r>
          </w:p>
        </w:tc>
        <w:tc>
          <w:tcPr>
            <w:tcW w:w="1405" w:type="dxa"/>
          </w:tcPr>
          <w:p w14:paraId="264D679B" w14:textId="12CB929D" w:rsidR="004E62F0" w:rsidRPr="0077315C" w:rsidRDefault="0077315C" w:rsidP="0077315C">
            <w:pPr>
              <w:pStyle w:val="ListParagraph"/>
              <w:numPr>
                <w:ilvl w:val="0"/>
                <w:numId w:val="0"/>
              </w:numPr>
              <w:spacing w:after="0"/>
              <w:rPr>
                <w:sz w:val="20"/>
                <w:szCs w:val="20"/>
              </w:rPr>
            </w:pPr>
            <w:r w:rsidRPr="0077315C">
              <w:rPr>
                <w:sz w:val="20"/>
                <w:szCs w:val="20"/>
              </w:rPr>
              <w:t>Cell/Circle</w:t>
            </w:r>
          </w:p>
        </w:tc>
        <w:tc>
          <w:tcPr>
            <w:tcW w:w="2977" w:type="dxa"/>
          </w:tcPr>
          <w:p w14:paraId="028C6FA4" w14:textId="77777777" w:rsidR="004E62F0" w:rsidRPr="0077315C" w:rsidRDefault="004E62F0" w:rsidP="0077315C">
            <w:pPr>
              <w:pStyle w:val="ListParagraph"/>
              <w:numPr>
                <w:ilvl w:val="0"/>
                <w:numId w:val="0"/>
              </w:numPr>
              <w:spacing w:after="0"/>
              <w:rPr>
                <w:sz w:val="20"/>
                <w:szCs w:val="20"/>
              </w:rPr>
            </w:pPr>
          </w:p>
        </w:tc>
      </w:tr>
    </w:tbl>
    <w:p w14:paraId="673C8331" w14:textId="35534462" w:rsidR="00EA3BC4" w:rsidRDefault="007F14B5" w:rsidP="007838EB">
      <w:pPr>
        <w:spacing w:before="120"/>
        <w:jc w:val="right"/>
        <w:rPr>
          <w:rStyle w:val="Hyperlink"/>
          <w:szCs w:val="24"/>
        </w:rPr>
      </w:pPr>
      <w:hyperlink w:anchor="contents" w:history="1">
        <w:r w:rsidR="00EA3BC4" w:rsidRPr="006B4863">
          <w:rPr>
            <w:rStyle w:val="Hyperlink"/>
            <w:szCs w:val="24"/>
          </w:rPr>
          <w:t>Back to Contents</w:t>
        </w:r>
      </w:hyperlink>
    </w:p>
    <w:p w14:paraId="298913B0" w14:textId="77777777" w:rsidR="007838EB" w:rsidRPr="007838EB" w:rsidRDefault="007838EB" w:rsidP="007838EB"/>
    <w:p w14:paraId="23B9779D" w14:textId="535C3DEB" w:rsidR="00455211" w:rsidRDefault="00455211" w:rsidP="00455211">
      <w:pPr>
        <w:pStyle w:val="Heading3"/>
        <w:numPr>
          <w:ilvl w:val="1"/>
          <w:numId w:val="14"/>
        </w:numPr>
        <w:ind w:left="851" w:hanging="851"/>
      </w:pPr>
      <w:bookmarkStart w:id="32" w:name="_Size"/>
      <w:bookmarkStart w:id="33" w:name="_Toc29827687"/>
      <w:bookmarkEnd w:id="32"/>
      <w:r>
        <w:t>Size</w:t>
      </w:r>
      <w:bookmarkEnd w:id="33"/>
    </w:p>
    <w:p w14:paraId="2D3E1E86" w14:textId="77777777" w:rsidR="00455211" w:rsidRPr="00BB3A6F" w:rsidRDefault="00455211" w:rsidP="00455211">
      <w:pPr>
        <w:pStyle w:val="ListParagraph"/>
        <w:numPr>
          <w:ilvl w:val="2"/>
          <w:numId w:val="14"/>
        </w:numPr>
        <w:ind w:left="851" w:hanging="851"/>
      </w:pPr>
      <w:r w:rsidRPr="00BB3A6F">
        <w:t>The ICTJ</w:t>
      </w:r>
      <w:r>
        <w:t xml:space="preserve"> report </w:t>
      </w:r>
      <w:r w:rsidRPr="00BB3A6F">
        <w:t xml:space="preserve">commented: </w:t>
      </w:r>
    </w:p>
    <w:p w14:paraId="4325C801" w14:textId="77777777" w:rsidR="00455211" w:rsidRDefault="00455211" w:rsidP="00455211">
      <w:pPr>
        <w:pStyle w:val="ListParagraph"/>
        <w:numPr>
          <w:ilvl w:val="0"/>
          <w:numId w:val="0"/>
        </w:numPr>
        <w:ind w:left="851"/>
      </w:pPr>
      <w:r>
        <w:t>‘There are no reliable figures for estimating party membership at the time of the 2003 invasion. Unlike the membership records of the Nazi Party, which were captured by Allied Forces, only the military membership lists have ever been found.</w:t>
      </w:r>
    </w:p>
    <w:p w14:paraId="1B76B997" w14:textId="77777777" w:rsidR="00455211" w:rsidRDefault="00455211" w:rsidP="00455211">
      <w:pPr>
        <w:pStyle w:val="ListParagraph"/>
        <w:numPr>
          <w:ilvl w:val="0"/>
          <w:numId w:val="0"/>
        </w:numPr>
        <w:ind w:left="851"/>
      </w:pPr>
      <w:r>
        <w:t>‘Most figures quoted are those verbally quoted by HNDC [Higher National De-Baathification Commission], and they have changed at various times. According to a senior HNDC official, they are based on extrapolating membership patterns from a party handbook published in the mid-1990s.</w:t>
      </w:r>
    </w:p>
    <w:p w14:paraId="34BA868F" w14:textId="77777777" w:rsidR="00455211" w:rsidRDefault="00455211" w:rsidP="00455211">
      <w:pPr>
        <w:pStyle w:val="ListParagraph"/>
        <w:numPr>
          <w:ilvl w:val="0"/>
          <w:numId w:val="0"/>
        </w:numPr>
        <w:ind w:left="851"/>
      </w:pPr>
      <w:r>
        <w:t xml:space="preserve">‘According to HNDC figures, when the regime fell, at least 400,000 Iraqis held the rank of full party members or above. About 150,000 of them worked in the civil service, and about 250,000 were in the defense forces or Ministry of Defense. Of the 150,000 members who were also civil service employees, </w:t>
      </w:r>
      <w:r>
        <w:lastRenderedPageBreak/>
        <w:t>some 65,000 held one of the top four levels of membership. Estimates of party members plus sympathizers ranged from 1.2 million to 2 million.’</w:t>
      </w:r>
      <w:r>
        <w:rPr>
          <w:rStyle w:val="FootnoteReference"/>
        </w:rPr>
        <w:footnoteReference w:id="7"/>
      </w:r>
    </w:p>
    <w:p w14:paraId="774C20A8" w14:textId="2CB6EFC7" w:rsidR="005C5527" w:rsidRDefault="00455211" w:rsidP="005C5527">
      <w:pPr>
        <w:pStyle w:val="ListParagraph"/>
        <w:numPr>
          <w:ilvl w:val="2"/>
          <w:numId w:val="14"/>
        </w:numPr>
        <w:ind w:left="851" w:hanging="851"/>
      </w:pPr>
      <w:r>
        <w:t>The (EASO) report on Iraq published in June 2019 stated ‘</w:t>
      </w:r>
      <w:r w:rsidRPr="0073415C">
        <w:t>During the 1980s, approximately 10% of the Iraqi population were members of the Baath party.</w:t>
      </w:r>
      <w:r>
        <w:t>’</w:t>
      </w:r>
      <w:r w:rsidR="005C5527">
        <w:rPr>
          <w:rStyle w:val="FootnoteReference"/>
        </w:rPr>
        <w:footnoteReference w:id="8"/>
      </w:r>
      <w:r w:rsidRPr="0073415C">
        <w:t xml:space="preserve"> </w:t>
      </w:r>
    </w:p>
    <w:p w14:paraId="75A8E975" w14:textId="167F8FE4" w:rsidR="005C5527" w:rsidRDefault="007F14B5" w:rsidP="005C5527">
      <w:pPr>
        <w:jc w:val="right"/>
      </w:pPr>
      <w:hyperlink w:anchor="contents" w:history="1">
        <w:r w:rsidR="005C5527" w:rsidRPr="006B4863">
          <w:rPr>
            <w:rStyle w:val="Hyperlink"/>
            <w:szCs w:val="24"/>
          </w:rPr>
          <w:t>Back to Contents</w:t>
        </w:r>
      </w:hyperlink>
    </w:p>
    <w:p w14:paraId="62A7A820" w14:textId="6E420F26" w:rsidR="00455211" w:rsidRPr="00455211" w:rsidRDefault="009644A0" w:rsidP="00455211">
      <w:pPr>
        <w:pStyle w:val="Heading3"/>
        <w:numPr>
          <w:ilvl w:val="1"/>
          <w:numId w:val="14"/>
        </w:numPr>
        <w:ind w:left="851" w:hanging="851"/>
      </w:pPr>
      <w:bookmarkStart w:id="34" w:name="_Toc29827688"/>
      <w:r>
        <w:t>Composition</w:t>
      </w:r>
      <w:bookmarkEnd w:id="34"/>
    </w:p>
    <w:p w14:paraId="658AFEDE" w14:textId="015738B4" w:rsidR="009644A0" w:rsidRDefault="008126E4" w:rsidP="008126E4">
      <w:pPr>
        <w:pStyle w:val="ListParagraph"/>
        <w:numPr>
          <w:ilvl w:val="2"/>
          <w:numId w:val="14"/>
        </w:numPr>
        <w:ind w:left="851" w:hanging="851"/>
      </w:pPr>
      <w:r>
        <w:t xml:space="preserve">The ICTJ report said:  </w:t>
      </w:r>
    </w:p>
    <w:p w14:paraId="0A26F582" w14:textId="0D3D57DB" w:rsidR="008126E4" w:rsidRDefault="008126E4" w:rsidP="008126E4">
      <w:pPr>
        <w:pStyle w:val="ListParagraph"/>
        <w:numPr>
          <w:ilvl w:val="0"/>
          <w:numId w:val="0"/>
        </w:numPr>
        <w:ind w:left="851"/>
      </w:pPr>
      <w:r w:rsidRPr="008126E4">
        <w:t>‘Although many Baath Party members were Shia, it is widely held that Sunnis were disproportionately represented in the party’s upper ranks, the military, and the security services. The exercise of authority within the party was highly circumscribed to a tightly knit cadre, all personally dependent on Hussein. Iraq had become a one-person, not a one-party, state. Family and tribal relationships were deployed to guarantee the continued longevity of Hussein’s rule.’</w:t>
      </w:r>
      <w:r>
        <w:rPr>
          <w:rStyle w:val="FootnoteReference"/>
        </w:rPr>
        <w:footnoteReference w:id="9"/>
      </w:r>
    </w:p>
    <w:p w14:paraId="5C3DB019" w14:textId="77777777" w:rsidR="00C0503A" w:rsidRDefault="00D3201A" w:rsidP="009644A0">
      <w:pPr>
        <w:pStyle w:val="ListParagraph"/>
        <w:numPr>
          <w:ilvl w:val="2"/>
          <w:numId w:val="14"/>
        </w:numPr>
        <w:ind w:left="851" w:hanging="851"/>
      </w:pPr>
      <w:r>
        <w:t>The International Crisis Group (ICG), in their report, ‘Make or Break: Iraq’s Sunnis and the State’, dated 14 August 2013 noted:</w:t>
      </w:r>
    </w:p>
    <w:p w14:paraId="20606B75" w14:textId="1917888C" w:rsidR="009644A0" w:rsidRDefault="00C0503A" w:rsidP="00C0503A">
      <w:pPr>
        <w:pStyle w:val="ListParagraph"/>
        <w:numPr>
          <w:ilvl w:val="0"/>
          <w:numId w:val="0"/>
        </w:numPr>
        <w:ind w:left="851"/>
      </w:pPr>
      <w:r>
        <w:t>‘</w:t>
      </w:r>
      <w:r w:rsidRPr="00C0503A">
        <w:t>After the Baath party assumed power in 1968, Sunni Arabs retained an important – although far from exclusive – share within the power structure. Saddam Hussein, himself a Sunni Arab but above all a provincial outsider, invested in tribal and sectarian loyalties to entrench his power in the capital, especially in the sensitive security arena. That said, his regime victimised people from all backgrounds, members of the Sunni community included – whether ordinary citizens, clerics, businessmen or tribesmen. Saddam’s politics took a more avowedly sectarian turn only after the 1991 uprisings in southern and northern Iraq.’</w:t>
      </w:r>
      <w:r>
        <w:rPr>
          <w:rStyle w:val="FootnoteReference"/>
        </w:rPr>
        <w:footnoteReference w:id="10"/>
      </w:r>
    </w:p>
    <w:p w14:paraId="36DE119E" w14:textId="24DCDA8A" w:rsidR="00FE4ACE" w:rsidRDefault="00FE4ACE" w:rsidP="00FE4ACE">
      <w:pPr>
        <w:pStyle w:val="ListParagraph"/>
        <w:numPr>
          <w:ilvl w:val="2"/>
          <w:numId w:val="14"/>
        </w:numPr>
        <w:ind w:left="851" w:hanging="851"/>
      </w:pPr>
      <w:r>
        <w:t>An article in the Middle East Eye</w:t>
      </w:r>
      <w:r w:rsidR="003C4306">
        <w:t xml:space="preserve"> (MEE)</w:t>
      </w:r>
      <w:r>
        <w:t xml:space="preserve">, dated November 2014, explained the different categories of </w:t>
      </w:r>
      <w:r w:rsidR="00921E1E">
        <w:t>Baath</w:t>
      </w:r>
      <w:r>
        <w:t>ist membership/affiliation:</w:t>
      </w:r>
    </w:p>
    <w:p w14:paraId="2B47A9A4" w14:textId="04657734" w:rsidR="003C4306" w:rsidRDefault="003C4306" w:rsidP="003C4306">
      <w:pPr>
        <w:pStyle w:val="ListParagraph"/>
        <w:numPr>
          <w:ilvl w:val="0"/>
          <w:numId w:val="0"/>
        </w:numPr>
        <w:ind w:left="851"/>
      </w:pPr>
      <w:r>
        <w:t>‘The northern city [of Mosul] became the second biggest base for senior Baath party members after Saddam Hussein's own hometown of Tikrit. Locals, who asked to remain anonymous for fear of reprisal, told MEE that Baath party leaders would meet Wednesdays at a central city mosque.</w:t>
      </w:r>
    </w:p>
    <w:p w14:paraId="7743D5C9" w14:textId="77777777" w:rsidR="003C4306" w:rsidRDefault="003C4306" w:rsidP="003C4306">
      <w:pPr>
        <w:ind w:left="851"/>
      </w:pPr>
      <w:r>
        <w:t>‘The Baathists, however, do not appear to have had any real fighting power in Mosul.</w:t>
      </w:r>
    </w:p>
    <w:p w14:paraId="006D7EBA" w14:textId="77777777" w:rsidR="003C4306" w:rsidRDefault="003C4306" w:rsidP="003C4306">
      <w:pPr>
        <w:pStyle w:val="ListParagraph"/>
        <w:numPr>
          <w:ilvl w:val="0"/>
          <w:numId w:val="0"/>
        </w:numPr>
        <w:ind w:left="851"/>
      </w:pPr>
      <w:r>
        <w:t>‘</w:t>
      </w:r>
      <w:r w:rsidRPr="007F7783">
        <w:t>Moving further south</w:t>
      </w:r>
      <w:r>
        <w:t xml:space="preserve"> </w:t>
      </w:r>
      <w:r w:rsidRPr="007F7783">
        <w:t>toward Baghdad and into Anbar province, there are, broadly speaking, three types of Baath party members present</w:t>
      </w:r>
      <w:r>
        <w:t>.</w:t>
      </w:r>
    </w:p>
    <w:p w14:paraId="03A35F0B" w14:textId="76A9B7B2" w:rsidR="003C4306" w:rsidRDefault="003C4306" w:rsidP="003C4306">
      <w:pPr>
        <w:pStyle w:val="ListParagraph"/>
        <w:numPr>
          <w:ilvl w:val="0"/>
          <w:numId w:val="0"/>
        </w:numPr>
        <w:ind w:left="851"/>
      </w:pPr>
      <w:r>
        <w:t>‘</w:t>
      </w:r>
      <w:r w:rsidRPr="007F7783">
        <w:t>Two of these groups do not have much to do with IS’s</w:t>
      </w:r>
      <w:r>
        <w:t xml:space="preserve"> [Daesh]</w:t>
      </w:r>
      <w:r w:rsidRPr="007F7783">
        <w:t xml:space="preserve"> murderous ways, but may still sympathise with sectarian Baathist policies, including the belief in Sunni Muslim superiority.</w:t>
      </w:r>
    </w:p>
    <w:p w14:paraId="2D81E8B0" w14:textId="5064825C" w:rsidR="003C4306" w:rsidRDefault="003C4306" w:rsidP="003C4306">
      <w:pPr>
        <w:pStyle w:val="ListParagraph"/>
        <w:numPr>
          <w:ilvl w:val="0"/>
          <w:numId w:val="0"/>
        </w:numPr>
        <w:ind w:left="851"/>
      </w:pPr>
      <w:r>
        <w:lastRenderedPageBreak/>
        <w:t>‘</w:t>
      </w:r>
      <w:r w:rsidRPr="007F7783">
        <w:t>The first includes street level and senior membership, who previously benefitted from being part of Saddam Hussein's apparatus but who, after 2003, were forced out of their jobs. Often these people have ended up having to start new lives, working as taxi drivers or labourers in order to support their families. But they live in fear that Shiite militias, who harbour a historical hatred for the Sunni-dominated Baath party, will find them and punish them for real or imagined wrongdoings.</w:t>
      </w:r>
    </w:p>
    <w:p w14:paraId="3C18DFA3" w14:textId="77777777" w:rsidR="003C4306" w:rsidRDefault="003C4306" w:rsidP="003C4306">
      <w:pPr>
        <w:pStyle w:val="ListParagraph"/>
        <w:numPr>
          <w:ilvl w:val="0"/>
          <w:numId w:val="0"/>
        </w:numPr>
        <w:ind w:left="851"/>
      </w:pPr>
      <w:r>
        <w:t>‘</w:t>
      </w:r>
      <w:r w:rsidRPr="007F7783">
        <w:t>The second of these groups involves more powerful Baath party members, who, through influence, connections, corruption or an assortment of other manipulations, managed to return to their former positions - even though everyone knows very well that they were linked to the outlawed political party.   </w:t>
      </w:r>
    </w:p>
    <w:p w14:paraId="15A2269B" w14:textId="28EB897E" w:rsidR="003C4306" w:rsidRDefault="003C4306" w:rsidP="003C4306">
      <w:pPr>
        <w:pStyle w:val="ListParagraph"/>
        <w:numPr>
          <w:ilvl w:val="0"/>
          <w:numId w:val="0"/>
        </w:numPr>
        <w:ind w:left="851"/>
      </w:pPr>
      <w:r>
        <w:t>‘</w:t>
      </w:r>
      <w:r w:rsidRPr="007F7783">
        <w:t>Possibly the most important in this current crisis though, are the third group: those party members with military skills who still firmly believe in at least some of the Baath party principles, particularly those that involve sectarian superiority, and who continue to harbour ill will toward the new Iraqi government, even though the le</w:t>
      </w:r>
      <w:r>
        <w:t>adership recently changed.’</w:t>
      </w:r>
      <w:r>
        <w:rPr>
          <w:rStyle w:val="FootnoteReference"/>
        </w:rPr>
        <w:footnoteReference w:id="11"/>
      </w:r>
    </w:p>
    <w:bookmarkStart w:id="35" w:name="_Hlk29823020"/>
    <w:p w14:paraId="07C13629" w14:textId="44E0142F" w:rsidR="005C5527" w:rsidRDefault="007D65AB" w:rsidP="005C5527">
      <w:pPr>
        <w:jc w:val="right"/>
      </w:pPr>
      <w:r>
        <w:fldChar w:fldCharType="begin"/>
      </w:r>
      <w:r>
        <w:instrText xml:space="preserve"> HYPERLINK \l "contents" </w:instrText>
      </w:r>
      <w:r>
        <w:fldChar w:fldCharType="separate"/>
      </w:r>
      <w:r w:rsidR="009644A0" w:rsidRPr="006B4863">
        <w:rPr>
          <w:rStyle w:val="Hyperlink"/>
          <w:szCs w:val="24"/>
        </w:rPr>
        <w:t>Back to Contents</w:t>
      </w:r>
      <w:r>
        <w:rPr>
          <w:rStyle w:val="Hyperlink"/>
          <w:szCs w:val="24"/>
        </w:rPr>
        <w:fldChar w:fldCharType="end"/>
      </w:r>
      <w:bookmarkStart w:id="36" w:name="_Current_status"/>
      <w:bookmarkEnd w:id="36"/>
    </w:p>
    <w:p w14:paraId="658B33D9" w14:textId="50026A9F" w:rsidR="009644A0" w:rsidRPr="00FE3E58" w:rsidRDefault="009644A0" w:rsidP="009644A0">
      <w:pPr>
        <w:pStyle w:val="Heading3"/>
        <w:numPr>
          <w:ilvl w:val="1"/>
          <w:numId w:val="14"/>
        </w:numPr>
        <w:ind w:left="851" w:hanging="851"/>
      </w:pPr>
      <w:bookmarkStart w:id="37" w:name="_Toc29827689"/>
      <w:bookmarkEnd w:id="35"/>
      <w:r>
        <w:t>Current status</w:t>
      </w:r>
      <w:bookmarkEnd w:id="37"/>
    </w:p>
    <w:p w14:paraId="2850FCE7" w14:textId="1CAD0DB9" w:rsidR="009644A0" w:rsidRDefault="00556FF8" w:rsidP="009644A0">
      <w:pPr>
        <w:pStyle w:val="ListParagraph"/>
        <w:numPr>
          <w:ilvl w:val="2"/>
          <w:numId w:val="14"/>
        </w:numPr>
        <w:ind w:left="851" w:hanging="851"/>
      </w:pPr>
      <w:r>
        <w:t xml:space="preserve">The </w:t>
      </w:r>
      <w:r w:rsidR="00921E1E">
        <w:t>Baath</w:t>
      </w:r>
      <w:r>
        <w:t xml:space="preserve"> Party is banned under Article 7 of the 2005 Iraqi Constitution.</w:t>
      </w:r>
      <w:r>
        <w:rPr>
          <w:rStyle w:val="FootnoteReference"/>
        </w:rPr>
        <w:footnoteReference w:id="12"/>
      </w:r>
      <w:r>
        <w:t xml:space="preserve"> </w:t>
      </w:r>
    </w:p>
    <w:p w14:paraId="234C2871" w14:textId="57A9D403" w:rsidR="00CF77E2" w:rsidRDefault="00B97D59" w:rsidP="00CF77E2">
      <w:pPr>
        <w:pStyle w:val="ListParagraph"/>
        <w:numPr>
          <w:ilvl w:val="2"/>
          <w:numId w:val="14"/>
        </w:numPr>
        <w:ind w:left="851" w:hanging="851"/>
      </w:pPr>
      <w:r>
        <w:t xml:space="preserve">The </w:t>
      </w:r>
      <w:r w:rsidR="00CF77E2">
        <w:t xml:space="preserve">June 2019 Country Guidance note on Iraq produced by the European Asylum Support Office (EASO) stated ‘… </w:t>
      </w:r>
      <w:r w:rsidR="00CF77E2" w:rsidRPr="00CF77E2">
        <w:t>the new constitution implemented in 2005 effectively banned the Baath party. In addition to that, a Bill passed by the Iraqi Parliament in July 2016 formally banned the Arab Socialist Baath Party from exercising any political or cultural or intellectual or social activity under any name and by any means of communication or media.</w:t>
      </w:r>
      <w:r w:rsidR="00CF77E2">
        <w:t>’</w:t>
      </w:r>
      <w:r w:rsidR="00CF77E2">
        <w:rPr>
          <w:rStyle w:val="FootnoteReference"/>
        </w:rPr>
        <w:footnoteReference w:id="13"/>
      </w:r>
    </w:p>
    <w:p w14:paraId="48431717" w14:textId="77777777" w:rsidR="00556FF8" w:rsidRDefault="00556FF8" w:rsidP="009644A0">
      <w:pPr>
        <w:pStyle w:val="ListParagraph"/>
        <w:numPr>
          <w:ilvl w:val="2"/>
          <w:numId w:val="14"/>
        </w:numPr>
        <w:ind w:left="851" w:hanging="851"/>
      </w:pPr>
      <w:r>
        <w:t>The US State Department (USSD) report on human rights practices in Iraq during 2018 stated:</w:t>
      </w:r>
    </w:p>
    <w:p w14:paraId="25C145E8" w14:textId="77777777" w:rsidR="00556FF8" w:rsidRDefault="00556FF8" w:rsidP="00556FF8">
      <w:pPr>
        <w:pStyle w:val="ListParagraph"/>
        <w:numPr>
          <w:ilvl w:val="0"/>
          <w:numId w:val="0"/>
        </w:numPr>
        <w:ind w:left="851"/>
      </w:pPr>
      <w:r>
        <w:t>‘</w:t>
      </w:r>
      <w:r w:rsidRPr="00556FF8">
        <w:t>The constitution provides for the right of free expression, including for the press, that does not violate public order and morality, express support for the banned Baath Party, or advocate altering the country’s</w:t>
      </w:r>
      <w:r>
        <w:t xml:space="preserve"> borders through violent means.</w:t>
      </w:r>
    </w:p>
    <w:p w14:paraId="3E35EFAE" w14:textId="37C83FF1" w:rsidR="00EC591A" w:rsidRDefault="00556FF8" w:rsidP="00556FF8">
      <w:pPr>
        <w:pStyle w:val="ListParagraph"/>
        <w:numPr>
          <w:ilvl w:val="0"/>
          <w:numId w:val="0"/>
        </w:numPr>
        <w:ind w:left="851"/>
      </w:pPr>
      <w:r>
        <w:t xml:space="preserve">‘[…] </w:t>
      </w:r>
      <w:r w:rsidRPr="00556FF8">
        <w:t>The constitution provides for the right to form and join associations and political parties, with some exceptions</w:t>
      </w:r>
      <w:r>
        <w:t xml:space="preserve">. </w:t>
      </w:r>
      <w:r w:rsidRPr="00556FF8">
        <w:t>The government generally respected this right, except for the legal prohibitions against groups expressing support for the Baath Party or Zionist principles.</w:t>
      </w:r>
      <w:r>
        <w:t>’</w:t>
      </w:r>
      <w:r>
        <w:rPr>
          <w:rStyle w:val="FootnoteReference"/>
        </w:rPr>
        <w:footnoteReference w:id="14"/>
      </w:r>
    </w:p>
    <w:p w14:paraId="56F9F3AC" w14:textId="77777777" w:rsidR="00B54C83" w:rsidRDefault="00EC591A" w:rsidP="00EC591A">
      <w:pPr>
        <w:pStyle w:val="ListParagraph"/>
        <w:numPr>
          <w:ilvl w:val="2"/>
          <w:numId w:val="14"/>
        </w:numPr>
        <w:ind w:left="851" w:hanging="851"/>
      </w:pPr>
      <w:r>
        <w:t>The Freedom in the World 2019 report stated</w:t>
      </w:r>
      <w:r w:rsidR="00B54C83">
        <w:t>:</w:t>
      </w:r>
    </w:p>
    <w:p w14:paraId="5CCC7C3C" w14:textId="20C96264" w:rsidR="00B54C83" w:rsidRDefault="00B54C83" w:rsidP="00B54C83">
      <w:pPr>
        <w:pStyle w:val="ListParagraph"/>
        <w:numPr>
          <w:ilvl w:val="0"/>
          <w:numId w:val="0"/>
        </w:numPr>
        <w:ind w:left="851"/>
      </w:pPr>
      <w:r>
        <w:t>‘T</w:t>
      </w:r>
      <w:r w:rsidR="00EC591A" w:rsidRPr="00EC591A">
        <w:t xml:space="preserve">he constitution guarantees the freedom to form and join political parties, with the exception of the pre-2003 dictatorship’s Baath Party, which is banned. A 2016 law strengthened the ban, criminalizing Baathist protests and the promotion of Baathist ideas. The measure applies to any group that </w:t>
      </w:r>
      <w:r w:rsidR="00EC591A" w:rsidRPr="00EC591A">
        <w:lastRenderedPageBreak/>
        <w:t>supports racism, terrorism, sectarianism, sectarian cleansing, and other ideas contrary to democracy or the peaceful transfer of power.</w:t>
      </w:r>
      <w:r>
        <w:t>’</w:t>
      </w:r>
      <w:r>
        <w:rPr>
          <w:rStyle w:val="FootnoteReference"/>
        </w:rPr>
        <w:footnoteReference w:id="15"/>
      </w:r>
    </w:p>
    <w:p w14:paraId="4602E111" w14:textId="1849D55F" w:rsidR="009644A0" w:rsidRDefault="00444555" w:rsidP="009644A0">
      <w:pPr>
        <w:pStyle w:val="ListParagraph"/>
        <w:numPr>
          <w:ilvl w:val="2"/>
          <w:numId w:val="14"/>
        </w:numPr>
        <w:ind w:left="851" w:hanging="851"/>
      </w:pPr>
      <w:r>
        <w:t>The March 2019 EASO report entitled ‘Country of Origin Report Iraq; Targeting of Individuals’ stated:</w:t>
      </w:r>
    </w:p>
    <w:p w14:paraId="10EEB5E6" w14:textId="72F06C1F" w:rsidR="00444555" w:rsidRDefault="00444555" w:rsidP="00444555">
      <w:pPr>
        <w:pStyle w:val="ListParagraph"/>
        <w:numPr>
          <w:ilvl w:val="0"/>
          <w:numId w:val="0"/>
        </w:numPr>
        <w:ind w:left="851"/>
      </w:pPr>
      <w:r>
        <w:t>‘Renad Mansour reported that, despite a constitutional ban, remnants of the former Baath Party were still active during the 2016 period during the ISIL</w:t>
      </w:r>
      <w:r w:rsidR="00E52C57">
        <w:t xml:space="preserve"> [</w:t>
      </w:r>
      <w:r w:rsidR="00E52C57" w:rsidRPr="003E17D7">
        <w:t>Islamic State of Iraq and the Levant</w:t>
      </w:r>
      <w:r w:rsidR="00E52C57">
        <w:t>]</w:t>
      </w:r>
      <w:r w:rsidR="00EC591A">
        <w:t xml:space="preserve"> </w:t>
      </w:r>
      <w:r>
        <w:t xml:space="preserve">conflict. He explained that ‘the party is divided along two strands’ remarking that:   </w:t>
      </w:r>
    </w:p>
    <w:p w14:paraId="3B9D0720" w14:textId="27386AB0" w:rsidR="00444555" w:rsidRDefault="003B2D01" w:rsidP="00444555">
      <w:pPr>
        <w:pStyle w:val="ListParagraph"/>
        <w:numPr>
          <w:ilvl w:val="0"/>
          <w:numId w:val="0"/>
        </w:numPr>
        <w:ind w:left="851"/>
      </w:pPr>
      <w:r>
        <w:t>‘</w:t>
      </w:r>
      <w:r w:rsidR="00444555">
        <w:t>“the first group includes supporters of Izzat Ibrahim al-Douri, formerly vice chairman of Saddam’s Iraqi Revolutionary Command Council, and the Naqshbandi order, a Sufi sect of Sunni Islam prominent in northern Iraq. The second group is led by Mohammed Younis al-Ahmed, who leads al-Awda, an underground Baath movement inside Iraq. Both groups are wanted by the central government and as such operate via clandestine networks. Both of these groups have shared relations with ISIL.”’</w:t>
      </w:r>
      <w:r w:rsidR="0073415C">
        <w:rPr>
          <w:rStyle w:val="FootnoteReference"/>
        </w:rPr>
        <w:footnoteReference w:id="16"/>
      </w:r>
    </w:p>
    <w:p w14:paraId="6DBCC040" w14:textId="75DB81CD" w:rsidR="009C39C8" w:rsidRDefault="007F14B5" w:rsidP="00EA3BC4">
      <w:pPr>
        <w:jc w:val="right"/>
      </w:pPr>
      <w:hyperlink w:anchor="contents" w:history="1">
        <w:r w:rsidR="009644A0" w:rsidRPr="006B4863">
          <w:rPr>
            <w:rStyle w:val="Hyperlink"/>
            <w:szCs w:val="24"/>
          </w:rPr>
          <w:t>Back to Contents</w:t>
        </w:r>
      </w:hyperlink>
    </w:p>
    <w:p w14:paraId="5CF41E43" w14:textId="16F3E7C8" w:rsidR="00131BEC" w:rsidRPr="00AF62ED" w:rsidRDefault="003F3A03" w:rsidP="00131BEC">
      <w:pPr>
        <w:jc w:val="right"/>
      </w:pPr>
      <w:r>
        <w:rPr>
          <w:color w:val="7030A0"/>
        </w:rPr>
        <w:t>Section 4</w:t>
      </w:r>
      <w:r w:rsidR="00131BEC">
        <w:rPr>
          <w:color w:val="7030A0"/>
        </w:rPr>
        <w:t xml:space="preserve"> u</w:t>
      </w:r>
      <w:r w:rsidR="00131BEC" w:rsidRPr="00AF62ED">
        <w:rPr>
          <w:color w:val="7030A0"/>
        </w:rPr>
        <w:t xml:space="preserve">pdated: </w:t>
      </w:r>
      <w:r w:rsidR="00954873">
        <w:rPr>
          <w:color w:val="7030A0"/>
        </w:rPr>
        <w:t>1 November</w:t>
      </w:r>
      <w:r w:rsidR="005E5E5F">
        <w:rPr>
          <w:color w:val="7030A0"/>
        </w:rPr>
        <w:t xml:space="preserve"> 2019</w:t>
      </w:r>
    </w:p>
    <w:p w14:paraId="5571E1E1" w14:textId="237DC285" w:rsidR="00657C11" w:rsidRDefault="00B54C83" w:rsidP="00BA194D">
      <w:pPr>
        <w:pStyle w:val="Heading2"/>
        <w:numPr>
          <w:ilvl w:val="0"/>
          <w:numId w:val="14"/>
        </w:numPr>
        <w:ind w:left="851" w:hanging="851"/>
      </w:pPr>
      <w:bookmarkStart w:id="38" w:name="_Linked_Groups"/>
      <w:bookmarkStart w:id="39" w:name="_Toc29827690"/>
      <w:bookmarkStart w:id="40" w:name="_Toc500775375"/>
      <w:bookmarkEnd w:id="38"/>
      <w:r>
        <w:t xml:space="preserve">Linked </w:t>
      </w:r>
      <w:r w:rsidR="004B3A84">
        <w:t>g</w:t>
      </w:r>
      <w:r>
        <w:t>roups</w:t>
      </w:r>
      <w:bookmarkEnd w:id="39"/>
    </w:p>
    <w:p w14:paraId="6E562F8F" w14:textId="0B931E2B" w:rsidR="00EA3BC4" w:rsidRPr="00FE3E58" w:rsidRDefault="00921E1E" w:rsidP="00BA194D">
      <w:pPr>
        <w:pStyle w:val="Heading3"/>
        <w:numPr>
          <w:ilvl w:val="1"/>
          <w:numId w:val="14"/>
        </w:numPr>
        <w:ind w:left="851" w:hanging="851"/>
      </w:pPr>
      <w:bookmarkStart w:id="41" w:name="_Toc29827691"/>
      <w:bookmarkEnd w:id="40"/>
      <w:r>
        <w:t>Baath</w:t>
      </w:r>
      <w:r w:rsidR="009C39C8">
        <w:t>ists and Daesh</w:t>
      </w:r>
      <w:bookmarkEnd w:id="41"/>
    </w:p>
    <w:p w14:paraId="0E9F88C1" w14:textId="0CC6F49A" w:rsidR="003E17D7" w:rsidRDefault="003E17D7" w:rsidP="00D96230">
      <w:pPr>
        <w:pStyle w:val="ListParagraph"/>
        <w:numPr>
          <w:ilvl w:val="2"/>
          <w:numId w:val="14"/>
        </w:numPr>
        <w:ind w:left="851" w:hanging="851"/>
      </w:pPr>
      <w:r w:rsidRPr="003E17D7">
        <w:t xml:space="preserve">Several sources observed that there were links between </w:t>
      </w:r>
      <w:r w:rsidR="00921E1E">
        <w:t>Baath</w:t>
      </w:r>
      <w:r w:rsidRPr="003E17D7">
        <w:t xml:space="preserve">ists and Al-Qaeda in Iraq (AQI), the forerunner of Daesh (Islamic State of Iraq and the Levant (ISIL) or Islamic State of Iraq and Syria/al-Sham (ISIS)). The UN Security Council noted that AQI launched a campaign called ‘Harvesting of Soldiers’ in July 2013 aimed at recruiting former </w:t>
      </w:r>
      <w:r w:rsidR="00921E1E">
        <w:t>Baath</w:t>
      </w:r>
      <w:r w:rsidRPr="003E17D7">
        <w:t>ists and elements of the Iraqi security forces</w:t>
      </w:r>
      <w:r w:rsidR="00D96230">
        <w:rPr>
          <w:rStyle w:val="FootnoteReference"/>
        </w:rPr>
        <w:footnoteReference w:id="17"/>
      </w:r>
      <w:r w:rsidRPr="003E17D7">
        <w:t xml:space="preserve">.  </w:t>
      </w:r>
    </w:p>
    <w:p w14:paraId="3B2DD964" w14:textId="77777777" w:rsidR="000767DA" w:rsidRDefault="000767DA" w:rsidP="000767DA">
      <w:pPr>
        <w:pStyle w:val="ListParagraph"/>
        <w:numPr>
          <w:ilvl w:val="2"/>
          <w:numId w:val="14"/>
        </w:numPr>
        <w:ind w:left="851" w:hanging="851"/>
      </w:pPr>
      <w:r>
        <w:t>An article published in April 2015 by the Independent entitled ‘How Saddam Hussein’s former military officers and spies are controlling Isis’ stated:</w:t>
      </w:r>
    </w:p>
    <w:p w14:paraId="68F99D61" w14:textId="77777777" w:rsidR="000767DA" w:rsidRDefault="000767DA" w:rsidP="000767DA">
      <w:pPr>
        <w:pStyle w:val="ListParagraph"/>
        <w:numPr>
          <w:ilvl w:val="0"/>
          <w:numId w:val="0"/>
        </w:numPr>
        <w:ind w:left="851"/>
      </w:pPr>
      <w:r>
        <w:t>‘Even with the influx of thousands of foreign fighters, almost all of the leaders of the Islamic State are former Iraqi officers, including the members of its shadowy military and security committees, and the majority of its emirs and princes, according to Iraqis, Syrians and analysts who study the group.</w:t>
      </w:r>
    </w:p>
    <w:p w14:paraId="4B177A17" w14:textId="10D1D6F1" w:rsidR="000767DA" w:rsidRDefault="000767DA" w:rsidP="000767DA">
      <w:pPr>
        <w:pStyle w:val="ListParagraph"/>
        <w:numPr>
          <w:ilvl w:val="0"/>
          <w:numId w:val="0"/>
        </w:numPr>
        <w:ind w:left="851"/>
      </w:pPr>
      <w:r>
        <w:t>‘They have brought to the organisation the military expertise and some of the agendas of the former Baathists, as well as the smuggling networks developed to avoid sanctions in the 1990s and which now facilitate the Islamic State’s illicit oil trading.’</w:t>
      </w:r>
      <w:r>
        <w:rPr>
          <w:rStyle w:val="FootnoteReference"/>
        </w:rPr>
        <w:footnoteReference w:id="18"/>
      </w:r>
    </w:p>
    <w:p w14:paraId="1ACDBA49" w14:textId="216087EE" w:rsidR="0049481E" w:rsidRDefault="00DA5693" w:rsidP="005C5B98">
      <w:pPr>
        <w:pStyle w:val="ListParagraph"/>
        <w:numPr>
          <w:ilvl w:val="2"/>
          <w:numId w:val="14"/>
        </w:numPr>
        <w:ind w:left="851" w:hanging="851"/>
      </w:pPr>
      <w:r>
        <w:t>The June 2019 EASO report stated:</w:t>
      </w:r>
    </w:p>
    <w:p w14:paraId="0FF87C10" w14:textId="77777777" w:rsidR="00DA5693" w:rsidRDefault="00DA5693" w:rsidP="00DA5693">
      <w:pPr>
        <w:pStyle w:val="ListParagraph"/>
        <w:numPr>
          <w:ilvl w:val="0"/>
          <w:numId w:val="0"/>
        </w:numPr>
        <w:ind w:left="851"/>
      </w:pPr>
      <w:r>
        <w:t>‘</w:t>
      </w:r>
      <w:r w:rsidRPr="00DA5693">
        <w:t xml:space="preserve">Even though not all former Baathists were enthusiastic about ISIL, the remnants of the party generally shared relations with the Islamic State. There has been a close cooperation between the remnants of the former Baath Party and ISIL not least because of the shared hatred of the Shia-led </w:t>
      </w:r>
      <w:r w:rsidRPr="00DA5693">
        <w:lastRenderedPageBreak/>
        <w:t>government in Iraq. Saddam-era Baathist military and police officers were recruited by ISIL. It was also reported that former Saddam-regime officers ran three of the most crucial of ISIL’s 23 portfolios: security, military</w:t>
      </w:r>
      <w:r>
        <w:t xml:space="preserve"> and finance. </w:t>
      </w:r>
      <w:r w:rsidRPr="00DA5693">
        <w:t xml:space="preserve">The list of the most wanted ISIL members published by Iraqi authorities in February 2018 contained several high-ranking former Baath party members. </w:t>
      </w:r>
    </w:p>
    <w:p w14:paraId="60EB3469" w14:textId="77777777" w:rsidR="00DA5693" w:rsidRDefault="00DA5693" w:rsidP="00DA5693">
      <w:pPr>
        <w:pStyle w:val="ListParagraph"/>
        <w:numPr>
          <w:ilvl w:val="0"/>
          <w:numId w:val="0"/>
        </w:numPr>
        <w:ind w:left="851"/>
      </w:pPr>
      <w:r>
        <w:t>‘</w:t>
      </w:r>
      <w:r w:rsidRPr="00DA5693">
        <w:t>On the one hand, ISIL recruited former Saddam-era Baathist military and police officers who have been a powerful factor in the rise of ISIL and were instrumental in the survival of its self-proclaimed caliphate. On the other hand, former Baathists had their own political goals in mind and were aiming for the establishment of a Sunni-dominated tribal nation from Damascus to Fallujah to Mosul, thus covertly</w:t>
      </w:r>
      <w:r>
        <w:t xml:space="preserve"> undermining ISIL’s caliphate.</w:t>
      </w:r>
    </w:p>
    <w:p w14:paraId="0F4B7215" w14:textId="385F817A" w:rsidR="00DA5693" w:rsidRDefault="00DA5693" w:rsidP="00DA5693">
      <w:pPr>
        <w:pStyle w:val="ListParagraph"/>
        <w:numPr>
          <w:ilvl w:val="0"/>
          <w:numId w:val="0"/>
        </w:numPr>
        <w:ind w:left="851"/>
      </w:pPr>
      <w:r>
        <w:t>‘</w:t>
      </w:r>
      <w:r w:rsidRPr="00DA5693">
        <w:t>The former Baathists were not able to compete with ISIL. In fact, many former Baathists were arrested and killed by ISIL due to rivalry. To tame any opposition, ISIL arrested a number of local Baath party leaders and members in 2014, suggesting fractures in the local Baathist-ISIL alliance.  Former Baathists and their properties, particularly those belonging to former officers of the Iraqi Army under Saddam Hussein, were also targeted in the military operations against ISIL by the progovernment forces, including militia groups</w:t>
      </w:r>
      <w:r>
        <w:t>.’</w:t>
      </w:r>
      <w:r>
        <w:rPr>
          <w:rStyle w:val="FootnoteReference"/>
        </w:rPr>
        <w:footnoteReference w:id="19"/>
      </w:r>
    </w:p>
    <w:p w14:paraId="293A236B" w14:textId="45062885" w:rsidR="00EA3BC4" w:rsidRDefault="007F14B5"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1CF3175D" w14:textId="77777777" w:rsidR="005E5E5F" w:rsidRDefault="005E5E5F" w:rsidP="005E5E5F">
      <w:pPr>
        <w:pStyle w:val="Heading3"/>
        <w:numPr>
          <w:ilvl w:val="1"/>
          <w:numId w:val="14"/>
        </w:numPr>
        <w:ind w:left="851" w:hanging="851"/>
      </w:pPr>
      <w:bookmarkStart w:id="42" w:name="_Toc29827692"/>
      <w:bookmarkStart w:id="43" w:name="_Toc461719623"/>
      <w:r w:rsidRPr="001B0BE5">
        <w:t>Naqshbandi Order (JRTN)</w:t>
      </w:r>
      <w:bookmarkEnd w:id="42"/>
    </w:p>
    <w:p w14:paraId="0F75FEF0" w14:textId="77777777" w:rsidR="005E5E5F" w:rsidRDefault="005E5E5F" w:rsidP="005E5E5F">
      <w:pPr>
        <w:pStyle w:val="ListParagraph"/>
        <w:numPr>
          <w:ilvl w:val="2"/>
          <w:numId w:val="14"/>
        </w:numPr>
        <w:ind w:left="851" w:hanging="851"/>
      </w:pPr>
      <w:r>
        <w:t>The US Department of State ‘Country Reports of Terrorism 2017’ published in September 2018 stated:</w:t>
      </w:r>
    </w:p>
    <w:p w14:paraId="3CC20365" w14:textId="278B37F4" w:rsidR="005E5E5F" w:rsidRDefault="005E5E5F" w:rsidP="005E5E5F">
      <w:pPr>
        <w:pStyle w:val="ListParagraph"/>
        <w:numPr>
          <w:ilvl w:val="0"/>
          <w:numId w:val="0"/>
        </w:numPr>
        <w:ind w:left="851"/>
      </w:pPr>
      <w:r>
        <w:t>‘</w:t>
      </w:r>
      <w:r w:rsidRPr="00B221B2">
        <w:t>Jaysh Rijal al-Tariq al-Naqshabandi (JRTN) was designated as a Foreign Terrorist Organization in September 2015. The group first announced insurgency operations against international forces in Iraq in December 2006 in response to the execution of Saddam H</w:t>
      </w:r>
      <w:r>
        <w:t>ussein</w:t>
      </w:r>
      <w:r w:rsidR="003B2D01">
        <w:t xml:space="preserve">. </w:t>
      </w:r>
      <w:r w:rsidRPr="00B221B2">
        <w:t>Izzat Ibrahim al-Douri, former vice president of Saddam Hussein’s Revolutionary Council, leads the group, which consists of former Baath Party officials,</w:t>
      </w:r>
      <w:r w:rsidR="003B2D01">
        <w:t xml:space="preserve"> </w:t>
      </w:r>
      <w:r w:rsidRPr="00B221B2">
        <w:t xml:space="preserve">military personnel, and Sunni nationalists. JRTN aims to overthrow the Government of Iraq, install a new </w:t>
      </w:r>
      <w:r>
        <w:t>Baath</w:t>
      </w:r>
      <w:r w:rsidRPr="00B221B2">
        <w:t>ist regime, and end external influence in Baghdad.</w:t>
      </w:r>
    </w:p>
    <w:p w14:paraId="7A091B18" w14:textId="4B5EED2A" w:rsidR="005E5E5F" w:rsidRDefault="005E5E5F" w:rsidP="005E5E5F">
      <w:pPr>
        <w:pStyle w:val="ListParagraph"/>
        <w:numPr>
          <w:ilvl w:val="0"/>
          <w:numId w:val="0"/>
        </w:numPr>
        <w:ind w:left="851"/>
      </w:pPr>
      <w:r>
        <w:t>‘[…] In 2014, elements of JRTN joined military forces with ISIS in opposition to the Iraqi government.</w:t>
      </w:r>
      <w:r w:rsidR="003B2D01">
        <w:t xml:space="preserve"> </w:t>
      </w:r>
      <w:r>
        <w:t>The group played a major role in the capture of Mosul from Iraqi security forces in 2014. Elements of JRTN continued cooperating with ISIS in 2016, but did not publicly claim any specific attacks in 2016 or 2017</w:t>
      </w:r>
      <w:r w:rsidR="003B2D01">
        <w:t>.</w:t>
      </w:r>
    </w:p>
    <w:p w14:paraId="4A616D04" w14:textId="77777777" w:rsidR="005E5E5F" w:rsidRDefault="005E5E5F" w:rsidP="005E5E5F">
      <w:pPr>
        <w:pStyle w:val="ListParagraph"/>
        <w:numPr>
          <w:ilvl w:val="0"/>
          <w:numId w:val="0"/>
        </w:numPr>
        <w:ind w:left="851"/>
      </w:pPr>
      <w:r>
        <w:t>‘</w:t>
      </w:r>
      <w:r w:rsidRPr="00B221B2">
        <w:t>In 2013, the group was estimated to have about 5,000 fighters; membership is almos</w:t>
      </w:r>
      <w:r>
        <w:t>t certainly much lower today.’</w:t>
      </w:r>
      <w:r>
        <w:rPr>
          <w:rStyle w:val="FootnoteReference"/>
        </w:rPr>
        <w:footnoteReference w:id="20"/>
      </w:r>
    </w:p>
    <w:p w14:paraId="16A011B1" w14:textId="77777777" w:rsidR="005E5E5F" w:rsidRPr="008F4DD3" w:rsidRDefault="007F14B5" w:rsidP="005E5E5F">
      <w:pPr>
        <w:jc w:val="right"/>
        <w:rPr>
          <w:color w:val="0000FF" w:themeColor="hyperlink"/>
          <w:szCs w:val="24"/>
          <w:u w:val="single"/>
        </w:rPr>
      </w:pPr>
      <w:hyperlink w:anchor="contents" w:history="1">
        <w:r w:rsidR="005E5E5F" w:rsidRPr="006B4863">
          <w:rPr>
            <w:rStyle w:val="Hyperlink"/>
            <w:szCs w:val="24"/>
          </w:rPr>
          <w:t>Back to Contents</w:t>
        </w:r>
      </w:hyperlink>
    </w:p>
    <w:p w14:paraId="1B34FA2F" w14:textId="73B6E7D0" w:rsidR="00B568D0" w:rsidRDefault="00B568D0" w:rsidP="00B568D0">
      <w:pPr>
        <w:pStyle w:val="Heading3"/>
        <w:numPr>
          <w:ilvl w:val="1"/>
          <w:numId w:val="14"/>
        </w:numPr>
        <w:ind w:left="851" w:hanging="851"/>
        <w:rPr>
          <w:lang w:eastAsia="en-GB"/>
        </w:rPr>
      </w:pPr>
      <w:bookmarkStart w:id="44" w:name="_Toc29827693"/>
      <w:r>
        <w:rPr>
          <w:lang w:eastAsia="en-GB"/>
        </w:rPr>
        <w:lastRenderedPageBreak/>
        <w:t>General Military Council for Iraqi Revolutionaries (GMCIR)</w:t>
      </w:r>
      <w:bookmarkEnd w:id="43"/>
      <w:bookmarkEnd w:id="44"/>
    </w:p>
    <w:p w14:paraId="0163070E" w14:textId="52EDDC47" w:rsidR="00A05682" w:rsidRDefault="00120D1F" w:rsidP="003B7603">
      <w:pPr>
        <w:pStyle w:val="ListParagraph"/>
        <w:numPr>
          <w:ilvl w:val="2"/>
          <w:numId w:val="14"/>
        </w:numPr>
        <w:ind w:left="851" w:hanging="851"/>
        <w:rPr>
          <w:lang w:eastAsia="en-GB"/>
        </w:rPr>
      </w:pPr>
      <w:r>
        <w:rPr>
          <w:lang w:eastAsia="en-GB"/>
        </w:rPr>
        <w:t>The Jamestown Foundation stated the following in a report</w:t>
      </w:r>
      <w:r w:rsidR="0059569C">
        <w:rPr>
          <w:lang w:eastAsia="en-GB"/>
        </w:rPr>
        <w:t>, published 25 July 2014,</w:t>
      </w:r>
      <w:r>
        <w:rPr>
          <w:lang w:eastAsia="en-GB"/>
        </w:rPr>
        <w:t xml:space="preserve"> entitled ‘A Marriage of Convenience: The Many Faces of Iraq’s Sunni Insurgency’:</w:t>
      </w:r>
    </w:p>
    <w:p w14:paraId="0C10F012" w14:textId="0EDC7727" w:rsidR="00120D1F" w:rsidRPr="00A05682" w:rsidRDefault="00120D1F" w:rsidP="00120D1F">
      <w:pPr>
        <w:pStyle w:val="ListParagraph"/>
        <w:numPr>
          <w:ilvl w:val="0"/>
          <w:numId w:val="0"/>
        </w:numPr>
        <w:ind w:left="851"/>
        <w:rPr>
          <w:lang w:eastAsia="en-GB"/>
        </w:rPr>
      </w:pPr>
      <w:bookmarkStart w:id="45" w:name="_Hlk23502421"/>
      <w:r>
        <w:rPr>
          <w:lang w:eastAsia="en-GB"/>
        </w:rPr>
        <w:t xml:space="preserve">‘One of the main groups that fought alongside ISIS is the GMCIR [General Military Council for Iraqi </w:t>
      </w:r>
      <w:r w:rsidR="005D3121">
        <w:rPr>
          <w:lang w:eastAsia="en-GB"/>
        </w:rPr>
        <w:t>Revolutionaries</w:t>
      </w:r>
      <w:r>
        <w:rPr>
          <w:lang w:eastAsia="en-GB"/>
        </w:rPr>
        <w:t>]. This group was formed in early 2014 from an alliance of various other military councils or tribal revolutionary groups with the aim of establishing a unified command as a result of renewed fighting with Baghdad. The GMCIR includes a large number of former officers of the disbanded Iraqi army and has the general aim of establishing a Sunni autonomous entity without compelling any break-up of Iraq.’</w:t>
      </w:r>
      <w:r>
        <w:rPr>
          <w:rStyle w:val="FootnoteReference"/>
          <w:lang w:eastAsia="en-GB"/>
        </w:rPr>
        <w:footnoteReference w:id="21"/>
      </w:r>
    </w:p>
    <w:p w14:paraId="16393C5D" w14:textId="599A8ABF" w:rsidR="003B7603" w:rsidRDefault="001230FA" w:rsidP="003B7603">
      <w:pPr>
        <w:pStyle w:val="ListParagraph"/>
        <w:numPr>
          <w:ilvl w:val="2"/>
          <w:numId w:val="14"/>
        </w:numPr>
        <w:ind w:left="851" w:hanging="851"/>
        <w:rPr>
          <w:lang w:eastAsia="en-GB"/>
        </w:rPr>
      </w:pPr>
      <w:r>
        <w:rPr>
          <w:szCs w:val="24"/>
        </w:rPr>
        <w:t>The J</w:t>
      </w:r>
      <w:r w:rsidR="00120D1F">
        <w:rPr>
          <w:szCs w:val="24"/>
        </w:rPr>
        <w:t xml:space="preserve">amestown Foundation also provided a more detailed </w:t>
      </w:r>
      <w:r>
        <w:rPr>
          <w:szCs w:val="24"/>
        </w:rPr>
        <w:t xml:space="preserve">profile (dated </w:t>
      </w:r>
      <w:r w:rsidR="00120D1F">
        <w:rPr>
          <w:szCs w:val="24"/>
        </w:rPr>
        <w:t>26 June</w:t>
      </w:r>
      <w:r>
        <w:rPr>
          <w:szCs w:val="24"/>
        </w:rPr>
        <w:t xml:space="preserve"> 2014) of the General Military Council for Iraqi Revolutionaries (GMCIR):</w:t>
      </w:r>
    </w:p>
    <w:p w14:paraId="7399285C" w14:textId="022C0D90" w:rsidR="003B7603" w:rsidRDefault="003B7603" w:rsidP="003B7603">
      <w:pPr>
        <w:pStyle w:val="ListParagraph"/>
        <w:numPr>
          <w:ilvl w:val="0"/>
          <w:numId w:val="0"/>
        </w:numPr>
        <w:ind w:left="851"/>
        <w:rPr>
          <w:lang w:eastAsia="en-GB"/>
        </w:rPr>
      </w:pPr>
      <w:r>
        <w:rPr>
          <w:lang w:eastAsia="en-GB"/>
        </w:rPr>
        <w:t xml:space="preserve">‘The GMCIR’s opponents claim that the group is strongly influenced by former </w:t>
      </w:r>
      <w:r w:rsidR="00921E1E">
        <w:rPr>
          <w:lang w:eastAsia="en-GB"/>
        </w:rPr>
        <w:t>Baath</w:t>
      </w:r>
      <w:r>
        <w:rPr>
          <w:lang w:eastAsia="en-GB"/>
        </w:rPr>
        <w:t>ist officers affiliated with groups such as the Jaysh Rajaal al-Tariqa al-Naqshabandia (JRTN – Army of the Men of the Naqshabandi Path), which is particularly powerful in Ninewah governorate and the city of Mosul.</w:t>
      </w:r>
    </w:p>
    <w:p w14:paraId="3BCA352B" w14:textId="1B113C6E" w:rsidR="003B7603" w:rsidRDefault="003B7603" w:rsidP="003B7603">
      <w:pPr>
        <w:pStyle w:val="ListParagraph"/>
        <w:numPr>
          <w:ilvl w:val="0"/>
          <w:numId w:val="0"/>
        </w:numPr>
        <w:ind w:left="851"/>
        <w:rPr>
          <w:lang w:eastAsia="en-GB"/>
        </w:rPr>
      </w:pPr>
      <w:r>
        <w:rPr>
          <w:lang w:eastAsia="en-GB"/>
        </w:rPr>
        <w:t xml:space="preserve">‘GMCIR members state that JTRN members and former </w:t>
      </w:r>
      <w:r w:rsidR="00921E1E">
        <w:rPr>
          <w:lang w:eastAsia="en-GB"/>
        </w:rPr>
        <w:t>Baath</w:t>
      </w:r>
      <w:r>
        <w:rPr>
          <w:lang w:eastAsia="en-GB"/>
        </w:rPr>
        <w:t>ist officers are represented in their organization, including in its Political Council; however, they assert that these officers are not the most important figures within it.’</w:t>
      </w:r>
      <w:r>
        <w:rPr>
          <w:rStyle w:val="FootnoteReference"/>
          <w:lang w:eastAsia="en-GB"/>
        </w:rPr>
        <w:footnoteReference w:id="22"/>
      </w:r>
    </w:p>
    <w:bookmarkEnd w:id="45"/>
    <w:p w14:paraId="262B3E13" w14:textId="33B75B77" w:rsidR="003B7603" w:rsidRPr="003B7603" w:rsidRDefault="005061F0" w:rsidP="003B7603">
      <w:pPr>
        <w:pStyle w:val="ListParagraph"/>
        <w:numPr>
          <w:ilvl w:val="2"/>
          <w:numId w:val="14"/>
        </w:numPr>
        <w:ind w:left="851" w:hanging="851"/>
        <w:rPr>
          <w:lang w:eastAsia="en-GB"/>
        </w:rPr>
      </w:pPr>
      <w:r>
        <w:rPr>
          <w:lang w:eastAsia="en-GB"/>
        </w:rPr>
        <w:t>For more information on these groups see:</w:t>
      </w:r>
    </w:p>
    <w:p w14:paraId="09639198" w14:textId="7E645A33" w:rsidR="008F4DD3" w:rsidRDefault="007F14B5" w:rsidP="008F4DD3">
      <w:pPr>
        <w:pStyle w:val="ListParagraph"/>
        <w:numPr>
          <w:ilvl w:val="0"/>
          <w:numId w:val="18"/>
        </w:numPr>
        <w:rPr>
          <w:lang w:eastAsia="en-GB"/>
        </w:rPr>
      </w:pPr>
      <w:hyperlink r:id="rId35" w:history="1">
        <w:r w:rsidR="005061F0" w:rsidRPr="005061F0">
          <w:rPr>
            <w:rStyle w:val="Hyperlink"/>
            <w:lang w:eastAsia="en-GB"/>
          </w:rPr>
          <w:t>Institute for the Study of War – Middle East Security Report 24 – Beyond the Islamic State: Iraq’s Sunni Insurgency, October 2014</w:t>
        </w:r>
      </w:hyperlink>
    </w:p>
    <w:p w14:paraId="41EF036F" w14:textId="78C6DA0D" w:rsidR="008F4DD3" w:rsidRDefault="007F14B5" w:rsidP="008F4DD3">
      <w:pPr>
        <w:jc w:val="right"/>
        <w:rPr>
          <w:rStyle w:val="Hyperlink"/>
          <w:szCs w:val="24"/>
        </w:rPr>
      </w:pPr>
      <w:hyperlink w:anchor="contents" w:history="1">
        <w:r w:rsidR="008F4DD3" w:rsidRPr="006B4863">
          <w:rPr>
            <w:rStyle w:val="Hyperlink"/>
            <w:szCs w:val="24"/>
          </w:rPr>
          <w:t>Back to Contents</w:t>
        </w:r>
      </w:hyperlink>
    </w:p>
    <w:p w14:paraId="7FA81C14" w14:textId="02944144" w:rsidR="008F4DD3" w:rsidRPr="008F4DD3" w:rsidRDefault="008F4DD3" w:rsidP="008F4DD3">
      <w:pPr>
        <w:jc w:val="right"/>
      </w:pPr>
      <w:r>
        <w:rPr>
          <w:color w:val="7030A0"/>
        </w:rPr>
        <w:t>Section 5 u</w:t>
      </w:r>
      <w:r w:rsidRPr="00AF62ED">
        <w:rPr>
          <w:color w:val="7030A0"/>
        </w:rPr>
        <w:t xml:space="preserve">pdated: </w:t>
      </w:r>
      <w:r w:rsidR="005E5E5F">
        <w:rPr>
          <w:color w:val="7030A0"/>
        </w:rPr>
        <w:t>1</w:t>
      </w:r>
      <w:r w:rsidR="00954873">
        <w:rPr>
          <w:color w:val="7030A0"/>
        </w:rPr>
        <w:t xml:space="preserve"> November</w:t>
      </w:r>
      <w:r w:rsidR="005E5E5F">
        <w:rPr>
          <w:color w:val="7030A0"/>
        </w:rPr>
        <w:t xml:space="preserve"> 2019</w:t>
      </w:r>
    </w:p>
    <w:p w14:paraId="17392673" w14:textId="64DCE386" w:rsidR="00B221B2" w:rsidRPr="00E04954" w:rsidRDefault="00D900CE" w:rsidP="00E04954">
      <w:pPr>
        <w:pStyle w:val="Heading2"/>
        <w:numPr>
          <w:ilvl w:val="0"/>
          <w:numId w:val="14"/>
        </w:numPr>
        <w:ind w:left="851" w:hanging="851"/>
      </w:pPr>
      <w:bookmarkStart w:id="46" w:name="_De-Ba’athification"/>
      <w:bookmarkStart w:id="47" w:name="_De-Baathification"/>
      <w:bookmarkStart w:id="48" w:name="_Toc29827694"/>
      <w:bookmarkEnd w:id="46"/>
      <w:bookmarkEnd w:id="47"/>
      <w:r w:rsidRPr="00E04954">
        <w:t>De-</w:t>
      </w:r>
      <w:r w:rsidR="00921E1E">
        <w:t>Baath</w:t>
      </w:r>
      <w:r w:rsidRPr="00E04954">
        <w:t>ification</w:t>
      </w:r>
      <w:bookmarkEnd w:id="48"/>
    </w:p>
    <w:p w14:paraId="14C9CE1E" w14:textId="5A5446F0" w:rsidR="00E871B3" w:rsidRDefault="00AD7EBE" w:rsidP="00E871B3">
      <w:pPr>
        <w:pStyle w:val="ListParagraph"/>
        <w:numPr>
          <w:ilvl w:val="2"/>
          <w:numId w:val="14"/>
        </w:numPr>
        <w:ind w:left="851" w:hanging="851"/>
      </w:pPr>
      <w:r>
        <w:t>The International Center for Transitional Justice (ICTJ), in 2013, produced a r</w:t>
      </w:r>
      <w:r w:rsidR="00E871B3">
        <w:t>eport on ‘de-</w:t>
      </w:r>
      <w:r w:rsidR="00921E1E">
        <w:t>Baath</w:t>
      </w:r>
      <w:r w:rsidR="00E871B3">
        <w:t>ification’.</w:t>
      </w:r>
      <w:r w:rsidR="008B33B3">
        <w:t xml:space="preserve"> While a number of years old, the repor</w:t>
      </w:r>
      <w:r w:rsidR="002656B9">
        <w:t xml:space="preserve">t provides an accurate and authoritative </w:t>
      </w:r>
      <w:r w:rsidR="009C500B">
        <w:t xml:space="preserve">overview </w:t>
      </w:r>
      <w:r w:rsidR="002656B9">
        <w:t>of ‘de</w:t>
      </w:r>
      <w:r>
        <w:t>-</w:t>
      </w:r>
      <w:r w:rsidR="00921E1E">
        <w:t>Baath</w:t>
      </w:r>
      <w:r>
        <w:t>ification’</w:t>
      </w:r>
      <w:r w:rsidR="002656B9">
        <w:t>,</w:t>
      </w:r>
      <w:r w:rsidR="009C500B">
        <w:t xml:space="preserve"> </w:t>
      </w:r>
      <w:r>
        <w:t>a number of processes initiated by the Coalition Provisional Authority (CPA) and later Iraq’s Higher National De-</w:t>
      </w:r>
      <w:r w:rsidR="00921E1E">
        <w:t>Baath</w:t>
      </w:r>
      <w:r>
        <w:t xml:space="preserve">ification Commission (HNDBC) and then the Accountability and Justice Commission (AJC) after the fall of Iraq‘s </w:t>
      </w:r>
      <w:r w:rsidR="00921E1E">
        <w:t>Baath</w:t>
      </w:r>
      <w:r>
        <w:t>ist regime in 2003</w:t>
      </w:r>
      <w:r w:rsidR="00E871B3">
        <w:rPr>
          <w:rStyle w:val="FootnoteReference"/>
        </w:rPr>
        <w:footnoteReference w:id="23"/>
      </w:r>
      <w:r>
        <w:t>.</w:t>
      </w:r>
    </w:p>
    <w:p w14:paraId="267F0AF2" w14:textId="078EC43E" w:rsidR="00AD7EBE" w:rsidRDefault="00AD7EBE" w:rsidP="00E871B3">
      <w:pPr>
        <w:pStyle w:val="ListParagraph"/>
        <w:numPr>
          <w:ilvl w:val="2"/>
          <w:numId w:val="14"/>
        </w:numPr>
        <w:ind w:left="851" w:hanging="851"/>
      </w:pPr>
      <w:r>
        <w:t>In 2003 the ‘de-</w:t>
      </w:r>
      <w:r w:rsidR="00921E1E">
        <w:t>Baath</w:t>
      </w:r>
      <w:r>
        <w:t>ification’ process occurred in two main phases. ‘Order 1’ of the process included measures to:</w:t>
      </w:r>
    </w:p>
    <w:p w14:paraId="17A936C9" w14:textId="4A869945" w:rsidR="00AD7EBE" w:rsidRDefault="00AD7EBE" w:rsidP="00AD7EBE">
      <w:pPr>
        <w:pStyle w:val="ListParagraph"/>
        <w:numPr>
          <w:ilvl w:val="0"/>
          <w:numId w:val="18"/>
        </w:numPr>
      </w:pPr>
      <w:r>
        <w:t xml:space="preserve">remove </w:t>
      </w:r>
      <w:r w:rsidR="00921E1E">
        <w:t>Baath</w:t>
      </w:r>
      <w:r>
        <w:t xml:space="preserve"> Party leaders from ‘positions of authority and responsibility in Iraqi society’, specifically:</w:t>
      </w:r>
    </w:p>
    <w:p w14:paraId="525E0CCF" w14:textId="6FC08B89" w:rsidR="00AD7EBE" w:rsidRDefault="00AD7EBE" w:rsidP="00AD7EBE">
      <w:pPr>
        <w:pStyle w:val="ListParagraph"/>
        <w:numPr>
          <w:ilvl w:val="0"/>
          <w:numId w:val="19"/>
        </w:numPr>
      </w:pPr>
      <w:r>
        <w:lastRenderedPageBreak/>
        <w:t xml:space="preserve">all individuals at the top four ranks of </w:t>
      </w:r>
      <w:r w:rsidR="00921E1E">
        <w:t>Baath</w:t>
      </w:r>
      <w:r>
        <w:t xml:space="preserve"> Party membership (‘senior party members’); </w:t>
      </w:r>
    </w:p>
    <w:p w14:paraId="07D4FF0D" w14:textId="1B98DCDF" w:rsidR="00AD7EBE" w:rsidRDefault="00AD7EBE" w:rsidP="00AD7EBE">
      <w:pPr>
        <w:pStyle w:val="ListParagraph"/>
        <w:numPr>
          <w:ilvl w:val="0"/>
          <w:numId w:val="19"/>
        </w:numPr>
      </w:pPr>
      <w:r>
        <w:t xml:space="preserve">all individuals at the three highest levels of management position (director general and above) who held any level of party membership; </w:t>
      </w:r>
    </w:p>
    <w:p w14:paraId="70AF9E1E" w14:textId="77777777" w:rsidR="00AD7EBE" w:rsidRDefault="00AD7EBE" w:rsidP="00AD7EBE">
      <w:pPr>
        <w:pStyle w:val="ListParagraph"/>
        <w:numPr>
          <w:ilvl w:val="0"/>
          <w:numId w:val="18"/>
        </w:numPr>
      </w:pPr>
      <w:r>
        <w:t xml:space="preserve">forbid the displaying of images of Saddam Hussein; </w:t>
      </w:r>
    </w:p>
    <w:p w14:paraId="0267BEF7" w14:textId="77777777" w:rsidR="00AD7EBE" w:rsidRDefault="00AD7EBE" w:rsidP="00AD7EBE">
      <w:pPr>
        <w:pStyle w:val="ListParagraph"/>
        <w:numPr>
          <w:ilvl w:val="0"/>
          <w:numId w:val="18"/>
        </w:numPr>
      </w:pPr>
      <w:r>
        <w:t>initiate investigations into alleged crimes;</w:t>
      </w:r>
    </w:p>
    <w:p w14:paraId="2A89A100" w14:textId="05B2C432" w:rsidR="00AD7EBE" w:rsidRPr="00AD7EBE" w:rsidRDefault="00AD7EBE" w:rsidP="00AD7EBE">
      <w:pPr>
        <w:pStyle w:val="ListParagraph"/>
        <w:numPr>
          <w:ilvl w:val="0"/>
          <w:numId w:val="18"/>
        </w:numPr>
      </w:pPr>
      <w:r>
        <w:t xml:space="preserve">authorise rewards leading to the arrest of </w:t>
      </w:r>
      <w:r w:rsidR="00921E1E">
        <w:t>Baath</w:t>
      </w:r>
      <w:r>
        <w:t>ists</w:t>
      </w:r>
      <w:r w:rsidR="00E871B3">
        <w:rPr>
          <w:rStyle w:val="FootnoteReference"/>
        </w:rPr>
        <w:footnoteReference w:id="24"/>
      </w:r>
      <w:r w:rsidRPr="00AD7EBE">
        <w:t xml:space="preserve"> </w:t>
      </w:r>
    </w:p>
    <w:p w14:paraId="06B3D048" w14:textId="77777777" w:rsidR="00E871B3" w:rsidRDefault="00E871B3" w:rsidP="00E871B3">
      <w:pPr>
        <w:pStyle w:val="ListParagraph"/>
        <w:numPr>
          <w:ilvl w:val="2"/>
          <w:numId w:val="14"/>
        </w:numPr>
      </w:pPr>
      <w:r>
        <w:t>‘Order 2’ of the process included measures to:</w:t>
      </w:r>
    </w:p>
    <w:p w14:paraId="681D170B" w14:textId="22D95ED8" w:rsidR="00E871B3" w:rsidRDefault="00E871B3" w:rsidP="00E871B3">
      <w:pPr>
        <w:pStyle w:val="ListParagraph"/>
        <w:numPr>
          <w:ilvl w:val="0"/>
          <w:numId w:val="20"/>
        </w:numPr>
      </w:pPr>
      <w:r>
        <w:t xml:space="preserve">dissolve certain organisations that were either notorious for their role in enforcing </w:t>
      </w:r>
      <w:r w:rsidR="00921E1E">
        <w:t>Baath</w:t>
      </w:r>
      <w:r>
        <w:t xml:space="preserve"> party rule, or whose resources might offer the party a means to return to power, such as:</w:t>
      </w:r>
    </w:p>
    <w:p w14:paraId="728E9BC9" w14:textId="77777777" w:rsidR="00E871B3" w:rsidRDefault="00E871B3" w:rsidP="00E871B3">
      <w:pPr>
        <w:pStyle w:val="ListParagraph"/>
        <w:numPr>
          <w:ilvl w:val="0"/>
          <w:numId w:val="22"/>
        </w:numPr>
      </w:pPr>
      <w:r>
        <w:t xml:space="preserve">the Iraqi armed forces; </w:t>
      </w:r>
    </w:p>
    <w:p w14:paraId="0F933834" w14:textId="77777777" w:rsidR="00E871B3" w:rsidRDefault="00E871B3" w:rsidP="00E871B3">
      <w:pPr>
        <w:pStyle w:val="ListParagraph"/>
        <w:numPr>
          <w:ilvl w:val="0"/>
          <w:numId w:val="22"/>
        </w:numPr>
      </w:pPr>
      <w:r>
        <w:t>security services;</w:t>
      </w:r>
    </w:p>
    <w:p w14:paraId="448ED7B5" w14:textId="77777777" w:rsidR="00E871B3" w:rsidRDefault="00E871B3" w:rsidP="00E871B3">
      <w:pPr>
        <w:pStyle w:val="ListParagraph"/>
        <w:numPr>
          <w:ilvl w:val="0"/>
          <w:numId w:val="22"/>
        </w:numPr>
      </w:pPr>
      <w:r>
        <w:t>party militias;</w:t>
      </w:r>
    </w:p>
    <w:p w14:paraId="51BBB566" w14:textId="4810B8D0" w:rsidR="00E871B3" w:rsidRDefault="00E871B3" w:rsidP="00E871B3">
      <w:pPr>
        <w:pStyle w:val="ListParagraph"/>
        <w:numPr>
          <w:ilvl w:val="0"/>
          <w:numId w:val="22"/>
        </w:numPr>
      </w:pPr>
      <w:r>
        <w:t>the Olympic committee;</w:t>
      </w:r>
    </w:p>
    <w:p w14:paraId="738EC837" w14:textId="77777777" w:rsidR="00E871B3" w:rsidRDefault="00E871B3" w:rsidP="00E871B3">
      <w:pPr>
        <w:pStyle w:val="ListParagraph"/>
        <w:numPr>
          <w:ilvl w:val="0"/>
          <w:numId w:val="20"/>
        </w:numPr>
      </w:pPr>
      <w:r>
        <w:t xml:space="preserve">abolish all military ranks; </w:t>
      </w:r>
    </w:p>
    <w:p w14:paraId="298800D6" w14:textId="77777777" w:rsidR="00E871B3" w:rsidRDefault="00E871B3" w:rsidP="00E871B3">
      <w:pPr>
        <w:pStyle w:val="ListParagraph"/>
        <w:numPr>
          <w:ilvl w:val="0"/>
          <w:numId w:val="20"/>
        </w:numPr>
      </w:pPr>
      <w:r>
        <w:t>release conscripts;</w:t>
      </w:r>
    </w:p>
    <w:p w14:paraId="5BEFD113" w14:textId="77777777" w:rsidR="00E871B3" w:rsidRDefault="00E871B3" w:rsidP="00E871B3">
      <w:pPr>
        <w:pStyle w:val="ListParagraph"/>
        <w:numPr>
          <w:ilvl w:val="0"/>
          <w:numId w:val="20"/>
        </w:numPr>
      </w:pPr>
      <w:r>
        <w:t xml:space="preserve">dismiss employees; </w:t>
      </w:r>
    </w:p>
    <w:p w14:paraId="37A0FF6E" w14:textId="5E25D2A5" w:rsidR="00E871B3" w:rsidRDefault="00E871B3" w:rsidP="00E871B3">
      <w:pPr>
        <w:pStyle w:val="ListParagraph"/>
        <w:numPr>
          <w:ilvl w:val="0"/>
          <w:numId w:val="20"/>
        </w:numPr>
      </w:pPr>
      <w:r>
        <w:t>discontinue pensions for senior party members and officers at the rank of colonel and above</w:t>
      </w:r>
      <w:r>
        <w:rPr>
          <w:rStyle w:val="FootnoteReference"/>
        </w:rPr>
        <w:footnoteReference w:id="25"/>
      </w:r>
    </w:p>
    <w:p w14:paraId="5CEEE07F" w14:textId="27490C81" w:rsidR="00E871B3" w:rsidRDefault="00E871B3" w:rsidP="00E04954">
      <w:pPr>
        <w:pStyle w:val="ListParagraph"/>
        <w:numPr>
          <w:ilvl w:val="2"/>
          <w:numId w:val="14"/>
        </w:numPr>
        <w:ind w:left="851" w:hanging="851"/>
      </w:pPr>
      <w:r>
        <w:t>In September 2003, the ‘de-</w:t>
      </w:r>
      <w:r w:rsidR="00921E1E">
        <w:t>Baath</w:t>
      </w:r>
      <w:r>
        <w:t>ification’ commission expanded its scope, by:</w:t>
      </w:r>
    </w:p>
    <w:p w14:paraId="532748F1" w14:textId="77777777" w:rsidR="00E871B3" w:rsidRDefault="00E871B3" w:rsidP="00E871B3">
      <w:pPr>
        <w:pStyle w:val="ListParagraph"/>
        <w:numPr>
          <w:ilvl w:val="0"/>
          <w:numId w:val="23"/>
        </w:numPr>
      </w:pPr>
      <w:r>
        <w:t xml:space="preserve">prohibiting certain categories of people from holding high-level positions in the new state bureaucracy, politics, civil institutions or the media. The affected people were: </w:t>
      </w:r>
    </w:p>
    <w:p w14:paraId="25263978" w14:textId="4DAFF239" w:rsidR="00E871B3" w:rsidRDefault="00E871B3" w:rsidP="00E871B3">
      <w:pPr>
        <w:pStyle w:val="ListParagraph"/>
        <w:numPr>
          <w:ilvl w:val="1"/>
          <w:numId w:val="23"/>
        </w:numPr>
      </w:pPr>
      <w:r>
        <w:t xml:space="preserve">senior party members; </w:t>
      </w:r>
    </w:p>
    <w:p w14:paraId="467763FF" w14:textId="77777777" w:rsidR="00E871B3" w:rsidRDefault="00E871B3" w:rsidP="00E871B3">
      <w:pPr>
        <w:pStyle w:val="ListParagraph"/>
        <w:numPr>
          <w:ilvl w:val="1"/>
          <w:numId w:val="23"/>
        </w:numPr>
      </w:pPr>
      <w:r>
        <w:t>those who held civil service or equivalent positions from director general level or above;</w:t>
      </w:r>
    </w:p>
    <w:p w14:paraId="6D43F856" w14:textId="77777777" w:rsidR="00E871B3" w:rsidRDefault="00E871B3" w:rsidP="00E871B3">
      <w:pPr>
        <w:pStyle w:val="ListParagraph"/>
        <w:numPr>
          <w:ilvl w:val="1"/>
          <w:numId w:val="23"/>
        </w:numPr>
      </w:pPr>
      <w:r>
        <w:t xml:space="preserve">members of ‘oppressive institutions’; and </w:t>
      </w:r>
    </w:p>
    <w:p w14:paraId="639AFF1D" w14:textId="77777777" w:rsidR="00E871B3" w:rsidRDefault="00E871B3" w:rsidP="00E871B3">
      <w:pPr>
        <w:pStyle w:val="ListParagraph"/>
        <w:numPr>
          <w:ilvl w:val="1"/>
          <w:numId w:val="23"/>
        </w:numPr>
      </w:pPr>
      <w:r>
        <w:t xml:space="preserve">those known to have participated in crimes </w:t>
      </w:r>
    </w:p>
    <w:p w14:paraId="4C39EFC0" w14:textId="76FCCBE5" w:rsidR="00E871B3" w:rsidRDefault="00E871B3" w:rsidP="00E871B3">
      <w:pPr>
        <w:pStyle w:val="ListParagraph"/>
        <w:numPr>
          <w:ilvl w:val="0"/>
          <w:numId w:val="23"/>
        </w:numPr>
      </w:pPr>
      <w:r>
        <w:t>creating ‘De-</w:t>
      </w:r>
      <w:r w:rsidR="00921E1E">
        <w:t>Baath</w:t>
      </w:r>
      <w:r>
        <w:t xml:space="preserve">ification’ committees in each ministry; </w:t>
      </w:r>
    </w:p>
    <w:p w14:paraId="65AF6806" w14:textId="77777777" w:rsidR="00E871B3" w:rsidRDefault="00E871B3" w:rsidP="00E871B3">
      <w:pPr>
        <w:pStyle w:val="ListParagraph"/>
        <w:numPr>
          <w:ilvl w:val="0"/>
          <w:numId w:val="23"/>
        </w:numPr>
      </w:pPr>
      <w:r>
        <w:t xml:space="preserve">cancelling all previous reinstatements; </w:t>
      </w:r>
    </w:p>
    <w:p w14:paraId="15368EC4" w14:textId="5BA81A25" w:rsidR="00E871B3" w:rsidRDefault="00E871B3" w:rsidP="00E871B3">
      <w:pPr>
        <w:pStyle w:val="ListParagraph"/>
        <w:numPr>
          <w:ilvl w:val="0"/>
          <w:numId w:val="23"/>
        </w:numPr>
      </w:pPr>
      <w:r>
        <w:t>taking control of the appeals process from the CPA, with only senior party members and high-ranking civil servants able to appeal, but who would lose their pensions if the appeal was rejected</w:t>
      </w:r>
      <w:r>
        <w:rPr>
          <w:rStyle w:val="FootnoteReference"/>
        </w:rPr>
        <w:footnoteReference w:id="26"/>
      </w:r>
    </w:p>
    <w:p w14:paraId="6C0EF3A8" w14:textId="5F2ACA11" w:rsidR="00E871B3" w:rsidRDefault="004A551B" w:rsidP="004A551B">
      <w:pPr>
        <w:pStyle w:val="ListParagraph"/>
        <w:numPr>
          <w:ilvl w:val="2"/>
          <w:numId w:val="14"/>
        </w:numPr>
        <w:ind w:left="851" w:hanging="851"/>
      </w:pPr>
      <w:r w:rsidRPr="004A551B">
        <w:lastRenderedPageBreak/>
        <w:t>The source commented on the impact of these procedures:</w:t>
      </w:r>
    </w:p>
    <w:p w14:paraId="47889CE6" w14:textId="3C9B5820" w:rsidR="004A551B" w:rsidRPr="006B0B01" w:rsidRDefault="004A551B" w:rsidP="004A551B">
      <w:pPr>
        <w:pStyle w:val="ListParagraph"/>
        <w:numPr>
          <w:ilvl w:val="0"/>
          <w:numId w:val="0"/>
        </w:numPr>
        <w:ind w:left="851"/>
      </w:pPr>
      <w:r>
        <w:t>‘</w:t>
      </w:r>
      <w:r w:rsidRPr="006B0B01">
        <w:t>At the stroke of a pen in May 2003, some 400,000 conscripts, officials, officers, and others were left unemployed by CPA Order 2. There appears to be almost universal criticism of the decision to dissolve the army, particularly in light of the bloody insurgency that evolved in 2004 and intensified from 2006 to 2008. It appears, however, that many people were reabsorbed into the new military and security institutions. De-</w:t>
      </w:r>
      <w:r w:rsidR="00921E1E">
        <w:t>Baath</w:t>
      </w:r>
      <w:r w:rsidRPr="006B0B01">
        <w:t>ification measures were largely backward looking and for the most part did not prohibit future reemployment.</w:t>
      </w:r>
    </w:p>
    <w:p w14:paraId="5EF7F886" w14:textId="77777777" w:rsidR="004A551B" w:rsidRPr="00C67C6E" w:rsidRDefault="004A551B" w:rsidP="004A551B">
      <w:pPr>
        <w:pStyle w:val="ListParagraph"/>
        <w:numPr>
          <w:ilvl w:val="0"/>
          <w:numId w:val="0"/>
        </w:numPr>
        <w:ind w:left="851"/>
        <w:rPr>
          <w:szCs w:val="24"/>
        </w:rPr>
      </w:pPr>
      <w:r>
        <w:t xml:space="preserve">‘The impact on Iraq’s public administration is somewhat harder to assess. Implementation varied according to the ministry or institution involved, with some agencies enthusiastically dismissing eligible employees and others proceeding more slowly or selectively. In the Ministry of Foreign Affairs and other specialized entities, for example, the need for certain technical skills meant that exemptions were frequent and implementation severely compromised. The exception was the judiciary, which was subjected to a </w:t>
      </w:r>
      <w:r w:rsidRPr="00C67C6E">
        <w:rPr>
          <w:szCs w:val="24"/>
        </w:rPr>
        <w:t>separate judicial vetting process.</w:t>
      </w:r>
    </w:p>
    <w:p w14:paraId="6A0605C4" w14:textId="77777777" w:rsidR="004A551B" w:rsidRDefault="004A551B" w:rsidP="004A551B">
      <w:pPr>
        <w:pStyle w:val="ListParagraph"/>
        <w:numPr>
          <w:ilvl w:val="0"/>
          <w:numId w:val="0"/>
        </w:numPr>
        <w:ind w:left="851"/>
        <w:rPr>
          <w:szCs w:val="24"/>
        </w:rPr>
      </w:pPr>
      <w:r>
        <w:rPr>
          <w:szCs w:val="24"/>
        </w:rPr>
        <w:t>‘</w:t>
      </w:r>
      <w:r w:rsidRPr="00C67C6E">
        <w:rPr>
          <w:szCs w:val="24"/>
        </w:rPr>
        <w:t>Despite a halt</w:t>
      </w:r>
      <w:r>
        <w:rPr>
          <w:szCs w:val="24"/>
        </w:rPr>
        <w:t>ing start, however, de-Baathifi</w:t>
      </w:r>
      <w:r w:rsidRPr="00C67C6E">
        <w:rPr>
          <w:szCs w:val="24"/>
        </w:rPr>
        <w:t xml:space="preserve">cation of the government accelerated strongly at the end of 2003 </w:t>
      </w:r>
      <w:r>
        <w:rPr>
          <w:szCs w:val="24"/>
        </w:rPr>
        <w:t>and in the fi</w:t>
      </w:r>
      <w:r w:rsidRPr="00C67C6E">
        <w:rPr>
          <w:szCs w:val="24"/>
        </w:rPr>
        <w:t>rst mont</w:t>
      </w:r>
      <w:r>
        <w:rPr>
          <w:szCs w:val="24"/>
        </w:rPr>
        <w:t>hs of 2004. Although Iraqi offi</w:t>
      </w:r>
      <w:r w:rsidRPr="00C67C6E">
        <w:rPr>
          <w:szCs w:val="24"/>
        </w:rPr>
        <w:t xml:space="preserve">cials conveniently laid responsibility on the CPA for the mass wave of dismissals, ICTJ’s on-the-ground research strongly </w:t>
      </w:r>
      <w:r>
        <w:rPr>
          <w:szCs w:val="24"/>
        </w:rPr>
        <w:t>indicates that the de-Baathifi</w:t>
      </w:r>
      <w:r w:rsidRPr="00C67C6E">
        <w:rPr>
          <w:szCs w:val="24"/>
        </w:rPr>
        <w:t>cation commission was largely responsible. Policy-</w:t>
      </w:r>
      <w:r>
        <w:rPr>
          <w:szCs w:val="24"/>
        </w:rPr>
        <w:t>making power appears to have fl</w:t>
      </w:r>
      <w:r w:rsidRPr="00C67C6E">
        <w:rPr>
          <w:szCs w:val="24"/>
        </w:rPr>
        <w:t>owed to the commission from September 2003 and operational power from November 2003.</w:t>
      </w:r>
    </w:p>
    <w:p w14:paraId="0796E1CB" w14:textId="5F8109EF" w:rsidR="004A551B" w:rsidRDefault="004A551B" w:rsidP="004A551B">
      <w:pPr>
        <w:pStyle w:val="ListParagraph"/>
        <w:numPr>
          <w:ilvl w:val="0"/>
          <w:numId w:val="0"/>
        </w:numPr>
        <w:ind w:left="851"/>
      </w:pPr>
      <w:r>
        <w:t>‘</w:t>
      </w:r>
      <w:r w:rsidRPr="00C67C6E">
        <w:t>During these months the CPA be</w:t>
      </w:r>
      <w:r>
        <w:t>gan to realize that de-Baathifi</w:t>
      </w:r>
      <w:r w:rsidRPr="00C67C6E">
        <w:t>cation’s scope was larger that</w:t>
      </w:r>
      <w:r w:rsidR="002656B9">
        <w:t xml:space="preserve"> [sic]</w:t>
      </w:r>
      <w:r w:rsidRPr="00C67C6E">
        <w:t xml:space="preserve"> it had </w:t>
      </w:r>
      <w:r>
        <w:t>e</w:t>
      </w:r>
      <w:r w:rsidRPr="00C67C6E">
        <w:t xml:space="preserve">nvisioned. </w:t>
      </w:r>
      <w:r>
        <w:t xml:space="preserve">The </w:t>
      </w:r>
      <w:r w:rsidRPr="00C67C6E">
        <w:t>education sector was particularly hard hit, at a time when it appeared that schools and</w:t>
      </w:r>
      <w:r>
        <w:t xml:space="preserve"> universities were having difficulty functioning. </w:t>
      </w:r>
      <w:r w:rsidRPr="00C67C6E">
        <w:t>In the following months, it became increasingly clear that many thousands of people had been dismissed, but few had received pension payments or had their appeals heard.’</w:t>
      </w:r>
      <w:r w:rsidR="00B94CCE">
        <w:rPr>
          <w:rStyle w:val="FootnoteReference"/>
        </w:rPr>
        <w:footnoteReference w:id="27"/>
      </w:r>
    </w:p>
    <w:p w14:paraId="6374B3FF" w14:textId="62D2BB95" w:rsidR="004A551B" w:rsidRDefault="00B94CCE" w:rsidP="00B94CCE">
      <w:pPr>
        <w:pStyle w:val="ListParagraph"/>
        <w:numPr>
          <w:ilvl w:val="2"/>
          <w:numId w:val="14"/>
        </w:numPr>
        <w:ind w:left="851" w:hanging="851"/>
      </w:pPr>
      <w:r w:rsidRPr="00B94CCE">
        <w:t>The ICTJ noted that political pressure from Sunnis and the US government changed the ‘de-</w:t>
      </w:r>
      <w:r w:rsidR="00921E1E">
        <w:t>Baath</w:t>
      </w:r>
      <w:r w:rsidRPr="00B94CCE">
        <w:t>ification’ process: ‘With rising violence and midterm elections looming, US officials decided that reforming de-Baathification was essential to lessening sectarian tensions. They immediately pressured Maliki’s government to commit to do so.’</w:t>
      </w:r>
      <w:r w:rsidR="0053299D">
        <w:rPr>
          <w:rStyle w:val="FootnoteReference"/>
        </w:rPr>
        <w:footnoteReference w:id="28"/>
      </w:r>
    </w:p>
    <w:p w14:paraId="049114E0" w14:textId="77777777" w:rsidR="0053299D" w:rsidRDefault="0053299D" w:rsidP="0053299D">
      <w:pPr>
        <w:pStyle w:val="ListParagraph"/>
        <w:numPr>
          <w:ilvl w:val="2"/>
          <w:numId w:val="14"/>
        </w:numPr>
        <w:ind w:left="851" w:hanging="851"/>
        <w:rPr>
          <w:szCs w:val="24"/>
        </w:rPr>
      </w:pPr>
      <w:r>
        <w:rPr>
          <w:szCs w:val="24"/>
        </w:rPr>
        <w:t>The ICTJ commented:</w:t>
      </w:r>
    </w:p>
    <w:p w14:paraId="6B2EFC47" w14:textId="499A405C" w:rsidR="0053299D" w:rsidRDefault="0053299D" w:rsidP="0053299D">
      <w:pPr>
        <w:pStyle w:val="ListParagraph"/>
        <w:numPr>
          <w:ilvl w:val="0"/>
          <w:numId w:val="0"/>
        </w:numPr>
        <w:ind w:left="851"/>
        <w:rPr>
          <w:szCs w:val="24"/>
        </w:rPr>
      </w:pPr>
      <w:r w:rsidRPr="00247F3C">
        <w:rPr>
          <w:szCs w:val="24"/>
        </w:rPr>
        <w:t>‘Iraq’s public sector doubled from 2003 to 2005. In 2006 it grew more due to a law reinstating former civil servants who were dismissed by Hussein</w:t>
      </w:r>
      <w:r>
        <w:rPr>
          <w:szCs w:val="24"/>
        </w:rPr>
        <w:t>’s regime for political reasons. Th</w:t>
      </w:r>
      <w:r w:rsidRPr="00247F3C">
        <w:rPr>
          <w:szCs w:val="24"/>
        </w:rPr>
        <w:t>e law, along with weak governmental controls,</w:t>
      </w:r>
      <w:r>
        <w:rPr>
          <w:szCs w:val="24"/>
        </w:rPr>
        <w:t xml:space="preserve"> rampant patronage, and the effects of corruption and confl</w:t>
      </w:r>
      <w:r w:rsidRPr="00247F3C">
        <w:rPr>
          <w:szCs w:val="24"/>
        </w:rPr>
        <w:t xml:space="preserve">ict, meant that civil service personnel procedures slipped almost entirely out of government control and into the hands of those with the most extensive patronage networks. Based on the fragmentary information that exists, </w:t>
      </w:r>
      <w:r w:rsidRPr="00247F3C">
        <w:rPr>
          <w:szCs w:val="24"/>
        </w:rPr>
        <w:lastRenderedPageBreak/>
        <w:t xml:space="preserve">HNDC reinstated at least 9,088 people in at least </w:t>
      </w:r>
      <w:r>
        <w:rPr>
          <w:szCs w:val="24"/>
        </w:rPr>
        <w:t>46 diff</w:t>
      </w:r>
      <w:r w:rsidRPr="00247F3C">
        <w:rPr>
          <w:szCs w:val="24"/>
        </w:rPr>
        <w:t>erent orders from 2004 to early 2006.</w:t>
      </w:r>
      <w:r>
        <w:rPr>
          <w:szCs w:val="24"/>
        </w:rPr>
        <w:t>’</w:t>
      </w:r>
      <w:r>
        <w:rPr>
          <w:rStyle w:val="FootnoteReference"/>
          <w:szCs w:val="24"/>
        </w:rPr>
        <w:footnoteReference w:id="29"/>
      </w:r>
    </w:p>
    <w:p w14:paraId="5F2A6137" w14:textId="63DCDD37" w:rsidR="0053299D" w:rsidRDefault="0053299D" w:rsidP="00FF4C59">
      <w:pPr>
        <w:pStyle w:val="ListParagraph"/>
        <w:numPr>
          <w:ilvl w:val="2"/>
          <w:numId w:val="14"/>
        </w:numPr>
        <w:ind w:left="851"/>
      </w:pPr>
      <w:r>
        <w:t>The Higher National Commission for Accountability and Justice (HNCAJ) preserved much of the old ‘de-</w:t>
      </w:r>
      <w:r w:rsidR="00921E1E">
        <w:t>Baath</w:t>
      </w:r>
      <w:r>
        <w:t xml:space="preserve">ification’ system but introduced some changes, including: </w:t>
      </w:r>
    </w:p>
    <w:p w14:paraId="77E0539E" w14:textId="77777777" w:rsidR="0053299D" w:rsidRDefault="0053299D" w:rsidP="0053299D">
      <w:pPr>
        <w:pStyle w:val="ListParagraph"/>
        <w:numPr>
          <w:ilvl w:val="0"/>
          <w:numId w:val="24"/>
        </w:numPr>
      </w:pPr>
      <w:r>
        <w:t>clearer enforcement requirements;</w:t>
      </w:r>
    </w:p>
    <w:p w14:paraId="55C4A615" w14:textId="77777777" w:rsidR="0053299D" w:rsidRDefault="0053299D" w:rsidP="0053299D">
      <w:pPr>
        <w:pStyle w:val="ListParagraph"/>
        <w:numPr>
          <w:ilvl w:val="0"/>
          <w:numId w:val="24"/>
        </w:numPr>
      </w:pPr>
      <w:r>
        <w:t xml:space="preserve">permitting most ‘Firqa-level members’ (‘group’ members of senior party members) to return to government service </w:t>
      </w:r>
    </w:p>
    <w:p w14:paraId="15802189" w14:textId="77777777" w:rsidR="0053299D" w:rsidRDefault="0053299D" w:rsidP="0053299D">
      <w:pPr>
        <w:pStyle w:val="ListParagraph"/>
        <w:numPr>
          <w:ilvl w:val="0"/>
          <w:numId w:val="24"/>
        </w:numPr>
      </w:pPr>
      <w:r>
        <w:t xml:space="preserve">providing pension eligibility for most dismissed people; </w:t>
      </w:r>
    </w:p>
    <w:p w14:paraId="192E1A03" w14:textId="71899F27" w:rsidR="0053299D" w:rsidRDefault="0053299D" w:rsidP="0053299D">
      <w:pPr>
        <w:pStyle w:val="ListParagraph"/>
        <w:numPr>
          <w:ilvl w:val="0"/>
          <w:numId w:val="24"/>
        </w:numPr>
      </w:pPr>
      <w:r>
        <w:t xml:space="preserve">a more aggressive stance against employees of </w:t>
      </w:r>
      <w:r w:rsidR="00921E1E">
        <w:t>Baath</w:t>
      </w:r>
      <w:r>
        <w:t xml:space="preserve">-era intelligence services, regardless of actual party membership; </w:t>
      </w:r>
    </w:p>
    <w:p w14:paraId="3DA3E3DC" w14:textId="631E6720" w:rsidR="0053299D" w:rsidRDefault="0053299D" w:rsidP="0053299D">
      <w:pPr>
        <w:pStyle w:val="ListParagraph"/>
        <w:numPr>
          <w:ilvl w:val="0"/>
          <w:numId w:val="24"/>
        </w:numPr>
      </w:pPr>
      <w:r>
        <w:t>the introduction of an independent judicial appeals chamber</w:t>
      </w:r>
      <w:r>
        <w:rPr>
          <w:rStyle w:val="FootnoteReference"/>
        </w:rPr>
        <w:footnoteReference w:id="30"/>
      </w:r>
    </w:p>
    <w:p w14:paraId="2833F662" w14:textId="762AB025" w:rsidR="00FA1274" w:rsidRDefault="00FA1274" w:rsidP="00A7525C">
      <w:pPr>
        <w:pStyle w:val="ListParagraph"/>
        <w:numPr>
          <w:ilvl w:val="2"/>
          <w:numId w:val="14"/>
        </w:numPr>
        <w:ind w:left="851" w:hanging="851"/>
      </w:pPr>
      <w:r>
        <w:t xml:space="preserve">The </w:t>
      </w:r>
      <w:r w:rsidR="00954873">
        <w:t>Australian</w:t>
      </w:r>
      <w:r w:rsidR="009A35EE">
        <w:t xml:space="preserve"> Government’s Department of Foreign Affairs and Trade (DFAT) country information report on Iraq published in October 2018 stated</w:t>
      </w:r>
      <w:r>
        <w:t>:</w:t>
      </w:r>
    </w:p>
    <w:p w14:paraId="591E38C8" w14:textId="5B5DBEF2" w:rsidR="00FA1274" w:rsidRDefault="00FA1274" w:rsidP="00FA1274">
      <w:pPr>
        <w:pStyle w:val="ListParagraph"/>
        <w:numPr>
          <w:ilvl w:val="0"/>
          <w:numId w:val="0"/>
        </w:numPr>
        <w:ind w:left="851"/>
      </w:pPr>
      <w:r>
        <w:t>‘</w:t>
      </w:r>
      <w:r w:rsidRPr="00FA1274">
        <w:t>The post-war transitional administration established a High Commission for De-Ba’athification to steer efforts to remove the influence of the Ba’ath Party. The Accountability and Justice Act (2008) established its replacement, the Accountability and Justice Commission. The Act included measures to ensure that Sunnis, who dominated the Ba’ath Party, were not excluded from Iraq’s governance processes, including by allowing some lower-level Ba’athists to return to government service. Most individuals dismissed under the previous regulations were entitled to access their pensions.</w:t>
      </w:r>
      <w:r>
        <w:t>’</w:t>
      </w:r>
      <w:r w:rsidR="009A35EE">
        <w:rPr>
          <w:rStyle w:val="FootnoteReference"/>
        </w:rPr>
        <w:footnoteReference w:id="31"/>
      </w:r>
      <w:r>
        <w:t xml:space="preserve"> </w:t>
      </w:r>
    </w:p>
    <w:p w14:paraId="6E07ACF6" w14:textId="190B1480" w:rsidR="0053299D" w:rsidRDefault="00A7525C" w:rsidP="00A7525C">
      <w:pPr>
        <w:pStyle w:val="ListParagraph"/>
        <w:numPr>
          <w:ilvl w:val="2"/>
          <w:numId w:val="14"/>
        </w:numPr>
        <w:ind w:left="851" w:hanging="851"/>
      </w:pPr>
      <w:r>
        <w:t>An article entitled ‘Iraqi president calls for repeal of de-Baathification laws’ published by The New Arab in November 2014 stated:</w:t>
      </w:r>
    </w:p>
    <w:p w14:paraId="6E5CAFEC" w14:textId="3AE5E7AB" w:rsidR="00A7525C" w:rsidRDefault="00A7525C" w:rsidP="00A7525C">
      <w:pPr>
        <w:pStyle w:val="ListParagraph"/>
        <w:numPr>
          <w:ilvl w:val="0"/>
          <w:numId w:val="0"/>
        </w:numPr>
        <w:ind w:left="851"/>
      </w:pPr>
      <w:r>
        <w:t xml:space="preserve">‘Iraqi president Fuad Masum called Thursday for the de-Baathification laws to be repealed and Baath party members not implicated in crimes to be rehabilitated and be allowed to work for the government. </w:t>
      </w:r>
    </w:p>
    <w:p w14:paraId="74D5DCEE" w14:textId="58268B1E" w:rsidR="00A7525C" w:rsidRDefault="00A7525C" w:rsidP="00A7525C">
      <w:pPr>
        <w:pStyle w:val="ListParagraph"/>
        <w:numPr>
          <w:ilvl w:val="0"/>
          <w:numId w:val="0"/>
        </w:numPr>
        <w:ind w:left="851"/>
      </w:pPr>
      <w:r>
        <w:t>‘Speaking at the Middle East conference for dialogue and reconciliation in Erbil, Masum said national reconciliation required the de-Baathification laws be repealed.</w:t>
      </w:r>
    </w:p>
    <w:p w14:paraId="38430A37" w14:textId="52381D09" w:rsidR="00A7525C" w:rsidRDefault="00A7525C" w:rsidP="00A7525C">
      <w:pPr>
        <w:pStyle w:val="ListParagraph"/>
        <w:numPr>
          <w:ilvl w:val="0"/>
          <w:numId w:val="0"/>
        </w:numPr>
        <w:ind w:left="851"/>
      </w:pPr>
      <w:r>
        <w:t>‘The law, known as the law of “accountability and justice”, had clearly been misused, Msum said, as it had been used against many innocent people, who had been banned from government employment. He added: “National reconciliation is the precursor to peace in the country, which is what we want in Iraq. Reconciliation is not a goal in itself, it is the way to achieve peace in the country.”’</w:t>
      </w:r>
      <w:r>
        <w:rPr>
          <w:rStyle w:val="FootnoteReference"/>
        </w:rPr>
        <w:footnoteReference w:id="32"/>
      </w:r>
    </w:p>
    <w:p w14:paraId="78519667" w14:textId="536091EF" w:rsidR="00A7525C" w:rsidRDefault="003D711E" w:rsidP="00A7525C">
      <w:pPr>
        <w:pStyle w:val="ListParagraph"/>
        <w:numPr>
          <w:ilvl w:val="2"/>
          <w:numId w:val="14"/>
        </w:numPr>
        <w:ind w:left="851" w:hanging="851"/>
      </w:pPr>
      <w:r>
        <w:t>An article entitled ‘</w:t>
      </w:r>
      <w:r w:rsidRPr="003D711E">
        <w:t>New bill contradicts basic principles of human rights</w:t>
      </w:r>
      <w:r>
        <w:t>’</w:t>
      </w:r>
      <w:r w:rsidR="0043744A">
        <w:t xml:space="preserve"> published in August 2016 by the Geneva International Centre for Justice</w:t>
      </w:r>
      <w:r w:rsidR="00547441">
        <w:t xml:space="preserve"> (GICJ)</w:t>
      </w:r>
      <w:r w:rsidR="0043744A">
        <w:t xml:space="preserve"> stated:</w:t>
      </w:r>
    </w:p>
    <w:p w14:paraId="52360CD0" w14:textId="6DA156AA" w:rsidR="0043744A" w:rsidRDefault="0043744A" w:rsidP="0043744A">
      <w:pPr>
        <w:pStyle w:val="ListParagraph"/>
        <w:numPr>
          <w:ilvl w:val="0"/>
          <w:numId w:val="0"/>
        </w:numPr>
        <w:ind w:left="851"/>
      </w:pPr>
      <w:r>
        <w:lastRenderedPageBreak/>
        <w:t xml:space="preserve">‘On Saturday, July 30, 2016, the Iraqi Parliament officially passed a new bill banning the Arab Socialist Baath Party from any activity across the country. More specifically, Article 4(1) of said law prevents “the Arab Socialist Baath Party from exercising any political or cultural or intellectual or social activity under any name and by any means of communication or media”. </w:t>
      </w:r>
    </w:p>
    <w:p w14:paraId="6C34664B" w14:textId="4A3FFD51" w:rsidR="0043744A" w:rsidRDefault="0043744A" w:rsidP="0043744A">
      <w:pPr>
        <w:pStyle w:val="ListParagraph"/>
        <w:numPr>
          <w:ilvl w:val="0"/>
          <w:numId w:val="0"/>
        </w:numPr>
        <w:ind w:left="851"/>
      </w:pPr>
      <w:r>
        <w:t>‘According to the text, “This decree includes other parties who have similar ideas and political messages to the Baath party.” And, in regards to the classification of “a Baathist”, Article 5 provides that the ban on the Party and its members include acts such as (1) “belonging to the Baath Party under any name whatsoever”; … (3) “engaging in any political or intellectual activity that would encourage or promote or glorify the ideas of the Baath Party or membership with that group”; … (5) using any audio-visual media or print to spread the ideas and opinions of the Baath Party; … and (7) “participating in any rallies or demonstrations or sit-ins”.</w:t>
      </w:r>
    </w:p>
    <w:p w14:paraId="5C0FA0E9" w14:textId="664AEAEA" w:rsidR="00120D1F" w:rsidRDefault="0043744A" w:rsidP="00547441">
      <w:pPr>
        <w:pStyle w:val="ListParagraph"/>
        <w:numPr>
          <w:ilvl w:val="0"/>
          <w:numId w:val="0"/>
        </w:numPr>
        <w:ind w:left="851"/>
      </w:pPr>
      <w:r>
        <w:t>‘Moreover, Article 8 also states that anybody caught “becoming a member of the outlawed Baath Party or promoting the ideas and opinions by any means” will be put in jail for up to ten years, and Article 9 provides that anyone who is caught “contributing or helping through the media to publish thoughts and opinions of the Baath Party” shall be punished by imprisonment “for a term of no less than six years.”</w:t>
      </w:r>
      <w:r w:rsidR="00547441">
        <w:t>’</w:t>
      </w:r>
      <w:r w:rsidR="00547441">
        <w:rPr>
          <w:rStyle w:val="FootnoteReference"/>
        </w:rPr>
        <w:footnoteReference w:id="33"/>
      </w:r>
    </w:p>
    <w:p w14:paraId="3D45272D" w14:textId="5727F064" w:rsidR="008F4DD3" w:rsidRPr="008F4DD3" w:rsidRDefault="007F14B5" w:rsidP="008F4DD3">
      <w:pPr>
        <w:jc w:val="right"/>
      </w:pPr>
      <w:hyperlink w:anchor="contents" w:history="1">
        <w:r w:rsidR="008F4DD3" w:rsidRPr="006B4863">
          <w:rPr>
            <w:rStyle w:val="Hyperlink"/>
            <w:szCs w:val="24"/>
          </w:rPr>
          <w:t>Back to Contents</w:t>
        </w:r>
      </w:hyperlink>
    </w:p>
    <w:p w14:paraId="63230BA4" w14:textId="2E9DDAE0" w:rsidR="008F4DD3" w:rsidRPr="001B0BE5" w:rsidRDefault="008F4DD3" w:rsidP="008F4DD3">
      <w:pPr>
        <w:jc w:val="right"/>
      </w:pPr>
      <w:r>
        <w:rPr>
          <w:color w:val="7030A0"/>
        </w:rPr>
        <w:t>Section 6 u</w:t>
      </w:r>
      <w:r w:rsidRPr="00AF62ED">
        <w:rPr>
          <w:color w:val="7030A0"/>
        </w:rPr>
        <w:t xml:space="preserve">pdated: </w:t>
      </w:r>
      <w:r w:rsidR="005E5E5F">
        <w:rPr>
          <w:color w:val="7030A0"/>
        </w:rPr>
        <w:t xml:space="preserve">1 </w:t>
      </w:r>
      <w:r w:rsidR="00954873">
        <w:rPr>
          <w:color w:val="7030A0"/>
        </w:rPr>
        <w:t>November</w:t>
      </w:r>
      <w:r w:rsidR="005E5E5F">
        <w:rPr>
          <w:color w:val="7030A0"/>
        </w:rPr>
        <w:t xml:space="preserve"> 2019</w:t>
      </w:r>
    </w:p>
    <w:p w14:paraId="4ACDFA38" w14:textId="1A2FE2D2" w:rsidR="00A7525C" w:rsidRPr="00E04954" w:rsidRDefault="00A7525C" w:rsidP="00E04954">
      <w:pPr>
        <w:pStyle w:val="Heading2"/>
        <w:numPr>
          <w:ilvl w:val="0"/>
          <w:numId w:val="14"/>
        </w:numPr>
        <w:ind w:left="851" w:hanging="851"/>
      </w:pPr>
      <w:bookmarkStart w:id="49" w:name="_Treatment_of_Baathists"/>
      <w:bookmarkStart w:id="50" w:name="_Toc29827695"/>
      <w:bookmarkEnd w:id="49"/>
      <w:r w:rsidRPr="00E04954">
        <w:t xml:space="preserve">Treatment of </w:t>
      </w:r>
      <w:r w:rsidR="00921E1E">
        <w:t>Baath</w:t>
      </w:r>
      <w:r w:rsidRPr="00E04954">
        <w:t>ists</w:t>
      </w:r>
      <w:bookmarkEnd w:id="50"/>
    </w:p>
    <w:p w14:paraId="0708F457" w14:textId="48F91715" w:rsidR="00232268" w:rsidRDefault="00232268" w:rsidP="00D00836">
      <w:pPr>
        <w:pStyle w:val="ListParagraph"/>
        <w:numPr>
          <w:ilvl w:val="2"/>
          <w:numId w:val="14"/>
        </w:numPr>
        <w:ind w:left="851" w:hanging="851"/>
      </w:pPr>
      <w:r>
        <w:t>An article published in June 2015 by Iraq News entitled ‘Baathist Abdel Baqi al-Saadoun arrested in Kirkuk’ stated:</w:t>
      </w:r>
    </w:p>
    <w:p w14:paraId="4C46D357" w14:textId="77777777" w:rsidR="00232268" w:rsidRDefault="00232268" w:rsidP="00232268">
      <w:pPr>
        <w:pStyle w:val="ListParagraph"/>
        <w:numPr>
          <w:ilvl w:val="0"/>
          <w:numId w:val="0"/>
        </w:numPr>
        <w:ind w:left="851"/>
      </w:pPr>
      <w:r>
        <w:t>‘Iraqi Prime Minister Haider al-Abadi revealed on Saturday the arrest of the former official of the Baath Party Abdul Baqi Saadoun in Kirkuk, one of the most wanted men who have not been arrested since the overthrow of former President Saddam Hussein’s regime in 2003.</w:t>
      </w:r>
    </w:p>
    <w:p w14:paraId="54267F6E" w14:textId="3E638887" w:rsidR="00232268" w:rsidRDefault="00232268" w:rsidP="00232268">
      <w:pPr>
        <w:pStyle w:val="ListParagraph"/>
        <w:numPr>
          <w:ilvl w:val="0"/>
          <w:numId w:val="0"/>
        </w:numPr>
        <w:ind w:left="851"/>
      </w:pPr>
      <w:r>
        <w:t>‘Abadi said: “the intelligence service was able to capture the wanted Abdel Baqi al-Saadoun.”</w:t>
      </w:r>
    </w:p>
    <w:p w14:paraId="6EB4A9F0" w14:textId="383C18D9" w:rsidR="00232268" w:rsidRDefault="00232268" w:rsidP="00232268">
      <w:pPr>
        <w:pStyle w:val="ListParagraph"/>
        <w:numPr>
          <w:ilvl w:val="0"/>
          <w:numId w:val="0"/>
        </w:numPr>
        <w:ind w:left="851"/>
      </w:pPr>
      <w:r>
        <w:t>‘Sa</w:t>
      </w:r>
      <w:r w:rsidR="00FD3E5D">
        <w:t>a</w:t>
      </w:r>
      <w:r>
        <w:t>doun took over several leadership positions in the Baath Party during the era of Saddam Hussein. The United States included him on the list of the most wanted after the fall of the regime following the US invasion in 2003. He was accused of committing crimes against humanity during the protests in 1999.’</w:t>
      </w:r>
      <w:r>
        <w:rPr>
          <w:rStyle w:val="FootnoteReference"/>
        </w:rPr>
        <w:footnoteReference w:id="34"/>
      </w:r>
    </w:p>
    <w:p w14:paraId="3D7C9820" w14:textId="1F9561B3" w:rsidR="00232268" w:rsidRDefault="002E6F57" w:rsidP="00D00836">
      <w:pPr>
        <w:pStyle w:val="ListParagraph"/>
        <w:numPr>
          <w:ilvl w:val="2"/>
          <w:numId w:val="14"/>
        </w:numPr>
        <w:ind w:left="851" w:hanging="851"/>
      </w:pPr>
      <w:r>
        <w:t>A report</w:t>
      </w:r>
      <w:r w:rsidR="00623FFF">
        <w:t xml:space="preserve"> published by The New Arab in January 2016</w:t>
      </w:r>
      <w:r w:rsidR="00131AD8">
        <w:t xml:space="preserve"> looked at what happened </w:t>
      </w:r>
      <w:r w:rsidR="009D1CBC">
        <w:t>to the former Baath Party official mentioned above after his arrest:</w:t>
      </w:r>
    </w:p>
    <w:p w14:paraId="238E4FBD" w14:textId="7935BCEF" w:rsidR="00623FFF" w:rsidRDefault="00623FFF" w:rsidP="00623FFF">
      <w:pPr>
        <w:pStyle w:val="ListParagraph"/>
        <w:numPr>
          <w:ilvl w:val="0"/>
          <w:numId w:val="0"/>
        </w:numPr>
        <w:ind w:left="851"/>
      </w:pPr>
      <w:r>
        <w:t>‘A senior Saddam-era government official accused of genocide was on Monday sentenced to death in what critics have called a "politicised" move by the Iraqi judicial system. </w:t>
      </w:r>
    </w:p>
    <w:p w14:paraId="2595D35D" w14:textId="35EB704A" w:rsidR="00623FFF" w:rsidRDefault="00623FFF" w:rsidP="00623FFF">
      <w:pPr>
        <w:pStyle w:val="ListParagraph"/>
        <w:numPr>
          <w:ilvl w:val="0"/>
          <w:numId w:val="0"/>
        </w:numPr>
        <w:ind w:left="851"/>
      </w:pPr>
      <w:r>
        <w:lastRenderedPageBreak/>
        <w:t>‘Abdulbaqi Abdulkareem al-Saadoun, a noted Iraqi Baath Party leader, was accused of "committing violations against the people of Iraq".</w:t>
      </w:r>
    </w:p>
    <w:p w14:paraId="76738615" w14:textId="036DDC6B" w:rsidR="00623FFF" w:rsidRDefault="00623FFF" w:rsidP="00623FFF">
      <w:pPr>
        <w:pStyle w:val="ListParagraph"/>
        <w:numPr>
          <w:ilvl w:val="0"/>
          <w:numId w:val="0"/>
        </w:numPr>
        <w:ind w:left="851"/>
      </w:pPr>
      <w:r>
        <w:t xml:space="preserve">‘Saadoun was also convicted of having links to armed groups fighting against Iraqi troops and civilians after 2003. </w:t>
      </w:r>
    </w:p>
    <w:p w14:paraId="3FD0D16C" w14:textId="4412D050" w:rsidR="00623FFF" w:rsidRDefault="00623FFF" w:rsidP="00623FFF">
      <w:pPr>
        <w:pStyle w:val="ListParagraph"/>
        <w:numPr>
          <w:ilvl w:val="0"/>
          <w:numId w:val="0"/>
        </w:numPr>
        <w:ind w:left="851"/>
      </w:pPr>
      <w:r>
        <w:t xml:space="preserve">‘“Saadoun was convicted of committing genocide against the Iraqi people under the previous regime and of leading armed groups after the fall of the regime," an unnamed source from inside the court told The New Arab. </w:t>
      </w:r>
    </w:p>
    <w:p w14:paraId="19D0856B" w14:textId="754B01C4" w:rsidR="00623FFF" w:rsidRDefault="00623FFF" w:rsidP="00623FFF">
      <w:pPr>
        <w:pStyle w:val="ListParagraph"/>
        <w:numPr>
          <w:ilvl w:val="0"/>
          <w:numId w:val="0"/>
        </w:numPr>
        <w:ind w:left="851"/>
      </w:pPr>
      <w:r>
        <w:t>‘Iraqi forces arrested Saadoun in July 2015, in Kirkuk province, northern Iraq.’</w:t>
      </w:r>
      <w:r>
        <w:rPr>
          <w:rStyle w:val="FootnoteReference"/>
        </w:rPr>
        <w:footnoteReference w:id="35"/>
      </w:r>
    </w:p>
    <w:p w14:paraId="6106FAF2" w14:textId="5297B857" w:rsidR="00D00836" w:rsidRDefault="00D00836" w:rsidP="00D00836">
      <w:pPr>
        <w:pStyle w:val="ListParagraph"/>
        <w:numPr>
          <w:ilvl w:val="2"/>
          <w:numId w:val="14"/>
        </w:numPr>
        <w:ind w:left="851" w:hanging="851"/>
      </w:pPr>
      <w:r>
        <w:t>A joint report published in July 2015 by the United Nations Assi</w:t>
      </w:r>
      <w:r w:rsidR="00A254D3">
        <w:t>s</w:t>
      </w:r>
      <w:r>
        <w:t>tance Mission for Iraq (UNAMI) and the Office of the United Nations High Commissioner for Human Rights (OHCHR) stated</w:t>
      </w:r>
      <w:r w:rsidR="00724208">
        <w:t xml:space="preserve"> that</w:t>
      </w:r>
      <w:r w:rsidR="008B33B3">
        <w:t xml:space="preserve"> on 1 April 2015 they had received reports that</w:t>
      </w:r>
      <w:r w:rsidR="00724208">
        <w:t>:</w:t>
      </w:r>
      <w:r w:rsidR="00926A33">
        <w:t xml:space="preserve"> </w:t>
      </w:r>
    </w:p>
    <w:p w14:paraId="0ADA60F5" w14:textId="33555F1C" w:rsidR="00D00836" w:rsidRDefault="00D00836" w:rsidP="00D00836">
      <w:pPr>
        <w:pStyle w:val="ListParagraph"/>
        <w:numPr>
          <w:ilvl w:val="0"/>
          <w:numId w:val="0"/>
        </w:numPr>
        <w:ind w:left="851"/>
      </w:pPr>
      <w:r>
        <w:t>‘</w:t>
      </w:r>
      <w:r w:rsidR="00547441">
        <w:t>[</w:t>
      </w:r>
      <w:r w:rsidR="00724208">
        <w:t>…</w:t>
      </w:r>
      <w:r w:rsidR="00547441">
        <w:t xml:space="preserve">] </w:t>
      </w:r>
      <w:r w:rsidRPr="00D00836">
        <w:t>certain militia groups allied to Government forces had begun to loot civilian homes in newly liberated areas of Tikrit. Sources claimed that a number of shops and homes had been looted and torched in Tikrit’s Zuhor quarter, Itibba’a street, Arbaeen street, Qadisiya quarter, al-Asri quarter, and Shuhadaa quarter during the first 48 hours of the liberation of Tikrit City. Between the afternoon of 3 April and the morning of 4 April</w:t>
      </w:r>
      <w:r w:rsidR="00724208">
        <w:t xml:space="preserve"> [2015]</w:t>
      </w:r>
      <w:r w:rsidRPr="00D00836">
        <w:t>, an additional 700 homes were reportedly looted and burned, and 200 more were allegedly detonated – particularly those belonging to former officers of the Iraqi Army under Saddam Hussein.</w:t>
      </w:r>
      <w:r>
        <w:t>’</w:t>
      </w:r>
      <w:r w:rsidR="00EE4A00">
        <w:rPr>
          <w:rStyle w:val="FootnoteReference"/>
        </w:rPr>
        <w:footnoteReference w:id="36"/>
      </w:r>
    </w:p>
    <w:p w14:paraId="0740EF2F" w14:textId="5BEAF5F2" w:rsidR="00724208" w:rsidRDefault="00724208" w:rsidP="00306069">
      <w:pPr>
        <w:pStyle w:val="ListParagraph"/>
        <w:numPr>
          <w:ilvl w:val="2"/>
          <w:numId w:val="14"/>
        </w:numPr>
        <w:ind w:left="851" w:hanging="851"/>
      </w:pPr>
      <w:r>
        <w:t>The same report also stated that</w:t>
      </w:r>
      <w:r w:rsidR="00306069">
        <w:t xml:space="preserve"> </w:t>
      </w:r>
      <w:r>
        <w:t>‘</w:t>
      </w:r>
      <w:r w:rsidR="00547441">
        <w:t>[</w:t>
      </w:r>
      <w:r>
        <w:t>…</w:t>
      </w:r>
      <w:r w:rsidR="00547441">
        <w:t xml:space="preserve">] </w:t>
      </w:r>
      <w:r w:rsidRPr="00724208">
        <w:t>on 17 April, in al-Sankar village of Abu alKhaseeb district, a Sunni sheikh from al-Ghanim tribe was shot dead in front of his house. The sheikh was a prominent community member and had reportedly served in the intelligence services during the Saddam Hussein regime.</w:t>
      </w:r>
      <w:r>
        <w:t>’</w:t>
      </w:r>
      <w:r w:rsidR="00EE4A00">
        <w:rPr>
          <w:rStyle w:val="FootnoteReference"/>
        </w:rPr>
        <w:footnoteReference w:id="37"/>
      </w:r>
    </w:p>
    <w:p w14:paraId="39302120" w14:textId="2AA8822E" w:rsidR="00C21457" w:rsidRDefault="004D08C7" w:rsidP="00C21457">
      <w:pPr>
        <w:pStyle w:val="ListParagraph"/>
        <w:numPr>
          <w:ilvl w:val="2"/>
          <w:numId w:val="14"/>
        </w:numPr>
        <w:ind w:left="851" w:hanging="851"/>
      </w:pPr>
      <w:r>
        <w:t>Another report published by UNAMI and OHCHR in December 2016 looking at events between November 2015 and September 2016 stated</w:t>
      </w:r>
      <w:r w:rsidR="00EE4A00">
        <w:t xml:space="preserve"> that: ‘</w:t>
      </w:r>
      <w:r w:rsidR="00EE4A00" w:rsidRPr="00EE4A00">
        <w:t>On</w:t>
      </w:r>
      <w:r w:rsidR="00EE4A00">
        <w:t xml:space="preserve"> </w:t>
      </w:r>
      <w:r w:rsidR="00EE4A00" w:rsidRPr="00EE4A00">
        <w:t>29</w:t>
      </w:r>
      <w:r w:rsidR="00EE4A00">
        <w:t xml:space="preserve"> </w:t>
      </w:r>
      <w:r w:rsidR="00EE4A00" w:rsidRPr="00EE4A00">
        <w:t>April</w:t>
      </w:r>
      <w:r w:rsidR="00EE4A00">
        <w:t xml:space="preserve"> [2016]</w:t>
      </w:r>
      <w:r w:rsidR="00EE4A00" w:rsidRPr="00EE4A00">
        <w:t>,</w:t>
      </w:r>
      <w:r w:rsidR="00EE4A00">
        <w:t xml:space="preserve"> </w:t>
      </w:r>
      <w:r w:rsidR="00EE4A00" w:rsidRPr="00EE4A00">
        <w:t>unidentified</w:t>
      </w:r>
      <w:r w:rsidR="00EE4A00">
        <w:t xml:space="preserve"> </w:t>
      </w:r>
      <w:r w:rsidR="00EE4A00" w:rsidRPr="00EE4A00">
        <w:t>gunmen</w:t>
      </w:r>
      <w:r w:rsidR="00EE4A00">
        <w:t xml:space="preserve"> </w:t>
      </w:r>
      <w:r w:rsidR="00EE4A00" w:rsidRPr="00EE4A00">
        <w:t>travelling</w:t>
      </w:r>
      <w:r w:rsidR="00EE4A00">
        <w:t xml:space="preserve"> </w:t>
      </w:r>
      <w:r w:rsidR="00EE4A00" w:rsidRPr="00EE4A00">
        <w:t>in</w:t>
      </w:r>
      <w:r w:rsidR="00EE4A00">
        <w:t xml:space="preserve"> </w:t>
      </w:r>
      <w:r w:rsidR="00EE4A00" w:rsidRPr="00EE4A00">
        <w:t>a</w:t>
      </w:r>
      <w:r w:rsidR="00EE4A00">
        <w:t xml:space="preserve"> </w:t>
      </w:r>
      <w:r w:rsidR="00EE4A00" w:rsidRPr="00EE4A00">
        <w:t>vehicle</w:t>
      </w:r>
      <w:r w:rsidR="00EE4A00">
        <w:t xml:space="preserve"> </w:t>
      </w:r>
      <w:r w:rsidR="00EE4A00" w:rsidRPr="00EE4A00">
        <w:t>(reportedly</w:t>
      </w:r>
      <w:r w:rsidR="00EE4A00">
        <w:t xml:space="preserve"> </w:t>
      </w:r>
      <w:r w:rsidR="00EE4A00" w:rsidRPr="00EE4A00">
        <w:t>without</w:t>
      </w:r>
      <w:r w:rsidR="00EE4A00">
        <w:t xml:space="preserve"> </w:t>
      </w:r>
      <w:r w:rsidR="00EE4A00" w:rsidRPr="00EE4A00">
        <w:t>a</w:t>
      </w:r>
      <w:r w:rsidR="00EE4A00">
        <w:t xml:space="preserve"> </w:t>
      </w:r>
      <w:r w:rsidR="00EE4A00" w:rsidRPr="00EE4A00">
        <w:t>number</w:t>
      </w:r>
      <w:r w:rsidR="00EE4A00">
        <w:t xml:space="preserve"> </w:t>
      </w:r>
      <w:r w:rsidR="00EE4A00" w:rsidRPr="00EE4A00">
        <w:t>plate)</w:t>
      </w:r>
      <w:r w:rsidR="00EE4A00">
        <w:t xml:space="preserve"> </w:t>
      </w:r>
      <w:r w:rsidR="00EE4A00" w:rsidRPr="00EE4A00">
        <w:t>shot</w:t>
      </w:r>
      <w:r w:rsidR="00EE4A00">
        <w:t xml:space="preserve"> </w:t>
      </w:r>
      <w:r w:rsidR="00EE4A00" w:rsidRPr="00EE4A00">
        <w:t>and</w:t>
      </w:r>
      <w:r w:rsidR="00EE4A00">
        <w:t xml:space="preserve"> </w:t>
      </w:r>
      <w:r w:rsidR="00EE4A00" w:rsidRPr="00EE4A00">
        <w:t>killed</w:t>
      </w:r>
      <w:r w:rsidR="00EE4A00">
        <w:t xml:space="preserve"> </w:t>
      </w:r>
      <w:r w:rsidR="00EE4A00" w:rsidRPr="00EE4A00">
        <w:t>a</w:t>
      </w:r>
      <w:r w:rsidR="00EE4A00">
        <w:t xml:space="preserve"> </w:t>
      </w:r>
      <w:r w:rsidR="00EE4A00" w:rsidRPr="00EE4A00">
        <w:t>man</w:t>
      </w:r>
      <w:r w:rsidR="00EE4A00">
        <w:t xml:space="preserve"> </w:t>
      </w:r>
      <w:r w:rsidR="00EE4A00" w:rsidRPr="00EE4A00">
        <w:t>in</w:t>
      </w:r>
      <w:r w:rsidR="00EE4A00">
        <w:t xml:space="preserve"> </w:t>
      </w:r>
      <w:r w:rsidR="00EE4A00" w:rsidRPr="00EE4A00">
        <w:t>the</w:t>
      </w:r>
      <w:r w:rsidR="00EE4A00">
        <w:t xml:space="preserve"> </w:t>
      </w:r>
      <w:r w:rsidR="00EE4A00" w:rsidRPr="00EE4A00">
        <w:t>al-Ma’aqal</w:t>
      </w:r>
      <w:r w:rsidR="00EE4A00">
        <w:t xml:space="preserve"> </w:t>
      </w:r>
      <w:r w:rsidR="00EE4A00" w:rsidRPr="00EE4A00">
        <w:t>area</w:t>
      </w:r>
      <w:r w:rsidR="00EE4A00">
        <w:t xml:space="preserve"> </w:t>
      </w:r>
      <w:r w:rsidR="00EE4A00" w:rsidRPr="00EE4A00">
        <w:t>of</w:t>
      </w:r>
      <w:r w:rsidR="00EE4A00">
        <w:t xml:space="preserve"> </w:t>
      </w:r>
      <w:r w:rsidR="00EE4A00" w:rsidRPr="00EE4A00">
        <w:t>central</w:t>
      </w:r>
      <w:r w:rsidR="00EE4A00">
        <w:t xml:space="preserve"> </w:t>
      </w:r>
      <w:r w:rsidR="00EE4A00" w:rsidRPr="00EE4A00">
        <w:t>Basra.</w:t>
      </w:r>
      <w:r w:rsidR="00EE4A00">
        <w:t xml:space="preserve"> </w:t>
      </w:r>
      <w:r w:rsidR="00EE4A00" w:rsidRPr="00EE4A00">
        <w:t>The</w:t>
      </w:r>
      <w:r w:rsidR="00EE4A00">
        <w:t xml:space="preserve"> </w:t>
      </w:r>
      <w:r w:rsidR="00EE4A00" w:rsidRPr="00EE4A00">
        <w:t>victim</w:t>
      </w:r>
      <w:r w:rsidR="00EE4A00">
        <w:t xml:space="preserve"> </w:t>
      </w:r>
      <w:r w:rsidR="00EE4A00" w:rsidRPr="00EE4A00">
        <w:t>was</w:t>
      </w:r>
      <w:r w:rsidR="00EE4A00">
        <w:t xml:space="preserve"> </w:t>
      </w:r>
      <w:r w:rsidR="00EE4A00" w:rsidRPr="00EE4A00">
        <w:t>a</w:t>
      </w:r>
      <w:r w:rsidR="00EE4A00">
        <w:t xml:space="preserve"> h</w:t>
      </w:r>
      <w:r w:rsidR="00EE4A00" w:rsidRPr="00EE4A00">
        <w:t>igh-ranking</w:t>
      </w:r>
      <w:r w:rsidR="00EE4A00">
        <w:t xml:space="preserve"> </w:t>
      </w:r>
      <w:r w:rsidR="00EE4A00" w:rsidRPr="00EE4A00">
        <w:t>member</w:t>
      </w:r>
      <w:r w:rsidR="00EE4A00" w:rsidRPr="00EE4A00">
        <w:tab/>
        <w:t>of</w:t>
      </w:r>
      <w:r w:rsidR="00EE4A00">
        <w:t xml:space="preserve"> </w:t>
      </w:r>
      <w:r w:rsidR="00EE4A00" w:rsidRPr="00EE4A00">
        <w:t>the</w:t>
      </w:r>
      <w:r w:rsidR="00EE4A00">
        <w:t xml:space="preserve"> </w:t>
      </w:r>
      <w:r w:rsidR="00921E1E">
        <w:t>Baath</w:t>
      </w:r>
      <w:r w:rsidR="00EE4A00">
        <w:t xml:space="preserve"> </w:t>
      </w:r>
      <w:r w:rsidR="00EE4A00" w:rsidRPr="00EE4A00">
        <w:t>party.</w:t>
      </w:r>
      <w:r w:rsidR="00EE4A00">
        <w:t xml:space="preserve"> </w:t>
      </w:r>
      <w:r w:rsidR="00EE4A00" w:rsidRPr="00EE4A00">
        <w:t>On</w:t>
      </w:r>
      <w:r w:rsidR="00EE4A00">
        <w:t xml:space="preserve"> </w:t>
      </w:r>
      <w:r w:rsidR="00EE4A00" w:rsidRPr="00EE4A00">
        <w:t>27</w:t>
      </w:r>
      <w:r w:rsidR="00EE4A00">
        <w:t xml:space="preserve"> </w:t>
      </w:r>
      <w:r w:rsidR="00EE4A00" w:rsidRPr="00EE4A00">
        <w:t>September,</w:t>
      </w:r>
      <w:r w:rsidR="00EE4A00" w:rsidRPr="00EE4A00">
        <w:tab/>
        <w:t>another</w:t>
      </w:r>
      <w:r w:rsidR="00EE4A00">
        <w:t xml:space="preserve"> </w:t>
      </w:r>
      <w:r w:rsidR="00EE4A00" w:rsidRPr="00EE4A00">
        <w:t>former</w:t>
      </w:r>
      <w:r w:rsidR="00EE4A00">
        <w:t xml:space="preserve"> </w:t>
      </w:r>
      <w:r w:rsidR="00EE4A00" w:rsidRPr="00EE4A00">
        <w:t>member</w:t>
      </w:r>
      <w:r w:rsidR="00EE4A00">
        <w:t xml:space="preserve"> </w:t>
      </w:r>
      <w:r w:rsidR="00EE4A00" w:rsidRPr="00EE4A00">
        <w:t>of</w:t>
      </w:r>
      <w:r w:rsidR="00EE4A00">
        <w:t xml:space="preserve"> </w:t>
      </w:r>
      <w:r w:rsidR="00EE4A00" w:rsidRPr="00EE4A00">
        <w:t>the</w:t>
      </w:r>
      <w:r w:rsidR="00EE4A00">
        <w:t xml:space="preserve"> </w:t>
      </w:r>
      <w:r w:rsidR="00921E1E">
        <w:t>Baath</w:t>
      </w:r>
      <w:r w:rsidR="00EE4A00">
        <w:t xml:space="preserve"> </w:t>
      </w:r>
      <w:r w:rsidR="00EE4A00" w:rsidRPr="00EE4A00">
        <w:t>party</w:t>
      </w:r>
      <w:r w:rsidR="00EE4A00">
        <w:t xml:space="preserve"> </w:t>
      </w:r>
      <w:r w:rsidR="00EE4A00" w:rsidRPr="00EE4A00">
        <w:t>was</w:t>
      </w:r>
      <w:r w:rsidR="00EE4A00">
        <w:t xml:space="preserve"> </w:t>
      </w:r>
      <w:r w:rsidR="00EE4A00" w:rsidRPr="00EE4A00">
        <w:t>shot</w:t>
      </w:r>
      <w:r w:rsidR="00EE4A00">
        <w:t xml:space="preserve"> </w:t>
      </w:r>
      <w:r w:rsidR="00EE4A00" w:rsidRPr="00EE4A00">
        <w:t>and</w:t>
      </w:r>
      <w:r w:rsidR="00EE4A00">
        <w:t xml:space="preserve"> </w:t>
      </w:r>
      <w:r w:rsidR="00EE4A00" w:rsidRPr="00EE4A00">
        <w:t>killed</w:t>
      </w:r>
      <w:r w:rsidR="00EE4A00">
        <w:t xml:space="preserve"> </w:t>
      </w:r>
      <w:r w:rsidR="00EE4A00" w:rsidRPr="00EE4A00">
        <w:t>in</w:t>
      </w:r>
      <w:r w:rsidR="00EE4A00">
        <w:t xml:space="preserve"> </w:t>
      </w:r>
      <w:r w:rsidR="00EE4A00" w:rsidRPr="00EE4A00">
        <w:t>the</w:t>
      </w:r>
      <w:r w:rsidR="00EE4A00">
        <w:t xml:space="preserve"> </w:t>
      </w:r>
      <w:r w:rsidR="00EE4A00" w:rsidRPr="00EE4A00">
        <w:t>al-Junaina</w:t>
      </w:r>
      <w:r w:rsidR="00EE4A00">
        <w:t xml:space="preserve"> </w:t>
      </w:r>
      <w:r w:rsidR="00EE4A00" w:rsidRPr="00EE4A00">
        <w:t>area</w:t>
      </w:r>
      <w:r w:rsidR="00EE4A00">
        <w:t xml:space="preserve"> </w:t>
      </w:r>
      <w:r w:rsidR="00EE4A00" w:rsidRPr="00EE4A00">
        <w:t>of</w:t>
      </w:r>
      <w:r w:rsidR="00EE4A00">
        <w:t xml:space="preserve"> </w:t>
      </w:r>
      <w:r w:rsidR="00EE4A00" w:rsidRPr="00EE4A00">
        <w:t>central</w:t>
      </w:r>
      <w:r w:rsidR="00EE4A00">
        <w:t xml:space="preserve"> </w:t>
      </w:r>
      <w:r w:rsidR="00EE4A00" w:rsidRPr="00EE4A00">
        <w:t>Basra.</w:t>
      </w:r>
      <w:r w:rsidR="00EE4A00">
        <w:t>’</w:t>
      </w:r>
      <w:r w:rsidR="00EE4A00">
        <w:rPr>
          <w:rStyle w:val="FootnoteReference"/>
        </w:rPr>
        <w:footnoteReference w:id="38"/>
      </w:r>
    </w:p>
    <w:p w14:paraId="6502271D" w14:textId="0C2A3E7E" w:rsidR="00844F98" w:rsidRDefault="00844F98" w:rsidP="00C21457">
      <w:pPr>
        <w:pStyle w:val="ListParagraph"/>
        <w:numPr>
          <w:ilvl w:val="2"/>
          <w:numId w:val="14"/>
        </w:numPr>
        <w:ind w:left="851" w:hanging="851"/>
      </w:pPr>
      <w:r>
        <w:t>A report by Human Rights Watch</w:t>
      </w:r>
      <w:r w:rsidR="005108B5">
        <w:t xml:space="preserve"> (HRW)</w:t>
      </w:r>
      <w:r>
        <w:t xml:space="preserve"> published in September 2015 looked at the destruction of civilian property following the Iraqi state’s recapture of Tikrit following Daesh’s occupation. </w:t>
      </w:r>
      <w:r w:rsidR="005108B5">
        <w:t>The report entitled ‘Ruinous Aftermath: Militia Abuses Following Iraq’s Recapture of Tikrit’ stated:</w:t>
      </w:r>
    </w:p>
    <w:p w14:paraId="60832CC5" w14:textId="223921BA" w:rsidR="005108B5" w:rsidRDefault="005108B5" w:rsidP="005108B5">
      <w:pPr>
        <w:pStyle w:val="ListParagraph"/>
        <w:numPr>
          <w:ilvl w:val="0"/>
          <w:numId w:val="0"/>
        </w:numPr>
        <w:ind w:left="851"/>
      </w:pPr>
      <w:r>
        <w:t xml:space="preserve">‘In the complicated web of historical animosities playing out in the current conflict in Iraq, Shia political rhetoric tends to lump together supporters of ISIS with forces loyal to the disbanded Baath party and with retired senior officers who had served under Saddam Hussein. In line with this rhetoric </w:t>
      </w:r>
      <w:r>
        <w:lastRenderedPageBreak/>
        <w:t xml:space="preserve">pro-government forces engaged in military operations against ISIS appear to have conflated ISIS with the Baath party. A pro-government reporter with Al-Ittijah channel in al-Dur during the recapture of the town told viewers that “Baathists and ISIS are two sides of the same coin.” </w:t>
      </w:r>
    </w:p>
    <w:p w14:paraId="2BF5422F" w14:textId="7C31F211" w:rsidR="005108B5" w:rsidRDefault="005108B5" w:rsidP="005108B5">
      <w:pPr>
        <w:pStyle w:val="ListParagraph"/>
        <w:numPr>
          <w:ilvl w:val="0"/>
          <w:numId w:val="0"/>
        </w:numPr>
        <w:ind w:left="851"/>
      </w:pPr>
      <w:r>
        <w:t>‘Analysts of ISIS have indeed pointed to the significant role former Baath party members play in it. However many other former Baathists, some of whom Human Rights Watch interviewed, claim to have no connection to the extremist group.</w:t>
      </w:r>
    </w:p>
    <w:p w14:paraId="7FA9969D" w14:textId="2803F37B" w:rsidR="007725D8" w:rsidRDefault="005108B5" w:rsidP="005108B5">
      <w:pPr>
        <w:pStyle w:val="ListParagraph"/>
        <w:numPr>
          <w:ilvl w:val="0"/>
          <w:numId w:val="0"/>
        </w:numPr>
        <w:ind w:left="851"/>
      </w:pPr>
      <w:r>
        <w:t>‘Among the Shia militias’ targets of destruction in al-Dur were opulent houses belonging to former Iraqi army officers. Senior officers serving in the 1980s and 1990s likely were Baath party members and participated in the 1980-1988 war against Iran.’</w:t>
      </w:r>
      <w:r>
        <w:rPr>
          <w:rStyle w:val="FootnoteReference"/>
        </w:rPr>
        <w:footnoteReference w:id="39"/>
      </w:r>
    </w:p>
    <w:p w14:paraId="3B336A6C" w14:textId="495586CE" w:rsidR="007725D8" w:rsidRDefault="007725D8" w:rsidP="00C21457">
      <w:pPr>
        <w:pStyle w:val="ListParagraph"/>
        <w:numPr>
          <w:ilvl w:val="2"/>
          <w:numId w:val="14"/>
        </w:numPr>
        <w:ind w:left="851" w:hanging="851"/>
      </w:pPr>
      <w:r>
        <w:t>The same report also stated: ‘</w:t>
      </w:r>
      <w:r w:rsidRPr="007725D8">
        <w:t>Sheikh Malik, a prominent businessman and brother of al-Dur’s mayor, told Human Rights Watch that at a tribal gathering he attended in April 2015, a Tikriti member of the Popular Mobilization Forces (a Sunni) boasted that, “We burned and destroyed al-Dur, because they [the residents] are ISIS and Baathists.</w:t>
      </w:r>
      <w:r>
        <w:t>’</w:t>
      </w:r>
      <w:r>
        <w:rPr>
          <w:rStyle w:val="FootnoteReference"/>
        </w:rPr>
        <w:footnoteReference w:id="40"/>
      </w:r>
    </w:p>
    <w:p w14:paraId="0DB95F3B" w14:textId="5425F46D" w:rsidR="00333F4C" w:rsidRDefault="005D3121" w:rsidP="00C21457">
      <w:pPr>
        <w:pStyle w:val="ListParagraph"/>
        <w:numPr>
          <w:ilvl w:val="2"/>
          <w:numId w:val="14"/>
        </w:numPr>
        <w:ind w:left="851" w:hanging="851"/>
      </w:pPr>
      <w:r>
        <w:t>An</w:t>
      </w:r>
      <w:r w:rsidR="00E3519A">
        <w:t xml:space="preserve"> article published by </w:t>
      </w:r>
      <w:r w:rsidR="00681F75">
        <w:t xml:space="preserve">Rudaw in March 2018 </w:t>
      </w:r>
      <w:r>
        <w:t>entitled</w:t>
      </w:r>
      <w:r w:rsidR="00681F75">
        <w:t xml:space="preserve"> ‘</w:t>
      </w:r>
      <w:r w:rsidR="00681F75" w:rsidRPr="00681F75">
        <w:t xml:space="preserve">Iraq orders </w:t>
      </w:r>
      <w:bookmarkStart w:id="51" w:name="_Hlk22214288"/>
      <w:r w:rsidR="00681F75" w:rsidRPr="00681F75">
        <w:t>seizure of Baathist-remnant assets</w:t>
      </w:r>
      <w:r w:rsidR="00681F75">
        <w:t xml:space="preserve">’ </w:t>
      </w:r>
      <w:bookmarkEnd w:id="51"/>
      <w:r w:rsidR="00681F75">
        <w:t>stated:</w:t>
      </w:r>
    </w:p>
    <w:p w14:paraId="21AF850C" w14:textId="77777777" w:rsidR="00681F75" w:rsidRDefault="00681F75" w:rsidP="00681F75">
      <w:pPr>
        <w:pStyle w:val="ListParagraph"/>
        <w:numPr>
          <w:ilvl w:val="0"/>
          <w:numId w:val="0"/>
        </w:numPr>
        <w:ind w:left="851"/>
      </w:pPr>
      <w:r>
        <w:t>‘The Iraqi government ordered the seizure of assets which previously belonged to Saddam Hussein and more than 4,200 Baathist-regime officials on Monday.</w:t>
      </w:r>
    </w:p>
    <w:p w14:paraId="49E1BE2C" w14:textId="5717E069" w:rsidR="00681F75" w:rsidRDefault="00B2641F" w:rsidP="00681F75">
      <w:pPr>
        <w:pStyle w:val="ListParagraph"/>
        <w:numPr>
          <w:ilvl w:val="0"/>
          <w:numId w:val="0"/>
        </w:numPr>
        <w:ind w:left="851"/>
      </w:pPr>
      <w:r>
        <w:t>‘</w:t>
      </w:r>
      <w:r w:rsidR="00681F75">
        <w:t>The Iraqi Accountability and Justice Committee sent a letter, seen by AFP, to Prime Minister Haider al-Abadi's office, as well as to the ministries of agriculture, finance, and justice. </w:t>
      </w:r>
    </w:p>
    <w:p w14:paraId="160CF9F2" w14:textId="4834F408" w:rsidR="008B33B3" w:rsidRDefault="00B2641F" w:rsidP="00681F75">
      <w:pPr>
        <w:pStyle w:val="ListParagraph"/>
        <w:numPr>
          <w:ilvl w:val="0"/>
          <w:numId w:val="0"/>
        </w:numPr>
        <w:ind w:left="851"/>
      </w:pPr>
      <w:r>
        <w:t>‘</w:t>
      </w:r>
      <w:r w:rsidR="00681F75">
        <w:t>Spouses, other relatives, and officials and bosses of the Baathist dictator are included on the list.</w:t>
      </w:r>
      <w:r>
        <w:t>’</w:t>
      </w:r>
      <w:r>
        <w:rPr>
          <w:rStyle w:val="FootnoteReference"/>
        </w:rPr>
        <w:footnoteReference w:id="41"/>
      </w:r>
    </w:p>
    <w:p w14:paraId="58989A04" w14:textId="4DA3C14F" w:rsidR="008B33B3" w:rsidRDefault="001914DB" w:rsidP="000B0371">
      <w:pPr>
        <w:pStyle w:val="ListParagraph"/>
        <w:numPr>
          <w:ilvl w:val="2"/>
          <w:numId w:val="14"/>
        </w:numPr>
        <w:ind w:left="851" w:hanging="851"/>
      </w:pPr>
      <w:r>
        <w:t xml:space="preserve">An article published by Asharq Al-Awsat on 6 March 2018 stated that the </w:t>
      </w:r>
      <w:r w:rsidR="005D3121">
        <w:t>assets</w:t>
      </w:r>
      <w:r>
        <w:t xml:space="preserve"> and properties seized by the Iraqi government included ‘real estate, cars, bank accounts and other funds.’</w:t>
      </w:r>
      <w:r>
        <w:rPr>
          <w:rStyle w:val="FootnoteReference"/>
        </w:rPr>
        <w:footnoteReference w:id="42"/>
      </w:r>
    </w:p>
    <w:p w14:paraId="7914E41C" w14:textId="77777777" w:rsidR="00FA1274" w:rsidRDefault="00FA1274" w:rsidP="00FA1274">
      <w:pPr>
        <w:pStyle w:val="ListParagraph"/>
        <w:numPr>
          <w:ilvl w:val="2"/>
          <w:numId w:val="14"/>
        </w:numPr>
        <w:ind w:left="851" w:hanging="851"/>
      </w:pPr>
      <w:r>
        <w:t>An article published by The New Arab in April 2018 stated that following a survey by AFP, 14 officials from Saddam Hussein’s regime remain in prisons, 15 years after he was disposed in 2003</w:t>
      </w:r>
      <w:r>
        <w:rPr>
          <w:rStyle w:val="FootnoteReference"/>
        </w:rPr>
        <w:footnoteReference w:id="43"/>
      </w:r>
      <w:r>
        <w:t xml:space="preserve">. </w:t>
      </w:r>
    </w:p>
    <w:p w14:paraId="4C2313A5" w14:textId="21BF95C9" w:rsidR="00FA1274" w:rsidRDefault="009A35EE" w:rsidP="00FA1274">
      <w:pPr>
        <w:pStyle w:val="ListParagraph"/>
        <w:numPr>
          <w:ilvl w:val="2"/>
          <w:numId w:val="14"/>
        </w:numPr>
        <w:ind w:left="851" w:hanging="851"/>
      </w:pPr>
      <w:r>
        <w:t>DFAT</w:t>
      </w:r>
      <w:r w:rsidR="00306069">
        <w:t>’s</w:t>
      </w:r>
      <w:r>
        <w:t xml:space="preserve"> country information report on Iraq published in October 2018 stated:</w:t>
      </w:r>
    </w:p>
    <w:p w14:paraId="493289FB" w14:textId="2D66630F" w:rsidR="00FA1274" w:rsidRDefault="00FA1274" w:rsidP="00FA1274">
      <w:pPr>
        <w:pStyle w:val="ListParagraph"/>
        <w:numPr>
          <w:ilvl w:val="0"/>
          <w:numId w:val="0"/>
        </w:numPr>
        <w:ind w:left="851"/>
      </w:pPr>
      <w:r>
        <w:t>‘</w:t>
      </w:r>
      <w:r w:rsidR="009A35EE" w:rsidRPr="009A35EE">
        <w:t xml:space="preserve">A broad consensus exists in Iraq that sanctions against the Ba’ath Party should not apply to Ba’athists as individuals. This consensus is based on a recognition that the dominance of the Ba’ath Party in all aspects of government forced millions of Iraqis to join the Party. Nonetheless, local sources report that imputed association with the Ba’ath Party is used as a threat against Sunnis, particularly in Shi’a majority areas such as southern </w:t>
      </w:r>
      <w:r w:rsidR="009A35EE" w:rsidRPr="009A35EE">
        <w:lastRenderedPageBreak/>
        <w:t>Iraq. Colleagues competing for advancement in government employment may threaten Sunni civil servants with accusations of being Ba’athist.</w:t>
      </w:r>
      <w:r w:rsidR="001C56E2">
        <w:t>’</w:t>
      </w:r>
      <w:r w:rsidR="001C56E2">
        <w:rPr>
          <w:rStyle w:val="FootnoteReference"/>
        </w:rPr>
        <w:footnoteReference w:id="44"/>
      </w:r>
    </w:p>
    <w:p w14:paraId="6E3D0602" w14:textId="66484F42" w:rsidR="009A35EE" w:rsidRDefault="00306069" w:rsidP="00306069">
      <w:pPr>
        <w:pStyle w:val="ListParagraph"/>
        <w:numPr>
          <w:ilvl w:val="2"/>
          <w:numId w:val="14"/>
        </w:numPr>
        <w:ind w:left="851" w:hanging="851"/>
      </w:pPr>
      <w:r>
        <w:t>DFAT</w:t>
      </w:r>
      <w:r w:rsidR="001C56E2">
        <w:t xml:space="preserve"> </w:t>
      </w:r>
      <w:r w:rsidR="009A35EE" w:rsidRPr="009A35EE">
        <w:t>assesse</w:t>
      </w:r>
      <w:r>
        <w:t>d</w:t>
      </w:r>
      <w:r w:rsidR="009A35EE" w:rsidRPr="009A35EE">
        <w:t xml:space="preserve"> that </w:t>
      </w:r>
      <w:r>
        <w:t xml:space="preserve">‘… </w:t>
      </w:r>
      <w:r w:rsidR="009A35EE" w:rsidRPr="009A35EE">
        <w:t>former high-ranking officials of the Ba’ath Party face a high risk of official and societal discrimination, particularly when trying to secure employment. Individuals with lower-level links to the Ba’ath Party face a lower risk of official and societal discrimination.</w:t>
      </w:r>
      <w:r w:rsidR="009A35EE">
        <w:t>’</w:t>
      </w:r>
      <w:r w:rsidR="009A35EE">
        <w:rPr>
          <w:rStyle w:val="FootnoteReference"/>
        </w:rPr>
        <w:footnoteReference w:id="45"/>
      </w:r>
    </w:p>
    <w:p w14:paraId="6461C40F" w14:textId="3282A249" w:rsidR="000B0371" w:rsidRDefault="00C6434C" w:rsidP="000B0371">
      <w:pPr>
        <w:pStyle w:val="ListParagraph"/>
        <w:numPr>
          <w:ilvl w:val="2"/>
          <w:numId w:val="14"/>
        </w:numPr>
        <w:ind w:left="851" w:hanging="851"/>
      </w:pPr>
      <w:r>
        <w:t xml:space="preserve">The USSD </w:t>
      </w:r>
      <w:r w:rsidR="000B0371">
        <w:t>International Religious Freedom Report on Iraq for 2018</w:t>
      </w:r>
      <w:r w:rsidR="00494E11">
        <w:t xml:space="preserve"> published in June 2019</w:t>
      </w:r>
      <w:r w:rsidR="000B0371">
        <w:t xml:space="preserve"> stated:</w:t>
      </w:r>
    </w:p>
    <w:p w14:paraId="1EC67B7C" w14:textId="3BB77455" w:rsidR="000B0371" w:rsidRDefault="000B0371" w:rsidP="007621F8">
      <w:pPr>
        <w:ind w:left="851"/>
      </w:pPr>
      <w:r>
        <w:t>‘</w:t>
      </w:r>
      <w:r w:rsidRPr="000B0371">
        <w:t xml:space="preserve">Some Sunni Muslims continued to speak about what they perceived as anti-Sunni discrimination by Shia government officials in retribution for the Sunnis’ favored status and abuses against Shia during the Saddam Hussein regime. Sunnis said they continued to face discrimination in public sector employment as a result of </w:t>
      </w:r>
      <w:r w:rsidR="005D3121" w:rsidRPr="000B0371">
        <w:t>de-Baathification</w:t>
      </w:r>
      <w:r w:rsidRPr="000B0371">
        <w:t>, a process originally intended to target loyalists of the former regime.</w:t>
      </w:r>
      <w:r>
        <w:t xml:space="preserve"> </w:t>
      </w:r>
      <w:r w:rsidRPr="000B0371">
        <w:t>Sunnis and local NGOs said the government continued the selective use of the de-Baathification provisions of the law to render many Sunnis ineligible for choice government positions, but it did not do so to render former Shia Baathists ineligible. Some Sunnis said Sunnis were often passed over for choice government jobs or lucrative contracts from the Shia-dominated government because the Sunnis were allegedly accused of being Baathists who sympathized with ISIS ideology.</w:t>
      </w:r>
      <w:r>
        <w:t>’</w:t>
      </w:r>
      <w:r>
        <w:rPr>
          <w:rStyle w:val="FootnoteReference"/>
        </w:rPr>
        <w:footnoteReference w:id="46"/>
      </w:r>
      <w:r w:rsidRPr="000B0371">
        <w:t xml:space="preserve"> </w:t>
      </w:r>
    </w:p>
    <w:p w14:paraId="4E909A7C" w14:textId="2985CFC5" w:rsidR="0096230D" w:rsidRDefault="0096230D" w:rsidP="0096230D">
      <w:pPr>
        <w:pStyle w:val="ListParagraph"/>
        <w:numPr>
          <w:ilvl w:val="2"/>
          <w:numId w:val="14"/>
        </w:numPr>
        <w:ind w:left="851" w:hanging="851"/>
      </w:pPr>
      <w:r>
        <w:t>The EASO country guidance note on Iraq published in June 2019 produced the following assessment of risk for former Baath party members:</w:t>
      </w:r>
    </w:p>
    <w:p w14:paraId="4CE5550D" w14:textId="207925FC" w:rsidR="0096230D" w:rsidRDefault="0096230D" w:rsidP="0096230D">
      <w:pPr>
        <w:pStyle w:val="ListParagraph"/>
        <w:numPr>
          <w:ilvl w:val="0"/>
          <w:numId w:val="0"/>
        </w:numPr>
        <w:ind w:left="851"/>
      </w:pPr>
      <w:r>
        <w:t>‘</w:t>
      </w:r>
      <w:r w:rsidRPr="0096230D">
        <w:t>In general, the risk of persecution for a regular Baath party member is minimal and dependent on the specific individual circumstances. The individual assessment of whether or not there is a reasonable degree of likelihood for the applicant to face persecution should take into account risk-impacting circumstances, such as: supporting in public the ideology of the Baath party, having had a high-ranking position in the party, being a former Saddam-era military or police officer, having served in the intelligence services during the Saddam regime, potential (perceived) affiliation with ISIL, etc.</w:t>
      </w:r>
      <w:r>
        <w:t>’</w:t>
      </w:r>
      <w:r>
        <w:rPr>
          <w:rStyle w:val="FootnoteReference"/>
        </w:rPr>
        <w:footnoteReference w:id="47"/>
      </w:r>
    </w:p>
    <w:p w14:paraId="66627294" w14:textId="698AEA3E" w:rsidR="00F02232" w:rsidRDefault="00F02232" w:rsidP="00F02232">
      <w:pPr>
        <w:pStyle w:val="ListParagraph"/>
        <w:numPr>
          <w:ilvl w:val="2"/>
          <w:numId w:val="14"/>
        </w:numPr>
        <w:ind w:left="851" w:hanging="851"/>
      </w:pPr>
      <w:r>
        <w:t>A Rudaw article published on 15 July 2019 entitled ‘</w:t>
      </w:r>
      <w:r w:rsidRPr="00333F4C">
        <w:t xml:space="preserve">Arrest warrant issued for </w:t>
      </w:r>
      <w:r>
        <w:t>“</w:t>
      </w:r>
      <w:r w:rsidRPr="00333F4C">
        <w:t>Baathist</w:t>
      </w:r>
      <w:r>
        <w:t>”</w:t>
      </w:r>
      <w:r w:rsidRPr="00333F4C">
        <w:t xml:space="preserve"> Kirkuk protester: police</w:t>
      </w:r>
      <w:r>
        <w:t>’ stated:</w:t>
      </w:r>
    </w:p>
    <w:p w14:paraId="69D281A3" w14:textId="77777777" w:rsidR="00F02232" w:rsidRDefault="00F02232" w:rsidP="00F02232">
      <w:pPr>
        <w:pStyle w:val="ListParagraph"/>
        <w:numPr>
          <w:ilvl w:val="0"/>
          <w:numId w:val="0"/>
        </w:numPr>
        <w:ind w:left="851"/>
        <w:rPr>
          <w:color w:val="000000"/>
          <w:lang w:val="en"/>
        </w:rPr>
      </w:pPr>
      <w:r>
        <w:t>‘</w:t>
      </w:r>
      <w:r>
        <w:rPr>
          <w:color w:val="000000"/>
          <w:lang w:val="en"/>
        </w:rPr>
        <w:t>Kirkuk police on Sunday said an arrest warrant has been issued for an Arab woman who claimed to be “Baathist” during a protest against Kurdish parties in the disputed city.</w:t>
      </w:r>
    </w:p>
    <w:p w14:paraId="4BC43D4E" w14:textId="77777777" w:rsidR="00F02232" w:rsidRDefault="00F02232" w:rsidP="00F02232">
      <w:pPr>
        <w:pStyle w:val="ListParagraph"/>
        <w:numPr>
          <w:ilvl w:val="0"/>
          <w:numId w:val="0"/>
        </w:numPr>
        <w:ind w:left="851"/>
        <w:rPr>
          <w:color w:val="000000"/>
          <w:lang w:val="en"/>
        </w:rPr>
      </w:pPr>
      <w:r>
        <w:rPr>
          <w:color w:val="000000"/>
          <w:lang w:val="en"/>
        </w:rPr>
        <w:t>‘Rana Hamid, originally from Anbar province, participated in a protest on Friday opposing the return of a Kurdish governor to the province. </w:t>
      </w:r>
    </w:p>
    <w:p w14:paraId="4270B32D" w14:textId="77777777" w:rsidR="00F02232" w:rsidRPr="00681F75" w:rsidRDefault="00F02232" w:rsidP="00F02232">
      <w:pPr>
        <w:pStyle w:val="ListParagraph"/>
        <w:numPr>
          <w:ilvl w:val="0"/>
          <w:numId w:val="0"/>
        </w:numPr>
        <w:ind w:left="851"/>
        <w:rPr>
          <w:lang w:val="en"/>
        </w:rPr>
      </w:pPr>
      <w:r>
        <w:rPr>
          <w:color w:val="000000"/>
          <w:lang w:val="en"/>
        </w:rPr>
        <w:t xml:space="preserve">‘“I swear we are Baathists and Saddamist. We will not give up Iraq,” she is alleged to have </w:t>
      </w:r>
      <w:r w:rsidRPr="00681F75">
        <w:rPr>
          <w:lang w:val="en"/>
        </w:rPr>
        <w:t xml:space="preserve">shouted in </w:t>
      </w:r>
      <w:r w:rsidRPr="00681F75">
        <w:rPr>
          <w:rStyle w:val="Strong"/>
          <w:b w:val="0"/>
          <w:lang w:val="en"/>
        </w:rPr>
        <w:t>footage</w:t>
      </w:r>
      <w:r w:rsidRPr="00681F75">
        <w:rPr>
          <w:rStyle w:val="Strong"/>
          <w:lang w:val="en"/>
        </w:rPr>
        <w:t xml:space="preserve"> </w:t>
      </w:r>
      <w:r w:rsidRPr="00681F75">
        <w:rPr>
          <w:lang w:val="en"/>
        </w:rPr>
        <w:t>of the protest supplied to Rudaw. </w:t>
      </w:r>
    </w:p>
    <w:p w14:paraId="78969704" w14:textId="77777777" w:rsidR="00F02232" w:rsidRPr="00681F75" w:rsidRDefault="00F02232" w:rsidP="00F02232">
      <w:pPr>
        <w:pStyle w:val="ListParagraph"/>
        <w:numPr>
          <w:ilvl w:val="0"/>
          <w:numId w:val="0"/>
        </w:numPr>
        <w:ind w:left="851"/>
        <w:rPr>
          <w:lang w:val="en"/>
        </w:rPr>
      </w:pPr>
      <w:r w:rsidRPr="00681F75">
        <w:rPr>
          <w:lang w:val="en"/>
        </w:rPr>
        <w:lastRenderedPageBreak/>
        <w:t>‘She also called Arab parties “betrayers” for failing to speak up for Arab rights in Kirkuk.</w:t>
      </w:r>
    </w:p>
    <w:p w14:paraId="442C7435" w14:textId="77777777" w:rsidR="00F02232" w:rsidRPr="00333F4C" w:rsidRDefault="00F02232" w:rsidP="00F02232">
      <w:pPr>
        <w:pStyle w:val="ListParagraph"/>
        <w:numPr>
          <w:ilvl w:val="0"/>
          <w:numId w:val="0"/>
        </w:numPr>
        <w:ind w:left="851"/>
        <w:rPr>
          <w:color w:val="000000"/>
          <w:lang w:val="en"/>
        </w:rPr>
      </w:pPr>
      <w:r>
        <w:rPr>
          <w:color w:val="000000"/>
          <w:lang w:val="en"/>
        </w:rPr>
        <w:t xml:space="preserve">‘[…] </w:t>
      </w:r>
      <w:r w:rsidRPr="00333F4C">
        <w:rPr>
          <w:color w:val="000000"/>
          <w:lang w:val="en"/>
        </w:rPr>
        <w:t>Angered by Hamid’s professed support for Baathism, Kurdish groups filed a lawsuit against her.</w:t>
      </w:r>
    </w:p>
    <w:p w14:paraId="7872E38D" w14:textId="77777777" w:rsidR="00F02232" w:rsidRPr="00333F4C" w:rsidRDefault="00F02232" w:rsidP="00F02232">
      <w:pPr>
        <w:pStyle w:val="ListParagraph"/>
        <w:numPr>
          <w:ilvl w:val="0"/>
          <w:numId w:val="0"/>
        </w:numPr>
        <w:ind w:left="851"/>
        <w:rPr>
          <w:color w:val="000000"/>
          <w:lang w:val="en"/>
        </w:rPr>
      </w:pPr>
      <w:r>
        <w:rPr>
          <w:color w:val="000000"/>
          <w:lang w:val="en"/>
        </w:rPr>
        <w:t>‘</w:t>
      </w:r>
      <w:r w:rsidRPr="00333F4C">
        <w:rPr>
          <w:color w:val="000000"/>
          <w:lang w:val="en"/>
        </w:rPr>
        <w:t>“A lawsuit has been filed against the woman who praised Saddam during the Arab protest,” Afrasyaw Kamil, spokesperson for Kirkuk police, told Rudaw on Sunday.</w:t>
      </w:r>
    </w:p>
    <w:p w14:paraId="6A90914E" w14:textId="50B806C8" w:rsidR="00F02232" w:rsidRDefault="00F02232" w:rsidP="00F02232">
      <w:pPr>
        <w:pStyle w:val="ListParagraph"/>
        <w:numPr>
          <w:ilvl w:val="0"/>
          <w:numId w:val="0"/>
        </w:numPr>
        <w:ind w:left="851"/>
        <w:rPr>
          <w:color w:val="000000"/>
          <w:lang w:val="en"/>
        </w:rPr>
      </w:pPr>
      <w:r>
        <w:rPr>
          <w:color w:val="000000"/>
          <w:lang w:val="en"/>
        </w:rPr>
        <w:t>‘</w:t>
      </w:r>
      <w:r w:rsidRPr="00333F4C">
        <w:rPr>
          <w:color w:val="000000"/>
          <w:lang w:val="en"/>
        </w:rPr>
        <w:t>“The court has issued an arrest warrant for her because what she did was against the constitution and the law. Therefore, police raided her house to arrest her but she was not at home. We do not know where she has fled,” he added.</w:t>
      </w:r>
      <w:r>
        <w:rPr>
          <w:color w:val="000000"/>
          <w:lang w:val="en"/>
        </w:rPr>
        <w:t>’</w:t>
      </w:r>
      <w:r>
        <w:rPr>
          <w:rStyle w:val="FootnoteReference"/>
          <w:color w:val="000000"/>
          <w:lang w:val="en"/>
        </w:rPr>
        <w:footnoteReference w:id="48"/>
      </w:r>
      <w:r w:rsidR="00A349EF">
        <w:rPr>
          <w:color w:val="000000"/>
          <w:lang w:val="en"/>
        </w:rPr>
        <w:t xml:space="preserve"> </w:t>
      </w:r>
    </w:p>
    <w:p w14:paraId="2241F43C" w14:textId="5C63F239" w:rsidR="00EA3BC4" w:rsidRPr="00912C4F" w:rsidRDefault="007F14B5" w:rsidP="00912C4F">
      <w:pPr>
        <w:jc w:val="right"/>
      </w:pPr>
      <w:hyperlink w:anchor="contents" w:history="1">
        <w:r w:rsidR="008F4DD3" w:rsidRPr="006B4863">
          <w:rPr>
            <w:rStyle w:val="Hyperlink"/>
            <w:szCs w:val="24"/>
          </w:rPr>
          <w:t>Back to Contents</w:t>
        </w:r>
      </w:hyperlink>
      <w:r w:rsidR="00EA3BC4">
        <w:br w:type="page"/>
      </w:r>
    </w:p>
    <w:p w14:paraId="5743721E" w14:textId="77777777" w:rsidR="00EA3BC4" w:rsidRDefault="00EA3BC4" w:rsidP="00EA3BC4">
      <w:pPr>
        <w:pStyle w:val="Heading1"/>
      </w:pPr>
      <w:bookmarkStart w:id="52" w:name="_Version_control_and"/>
      <w:bookmarkStart w:id="53" w:name="_Terms_of_Reference"/>
      <w:bookmarkStart w:id="54" w:name="_Toc29827696"/>
      <w:bookmarkEnd w:id="24"/>
      <w:bookmarkEnd w:id="52"/>
      <w:bookmarkEnd w:id="53"/>
      <w:r>
        <w:lastRenderedPageBreak/>
        <w:t>Terms of Reference</w:t>
      </w:r>
      <w:bookmarkEnd w:id="54"/>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2B933409" w14:textId="725107B2" w:rsidR="00EA3BC4" w:rsidRPr="002B4822" w:rsidRDefault="005E5E5F" w:rsidP="0049481E">
      <w:pPr>
        <w:pStyle w:val="ToRmaintopic"/>
      </w:pPr>
      <w:r>
        <w:t>Baath Party</w:t>
      </w:r>
    </w:p>
    <w:p w14:paraId="493FFBE9" w14:textId="45CF5F89" w:rsidR="00EA3BC4" w:rsidRPr="002B4822" w:rsidRDefault="005E5E5F" w:rsidP="0049481E">
      <w:pPr>
        <w:pStyle w:val="ToRsubtopic"/>
      </w:pPr>
      <w:r>
        <w:t>History</w:t>
      </w:r>
    </w:p>
    <w:p w14:paraId="36AFEDCA" w14:textId="44C4EA25" w:rsidR="00EA3BC4" w:rsidRDefault="005E5E5F" w:rsidP="00EA3BC4">
      <w:pPr>
        <w:pStyle w:val="ListParagraph"/>
        <w:numPr>
          <w:ilvl w:val="1"/>
          <w:numId w:val="8"/>
        </w:numPr>
      </w:pPr>
      <w:r>
        <w:t>Structure</w:t>
      </w:r>
    </w:p>
    <w:p w14:paraId="7EDAFE66" w14:textId="1E90575C" w:rsidR="005D3121" w:rsidRPr="002B4822" w:rsidRDefault="005E5E5F" w:rsidP="005D3121">
      <w:pPr>
        <w:pStyle w:val="ListParagraph"/>
        <w:numPr>
          <w:ilvl w:val="1"/>
          <w:numId w:val="8"/>
        </w:numPr>
      </w:pPr>
      <w:r>
        <w:t xml:space="preserve">Current </w:t>
      </w:r>
      <w:r w:rsidR="005D3121">
        <w:t>s</w:t>
      </w:r>
      <w:r>
        <w:t>tatus</w:t>
      </w:r>
    </w:p>
    <w:p w14:paraId="1642378D" w14:textId="16F7580E" w:rsidR="00EA3BC4" w:rsidRPr="002B4822" w:rsidRDefault="005D3121" w:rsidP="00EA3BC4">
      <w:pPr>
        <w:pStyle w:val="ListParagraph"/>
        <w:numPr>
          <w:ilvl w:val="0"/>
          <w:numId w:val="8"/>
        </w:numPr>
      </w:pPr>
      <w:r>
        <w:t>Linked Groups</w:t>
      </w:r>
    </w:p>
    <w:p w14:paraId="0559D58C" w14:textId="2B283410" w:rsidR="00EA3BC4" w:rsidRPr="002B4822" w:rsidRDefault="005E5E5F" w:rsidP="00EA3BC4">
      <w:pPr>
        <w:pStyle w:val="ListParagraph"/>
        <w:numPr>
          <w:ilvl w:val="0"/>
          <w:numId w:val="8"/>
        </w:numPr>
      </w:pPr>
      <w:r>
        <w:t>Treatment of Baathists</w:t>
      </w:r>
    </w:p>
    <w:p w14:paraId="62620D9C" w14:textId="41E91418" w:rsidR="00EA3BC4" w:rsidRPr="002B4822" w:rsidRDefault="00EA3BC4" w:rsidP="00EA3BC4">
      <w:pPr>
        <w:pStyle w:val="ListParagraph"/>
        <w:numPr>
          <w:ilvl w:val="1"/>
          <w:numId w:val="8"/>
        </w:numPr>
      </w:pPr>
      <w:r w:rsidRPr="002B4822">
        <w:t>S</w:t>
      </w:r>
      <w:r w:rsidR="005D3121">
        <w:t>tate treatment</w:t>
      </w:r>
    </w:p>
    <w:p w14:paraId="66B10AE3" w14:textId="69172E79" w:rsidR="00EA3BC4" w:rsidRDefault="005D3121" w:rsidP="00EA3BC4">
      <w:pPr>
        <w:pStyle w:val="ListParagraph"/>
        <w:numPr>
          <w:ilvl w:val="1"/>
          <w:numId w:val="8"/>
        </w:numPr>
      </w:pPr>
      <w:r>
        <w:t>Non-State treatment</w:t>
      </w:r>
    </w:p>
    <w:p w14:paraId="395ECCD9" w14:textId="0C3E3398" w:rsidR="005D3121" w:rsidRPr="002B4822" w:rsidRDefault="005D3121" w:rsidP="00EA3BC4">
      <w:pPr>
        <w:pStyle w:val="ListParagraph"/>
        <w:numPr>
          <w:ilvl w:val="1"/>
          <w:numId w:val="8"/>
        </w:numPr>
      </w:pPr>
      <w:r>
        <w:t>Factors putting people at risk</w:t>
      </w:r>
    </w:p>
    <w:p w14:paraId="30FB91EA" w14:textId="77777777" w:rsidR="00EA3BC4" w:rsidRDefault="007F14B5"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55" w:name="_Bibliography"/>
      <w:bookmarkStart w:id="56" w:name="_Toc29827697"/>
      <w:bookmarkEnd w:id="55"/>
      <w:r>
        <w:lastRenderedPageBreak/>
        <w:t>Bibliography</w:t>
      </w:r>
      <w:bookmarkEnd w:id="56"/>
    </w:p>
    <w:p w14:paraId="64AD242A" w14:textId="251DA41C" w:rsidR="00EA3BC4" w:rsidRDefault="00EA3BC4" w:rsidP="00924671">
      <w:pPr>
        <w:pStyle w:val="Heading2Nonumber"/>
      </w:pPr>
      <w:bookmarkStart w:id="57" w:name="_Toc29827698"/>
      <w:r>
        <w:t>Sources cited</w:t>
      </w:r>
      <w:bookmarkEnd w:id="57"/>
      <w:r>
        <w:t xml:space="preserve"> </w:t>
      </w:r>
    </w:p>
    <w:p w14:paraId="090C3729" w14:textId="60F6AE30" w:rsidR="001914DB" w:rsidRDefault="001914DB" w:rsidP="00EA3BC4">
      <w:pPr>
        <w:rPr>
          <w:rStyle w:val="FootnoteTextChar"/>
          <w:sz w:val="24"/>
          <w:szCs w:val="19"/>
        </w:rPr>
      </w:pPr>
      <w:r>
        <w:rPr>
          <w:rStyle w:val="FootnoteTextChar"/>
          <w:sz w:val="24"/>
          <w:szCs w:val="19"/>
        </w:rPr>
        <w:t xml:space="preserve">Asharq Al-Awsat, ‘Iraq to Seize Assets of Saddam Hussein, his Aides’, 6 March 2018, </w:t>
      </w:r>
      <w:hyperlink r:id="rId36" w:history="1">
        <w:r w:rsidRPr="00FA47D1">
          <w:rPr>
            <w:rStyle w:val="Hyperlink"/>
            <w:szCs w:val="19"/>
          </w:rPr>
          <w:t>https://aawsat.com/english/home/article/1195801/iraq-seize-assets-saddam-hussein-his-aides</w:t>
        </w:r>
      </w:hyperlink>
      <w:r>
        <w:rPr>
          <w:rStyle w:val="FootnoteTextChar"/>
          <w:sz w:val="24"/>
          <w:szCs w:val="19"/>
        </w:rPr>
        <w:t>. Last accessed: 21 October 2019</w:t>
      </w:r>
    </w:p>
    <w:p w14:paraId="1E5CA15D" w14:textId="22F7E661" w:rsidR="009A35EE" w:rsidRDefault="009A35EE" w:rsidP="00641F2F">
      <w:pPr>
        <w:rPr>
          <w:rStyle w:val="FootnoteTextChar"/>
          <w:sz w:val="24"/>
          <w:szCs w:val="19"/>
        </w:rPr>
      </w:pPr>
      <w:r>
        <w:rPr>
          <w:rStyle w:val="FootnoteTextChar"/>
          <w:sz w:val="24"/>
          <w:szCs w:val="19"/>
        </w:rPr>
        <w:t xml:space="preserve">Australian Government, Department of Foreign Affairs and Trade, ‘DFAT Country Information Report Iraq’, 9 October 2018, </w:t>
      </w:r>
      <w:hyperlink r:id="rId37" w:history="1">
        <w:r w:rsidR="00306069" w:rsidRPr="007F0104">
          <w:rPr>
            <w:rStyle w:val="Hyperlink"/>
            <w:szCs w:val="19"/>
          </w:rPr>
          <w:t>https://dfat.gov.au/about-us/publications/‌Documents/country-information-report-iraq.pdf</w:t>
        </w:r>
      </w:hyperlink>
      <w:r>
        <w:rPr>
          <w:rStyle w:val="FootnoteTextChar"/>
          <w:sz w:val="24"/>
          <w:szCs w:val="19"/>
        </w:rPr>
        <w:t>. Last accessed; 1 November 2019</w:t>
      </w:r>
    </w:p>
    <w:p w14:paraId="09E8E233" w14:textId="575BA27F" w:rsidR="0098593A" w:rsidRDefault="0098593A" w:rsidP="00641F2F">
      <w:pPr>
        <w:rPr>
          <w:rStyle w:val="FootnoteTextChar"/>
          <w:sz w:val="24"/>
          <w:szCs w:val="19"/>
        </w:rPr>
      </w:pPr>
      <w:r>
        <w:rPr>
          <w:rStyle w:val="FootnoteTextChar"/>
          <w:sz w:val="24"/>
          <w:szCs w:val="19"/>
        </w:rPr>
        <w:t>BBC News,</w:t>
      </w:r>
      <w:r w:rsidR="00954873">
        <w:rPr>
          <w:rStyle w:val="FootnoteTextChar"/>
          <w:sz w:val="24"/>
          <w:szCs w:val="19"/>
        </w:rPr>
        <w:t xml:space="preserve"> </w:t>
      </w:r>
      <w:r w:rsidR="00550823">
        <w:rPr>
          <w:rStyle w:val="FootnoteTextChar"/>
          <w:sz w:val="24"/>
          <w:szCs w:val="19"/>
        </w:rPr>
        <w:t>‘The Iraqi Baath Party’, 25 March 2003,</w:t>
      </w:r>
      <w:r w:rsidR="00641F2F">
        <w:rPr>
          <w:rStyle w:val="FootnoteTextChar"/>
          <w:sz w:val="24"/>
          <w:szCs w:val="19"/>
        </w:rPr>
        <w:t xml:space="preserve"> </w:t>
      </w:r>
      <w:hyperlink r:id="rId38" w:history="1">
        <w:r w:rsidR="00306069" w:rsidRPr="007F0104">
          <w:rPr>
            <w:rStyle w:val="Hyperlink"/>
            <w:szCs w:val="19"/>
          </w:rPr>
          <w:t>http://news.bbc.co.uk/1/hi/‌world/middle_east/2886733.stm</w:t>
        </w:r>
      </w:hyperlink>
      <w:r w:rsidR="00550823">
        <w:rPr>
          <w:rStyle w:val="FootnoteTextChar"/>
          <w:sz w:val="24"/>
          <w:szCs w:val="19"/>
        </w:rPr>
        <w:t>. Last accessed: 8 October 2019</w:t>
      </w:r>
    </w:p>
    <w:p w14:paraId="713AB2CB" w14:textId="77777777" w:rsidR="0073415C" w:rsidRDefault="0071268E" w:rsidP="00EA3BC4">
      <w:pPr>
        <w:rPr>
          <w:rStyle w:val="FootnoteTextChar"/>
          <w:sz w:val="24"/>
          <w:szCs w:val="19"/>
        </w:rPr>
      </w:pPr>
      <w:r>
        <w:rPr>
          <w:rStyle w:val="FootnoteTextChar"/>
          <w:sz w:val="24"/>
          <w:szCs w:val="19"/>
        </w:rPr>
        <w:t xml:space="preserve">European Asylum Support Office, </w:t>
      </w:r>
    </w:p>
    <w:p w14:paraId="71B6F51E" w14:textId="2EF0194A" w:rsidR="0071268E" w:rsidRDefault="0073415C" w:rsidP="0073415C">
      <w:pPr>
        <w:ind w:left="709"/>
        <w:rPr>
          <w:rStyle w:val="FootnoteTextChar"/>
          <w:sz w:val="24"/>
          <w:szCs w:val="19"/>
        </w:rPr>
      </w:pPr>
      <w:r>
        <w:rPr>
          <w:rStyle w:val="FootnoteTextChar"/>
          <w:sz w:val="24"/>
          <w:szCs w:val="19"/>
        </w:rPr>
        <w:tab/>
      </w:r>
      <w:r w:rsidR="0071268E">
        <w:rPr>
          <w:rStyle w:val="FootnoteTextChar"/>
          <w:sz w:val="24"/>
          <w:szCs w:val="19"/>
        </w:rPr>
        <w:t xml:space="preserve">‘Country Guidance: Iraq. Guidance note and common analysis’, June 2019, </w:t>
      </w:r>
      <w:hyperlink r:id="rId39" w:history="1">
        <w:r w:rsidR="0071268E" w:rsidRPr="00B3574A">
          <w:rPr>
            <w:rStyle w:val="Hyperlink"/>
            <w:szCs w:val="19"/>
          </w:rPr>
          <w:t>https://www.easo.europa.eu/sites/default/files/Country_Guidance_Iraq_2019.pdf</w:t>
        </w:r>
      </w:hyperlink>
      <w:r w:rsidR="0071268E">
        <w:rPr>
          <w:rStyle w:val="FootnoteTextChar"/>
          <w:sz w:val="24"/>
          <w:szCs w:val="19"/>
        </w:rPr>
        <w:t xml:space="preserve">. Last accessed: </w:t>
      </w:r>
      <w:r>
        <w:rPr>
          <w:rStyle w:val="FootnoteTextChar"/>
          <w:sz w:val="24"/>
          <w:szCs w:val="19"/>
        </w:rPr>
        <w:t>1 November</w:t>
      </w:r>
      <w:r w:rsidR="0071268E">
        <w:rPr>
          <w:rStyle w:val="FootnoteTextChar"/>
          <w:sz w:val="24"/>
          <w:szCs w:val="19"/>
        </w:rPr>
        <w:t xml:space="preserve"> 2019</w:t>
      </w:r>
    </w:p>
    <w:p w14:paraId="4C06E9EC" w14:textId="5A6AF018" w:rsidR="0073415C" w:rsidRDefault="0073415C" w:rsidP="0073415C">
      <w:pPr>
        <w:ind w:left="709"/>
        <w:rPr>
          <w:rStyle w:val="FootnoteTextChar"/>
          <w:sz w:val="24"/>
          <w:szCs w:val="19"/>
        </w:rPr>
      </w:pPr>
      <w:r>
        <w:rPr>
          <w:rStyle w:val="FootnoteTextChar"/>
          <w:sz w:val="24"/>
          <w:szCs w:val="19"/>
        </w:rPr>
        <w:t xml:space="preserve">‘Country of Origin Information Report, Iraq: Targeting of Individuals’, March 2019, </w:t>
      </w:r>
      <w:hyperlink r:id="rId40" w:history="1">
        <w:r w:rsidR="00306069" w:rsidRPr="007F0104">
          <w:rPr>
            <w:rStyle w:val="Hyperlink"/>
            <w:szCs w:val="19"/>
          </w:rPr>
          <w:t>https://coi.easo.europa.eu/administration/easo/‌PLib/Iraq_targeting_of_individuals.pdf</w:t>
        </w:r>
      </w:hyperlink>
      <w:r>
        <w:rPr>
          <w:rStyle w:val="FootnoteTextChar"/>
          <w:sz w:val="24"/>
          <w:szCs w:val="19"/>
        </w:rPr>
        <w:t>. Last accessed: 1 November 2019</w:t>
      </w:r>
    </w:p>
    <w:p w14:paraId="358A9647" w14:textId="08737579" w:rsidR="00B54C83" w:rsidRDefault="00B54C83" w:rsidP="00EA3BC4">
      <w:pPr>
        <w:rPr>
          <w:rStyle w:val="FootnoteTextChar"/>
          <w:sz w:val="24"/>
          <w:szCs w:val="19"/>
        </w:rPr>
      </w:pPr>
      <w:r>
        <w:rPr>
          <w:rStyle w:val="FootnoteTextChar"/>
          <w:sz w:val="24"/>
          <w:szCs w:val="19"/>
        </w:rPr>
        <w:t>Freedom in the World 2019, ‘Iraq’, 4</w:t>
      </w:r>
      <w:r>
        <w:rPr>
          <w:rStyle w:val="FootnoteTextChar"/>
          <w:sz w:val="24"/>
          <w:szCs w:val="19"/>
          <w:vertAlign w:val="superscript"/>
        </w:rPr>
        <w:t xml:space="preserve"> </w:t>
      </w:r>
      <w:r>
        <w:rPr>
          <w:rStyle w:val="FootnoteTextChar"/>
          <w:sz w:val="24"/>
          <w:szCs w:val="19"/>
        </w:rPr>
        <w:t xml:space="preserve">February 2019, </w:t>
      </w:r>
      <w:hyperlink r:id="rId41" w:history="1">
        <w:r w:rsidR="00306069" w:rsidRPr="007F0104">
          <w:rPr>
            <w:rStyle w:val="Hyperlink"/>
            <w:szCs w:val="19"/>
          </w:rPr>
          <w:t>https://freedomhouse.org/‌report/freedom-world/2019/iraq</w:t>
        </w:r>
      </w:hyperlink>
      <w:r>
        <w:rPr>
          <w:rStyle w:val="FootnoteTextChar"/>
          <w:sz w:val="24"/>
          <w:szCs w:val="19"/>
        </w:rPr>
        <w:t>. Last accessed: 9 October 2019</w:t>
      </w:r>
    </w:p>
    <w:p w14:paraId="6DB0AB87" w14:textId="4D3CAB00" w:rsidR="00547441" w:rsidRDefault="00547441" w:rsidP="00EA3BC4">
      <w:pPr>
        <w:rPr>
          <w:rStyle w:val="FootnoteTextChar"/>
          <w:sz w:val="24"/>
          <w:szCs w:val="19"/>
        </w:rPr>
      </w:pPr>
      <w:r>
        <w:t>Geneva International Centre for Justice, ‘</w:t>
      </w:r>
      <w:r w:rsidRPr="00547441">
        <w:t>Iraq - New bill contradicts basic principles of human rights</w:t>
      </w:r>
      <w:r>
        <w:t xml:space="preserve">’, 4 August 2016, </w:t>
      </w:r>
      <w:hyperlink r:id="rId42" w:history="1">
        <w:r w:rsidRPr="00811772">
          <w:rPr>
            <w:rStyle w:val="Hyperlink"/>
          </w:rPr>
          <w:t>https://www.gicj.org/un-special-procedures-appeals/iraq/448-iraq-new-bill-contradicts-basic-principles-of-human-rights</w:t>
        </w:r>
      </w:hyperlink>
      <w:r>
        <w:t>. Last accessed: 17 October 2019</w:t>
      </w:r>
    </w:p>
    <w:p w14:paraId="44559604" w14:textId="54DA7E2E" w:rsidR="007725D8" w:rsidRDefault="007725D8" w:rsidP="00EA3BC4">
      <w:pPr>
        <w:rPr>
          <w:rStyle w:val="FootnoteTextChar"/>
          <w:sz w:val="24"/>
          <w:szCs w:val="19"/>
        </w:rPr>
      </w:pPr>
      <w:r>
        <w:rPr>
          <w:rStyle w:val="FootnoteTextChar"/>
          <w:sz w:val="24"/>
          <w:szCs w:val="19"/>
        </w:rPr>
        <w:t xml:space="preserve">Human Rights Watch, ‘Ruinous Aftermath: Militia Abuses Following Iraq’s Recapture of Tikrit’, 20 September 2015, </w:t>
      </w:r>
      <w:hyperlink r:id="rId43" w:history="1">
        <w:r w:rsidR="00306069" w:rsidRPr="007F0104">
          <w:rPr>
            <w:rStyle w:val="Hyperlink"/>
            <w:szCs w:val="19"/>
          </w:rPr>
          <w:t>https://www.hrw.org/sites/default/files/‌report_pdf/iraq0915_4up_0.pdf</w:t>
        </w:r>
      </w:hyperlink>
      <w:r>
        <w:rPr>
          <w:rStyle w:val="FootnoteTextChar"/>
          <w:sz w:val="24"/>
          <w:szCs w:val="19"/>
        </w:rPr>
        <w:t>. Last accessed: 21 October 2019</w:t>
      </w:r>
    </w:p>
    <w:p w14:paraId="32DA22C5" w14:textId="099457CC" w:rsidR="00C107EE" w:rsidRPr="00C107EE" w:rsidRDefault="00D163AA" w:rsidP="00EA3BC4">
      <w:pPr>
        <w:rPr>
          <w:szCs w:val="19"/>
        </w:rPr>
      </w:pPr>
      <w:r>
        <w:rPr>
          <w:rStyle w:val="FootnoteTextChar"/>
          <w:sz w:val="24"/>
          <w:szCs w:val="19"/>
        </w:rPr>
        <w:t xml:space="preserve">International Center for Transitional Justice, ‘Iraq – A Bitter Legacy: Lessons of De-Baathification in Iraq’, March 2013, </w:t>
      </w:r>
      <w:hyperlink r:id="rId44" w:history="1">
        <w:r w:rsidRPr="007F21FD">
          <w:rPr>
            <w:rStyle w:val="Hyperlink"/>
            <w:szCs w:val="19"/>
          </w:rPr>
          <w:t>https://www.ictj.org/sites/default/files/ICTJ-Report-Iraq-De-Baathification-2013-ENG.pdf</w:t>
        </w:r>
      </w:hyperlink>
      <w:r w:rsidR="00C107EE">
        <w:rPr>
          <w:rStyle w:val="FootnoteTextChar"/>
          <w:sz w:val="24"/>
          <w:szCs w:val="19"/>
        </w:rPr>
        <w:t>. Last accessed: 8 October 2019</w:t>
      </w:r>
    </w:p>
    <w:p w14:paraId="7FC0F7A9" w14:textId="487B0776" w:rsidR="003C4306" w:rsidRDefault="003C4306" w:rsidP="00EA3BC4">
      <w:r w:rsidRPr="00F216B5">
        <w:t>Interna</w:t>
      </w:r>
      <w:r>
        <w:t>tional Crisis Group (ICG)</w:t>
      </w:r>
      <w:r w:rsidRPr="00F216B5">
        <w:t>, ‘Make or Break: Ira</w:t>
      </w:r>
      <w:r>
        <w:t>q's Sunnis and the State’,</w:t>
      </w:r>
      <w:r w:rsidRPr="00F216B5">
        <w:t>14 August 2013</w:t>
      </w:r>
      <w:r>
        <w:t xml:space="preserve">, </w:t>
      </w:r>
      <w:hyperlink r:id="rId45" w:history="1">
        <w:r w:rsidRPr="006E3BC2">
          <w:rPr>
            <w:rStyle w:val="Hyperlink"/>
          </w:rPr>
          <w:t>http://www.refworld.org/docid/520b818b4.html</w:t>
        </w:r>
      </w:hyperlink>
      <w:r>
        <w:t>. Last accessed: 9 October 2019</w:t>
      </w:r>
    </w:p>
    <w:p w14:paraId="0503BF49" w14:textId="49BE39F0" w:rsidR="00232268" w:rsidRDefault="00232268" w:rsidP="00EA3BC4">
      <w:r>
        <w:t xml:space="preserve">Iraqi News, ‘Photos: Baathist Abdel Baqi al-Saadoun arrested in Kirkuk’, 28 June 2015, </w:t>
      </w:r>
      <w:hyperlink r:id="rId46" w:history="1">
        <w:r w:rsidRPr="00787D16">
          <w:rPr>
            <w:rStyle w:val="Hyperlink"/>
          </w:rPr>
          <w:t>https://www.iraqinews.com/iraq-war/photos-baathist-abdel-baqi-al-saadoun-arrested-kirkuk/</w:t>
        </w:r>
      </w:hyperlink>
      <w:r>
        <w:t>. Last accessed: 18 October 2019</w:t>
      </w:r>
    </w:p>
    <w:p w14:paraId="56BF7E92" w14:textId="533880CE" w:rsidR="000679FD" w:rsidRDefault="000679FD" w:rsidP="00EA3BC4">
      <w:r>
        <w:t xml:space="preserve">Middle East Eye, ‘Analysis: Iraq’s Baath party: where are they now?’, 14 November 2014, </w:t>
      </w:r>
      <w:hyperlink r:id="rId47" w:history="1">
        <w:r w:rsidRPr="003445AA">
          <w:rPr>
            <w:rStyle w:val="Hyperlink"/>
          </w:rPr>
          <w:t>http://www.middleeasteye.net/in-depth/features/analysis-iraqs-baath-party-where-are-they-now-1079222336</w:t>
        </w:r>
      </w:hyperlink>
      <w:r>
        <w:t>. Last accessed: 9 October 2019</w:t>
      </w:r>
    </w:p>
    <w:p w14:paraId="472B52FC" w14:textId="77777777" w:rsidR="00333F4C" w:rsidRDefault="000F3BAE" w:rsidP="00EA3BC4">
      <w:r>
        <w:t xml:space="preserve">Rudaw, </w:t>
      </w:r>
    </w:p>
    <w:p w14:paraId="5C0B64CA" w14:textId="77777777" w:rsidR="0021517C" w:rsidRDefault="0021517C" w:rsidP="0021517C">
      <w:pPr>
        <w:ind w:left="709"/>
      </w:pPr>
      <w:r>
        <w:t xml:space="preserve">‘Arrest warrant issued for “Baathist” Kirkuk protester: police’, 15 July 2019, </w:t>
      </w:r>
      <w:hyperlink r:id="rId48" w:history="1">
        <w:r w:rsidRPr="00811772">
          <w:rPr>
            <w:rStyle w:val="Hyperlink"/>
          </w:rPr>
          <w:t>https://www.rudaw.net/english/middleeast/iraq/15072019</w:t>
        </w:r>
      </w:hyperlink>
      <w:r>
        <w:t>. Last accessed: 17 October 2019</w:t>
      </w:r>
    </w:p>
    <w:p w14:paraId="5F81418A" w14:textId="0E7B369D" w:rsidR="0021517C" w:rsidRDefault="00681F75" w:rsidP="00333F4C">
      <w:pPr>
        <w:ind w:left="709"/>
      </w:pPr>
      <w:r>
        <w:lastRenderedPageBreak/>
        <w:t>‘</w:t>
      </w:r>
      <w:r w:rsidRPr="00681F75">
        <w:t>Iraq orders seizure of Baathist-remnant assets</w:t>
      </w:r>
      <w:r>
        <w:t xml:space="preserve">’, 5 March 2018, </w:t>
      </w:r>
      <w:hyperlink r:id="rId49" w:history="1">
        <w:r w:rsidR="00306069" w:rsidRPr="007F0104">
          <w:rPr>
            <w:rStyle w:val="Hyperlink"/>
          </w:rPr>
          <w:t>https://www.‌rudaw.net/english/middleeast/05032018</w:t>
        </w:r>
      </w:hyperlink>
      <w:r>
        <w:t>. Last accessed: 17 October 2019</w:t>
      </w:r>
    </w:p>
    <w:p w14:paraId="0995A0EA" w14:textId="4A1D36D2" w:rsidR="000767DA" w:rsidRDefault="000767DA" w:rsidP="00EA3BC4">
      <w:r>
        <w:t xml:space="preserve">The Independent, ‘How Saddam Hussein’s former military officers and spies are controlling ISIS’, 5 April 2015, </w:t>
      </w:r>
      <w:hyperlink r:id="rId50" w:history="1">
        <w:r w:rsidRPr="00744DE7">
          <w:rPr>
            <w:rStyle w:val="Hyperlink"/>
          </w:rPr>
          <w:t>https://www.independent.co.uk/news/world/middle-east/how-saddam-husseins-former-military-officers-and-spies-are-controlling-isis-10156610.html</w:t>
        </w:r>
      </w:hyperlink>
      <w:r>
        <w:t>. Last accessed: 10 October 2019</w:t>
      </w:r>
    </w:p>
    <w:p w14:paraId="40D22BCC" w14:textId="77777777" w:rsidR="00120D1F" w:rsidRDefault="003B7603" w:rsidP="00EA3BC4">
      <w:r w:rsidRPr="003B7603">
        <w:t xml:space="preserve">The Jamestown Foundation, </w:t>
      </w:r>
    </w:p>
    <w:p w14:paraId="5B511487" w14:textId="6FEB9C17" w:rsidR="00120D1F" w:rsidRDefault="00120D1F" w:rsidP="00120D1F">
      <w:pPr>
        <w:ind w:left="709"/>
      </w:pPr>
      <w:r>
        <w:t xml:space="preserve">‘A Marriage of Convenience: The Many Faces of Iraq’s Sunni Insurgency’, 25 July 2014, </w:t>
      </w:r>
      <w:hyperlink r:id="rId51" w:anchor=".U-iyT_mSyhE" w:history="1">
        <w:r w:rsidRPr="00CF1EFE">
          <w:rPr>
            <w:rStyle w:val="Hyperlink"/>
          </w:rPr>
          <w:t>https://jamestown.org/program/a-marriage-of-convenience-the-many-faces-of-iraqs-sunni-insurgency/#.U-iyT_mSyhE</w:t>
        </w:r>
      </w:hyperlink>
      <w:r>
        <w:t>. Last accessed: 14 October 2019</w:t>
      </w:r>
    </w:p>
    <w:p w14:paraId="782E0ECB" w14:textId="641FE7A4" w:rsidR="003B7603" w:rsidRDefault="00120D1F" w:rsidP="00120D1F">
      <w:pPr>
        <w:ind w:left="709"/>
      </w:pPr>
      <w:r>
        <w:tab/>
      </w:r>
      <w:r w:rsidR="003B7603" w:rsidRPr="003B7603">
        <w:t xml:space="preserve">‘The Tribal Component of Iraq’s Sunni rebellion: The General Military Council for Iraqi Revolutionaries’, 26 June 2014, </w:t>
      </w:r>
      <w:hyperlink r:id="rId52" w:anchor=".VuLRK_m8PyM" w:history="1">
        <w:r w:rsidR="00306069" w:rsidRPr="007F0104">
          <w:rPr>
            <w:rStyle w:val="Hyperlink"/>
          </w:rPr>
          <w:t>http://www.jamestown.org/programs/‌tm/single/?tx_ttnews%5Btt_news%5D=42554&amp;cHash=5ce0%20babbb2face2fa0e67b07a91048c5#.VuLRK_m8PyM</w:t>
        </w:r>
      </w:hyperlink>
      <w:r w:rsidR="003B7603">
        <w:t xml:space="preserve">. Last </w:t>
      </w:r>
      <w:r w:rsidR="003B7603" w:rsidRPr="003B7603">
        <w:t>accessed</w:t>
      </w:r>
      <w:r w:rsidR="003B7603">
        <w:t>: 11 October 2019</w:t>
      </w:r>
    </w:p>
    <w:p w14:paraId="09D92C95" w14:textId="77777777" w:rsidR="006705C9" w:rsidRDefault="00B34107" w:rsidP="00EA3BC4">
      <w:r>
        <w:t xml:space="preserve">The New Arab, </w:t>
      </w:r>
    </w:p>
    <w:p w14:paraId="32AA8E9D" w14:textId="13834E7D" w:rsidR="00B34107" w:rsidRDefault="006705C9" w:rsidP="006705C9">
      <w:pPr>
        <w:ind w:left="709"/>
      </w:pPr>
      <w:r>
        <w:tab/>
      </w:r>
      <w:r w:rsidR="00B34107">
        <w:t xml:space="preserve">‘Iraqi president calls for repeal of de-Baathification laws’, 7 November 2014, </w:t>
      </w:r>
      <w:hyperlink r:id="rId53" w:history="1">
        <w:r w:rsidR="00B34107" w:rsidRPr="00811772">
          <w:rPr>
            <w:rStyle w:val="Hyperlink"/>
          </w:rPr>
          <w:t>https://www.alaraby.co.uk/english/news/2014/11/7/iraqi-president-calls-for-repeal-of-de-baathification-laws</w:t>
        </w:r>
      </w:hyperlink>
      <w:r w:rsidR="00B34107">
        <w:t>. Last accessed: 17 October 2019</w:t>
      </w:r>
    </w:p>
    <w:p w14:paraId="2F66CAF5" w14:textId="75053BED" w:rsidR="006705C9" w:rsidRDefault="006705C9" w:rsidP="006705C9">
      <w:pPr>
        <w:ind w:left="709"/>
      </w:pPr>
      <w:r>
        <w:t xml:space="preserve">’14 Saddam-era officials remain jailed in Iraq: survey’, 23 April 2018, </w:t>
      </w:r>
      <w:hyperlink r:id="rId54" w:history="1">
        <w:r w:rsidRPr="00787D16">
          <w:rPr>
            <w:rStyle w:val="Hyperlink"/>
          </w:rPr>
          <w:t>https://www.alaraby.co.uk/english/news/2018/4/23/14-saddam-era-officials-remain-behind-bars-in-iraq-survey</w:t>
        </w:r>
      </w:hyperlink>
      <w:r>
        <w:t>. Last accessed: 18 October 2019</w:t>
      </w:r>
    </w:p>
    <w:p w14:paraId="64D8E0DE" w14:textId="2E1E28D0" w:rsidR="006C6128" w:rsidRDefault="006C6128" w:rsidP="006705C9">
      <w:pPr>
        <w:ind w:left="709"/>
      </w:pPr>
      <w:r>
        <w:t xml:space="preserve">‘Saddam-era Iraqi leader condemned to death in “genocide” case’, 11 January 2016, </w:t>
      </w:r>
      <w:hyperlink r:id="rId55" w:history="1">
        <w:r w:rsidRPr="00787D16">
          <w:rPr>
            <w:rStyle w:val="Hyperlink"/>
          </w:rPr>
          <w:t>https://www.alaraby.co.uk/english/news/2016/1/11/saddam-era-iraqi-leader-condemned-to-death-in-genocide-case</w:t>
        </w:r>
      </w:hyperlink>
      <w:r>
        <w:t>. Last accessed: 18 October 2019</w:t>
      </w:r>
    </w:p>
    <w:p w14:paraId="41B37790" w14:textId="77777777" w:rsidR="00A254D3" w:rsidRDefault="00A254D3" w:rsidP="00EA3BC4">
      <w:r w:rsidRPr="00A254D3">
        <w:t>United Nations Assistance Mission for Iraq (UNAMI)</w:t>
      </w:r>
      <w:r>
        <w:t xml:space="preserve"> and</w:t>
      </w:r>
      <w:r w:rsidRPr="00A254D3">
        <w:t xml:space="preserve"> Office of the United Nations High Commissioner for Human Rights (OHCHR)</w:t>
      </w:r>
      <w:r>
        <w:t>,</w:t>
      </w:r>
      <w:r w:rsidRPr="00A254D3">
        <w:t xml:space="preserve"> </w:t>
      </w:r>
    </w:p>
    <w:p w14:paraId="64F0FEDE" w14:textId="02BC4BB0" w:rsidR="00A254D3" w:rsidRDefault="00A254D3" w:rsidP="00A254D3">
      <w:pPr>
        <w:ind w:left="709"/>
      </w:pPr>
      <w:r>
        <w:tab/>
      </w:r>
      <w:r w:rsidRPr="00A254D3">
        <w:t>‘Report on the Protection of Civilians in the Armed Conflict in Iraq:</w:t>
      </w:r>
      <w:r>
        <w:t xml:space="preserve"> </w:t>
      </w:r>
      <w:r w:rsidRPr="00A254D3">
        <w:t>11 December 2014 – 30 April 2015’</w:t>
      </w:r>
      <w:r>
        <w:t xml:space="preserve">, 13 July 2015, </w:t>
      </w:r>
      <w:hyperlink r:id="rId56" w:history="1">
        <w:r w:rsidRPr="00811772">
          <w:rPr>
            <w:rStyle w:val="Hyperlink"/>
          </w:rPr>
          <w:t>https://www.ohchr.org/Documents/Countries/IQ/UNAMI_OHCHR_4th_POCReport-11Dec2014-30April2015.pdf</w:t>
        </w:r>
      </w:hyperlink>
      <w:r>
        <w:t>. Last accessed: 17 October 2019</w:t>
      </w:r>
    </w:p>
    <w:p w14:paraId="0CB0453B" w14:textId="67F136D6" w:rsidR="00A254D3" w:rsidRDefault="00A254D3" w:rsidP="00A254D3">
      <w:pPr>
        <w:ind w:left="709"/>
      </w:pPr>
      <w:r>
        <w:t xml:space="preserve">‘Report on the Protection of Civilians in the Armed Conflict in Iraq: 1 November 2015 – 30 September 2016’, 30 December 2016, </w:t>
      </w:r>
      <w:hyperlink r:id="rId57" w:history="1">
        <w:r w:rsidR="00DA000C" w:rsidRPr="007F0104">
          <w:rPr>
            <w:rStyle w:val="Hyperlink"/>
          </w:rPr>
          <w:t>https:/‌/www.refworld.org/docid/5885c1694.html</w:t>
        </w:r>
      </w:hyperlink>
      <w:r>
        <w:t>. Last accessed: 17 October 2019</w:t>
      </w:r>
    </w:p>
    <w:p w14:paraId="6C6918AC" w14:textId="25DE3CEF" w:rsidR="00E81D95" w:rsidRDefault="00E81D95" w:rsidP="00EA3BC4">
      <w:r>
        <w:t xml:space="preserve">United Nations Security Council, ‘Report of the Secretary-General on children and armed conflict in Iraq’, 9 November 2015, </w:t>
      </w:r>
      <w:hyperlink r:id="rId58" w:history="1">
        <w:r w:rsidRPr="00B3574A">
          <w:rPr>
            <w:rStyle w:val="Hyperlink"/>
          </w:rPr>
          <w:t>https://undocs.org/S/2015/852</w:t>
        </w:r>
      </w:hyperlink>
      <w:r>
        <w:t>. Last accessed: 9 October 2019</w:t>
      </w:r>
    </w:p>
    <w:p w14:paraId="0049FBC7" w14:textId="77777777" w:rsidR="00B568D0" w:rsidRDefault="00556FF8" w:rsidP="00EA3BC4">
      <w:r>
        <w:t xml:space="preserve">United States Department of State, </w:t>
      </w:r>
    </w:p>
    <w:p w14:paraId="07E54BBC" w14:textId="2B147C33" w:rsidR="00B568D0" w:rsidRDefault="00B568D0" w:rsidP="00B568D0">
      <w:pPr>
        <w:ind w:left="709"/>
      </w:pPr>
      <w:r>
        <w:t xml:space="preserve">‘Country Reports on Terrorism 2017’, September 2018, </w:t>
      </w:r>
      <w:hyperlink r:id="rId59" w:history="1">
        <w:r w:rsidRPr="00137827">
          <w:rPr>
            <w:rStyle w:val="Hyperlink"/>
          </w:rPr>
          <w:t>https://www.state.gov/wp-content/uploads/2019/04/crt_2017.pdf</w:t>
        </w:r>
      </w:hyperlink>
      <w:r>
        <w:t>. Last accessed: 11 October 2019</w:t>
      </w:r>
    </w:p>
    <w:p w14:paraId="45442279" w14:textId="386A9A9B" w:rsidR="00556FF8" w:rsidRDefault="00B568D0" w:rsidP="00B568D0">
      <w:pPr>
        <w:ind w:left="709"/>
      </w:pPr>
      <w:r>
        <w:lastRenderedPageBreak/>
        <w:tab/>
      </w:r>
      <w:r w:rsidR="00556FF8">
        <w:t xml:space="preserve">‘Iraq: Country Reports on Human Rights Practices for 2018’, 13 March 2019, </w:t>
      </w:r>
      <w:hyperlink r:id="rId60" w:history="1">
        <w:r w:rsidR="00556FF8" w:rsidRPr="00B3574A">
          <w:rPr>
            <w:rStyle w:val="Hyperlink"/>
          </w:rPr>
          <w:t>https://www.state.gov/wp-content/uploads/2019/03/IRAQ-2018.pdf</w:t>
        </w:r>
      </w:hyperlink>
      <w:r w:rsidR="00556FF8">
        <w:t>. Last accessed: 9 October 2019</w:t>
      </w:r>
    </w:p>
    <w:p w14:paraId="7E86C010" w14:textId="4396D3CC" w:rsidR="00550823" w:rsidRDefault="000B0371" w:rsidP="00EC7E47">
      <w:pPr>
        <w:ind w:left="709"/>
      </w:pPr>
      <w:r>
        <w:t xml:space="preserve">‘Iraq: International Religious Freedom Report for 2018’, 21 June 2019, </w:t>
      </w:r>
      <w:hyperlink r:id="rId61" w:history="1">
        <w:r w:rsidR="00DA000C" w:rsidRPr="007F0104">
          <w:rPr>
            <w:rStyle w:val="Hyperlink"/>
          </w:rPr>
          <w:t>https://www.state.gov/wp-content/uploads/2019/05/IRAQ-2018-INTERNATIONAL‌-RELIGIOUS-FREEDOM-REPORT.pdf</w:t>
        </w:r>
      </w:hyperlink>
      <w:r>
        <w:t>. Last accessed: 17 October 2019</w:t>
      </w:r>
    </w:p>
    <w:p w14:paraId="7784F2D9" w14:textId="4614A732" w:rsidR="00EA3BC4" w:rsidRPr="00550823" w:rsidRDefault="007F14B5" w:rsidP="00EA3BC4">
      <w:pPr>
        <w:pStyle w:val="ListParagraph"/>
        <w:numPr>
          <w:ilvl w:val="0"/>
          <w:numId w:val="0"/>
        </w:numPr>
        <w:ind w:left="851"/>
        <w:jc w:val="right"/>
      </w:pPr>
      <w:hyperlink w:anchor="contents" w:history="1">
        <w:r w:rsidR="00EA3BC4" w:rsidRPr="00550823">
          <w:rPr>
            <w:rStyle w:val="Hyperlink"/>
            <w:szCs w:val="24"/>
          </w:rPr>
          <w:t>Back to Contents</w:t>
        </w:r>
      </w:hyperlink>
    </w:p>
    <w:p w14:paraId="42655915" w14:textId="63C392FD" w:rsidR="00EA3BC4" w:rsidRPr="00550823" w:rsidRDefault="00EA3BC4" w:rsidP="00EA3BC4">
      <w:pPr>
        <w:pStyle w:val="Heading2"/>
        <w:numPr>
          <w:ilvl w:val="0"/>
          <w:numId w:val="0"/>
        </w:numPr>
        <w:ind w:left="851" w:hanging="851"/>
      </w:pPr>
      <w:bookmarkStart w:id="58" w:name="_Toc29827699"/>
      <w:r w:rsidRPr="00550823">
        <w:t xml:space="preserve">Sources </w:t>
      </w:r>
      <w:r w:rsidR="002E30F7" w:rsidRPr="00550823">
        <w:t xml:space="preserve">consulted </w:t>
      </w:r>
      <w:r w:rsidRPr="00550823">
        <w:t>but not cited</w:t>
      </w:r>
      <w:bookmarkEnd w:id="58"/>
    </w:p>
    <w:p w14:paraId="00B8B3E9" w14:textId="693C7249" w:rsidR="001C7505" w:rsidRDefault="001C7505" w:rsidP="00EA3BC4">
      <w:pPr>
        <w:rPr>
          <w:rStyle w:val="FootnoteTextChar"/>
          <w:sz w:val="24"/>
          <w:szCs w:val="19"/>
        </w:rPr>
      </w:pPr>
      <w:r>
        <w:rPr>
          <w:rStyle w:val="FootnoteTextChar"/>
          <w:sz w:val="24"/>
          <w:szCs w:val="19"/>
        </w:rPr>
        <w:t xml:space="preserve">Al-Monitor, ’13 years later, Iraq passed de-Baathification law’, 9 August 2016, </w:t>
      </w:r>
      <w:hyperlink r:id="rId62" w:history="1">
        <w:r w:rsidRPr="00811772">
          <w:rPr>
            <w:rStyle w:val="Hyperlink"/>
            <w:szCs w:val="19"/>
          </w:rPr>
          <w:t>https://www.al-monitor.com/pulse/originals/2016/08/debaathification-law-iraq-justice.html</w:t>
        </w:r>
      </w:hyperlink>
      <w:r>
        <w:rPr>
          <w:rStyle w:val="FootnoteTextChar"/>
          <w:sz w:val="24"/>
          <w:szCs w:val="19"/>
        </w:rPr>
        <w:t>. Last accessed: 17 October 2019</w:t>
      </w:r>
    </w:p>
    <w:p w14:paraId="534CE2C1" w14:textId="40A82CBB" w:rsidR="006C6128" w:rsidRDefault="006C6128" w:rsidP="00EA3BC4">
      <w:pPr>
        <w:rPr>
          <w:rStyle w:val="FootnoteTextChar"/>
          <w:sz w:val="24"/>
          <w:szCs w:val="19"/>
        </w:rPr>
      </w:pPr>
      <w:r>
        <w:rPr>
          <w:rStyle w:val="FootnoteTextChar"/>
          <w:sz w:val="24"/>
          <w:szCs w:val="19"/>
        </w:rPr>
        <w:t xml:space="preserve">Anadolu Agency, ‘Iraq PM: Security forces arrest senior Baathist leade[sic]’, 27 June 2015, </w:t>
      </w:r>
      <w:hyperlink r:id="rId63" w:history="1">
        <w:r w:rsidRPr="00787D16">
          <w:rPr>
            <w:rStyle w:val="Hyperlink"/>
            <w:szCs w:val="19"/>
          </w:rPr>
          <w:t>https://www.aa.com.tr/en/world/iraq-pm-security-forces-arrest-senior-baathist-leade/31886#</w:t>
        </w:r>
      </w:hyperlink>
      <w:r>
        <w:rPr>
          <w:rStyle w:val="FootnoteTextChar"/>
          <w:sz w:val="24"/>
          <w:szCs w:val="19"/>
        </w:rPr>
        <w:t>. Last accessed: 18 October 2019</w:t>
      </w:r>
    </w:p>
    <w:p w14:paraId="29E1D236" w14:textId="56108861" w:rsidR="000767DA" w:rsidRDefault="000767DA" w:rsidP="00EA3BC4">
      <w:pPr>
        <w:rPr>
          <w:rStyle w:val="FootnoteTextChar"/>
          <w:sz w:val="24"/>
          <w:szCs w:val="19"/>
        </w:rPr>
      </w:pPr>
      <w:r>
        <w:rPr>
          <w:rStyle w:val="FootnoteTextChar"/>
          <w:sz w:val="24"/>
          <w:szCs w:val="19"/>
        </w:rPr>
        <w:t>Atlantic Council, ‘ISIS, Syria, and Iraq: A Year-</w:t>
      </w:r>
      <w:r w:rsidR="004B0D08">
        <w:rPr>
          <w:rStyle w:val="FootnoteTextChar"/>
          <w:sz w:val="24"/>
          <w:szCs w:val="19"/>
        </w:rPr>
        <w:t xml:space="preserve">End Appraisal’, 19 December 2018, </w:t>
      </w:r>
      <w:hyperlink r:id="rId64" w:history="1">
        <w:r w:rsidR="004B0D08" w:rsidRPr="00744DE7">
          <w:rPr>
            <w:rStyle w:val="Hyperlink"/>
            <w:szCs w:val="19"/>
          </w:rPr>
          <w:t>https://www.atlanticcouncil.org/blogs/new-atlanticist/isis-syria-and-iraq-a-year-end-appraisal/</w:t>
        </w:r>
      </w:hyperlink>
      <w:r w:rsidR="004B0D08">
        <w:rPr>
          <w:rStyle w:val="FootnoteTextChar"/>
          <w:sz w:val="24"/>
          <w:szCs w:val="19"/>
        </w:rPr>
        <w:t>. Last accessed: 10 October 2019</w:t>
      </w:r>
    </w:p>
    <w:p w14:paraId="5958B23E" w14:textId="16C54A7D" w:rsidR="001B0BE5" w:rsidRDefault="001B0BE5" w:rsidP="00EA3BC4">
      <w:pPr>
        <w:rPr>
          <w:rStyle w:val="FootnoteTextChar"/>
          <w:sz w:val="24"/>
          <w:szCs w:val="19"/>
        </w:rPr>
      </w:pPr>
      <w:r>
        <w:rPr>
          <w:rStyle w:val="FootnoteTextChar"/>
          <w:sz w:val="24"/>
          <w:szCs w:val="19"/>
        </w:rPr>
        <w:t xml:space="preserve">Daily Mail, ‘ISIS release new video showing their leader Abu Bakr al-Baghdadi is alive as he makes his first appearance since 2014 hailing Sri Lankan attacks and vowing to avenge his defeated militants’, 29 April 2019, </w:t>
      </w:r>
      <w:hyperlink r:id="rId65" w:history="1">
        <w:r w:rsidRPr="00744DE7">
          <w:rPr>
            <w:rStyle w:val="Hyperlink"/>
            <w:szCs w:val="19"/>
          </w:rPr>
          <w:t>https://www.dailymail.co.uk/news/article-6972903/ISIS-leader-Abu-Bakr-al-Baghdadi-seen-new-video-appearance-2014.html</w:t>
        </w:r>
      </w:hyperlink>
      <w:r>
        <w:rPr>
          <w:rStyle w:val="FootnoteTextChar"/>
          <w:sz w:val="24"/>
          <w:szCs w:val="19"/>
        </w:rPr>
        <w:t>. Last accessed: 10 October 2019</w:t>
      </w:r>
    </w:p>
    <w:p w14:paraId="2DE7ED73" w14:textId="5A0F11C2" w:rsidR="00E01881" w:rsidRDefault="00E01881" w:rsidP="00EA3BC4">
      <w:pPr>
        <w:rPr>
          <w:rStyle w:val="FootnoteTextChar"/>
          <w:sz w:val="24"/>
          <w:szCs w:val="19"/>
        </w:rPr>
      </w:pPr>
      <w:r>
        <w:rPr>
          <w:rStyle w:val="FootnoteTextChar"/>
          <w:sz w:val="24"/>
          <w:szCs w:val="19"/>
        </w:rPr>
        <w:t xml:space="preserve">European Iraqi Freedom Association (EIFA), ‘Interview with General Muzhir al-Qaisi, spokesman of General Military Council of Iraqi Revolutionaries’, 23 June 2014, </w:t>
      </w:r>
      <w:hyperlink r:id="rId66" w:history="1">
        <w:r w:rsidRPr="00CF1EFE">
          <w:rPr>
            <w:rStyle w:val="Hyperlink"/>
            <w:szCs w:val="19"/>
          </w:rPr>
          <w:t>http://www.eu-iraq.org/index.php/news/item/211-interview-with-gen-muzhir-al-qaisi-spokesman-of-general-military-council-of-iraqi-revolutionaries</w:t>
        </w:r>
      </w:hyperlink>
      <w:r>
        <w:rPr>
          <w:rStyle w:val="FootnoteTextChar"/>
          <w:sz w:val="24"/>
          <w:szCs w:val="19"/>
        </w:rPr>
        <w:t>. Last accessed: 14 October 2019</w:t>
      </w:r>
    </w:p>
    <w:p w14:paraId="4F20AA39" w14:textId="3F39F7E5" w:rsidR="00982CB1" w:rsidRDefault="00982CB1" w:rsidP="00EA3BC4">
      <w:pPr>
        <w:rPr>
          <w:rStyle w:val="FootnoteTextChar"/>
          <w:sz w:val="24"/>
          <w:szCs w:val="19"/>
        </w:rPr>
      </w:pPr>
      <w:r>
        <w:rPr>
          <w:rStyle w:val="FootnoteTextChar"/>
          <w:sz w:val="24"/>
          <w:szCs w:val="19"/>
        </w:rPr>
        <w:t xml:space="preserve">Foreign Policy, ‘Baathism caused the chaos in Iraq and Syria’, 7 March 2018, </w:t>
      </w:r>
      <w:hyperlink r:id="rId67" w:history="1">
        <w:r w:rsidRPr="00744DE7">
          <w:rPr>
            <w:rStyle w:val="Hyperlink"/>
            <w:szCs w:val="19"/>
          </w:rPr>
          <w:t>https://foreignpolicy.com/2018/03/07/baathism-caused-the-chaos-in-iraq-and-syria/</w:t>
        </w:r>
      </w:hyperlink>
      <w:r>
        <w:rPr>
          <w:rStyle w:val="FootnoteTextChar"/>
          <w:sz w:val="24"/>
          <w:szCs w:val="19"/>
        </w:rPr>
        <w:t>. Last accessed: 10 October 2019</w:t>
      </w:r>
    </w:p>
    <w:p w14:paraId="38B41377" w14:textId="64776257" w:rsidR="00E01881" w:rsidRDefault="00E01881" w:rsidP="00EA3BC4">
      <w:pPr>
        <w:rPr>
          <w:rStyle w:val="FootnoteTextChar"/>
          <w:sz w:val="24"/>
          <w:szCs w:val="19"/>
        </w:rPr>
      </w:pPr>
      <w:r>
        <w:rPr>
          <w:rStyle w:val="FootnoteTextChar"/>
          <w:sz w:val="24"/>
          <w:szCs w:val="19"/>
        </w:rPr>
        <w:t xml:space="preserve">Institute for the Study of War, ‘Anticipating Iraq’s Next Sunni Insurgency’, 30 November 2016, </w:t>
      </w:r>
      <w:hyperlink r:id="rId68" w:history="1">
        <w:r w:rsidRPr="00CF1EFE">
          <w:rPr>
            <w:rStyle w:val="Hyperlink"/>
            <w:szCs w:val="19"/>
          </w:rPr>
          <w:t>http://iswresearch.blogspot.com/2016/11/anticipating-iraqs-next-sunni-insurgency.html</w:t>
        </w:r>
      </w:hyperlink>
      <w:r>
        <w:rPr>
          <w:rStyle w:val="FootnoteTextChar"/>
          <w:sz w:val="24"/>
          <w:szCs w:val="19"/>
        </w:rPr>
        <w:t>. Last accessed: 14 October 2019</w:t>
      </w:r>
    </w:p>
    <w:p w14:paraId="4D27E979" w14:textId="5CBEC62B" w:rsidR="00736630" w:rsidRDefault="00736630" w:rsidP="00EA3BC4">
      <w:pPr>
        <w:rPr>
          <w:rStyle w:val="FootnoteTextChar"/>
          <w:sz w:val="24"/>
          <w:szCs w:val="19"/>
        </w:rPr>
      </w:pPr>
      <w:r>
        <w:rPr>
          <w:rStyle w:val="FootnoteTextChar"/>
          <w:sz w:val="24"/>
          <w:szCs w:val="19"/>
        </w:rPr>
        <w:t xml:space="preserve">Rudaw, ‘Mosul: </w:t>
      </w:r>
      <w:r w:rsidR="005061F0">
        <w:rPr>
          <w:rStyle w:val="FootnoteTextChar"/>
          <w:sz w:val="24"/>
          <w:szCs w:val="19"/>
        </w:rPr>
        <w:t xml:space="preserve">A Sunni Spring?’, 20 June 2014, </w:t>
      </w:r>
      <w:hyperlink r:id="rId69" w:history="1">
        <w:r w:rsidR="005061F0" w:rsidRPr="00CF1EFE">
          <w:rPr>
            <w:rStyle w:val="Hyperlink"/>
            <w:szCs w:val="19"/>
          </w:rPr>
          <w:t>https://www.rudaw.net/english/opinion/20062014</w:t>
        </w:r>
      </w:hyperlink>
      <w:r w:rsidR="005061F0">
        <w:rPr>
          <w:rStyle w:val="FootnoteTextChar"/>
          <w:sz w:val="24"/>
          <w:szCs w:val="19"/>
        </w:rPr>
        <w:t>. Last accessed: 14 October 2019</w:t>
      </w:r>
    </w:p>
    <w:p w14:paraId="2D1F911D" w14:textId="6A4A387D" w:rsidR="0064550E" w:rsidRDefault="0064550E" w:rsidP="00EA3BC4">
      <w:pPr>
        <w:rPr>
          <w:rStyle w:val="FootnoteTextChar"/>
          <w:sz w:val="24"/>
          <w:szCs w:val="19"/>
        </w:rPr>
      </w:pPr>
      <w:r>
        <w:rPr>
          <w:rStyle w:val="FootnoteTextChar"/>
          <w:sz w:val="24"/>
          <w:szCs w:val="19"/>
        </w:rPr>
        <w:t>Stanford News, ‘</w:t>
      </w:r>
      <w:r w:rsidR="00921E1E">
        <w:rPr>
          <w:rStyle w:val="FootnoteTextChar"/>
          <w:sz w:val="24"/>
          <w:szCs w:val="19"/>
        </w:rPr>
        <w:t>Baath</w:t>
      </w:r>
      <w:r>
        <w:rPr>
          <w:rStyle w:val="FootnoteTextChar"/>
          <w:sz w:val="24"/>
          <w:szCs w:val="19"/>
        </w:rPr>
        <w:t xml:space="preserve"> Party archives at the Hoover Institution reveal brutality of Saddam Hussein’s authoritarian regime’, 29 March 2018, </w:t>
      </w:r>
      <w:hyperlink r:id="rId70" w:history="1">
        <w:r w:rsidRPr="007F21FD">
          <w:rPr>
            <w:rStyle w:val="Hyperlink"/>
            <w:szCs w:val="19"/>
          </w:rPr>
          <w:t>https://news.stanford.edu/2018/03/29/baath-party-archives-reveal-brutality-saddam-husseins-rule/</w:t>
        </w:r>
      </w:hyperlink>
      <w:r>
        <w:rPr>
          <w:rStyle w:val="FootnoteTextChar"/>
          <w:sz w:val="24"/>
          <w:szCs w:val="19"/>
        </w:rPr>
        <w:t>. Last accessed: 8 October 2019</w:t>
      </w:r>
    </w:p>
    <w:p w14:paraId="368DB104" w14:textId="6D531F18" w:rsidR="00C76650" w:rsidRDefault="00C76650" w:rsidP="00EA3BC4">
      <w:pPr>
        <w:rPr>
          <w:rStyle w:val="FootnoteTextChar"/>
          <w:sz w:val="24"/>
          <w:szCs w:val="19"/>
        </w:rPr>
      </w:pPr>
      <w:r>
        <w:rPr>
          <w:rStyle w:val="FootnoteTextChar"/>
          <w:sz w:val="24"/>
          <w:szCs w:val="19"/>
        </w:rPr>
        <w:t xml:space="preserve">The Atlantic, ‘The True Origins of ISIS’, 30 November 2018, </w:t>
      </w:r>
      <w:hyperlink r:id="rId71" w:history="1">
        <w:r w:rsidRPr="00744DE7">
          <w:rPr>
            <w:rStyle w:val="Hyperlink"/>
            <w:szCs w:val="19"/>
          </w:rPr>
          <w:t>https://www.theatlantic.com/ideas/archive/2018/11/isis-origins-anbari-zarqawi/577030/</w:t>
        </w:r>
      </w:hyperlink>
      <w:r>
        <w:rPr>
          <w:rStyle w:val="FootnoteTextChar"/>
          <w:sz w:val="24"/>
          <w:szCs w:val="19"/>
        </w:rPr>
        <w:t>. Last accessed: 10 October 2019</w:t>
      </w:r>
    </w:p>
    <w:p w14:paraId="2A72882B" w14:textId="77777777" w:rsidR="00EA3BC4" w:rsidRPr="00550823" w:rsidRDefault="007F14B5" w:rsidP="00EA3BC4">
      <w:pPr>
        <w:pStyle w:val="ListParagraph"/>
        <w:numPr>
          <w:ilvl w:val="0"/>
          <w:numId w:val="0"/>
        </w:numPr>
        <w:ind w:left="851"/>
        <w:jc w:val="right"/>
      </w:pPr>
      <w:hyperlink w:anchor="contents" w:history="1">
        <w:r w:rsidR="00EA3BC4" w:rsidRPr="00550823">
          <w:rPr>
            <w:rStyle w:val="Hyperlink"/>
            <w:szCs w:val="24"/>
          </w:rPr>
          <w:t>Back to Contents</w:t>
        </w:r>
      </w:hyperlink>
    </w:p>
    <w:p w14:paraId="17825AB5" w14:textId="77777777" w:rsidR="00EA3BC4" w:rsidRPr="000549F2" w:rsidRDefault="00EA3BC4" w:rsidP="00EA3BC4">
      <w:pPr>
        <w:pStyle w:val="Heading1"/>
        <w:rPr>
          <w:rStyle w:val="CPITCOI-Link"/>
          <w:u w:val="none"/>
        </w:rPr>
      </w:pPr>
      <w:bookmarkStart w:id="59" w:name="_Toc29827700"/>
      <w:r w:rsidRPr="00550823">
        <w:lastRenderedPageBreak/>
        <w:t>Version co</w:t>
      </w:r>
      <w:r>
        <w:t>ntrol</w:t>
      </w:r>
      <w:bookmarkEnd w:id="59"/>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3B7CF57E" w:rsidR="00EA3BC4" w:rsidRDefault="00EA3BC4" w:rsidP="00EA3BC4">
      <w:pPr>
        <w:numPr>
          <w:ilvl w:val="0"/>
          <w:numId w:val="1"/>
        </w:numPr>
        <w:tabs>
          <w:tab w:val="clear" w:pos="567"/>
          <w:tab w:val="num" w:pos="283"/>
        </w:tabs>
        <w:spacing w:after="0"/>
        <w:ind w:left="283"/>
      </w:pPr>
      <w:r>
        <w:t xml:space="preserve">version </w:t>
      </w:r>
      <w:r w:rsidR="005D3121">
        <w:rPr>
          <w:b/>
        </w:rPr>
        <w:t>2.0</w:t>
      </w:r>
    </w:p>
    <w:p w14:paraId="65B437C7" w14:textId="636BA6E7" w:rsidR="00EA3BC4" w:rsidRPr="00EB680B" w:rsidRDefault="00EA3BC4" w:rsidP="00EA3BC4">
      <w:pPr>
        <w:numPr>
          <w:ilvl w:val="0"/>
          <w:numId w:val="1"/>
        </w:numPr>
        <w:tabs>
          <w:tab w:val="clear" w:pos="567"/>
          <w:tab w:val="num" w:pos="283"/>
        </w:tabs>
        <w:spacing w:after="0"/>
        <w:ind w:left="283"/>
      </w:pPr>
      <w:r>
        <w:t xml:space="preserve">valid from </w:t>
      </w:r>
      <w:r w:rsidR="00762B82">
        <w:rPr>
          <w:b/>
        </w:rPr>
        <w:t>23</w:t>
      </w:r>
      <w:r w:rsidR="00FD3E5D">
        <w:rPr>
          <w:b/>
        </w:rPr>
        <w:t xml:space="preserve"> January 2020</w:t>
      </w:r>
    </w:p>
    <w:p w14:paraId="7E447AA7" w14:textId="77777777" w:rsidR="005D3121" w:rsidRDefault="005D3121"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5D5395DC" w:rsidR="00EA3BC4" w:rsidRDefault="005D3121" w:rsidP="00EA3BC4">
      <w:r>
        <w:t>Updated COI and guidance.</w:t>
      </w:r>
    </w:p>
    <w:p w14:paraId="1098BE0D" w14:textId="77777777" w:rsidR="00EA3BC4" w:rsidRPr="00402729" w:rsidRDefault="007F14B5"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bookmarkEnd w:id="1"/>
    <w:p w14:paraId="6ACF01D1" w14:textId="77777777" w:rsidR="001824D8" w:rsidRPr="00EA3BC4" w:rsidRDefault="001824D8" w:rsidP="00EA3BC4"/>
    <w:sectPr w:rsidR="001824D8" w:rsidRPr="00EA3BC4" w:rsidSect="00D90E99">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3643" w14:textId="77777777" w:rsidR="007D65AB" w:rsidRDefault="007D65AB" w:rsidP="00943D7D">
      <w:r>
        <w:separator/>
      </w:r>
    </w:p>
    <w:p w14:paraId="654AA4DE" w14:textId="77777777" w:rsidR="007D65AB" w:rsidRDefault="007D65AB"/>
  </w:endnote>
  <w:endnote w:type="continuationSeparator" w:id="0">
    <w:p w14:paraId="5721FC1C" w14:textId="77777777" w:rsidR="007D65AB" w:rsidRDefault="007D65AB" w:rsidP="00943D7D">
      <w:r>
        <w:continuationSeparator/>
      </w:r>
    </w:p>
    <w:p w14:paraId="4DD1984F" w14:textId="77777777" w:rsidR="007D65AB" w:rsidRDefault="007D6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88ED" w14:textId="77777777" w:rsidR="007F14B5" w:rsidRDefault="007F1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7D65AB" w:rsidRDefault="007F14B5"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7D65AB" w:rsidRDefault="007D65AB"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7D65AB" w:rsidRDefault="007D65AB">
    <w:pPr>
      <w:pStyle w:val="Footer"/>
      <w:jc w:val="center"/>
    </w:pPr>
  </w:p>
  <w:p w14:paraId="6ACF0202" w14:textId="77777777" w:rsidR="007D65AB" w:rsidRDefault="007D65AB">
    <w:pPr>
      <w:pStyle w:val="Footer"/>
    </w:pPr>
  </w:p>
  <w:p w14:paraId="6ACF0203" w14:textId="77777777" w:rsidR="007D65AB" w:rsidRDefault="007D65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4253" w14:textId="77777777" w:rsidR="007D65AB" w:rsidRPr="00975E6F" w:rsidRDefault="007D65AB" w:rsidP="00D90E99">
      <w:pPr>
        <w:widowControl w:val="0"/>
        <w:spacing w:after="0"/>
        <w:rPr>
          <w:sz w:val="19"/>
          <w:szCs w:val="19"/>
        </w:rPr>
      </w:pPr>
      <w:r w:rsidRPr="00975E6F">
        <w:rPr>
          <w:sz w:val="19"/>
          <w:szCs w:val="19"/>
        </w:rPr>
        <w:separator/>
      </w:r>
    </w:p>
  </w:footnote>
  <w:footnote w:type="continuationSeparator" w:id="0">
    <w:p w14:paraId="4541F46F" w14:textId="77777777" w:rsidR="007D65AB" w:rsidRPr="00975E6F" w:rsidRDefault="007D65AB" w:rsidP="00975E6F">
      <w:pPr>
        <w:widowControl w:val="0"/>
        <w:spacing w:after="0"/>
        <w:rPr>
          <w:sz w:val="19"/>
          <w:szCs w:val="19"/>
        </w:rPr>
      </w:pPr>
      <w:r w:rsidRPr="00975E6F">
        <w:rPr>
          <w:sz w:val="19"/>
          <w:szCs w:val="19"/>
        </w:rPr>
        <w:continuationSeparator/>
      </w:r>
    </w:p>
  </w:footnote>
  <w:footnote w:type="continuationNotice" w:id="1">
    <w:p w14:paraId="756DE249" w14:textId="77777777" w:rsidR="007D65AB" w:rsidRDefault="007D65AB">
      <w:pPr>
        <w:spacing w:after="0"/>
      </w:pPr>
    </w:p>
  </w:footnote>
  <w:footnote w:id="2">
    <w:p w14:paraId="3DBF4CB7" w14:textId="62D94E5F" w:rsidR="007D65AB" w:rsidRDefault="007D65AB" w:rsidP="002525E0">
      <w:pPr>
        <w:pStyle w:val="FootnoteText"/>
      </w:pPr>
      <w:r>
        <w:rPr>
          <w:rStyle w:val="FootnoteReference"/>
        </w:rPr>
        <w:footnoteRef/>
      </w:r>
      <w:r>
        <w:t xml:space="preserve"> BBC News, ‘The Iraqi Baath Party’, 25 March 2003, </w:t>
      </w:r>
      <w:hyperlink r:id="rId1" w:history="1">
        <w:r w:rsidRPr="00550823">
          <w:rPr>
            <w:rStyle w:val="Hyperlink"/>
          </w:rPr>
          <w:t>url</w:t>
        </w:r>
      </w:hyperlink>
      <w:r>
        <w:t xml:space="preserve"> </w:t>
      </w:r>
    </w:p>
  </w:footnote>
  <w:footnote w:id="3">
    <w:p w14:paraId="027A76A7" w14:textId="58A6DF2A" w:rsidR="007D65AB" w:rsidRDefault="007D65AB">
      <w:pPr>
        <w:pStyle w:val="FootnoteText"/>
      </w:pPr>
      <w:r>
        <w:rPr>
          <w:rStyle w:val="FootnoteReference"/>
        </w:rPr>
        <w:footnoteRef/>
      </w:r>
      <w:r>
        <w:t xml:space="preserve"> ICTJ, ‘A Bitter Legacy: Lessons of de-Baathification in Iraq’, p5, March 2013, </w:t>
      </w:r>
      <w:hyperlink r:id="rId2" w:history="1">
        <w:r w:rsidRPr="00D163AA">
          <w:rPr>
            <w:rStyle w:val="Hyperlink"/>
          </w:rPr>
          <w:t>url</w:t>
        </w:r>
      </w:hyperlink>
    </w:p>
  </w:footnote>
  <w:footnote w:id="4">
    <w:p w14:paraId="5ACBF670" w14:textId="67CD3B62" w:rsidR="007D65AB" w:rsidRDefault="007D65AB">
      <w:pPr>
        <w:pStyle w:val="FootnoteText"/>
      </w:pPr>
      <w:r>
        <w:rPr>
          <w:rStyle w:val="FootnoteReference"/>
        </w:rPr>
        <w:footnoteRef/>
      </w:r>
      <w:r>
        <w:t xml:space="preserve"> BBC News, ‘The Iraqi Baath Party’, 25 March 2003, </w:t>
      </w:r>
      <w:hyperlink r:id="rId3" w:history="1">
        <w:r w:rsidRPr="00550823">
          <w:rPr>
            <w:rStyle w:val="Hyperlink"/>
          </w:rPr>
          <w:t>url</w:t>
        </w:r>
      </w:hyperlink>
    </w:p>
  </w:footnote>
  <w:footnote w:id="5">
    <w:p w14:paraId="1F57FD4C" w14:textId="0D2CDC65" w:rsidR="007D65AB" w:rsidRDefault="007D65AB">
      <w:pPr>
        <w:pStyle w:val="FootnoteText"/>
      </w:pPr>
      <w:r>
        <w:rPr>
          <w:rStyle w:val="FootnoteReference"/>
        </w:rPr>
        <w:footnoteRef/>
      </w:r>
      <w:r>
        <w:t xml:space="preserve"> EASO, ‘Country Guidance: Iraq’, June 2019, p55, </w:t>
      </w:r>
      <w:hyperlink r:id="rId4" w:history="1">
        <w:r w:rsidRPr="0073415C">
          <w:rPr>
            <w:rStyle w:val="Hyperlink"/>
          </w:rPr>
          <w:t>url</w:t>
        </w:r>
      </w:hyperlink>
    </w:p>
  </w:footnote>
  <w:footnote w:id="6">
    <w:p w14:paraId="69F7DA86" w14:textId="53794F58" w:rsidR="007D65AB" w:rsidRDefault="007D65AB">
      <w:pPr>
        <w:pStyle w:val="FootnoteText"/>
      </w:pPr>
      <w:r>
        <w:rPr>
          <w:rStyle w:val="FootnoteReference"/>
        </w:rPr>
        <w:footnoteRef/>
      </w:r>
      <w:r>
        <w:t xml:space="preserve"> ICTJ, ‘A Bitter Legacy: Lessons of de-Baathification in Iraq’, p6-7, March 2013, </w:t>
      </w:r>
      <w:hyperlink r:id="rId5" w:history="1">
        <w:r w:rsidRPr="00D163AA">
          <w:rPr>
            <w:rStyle w:val="Hyperlink"/>
          </w:rPr>
          <w:t>url</w:t>
        </w:r>
      </w:hyperlink>
    </w:p>
  </w:footnote>
  <w:footnote w:id="7">
    <w:p w14:paraId="4C23BAC2" w14:textId="77777777" w:rsidR="00455211" w:rsidRDefault="00455211" w:rsidP="00455211">
      <w:pPr>
        <w:pStyle w:val="FootnoteText"/>
      </w:pPr>
      <w:r>
        <w:rPr>
          <w:rStyle w:val="FootnoteReference"/>
        </w:rPr>
        <w:footnoteRef/>
      </w:r>
      <w:r>
        <w:t xml:space="preserve"> ICTJ, ‘A Bitter Legacy: Lessons of de-Baathification in Iraq’, p6,  March 2013, </w:t>
      </w:r>
      <w:hyperlink r:id="rId6" w:history="1">
        <w:r w:rsidRPr="00D163AA">
          <w:rPr>
            <w:rStyle w:val="Hyperlink"/>
          </w:rPr>
          <w:t>url</w:t>
        </w:r>
      </w:hyperlink>
    </w:p>
  </w:footnote>
  <w:footnote w:id="8">
    <w:p w14:paraId="01197AF1" w14:textId="6F53C75F" w:rsidR="005C5527" w:rsidRDefault="005C5527">
      <w:pPr>
        <w:pStyle w:val="FootnoteText"/>
      </w:pPr>
      <w:r>
        <w:rPr>
          <w:rStyle w:val="FootnoteReference"/>
        </w:rPr>
        <w:footnoteRef/>
      </w:r>
      <w:r>
        <w:t xml:space="preserve"> EASO, ‘Country Guidance: Iraq’, June 2019, p55, </w:t>
      </w:r>
      <w:hyperlink r:id="rId7" w:history="1">
        <w:r w:rsidRPr="0073415C">
          <w:rPr>
            <w:rStyle w:val="Hyperlink"/>
          </w:rPr>
          <w:t>url</w:t>
        </w:r>
      </w:hyperlink>
    </w:p>
  </w:footnote>
  <w:footnote w:id="9">
    <w:p w14:paraId="05601F70" w14:textId="48871C14" w:rsidR="007D65AB" w:rsidRDefault="007D65AB">
      <w:pPr>
        <w:pStyle w:val="FootnoteText"/>
      </w:pPr>
      <w:r>
        <w:rPr>
          <w:rStyle w:val="FootnoteReference"/>
        </w:rPr>
        <w:footnoteRef/>
      </w:r>
      <w:r>
        <w:t xml:space="preserve"> ICTJ, ‘A Bitter Legacy: Lessons of de-Baathification in Iraq’, p4, March 2013, </w:t>
      </w:r>
      <w:hyperlink r:id="rId8" w:history="1">
        <w:r w:rsidRPr="00D163AA">
          <w:rPr>
            <w:rStyle w:val="Hyperlink"/>
          </w:rPr>
          <w:t>url</w:t>
        </w:r>
      </w:hyperlink>
    </w:p>
  </w:footnote>
  <w:footnote w:id="10">
    <w:p w14:paraId="19C1C162" w14:textId="1A031BE6" w:rsidR="007D65AB" w:rsidRDefault="007D65AB">
      <w:pPr>
        <w:pStyle w:val="FootnoteText"/>
      </w:pPr>
      <w:r>
        <w:rPr>
          <w:rStyle w:val="FootnoteReference"/>
        </w:rPr>
        <w:footnoteRef/>
      </w:r>
      <w:r>
        <w:t xml:space="preserve"> ICG, ‘Make or Break: Iraq’s Sunnis and the State’, p4, 14 August 2013, </w:t>
      </w:r>
      <w:hyperlink r:id="rId9" w:history="1">
        <w:r w:rsidRPr="00C0503A">
          <w:rPr>
            <w:rStyle w:val="Hyperlink"/>
          </w:rPr>
          <w:t>url</w:t>
        </w:r>
      </w:hyperlink>
    </w:p>
  </w:footnote>
  <w:footnote w:id="11">
    <w:p w14:paraId="5B8CAC0E" w14:textId="33FCBA31" w:rsidR="007D65AB" w:rsidRDefault="007D65AB">
      <w:pPr>
        <w:pStyle w:val="FootnoteText"/>
      </w:pPr>
      <w:r>
        <w:rPr>
          <w:rStyle w:val="FootnoteReference"/>
        </w:rPr>
        <w:footnoteRef/>
      </w:r>
      <w:r>
        <w:t xml:space="preserve"> MEE, ‘Analysis: Iraq’s Baath Party: Where are they now?’, 14 November 2014, </w:t>
      </w:r>
      <w:hyperlink r:id="rId10" w:history="1">
        <w:r w:rsidRPr="003C4306">
          <w:rPr>
            <w:rStyle w:val="Hyperlink"/>
          </w:rPr>
          <w:t>url</w:t>
        </w:r>
      </w:hyperlink>
      <w:r>
        <w:t xml:space="preserve"> </w:t>
      </w:r>
    </w:p>
  </w:footnote>
  <w:footnote w:id="12">
    <w:p w14:paraId="6A155C45" w14:textId="2BA57FFB" w:rsidR="007D65AB" w:rsidRDefault="007D65AB">
      <w:pPr>
        <w:pStyle w:val="FootnoteText"/>
      </w:pPr>
      <w:r>
        <w:rPr>
          <w:rStyle w:val="FootnoteReference"/>
        </w:rPr>
        <w:footnoteRef/>
      </w:r>
      <w:r>
        <w:t xml:space="preserve"> ICTJ, ‘A Bitter Legacy: Lessons of de-Baathification in Iraq’, March 2013, </w:t>
      </w:r>
      <w:hyperlink r:id="rId11" w:history="1">
        <w:r w:rsidRPr="00D163AA">
          <w:rPr>
            <w:rStyle w:val="Hyperlink"/>
          </w:rPr>
          <w:t>url</w:t>
        </w:r>
      </w:hyperlink>
    </w:p>
  </w:footnote>
  <w:footnote w:id="13">
    <w:p w14:paraId="2937549A" w14:textId="2C419E3E" w:rsidR="007D65AB" w:rsidRDefault="007D65AB">
      <w:pPr>
        <w:pStyle w:val="FootnoteText"/>
      </w:pPr>
      <w:r>
        <w:rPr>
          <w:rStyle w:val="FootnoteReference"/>
        </w:rPr>
        <w:footnoteRef/>
      </w:r>
      <w:r>
        <w:t xml:space="preserve"> EASO, ‘Country Guidance: Iraq’, p55, June 2019, </w:t>
      </w:r>
      <w:hyperlink r:id="rId12" w:history="1">
        <w:r w:rsidRPr="0071268E">
          <w:rPr>
            <w:rStyle w:val="Hyperlink"/>
          </w:rPr>
          <w:t>url</w:t>
        </w:r>
      </w:hyperlink>
      <w:r>
        <w:t xml:space="preserve"> </w:t>
      </w:r>
    </w:p>
  </w:footnote>
  <w:footnote w:id="14">
    <w:p w14:paraId="3CD035B3" w14:textId="20EF9A7A" w:rsidR="007D65AB" w:rsidRDefault="007D65AB">
      <w:pPr>
        <w:pStyle w:val="FootnoteText"/>
      </w:pPr>
      <w:r>
        <w:rPr>
          <w:rStyle w:val="FootnoteReference"/>
        </w:rPr>
        <w:footnoteRef/>
      </w:r>
      <w:r>
        <w:t xml:space="preserve"> USSD, ‘Iraq – Human Rights Practices for 2018’, Section 2, p25, 13 March 2019, </w:t>
      </w:r>
      <w:hyperlink r:id="rId13" w:history="1">
        <w:r w:rsidRPr="00556FF8">
          <w:rPr>
            <w:rStyle w:val="Hyperlink"/>
          </w:rPr>
          <w:t>url</w:t>
        </w:r>
      </w:hyperlink>
    </w:p>
  </w:footnote>
  <w:footnote w:id="15">
    <w:p w14:paraId="68D05F4E" w14:textId="0BA975D1" w:rsidR="007D65AB" w:rsidRDefault="007D65AB">
      <w:pPr>
        <w:pStyle w:val="FootnoteText"/>
      </w:pPr>
      <w:r>
        <w:rPr>
          <w:rStyle w:val="FootnoteReference"/>
        </w:rPr>
        <w:footnoteRef/>
      </w:r>
      <w:r>
        <w:t xml:space="preserve"> Freedom in the World 2019, ‘Iraq’, 4 February 2019, </w:t>
      </w:r>
      <w:hyperlink r:id="rId14" w:history="1">
        <w:r w:rsidRPr="00B54C83">
          <w:rPr>
            <w:rStyle w:val="Hyperlink"/>
          </w:rPr>
          <w:t>url</w:t>
        </w:r>
      </w:hyperlink>
    </w:p>
  </w:footnote>
  <w:footnote w:id="16">
    <w:p w14:paraId="3A61AEF7" w14:textId="1481C9D9" w:rsidR="007D65AB" w:rsidRDefault="007D65AB">
      <w:pPr>
        <w:pStyle w:val="FootnoteText"/>
      </w:pPr>
      <w:r>
        <w:rPr>
          <w:rStyle w:val="FootnoteReference"/>
        </w:rPr>
        <w:footnoteRef/>
      </w:r>
      <w:r>
        <w:t xml:space="preserve"> EASO, ‘Iraq: Targeting of Individuals’,</w:t>
      </w:r>
      <w:r w:rsidRPr="00E8212B">
        <w:t xml:space="preserve"> </w:t>
      </w:r>
      <w:r>
        <w:t xml:space="preserve">Section 1.7.1, p63, March 2019, </w:t>
      </w:r>
      <w:hyperlink r:id="rId15" w:history="1">
        <w:r w:rsidRPr="0073415C">
          <w:rPr>
            <w:rStyle w:val="Hyperlink"/>
          </w:rPr>
          <w:t>url</w:t>
        </w:r>
      </w:hyperlink>
    </w:p>
  </w:footnote>
  <w:footnote w:id="17">
    <w:p w14:paraId="6088323A" w14:textId="76521B43" w:rsidR="007D65AB" w:rsidRDefault="007D65AB">
      <w:pPr>
        <w:pStyle w:val="FootnoteText"/>
      </w:pPr>
      <w:r>
        <w:rPr>
          <w:rStyle w:val="FootnoteReference"/>
        </w:rPr>
        <w:footnoteRef/>
      </w:r>
      <w:r>
        <w:t xml:space="preserve"> UN Security Council, ‘Children and armed conflict in Iraq’, Section B(2), p4, 9 November 2015, </w:t>
      </w:r>
      <w:hyperlink r:id="rId16" w:history="1">
        <w:r w:rsidRPr="00E81D95">
          <w:rPr>
            <w:rStyle w:val="Hyperlink"/>
          </w:rPr>
          <w:t>url</w:t>
        </w:r>
      </w:hyperlink>
      <w:r>
        <w:t xml:space="preserve"> </w:t>
      </w:r>
    </w:p>
  </w:footnote>
  <w:footnote w:id="18">
    <w:p w14:paraId="5D2FA1E8" w14:textId="09231945" w:rsidR="007D65AB" w:rsidRDefault="007D65AB">
      <w:pPr>
        <w:pStyle w:val="FootnoteText"/>
      </w:pPr>
      <w:r>
        <w:rPr>
          <w:rStyle w:val="FootnoteReference"/>
        </w:rPr>
        <w:footnoteRef/>
      </w:r>
      <w:r>
        <w:t xml:space="preserve"> The Independent, ‘Hussein’s former military officers and spies are controlling ISIS’, 5 April 2015, </w:t>
      </w:r>
      <w:hyperlink r:id="rId17" w:history="1">
        <w:r w:rsidRPr="000767DA">
          <w:rPr>
            <w:rStyle w:val="Hyperlink"/>
          </w:rPr>
          <w:t>url</w:t>
        </w:r>
      </w:hyperlink>
    </w:p>
  </w:footnote>
  <w:footnote w:id="19">
    <w:p w14:paraId="42F70142" w14:textId="02C2BB43" w:rsidR="007D65AB" w:rsidRDefault="007D65AB">
      <w:pPr>
        <w:pStyle w:val="FootnoteText"/>
      </w:pPr>
      <w:r>
        <w:rPr>
          <w:rStyle w:val="FootnoteReference"/>
        </w:rPr>
        <w:footnoteRef/>
      </w:r>
      <w:r>
        <w:t xml:space="preserve"> EASO, ‘Country Guidance: Iraq’, June 2019, Section 4, p56, </w:t>
      </w:r>
      <w:hyperlink r:id="rId18" w:history="1">
        <w:r w:rsidRPr="0071268E">
          <w:rPr>
            <w:rStyle w:val="Hyperlink"/>
          </w:rPr>
          <w:t>url</w:t>
        </w:r>
      </w:hyperlink>
    </w:p>
  </w:footnote>
  <w:footnote w:id="20">
    <w:p w14:paraId="5DC4F705" w14:textId="4708F70C" w:rsidR="007D65AB" w:rsidRDefault="007D65AB" w:rsidP="005E5E5F">
      <w:pPr>
        <w:pStyle w:val="FootnoteText"/>
      </w:pPr>
      <w:r>
        <w:rPr>
          <w:rStyle w:val="FootnoteReference"/>
        </w:rPr>
        <w:footnoteRef/>
      </w:r>
      <w:r>
        <w:t xml:space="preserve"> USSD, ‘Country Reports on Terrorism 2017’, p310, September 2018, </w:t>
      </w:r>
      <w:hyperlink r:id="rId19" w:history="1">
        <w:r w:rsidRPr="000A35F7">
          <w:rPr>
            <w:rStyle w:val="Hyperlink"/>
          </w:rPr>
          <w:t>url</w:t>
        </w:r>
      </w:hyperlink>
    </w:p>
  </w:footnote>
  <w:footnote w:id="21">
    <w:p w14:paraId="17B9DC6F" w14:textId="1C031BFB" w:rsidR="007D65AB" w:rsidRDefault="007D65AB">
      <w:pPr>
        <w:pStyle w:val="FootnoteText"/>
      </w:pPr>
      <w:r>
        <w:rPr>
          <w:rStyle w:val="FootnoteReference"/>
        </w:rPr>
        <w:footnoteRef/>
      </w:r>
      <w:r>
        <w:t xml:space="preserve"> The Jamestown Foundation, ‘The Many Faces of Iraq’s Sunni Insurgency’, 25 July 2014, </w:t>
      </w:r>
      <w:hyperlink r:id="rId20" w:anchor=".U-iyT_mSyhE" w:history="1">
        <w:r w:rsidRPr="00120D1F">
          <w:rPr>
            <w:rStyle w:val="Hyperlink"/>
          </w:rPr>
          <w:t>url</w:t>
        </w:r>
      </w:hyperlink>
    </w:p>
  </w:footnote>
  <w:footnote w:id="22">
    <w:p w14:paraId="605D01FA" w14:textId="05A6578B" w:rsidR="007D65AB" w:rsidRDefault="007D65AB">
      <w:pPr>
        <w:pStyle w:val="FootnoteText"/>
      </w:pPr>
      <w:r>
        <w:rPr>
          <w:rStyle w:val="FootnoteReference"/>
        </w:rPr>
        <w:footnoteRef/>
      </w:r>
      <w:r>
        <w:t xml:space="preserve"> Jamestown Foundation, ‘</w:t>
      </w:r>
      <w:r w:rsidRPr="003B7603">
        <w:t>The General Military Council for Iraqi Revolutionaries</w:t>
      </w:r>
      <w:r>
        <w:t xml:space="preserve">’, 26 June 2014, </w:t>
      </w:r>
      <w:hyperlink r:id="rId21" w:anchor=".VuLRK_m8PyM" w:history="1">
        <w:r w:rsidRPr="003B7603">
          <w:rPr>
            <w:rStyle w:val="Hyperlink"/>
          </w:rPr>
          <w:t>url</w:t>
        </w:r>
      </w:hyperlink>
    </w:p>
  </w:footnote>
  <w:footnote w:id="23">
    <w:p w14:paraId="43B07E3E" w14:textId="3134B6E6" w:rsidR="007D65AB" w:rsidRDefault="007D65AB">
      <w:pPr>
        <w:pStyle w:val="FootnoteText"/>
      </w:pPr>
      <w:r>
        <w:rPr>
          <w:rStyle w:val="FootnoteReference"/>
        </w:rPr>
        <w:footnoteRef/>
      </w:r>
      <w:r>
        <w:t xml:space="preserve"> ICTJ, ‘A Bitter Legacy: Lessons of de-Baathification in Iraq’, p11, March 2013, </w:t>
      </w:r>
      <w:hyperlink r:id="rId22" w:history="1">
        <w:r w:rsidRPr="00D163AA">
          <w:rPr>
            <w:rStyle w:val="Hyperlink"/>
          </w:rPr>
          <w:t>url</w:t>
        </w:r>
      </w:hyperlink>
    </w:p>
  </w:footnote>
  <w:footnote w:id="24">
    <w:p w14:paraId="15356820" w14:textId="20C36AA5" w:rsidR="007D65AB" w:rsidRDefault="007D65AB">
      <w:pPr>
        <w:pStyle w:val="FootnoteText"/>
      </w:pPr>
      <w:r>
        <w:rPr>
          <w:rStyle w:val="FootnoteReference"/>
        </w:rPr>
        <w:footnoteRef/>
      </w:r>
      <w:r>
        <w:t xml:space="preserve"> ICTJ, ‘A Bitter Legacy: Lessons of de-Baathification in Iraq’, March 2013, </w:t>
      </w:r>
      <w:hyperlink r:id="rId23" w:history="1">
        <w:r w:rsidRPr="00D163AA">
          <w:rPr>
            <w:rStyle w:val="Hyperlink"/>
          </w:rPr>
          <w:t>url</w:t>
        </w:r>
      </w:hyperlink>
    </w:p>
  </w:footnote>
  <w:footnote w:id="25">
    <w:p w14:paraId="24AB90BF" w14:textId="17A330DA" w:rsidR="007D65AB" w:rsidRDefault="007D65AB">
      <w:pPr>
        <w:pStyle w:val="FootnoteText"/>
      </w:pPr>
      <w:r>
        <w:rPr>
          <w:rStyle w:val="FootnoteReference"/>
        </w:rPr>
        <w:footnoteRef/>
      </w:r>
      <w:r>
        <w:t xml:space="preserve"> ICTJ, ‘A Bitter Legacy: Lessons of de-Baathification in Iraq’, p11-12, March 2013, </w:t>
      </w:r>
      <w:hyperlink r:id="rId24" w:history="1">
        <w:r w:rsidRPr="00D163AA">
          <w:rPr>
            <w:rStyle w:val="Hyperlink"/>
          </w:rPr>
          <w:t>url</w:t>
        </w:r>
      </w:hyperlink>
    </w:p>
  </w:footnote>
  <w:footnote w:id="26">
    <w:p w14:paraId="5AFFDA47" w14:textId="230833CD" w:rsidR="007D65AB" w:rsidRDefault="007D65AB">
      <w:pPr>
        <w:pStyle w:val="FootnoteText"/>
      </w:pPr>
      <w:r>
        <w:rPr>
          <w:rStyle w:val="FootnoteReference"/>
        </w:rPr>
        <w:footnoteRef/>
      </w:r>
      <w:r>
        <w:t xml:space="preserve"> ICTJ, ‘A Bitter Legacy: Lessons of de-Baathification in Iraq’, p12, March 2013, </w:t>
      </w:r>
      <w:hyperlink r:id="rId25" w:history="1">
        <w:r w:rsidRPr="00D163AA">
          <w:rPr>
            <w:rStyle w:val="Hyperlink"/>
          </w:rPr>
          <w:t>url</w:t>
        </w:r>
      </w:hyperlink>
    </w:p>
  </w:footnote>
  <w:footnote w:id="27">
    <w:p w14:paraId="7D0F667E" w14:textId="502E5984" w:rsidR="007D65AB" w:rsidRDefault="007D65AB">
      <w:pPr>
        <w:pStyle w:val="FootnoteText"/>
      </w:pPr>
      <w:r>
        <w:rPr>
          <w:rStyle w:val="FootnoteReference"/>
        </w:rPr>
        <w:footnoteRef/>
      </w:r>
      <w:r>
        <w:t xml:space="preserve"> ICTJ, ‘A Bitter Legacy: Lessons of de-Baathification in Iraq’, p21, March 2013, </w:t>
      </w:r>
      <w:hyperlink r:id="rId26" w:history="1">
        <w:r w:rsidRPr="00D163AA">
          <w:rPr>
            <w:rStyle w:val="Hyperlink"/>
          </w:rPr>
          <w:t>url</w:t>
        </w:r>
      </w:hyperlink>
    </w:p>
  </w:footnote>
  <w:footnote w:id="28">
    <w:p w14:paraId="70C7A615" w14:textId="46F14F5A" w:rsidR="007D65AB" w:rsidRDefault="007D65AB">
      <w:pPr>
        <w:pStyle w:val="FootnoteText"/>
      </w:pPr>
      <w:r>
        <w:rPr>
          <w:rStyle w:val="FootnoteReference"/>
        </w:rPr>
        <w:footnoteRef/>
      </w:r>
      <w:r>
        <w:t xml:space="preserve"> ICTJ, ‘A Bitter Legacy: Lessons of de-Baathification in Iraq’, p18, March 2013, </w:t>
      </w:r>
      <w:hyperlink r:id="rId27" w:history="1">
        <w:r w:rsidRPr="00D163AA">
          <w:rPr>
            <w:rStyle w:val="Hyperlink"/>
          </w:rPr>
          <w:t>url</w:t>
        </w:r>
      </w:hyperlink>
    </w:p>
  </w:footnote>
  <w:footnote w:id="29">
    <w:p w14:paraId="4E30465E" w14:textId="524A00CF" w:rsidR="007D65AB" w:rsidRDefault="007D65AB">
      <w:pPr>
        <w:pStyle w:val="FootnoteText"/>
      </w:pPr>
      <w:r>
        <w:rPr>
          <w:rStyle w:val="FootnoteReference"/>
        </w:rPr>
        <w:footnoteRef/>
      </w:r>
      <w:r>
        <w:t xml:space="preserve"> ICTJ, ‘A Bitter Legacy: Lessons of de-Baathification in Iraq’, p23, March 2013, </w:t>
      </w:r>
      <w:hyperlink r:id="rId28" w:history="1">
        <w:r w:rsidRPr="00D163AA">
          <w:rPr>
            <w:rStyle w:val="Hyperlink"/>
          </w:rPr>
          <w:t>url</w:t>
        </w:r>
      </w:hyperlink>
    </w:p>
  </w:footnote>
  <w:footnote w:id="30">
    <w:p w14:paraId="20671603" w14:textId="4D45CF71" w:rsidR="007D65AB" w:rsidRDefault="007D65AB">
      <w:pPr>
        <w:pStyle w:val="FootnoteText"/>
      </w:pPr>
      <w:r>
        <w:rPr>
          <w:rStyle w:val="FootnoteReference"/>
        </w:rPr>
        <w:footnoteRef/>
      </w:r>
      <w:r>
        <w:t xml:space="preserve"> ICTJ, ‘A Bitter Legacy: Lessons of de-Baathification in Iraq’, p18-19, March 2013, </w:t>
      </w:r>
      <w:hyperlink r:id="rId29" w:history="1">
        <w:r w:rsidRPr="00D163AA">
          <w:rPr>
            <w:rStyle w:val="Hyperlink"/>
          </w:rPr>
          <w:t>url</w:t>
        </w:r>
      </w:hyperlink>
    </w:p>
  </w:footnote>
  <w:footnote w:id="31">
    <w:p w14:paraId="3673330A" w14:textId="4D2E4AB4" w:rsidR="007D65AB" w:rsidRDefault="007D65AB">
      <w:pPr>
        <w:pStyle w:val="FootnoteText"/>
      </w:pPr>
      <w:r>
        <w:rPr>
          <w:rStyle w:val="FootnoteReference"/>
        </w:rPr>
        <w:footnoteRef/>
      </w:r>
      <w:r>
        <w:t xml:space="preserve"> DFAT, ‘Country Information Report Iraq’, 9 October 2018, p18, para 3.49, </w:t>
      </w:r>
      <w:hyperlink r:id="rId30" w:history="1">
        <w:r w:rsidRPr="009A35EE">
          <w:rPr>
            <w:rStyle w:val="Hyperlink"/>
          </w:rPr>
          <w:t>url</w:t>
        </w:r>
      </w:hyperlink>
    </w:p>
  </w:footnote>
  <w:footnote w:id="32">
    <w:p w14:paraId="4DBECF37" w14:textId="22C6CE53" w:rsidR="007D65AB" w:rsidRDefault="007D65AB">
      <w:pPr>
        <w:pStyle w:val="FootnoteText"/>
      </w:pPr>
      <w:r>
        <w:rPr>
          <w:rStyle w:val="FootnoteReference"/>
        </w:rPr>
        <w:footnoteRef/>
      </w:r>
      <w:r>
        <w:t xml:space="preserve"> The New Arab, ‘Iraqi president calls for repeal of de-Baathification laws’, 7 November 2014, </w:t>
      </w:r>
      <w:hyperlink r:id="rId31" w:history="1">
        <w:r w:rsidRPr="00A7525C">
          <w:rPr>
            <w:rStyle w:val="Hyperlink"/>
          </w:rPr>
          <w:t>url</w:t>
        </w:r>
      </w:hyperlink>
    </w:p>
  </w:footnote>
  <w:footnote w:id="33">
    <w:p w14:paraId="2C4A4AA2" w14:textId="302E4436" w:rsidR="007D65AB" w:rsidRDefault="007D65AB">
      <w:pPr>
        <w:pStyle w:val="FootnoteText"/>
      </w:pPr>
      <w:r>
        <w:rPr>
          <w:rStyle w:val="FootnoteReference"/>
        </w:rPr>
        <w:footnoteRef/>
      </w:r>
      <w:r>
        <w:t xml:space="preserve"> GICJ, ‘</w:t>
      </w:r>
      <w:r w:rsidRPr="00547441">
        <w:t>Iraq - New bill contradicts basic principles of human rights</w:t>
      </w:r>
      <w:r>
        <w:t xml:space="preserve">’, 4 August 2016, </w:t>
      </w:r>
      <w:hyperlink r:id="rId32" w:history="1">
        <w:r w:rsidRPr="00547441">
          <w:rPr>
            <w:rStyle w:val="Hyperlink"/>
          </w:rPr>
          <w:t>url</w:t>
        </w:r>
      </w:hyperlink>
    </w:p>
  </w:footnote>
  <w:footnote w:id="34">
    <w:p w14:paraId="3A222F21" w14:textId="270FE382" w:rsidR="007D65AB" w:rsidRDefault="007D65AB">
      <w:pPr>
        <w:pStyle w:val="FootnoteText"/>
      </w:pPr>
      <w:r>
        <w:rPr>
          <w:rStyle w:val="FootnoteReference"/>
        </w:rPr>
        <w:footnoteRef/>
      </w:r>
      <w:r>
        <w:t xml:space="preserve"> Iraqi News, ‘Photos: Baathist Abdel Baqi al-Saadoun arrested in Kirkuk’, 28 June 2015, </w:t>
      </w:r>
      <w:hyperlink r:id="rId33" w:history="1">
        <w:r w:rsidRPr="00232268">
          <w:rPr>
            <w:rStyle w:val="Hyperlink"/>
          </w:rPr>
          <w:t>url</w:t>
        </w:r>
      </w:hyperlink>
    </w:p>
  </w:footnote>
  <w:footnote w:id="35">
    <w:p w14:paraId="598FA8A0" w14:textId="351FDE33" w:rsidR="007D65AB" w:rsidRDefault="007D65AB">
      <w:pPr>
        <w:pStyle w:val="FootnoteText"/>
      </w:pPr>
      <w:r>
        <w:rPr>
          <w:rStyle w:val="FootnoteReference"/>
        </w:rPr>
        <w:footnoteRef/>
      </w:r>
      <w:r>
        <w:t xml:space="preserve"> The New Arab, ‘Saddam-era Iraqi leader condemned to death’, 11 January 2016, </w:t>
      </w:r>
      <w:hyperlink r:id="rId34" w:history="1">
        <w:r w:rsidRPr="00623FFF">
          <w:rPr>
            <w:rStyle w:val="Hyperlink"/>
          </w:rPr>
          <w:t>url</w:t>
        </w:r>
      </w:hyperlink>
    </w:p>
  </w:footnote>
  <w:footnote w:id="36">
    <w:p w14:paraId="6D2E7515" w14:textId="387A05EA" w:rsidR="007D65AB" w:rsidRDefault="007D65AB">
      <w:pPr>
        <w:pStyle w:val="FootnoteText"/>
      </w:pPr>
      <w:r>
        <w:rPr>
          <w:rStyle w:val="FootnoteReference"/>
        </w:rPr>
        <w:footnoteRef/>
      </w:r>
      <w:r>
        <w:t xml:space="preserve"> UNAMI &amp; OHCHR, ‘</w:t>
      </w:r>
      <w:r w:rsidRPr="00EE4A00">
        <w:t>Report on the Protection of Civilians in Iraq</w:t>
      </w:r>
      <w:r>
        <w:t xml:space="preserve">’, p29, 13 July 2015, </w:t>
      </w:r>
      <w:hyperlink r:id="rId35" w:history="1">
        <w:r w:rsidRPr="00EE4A00">
          <w:rPr>
            <w:rStyle w:val="Hyperlink"/>
          </w:rPr>
          <w:t>url</w:t>
        </w:r>
      </w:hyperlink>
    </w:p>
  </w:footnote>
  <w:footnote w:id="37">
    <w:p w14:paraId="7123F59F" w14:textId="445CFF3D" w:rsidR="007D65AB" w:rsidRDefault="007D65AB">
      <w:pPr>
        <w:pStyle w:val="FootnoteText"/>
      </w:pPr>
      <w:r>
        <w:rPr>
          <w:rStyle w:val="FootnoteReference"/>
        </w:rPr>
        <w:footnoteRef/>
      </w:r>
      <w:r>
        <w:t xml:space="preserve"> UNAMI &amp; OHCHR, ‘</w:t>
      </w:r>
      <w:r w:rsidRPr="00EE4A00">
        <w:t>Report on the Protection of Civilians in Iraq</w:t>
      </w:r>
      <w:r>
        <w:t xml:space="preserve">’, p31, 13 July 2015, </w:t>
      </w:r>
      <w:hyperlink r:id="rId36" w:history="1">
        <w:r w:rsidRPr="00EE4A00">
          <w:rPr>
            <w:rStyle w:val="Hyperlink"/>
          </w:rPr>
          <w:t>url</w:t>
        </w:r>
      </w:hyperlink>
    </w:p>
  </w:footnote>
  <w:footnote w:id="38">
    <w:p w14:paraId="65674346" w14:textId="2B353BDE" w:rsidR="007D65AB" w:rsidRDefault="007D65AB">
      <w:pPr>
        <w:pStyle w:val="FootnoteText"/>
      </w:pPr>
      <w:r>
        <w:rPr>
          <w:rStyle w:val="FootnoteReference"/>
        </w:rPr>
        <w:footnoteRef/>
      </w:r>
      <w:r>
        <w:t xml:space="preserve"> UNAMI &amp; OHCHR, ‘</w:t>
      </w:r>
      <w:r w:rsidRPr="00EE4A00">
        <w:t>Report on the Protection of Civilians in Iraq</w:t>
      </w:r>
      <w:r>
        <w:t xml:space="preserve">’, p30, 30 Dec 2016, </w:t>
      </w:r>
      <w:hyperlink r:id="rId37" w:history="1">
        <w:r w:rsidRPr="00EE4A00">
          <w:rPr>
            <w:rStyle w:val="Hyperlink"/>
          </w:rPr>
          <w:t>url</w:t>
        </w:r>
      </w:hyperlink>
    </w:p>
  </w:footnote>
  <w:footnote w:id="39">
    <w:p w14:paraId="2A2C2A27" w14:textId="32EE544A" w:rsidR="007D65AB" w:rsidRDefault="007D65AB">
      <w:pPr>
        <w:pStyle w:val="FootnoteText"/>
      </w:pPr>
      <w:r>
        <w:rPr>
          <w:rStyle w:val="FootnoteReference"/>
        </w:rPr>
        <w:footnoteRef/>
      </w:r>
      <w:r>
        <w:t xml:space="preserve"> HRW, ‘Militia abuses following Iraq’s recapture of Tikrit’, p22, 4</w:t>
      </w:r>
      <w:r>
        <w:rPr>
          <w:vertAlign w:val="superscript"/>
        </w:rPr>
        <w:t xml:space="preserve"> </w:t>
      </w:r>
      <w:r>
        <w:t xml:space="preserve">September 2015, </w:t>
      </w:r>
      <w:hyperlink r:id="rId38" w:history="1">
        <w:r w:rsidRPr="007725D8">
          <w:rPr>
            <w:rStyle w:val="Hyperlink"/>
          </w:rPr>
          <w:t>url</w:t>
        </w:r>
      </w:hyperlink>
    </w:p>
  </w:footnote>
  <w:footnote w:id="40">
    <w:p w14:paraId="71216313" w14:textId="7EC9090A" w:rsidR="007D65AB" w:rsidRDefault="007D65AB">
      <w:pPr>
        <w:pStyle w:val="FootnoteText"/>
      </w:pPr>
      <w:r>
        <w:rPr>
          <w:rStyle w:val="FootnoteReference"/>
        </w:rPr>
        <w:footnoteRef/>
      </w:r>
      <w:r>
        <w:t xml:space="preserve"> HRW, ‘Militia abuses following Iraq’s recapture of Tikrit’, p21, 4</w:t>
      </w:r>
      <w:r>
        <w:rPr>
          <w:vertAlign w:val="superscript"/>
        </w:rPr>
        <w:t xml:space="preserve"> </w:t>
      </w:r>
      <w:r>
        <w:t xml:space="preserve">September 2015, </w:t>
      </w:r>
      <w:hyperlink r:id="rId39" w:history="1">
        <w:r w:rsidRPr="007725D8">
          <w:rPr>
            <w:rStyle w:val="Hyperlink"/>
          </w:rPr>
          <w:t>url</w:t>
        </w:r>
      </w:hyperlink>
    </w:p>
  </w:footnote>
  <w:footnote w:id="41">
    <w:p w14:paraId="495DD443" w14:textId="0A2F8F9D" w:rsidR="007D65AB" w:rsidRDefault="007D65AB">
      <w:pPr>
        <w:pStyle w:val="FootnoteText"/>
      </w:pPr>
      <w:r>
        <w:rPr>
          <w:rStyle w:val="FootnoteReference"/>
        </w:rPr>
        <w:footnoteRef/>
      </w:r>
      <w:r>
        <w:t xml:space="preserve"> Rudaw, ‘Iraq orders </w:t>
      </w:r>
      <w:r w:rsidRPr="00B2641F">
        <w:t>seizure of Baathist-remnant assets’</w:t>
      </w:r>
      <w:r>
        <w:t xml:space="preserve">, 5 March 2018, </w:t>
      </w:r>
      <w:hyperlink r:id="rId40" w:history="1">
        <w:r w:rsidRPr="00B2641F">
          <w:rPr>
            <w:rStyle w:val="Hyperlink"/>
          </w:rPr>
          <w:t>url</w:t>
        </w:r>
      </w:hyperlink>
    </w:p>
  </w:footnote>
  <w:footnote w:id="42">
    <w:p w14:paraId="189CC116" w14:textId="1598CA4E" w:rsidR="007D65AB" w:rsidRDefault="007D65AB">
      <w:pPr>
        <w:pStyle w:val="FootnoteText"/>
      </w:pPr>
      <w:r>
        <w:rPr>
          <w:rStyle w:val="FootnoteReference"/>
        </w:rPr>
        <w:footnoteRef/>
      </w:r>
      <w:r>
        <w:t xml:space="preserve"> Asharq Al-Awsat, ‘Iraq to seize assets of Saddam Hussein, his aides’, 6 March 2018, </w:t>
      </w:r>
      <w:hyperlink r:id="rId41" w:history="1">
        <w:r w:rsidRPr="001914DB">
          <w:rPr>
            <w:rStyle w:val="Hyperlink"/>
          </w:rPr>
          <w:t>url</w:t>
        </w:r>
      </w:hyperlink>
    </w:p>
  </w:footnote>
  <w:footnote w:id="43">
    <w:p w14:paraId="317FFEBC" w14:textId="77777777" w:rsidR="007D65AB" w:rsidRDefault="007D65AB" w:rsidP="00FA1274">
      <w:pPr>
        <w:pStyle w:val="FootnoteText"/>
      </w:pPr>
      <w:r>
        <w:rPr>
          <w:rStyle w:val="FootnoteReference"/>
        </w:rPr>
        <w:footnoteRef/>
      </w:r>
      <w:r>
        <w:t xml:space="preserve"> The New Arab, ’14 Saddam-era officials remain jailed in Iraq: survey’, 23 April 2018, </w:t>
      </w:r>
      <w:hyperlink r:id="rId42" w:history="1">
        <w:r w:rsidRPr="006705C9">
          <w:rPr>
            <w:rStyle w:val="Hyperlink"/>
          </w:rPr>
          <w:t>url</w:t>
        </w:r>
      </w:hyperlink>
    </w:p>
  </w:footnote>
  <w:footnote w:id="44">
    <w:p w14:paraId="4BF30473" w14:textId="128ADD03" w:rsidR="007D65AB" w:rsidRDefault="007D65AB">
      <w:pPr>
        <w:pStyle w:val="FootnoteText"/>
      </w:pPr>
      <w:r>
        <w:rPr>
          <w:rStyle w:val="FootnoteReference"/>
        </w:rPr>
        <w:footnoteRef/>
      </w:r>
      <w:r>
        <w:t xml:space="preserve"> DFAT, ‘Country Information Report Iraq’, Paras 3.50-3.51, p18, 9 October 2018, </w:t>
      </w:r>
      <w:hyperlink r:id="rId43" w:history="1">
        <w:r w:rsidRPr="009A35EE">
          <w:rPr>
            <w:rStyle w:val="Hyperlink"/>
          </w:rPr>
          <w:t>url</w:t>
        </w:r>
      </w:hyperlink>
    </w:p>
  </w:footnote>
  <w:footnote w:id="45">
    <w:p w14:paraId="71418DD7" w14:textId="05A9C129" w:rsidR="007D65AB" w:rsidRDefault="007D65AB">
      <w:pPr>
        <w:pStyle w:val="FootnoteText"/>
      </w:pPr>
      <w:r>
        <w:rPr>
          <w:rStyle w:val="FootnoteReference"/>
        </w:rPr>
        <w:footnoteRef/>
      </w:r>
      <w:r>
        <w:t xml:space="preserve"> DFAT, ‘Country Information Report Iraq’, Paras 3.50-3.51, p18, 9 October 2018, </w:t>
      </w:r>
      <w:hyperlink r:id="rId44" w:history="1">
        <w:r w:rsidRPr="009A35EE">
          <w:rPr>
            <w:rStyle w:val="Hyperlink"/>
          </w:rPr>
          <w:t>url</w:t>
        </w:r>
      </w:hyperlink>
    </w:p>
  </w:footnote>
  <w:footnote w:id="46">
    <w:p w14:paraId="281B4644" w14:textId="2819F40E" w:rsidR="007D65AB" w:rsidRDefault="007D65AB">
      <w:pPr>
        <w:pStyle w:val="FootnoteText"/>
      </w:pPr>
      <w:r>
        <w:rPr>
          <w:rStyle w:val="FootnoteReference"/>
        </w:rPr>
        <w:footnoteRef/>
      </w:r>
      <w:r>
        <w:t xml:space="preserve"> USSD, ‘Iraq International Religious Freedom Report for 2018’, p17, 21 June 2019, </w:t>
      </w:r>
      <w:hyperlink r:id="rId45" w:history="1">
        <w:r w:rsidRPr="000B0371">
          <w:rPr>
            <w:rStyle w:val="Hyperlink"/>
          </w:rPr>
          <w:t>url</w:t>
        </w:r>
      </w:hyperlink>
    </w:p>
  </w:footnote>
  <w:footnote w:id="47">
    <w:p w14:paraId="62B2EBD8" w14:textId="21263988" w:rsidR="007D65AB" w:rsidRDefault="007D65AB">
      <w:pPr>
        <w:pStyle w:val="FootnoteText"/>
      </w:pPr>
      <w:r>
        <w:rPr>
          <w:rStyle w:val="FootnoteReference"/>
        </w:rPr>
        <w:footnoteRef/>
      </w:r>
      <w:r>
        <w:t xml:space="preserve"> EASO, ‘Country Guidance: Iraq’, June 2019, Section 4, p56, </w:t>
      </w:r>
      <w:hyperlink r:id="rId46" w:history="1">
        <w:r w:rsidRPr="0071268E">
          <w:rPr>
            <w:rStyle w:val="Hyperlink"/>
          </w:rPr>
          <w:t>url</w:t>
        </w:r>
      </w:hyperlink>
    </w:p>
  </w:footnote>
  <w:footnote w:id="48">
    <w:p w14:paraId="47234B8E" w14:textId="77777777" w:rsidR="007D65AB" w:rsidRDefault="007D65AB" w:rsidP="00F02232">
      <w:pPr>
        <w:pStyle w:val="FootnoteText"/>
      </w:pPr>
      <w:r>
        <w:rPr>
          <w:rStyle w:val="FootnoteReference"/>
        </w:rPr>
        <w:footnoteRef/>
      </w:r>
      <w:r>
        <w:t xml:space="preserve"> Rudaw, ‘</w:t>
      </w:r>
      <w:r w:rsidRPr="00333F4C">
        <w:t xml:space="preserve">Arrest warrant issued for </w:t>
      </w:r>
      <w:r>
        <w:t>“</w:t>
      </w:r>
      <w:r w:rsidRPr="00333F4C">
        <w:t>Baathist</w:t>
      </w:r>
      <w:r>
        <w:t>”</w:t>
      </w:r>
      <w:r w:rsidRPr="00333F4C">
        <w:t xml:space="preserve"> Kirkuk protester: police</w:t>
      </w:r>
      <w:r>
        <w:t xml:space="preserve">’, 15 July 2019, </w:t>
      </w:r>
      <w:hyperlink r:id="rId47" w:history="1">
        <w:r w:rsidRPr="00333F4C">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9B99" w14:textId="492FB556" w:rsidR="007F14B5" w:rsidRDefault="007F14B5">
    <w:pPr>
      <w:pStyle w:val="Header"/>
    </w:pPr>
    <w:r>
      <w:rPr>
        <w:noProof/>
      </w:rPr>
      <w:pict w14:anchorId="67768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33282" o:spid="_x0000_s12291"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0464D837" w:rsidR="007D65AB" w:rsidRDefault="007F14B5">
    <w:pPr>
      <w:pStyle w:val="Header"/>
    </w:pPr>
    <w:r>
      <w:rPr>
        <w:noProof/>
      </w:rPr>
      <w:pict w14:anchorId="3F6E4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33283" o:spid="_x0000_s12292"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7D65AB">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2BD4F"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7D65AB" w:rsidRDefault="007D65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4F6A74E5" w:rsidR="007D65AB" w:rsidRDefault="007F14B5">
    <w:pPr>
      <w:pStyle w:val="Header"/>
    </w:pPr>
    <w:r>
      <w:rPr>
        <w:noProof/>
      </w:rPr>
      <w:pict w14:anchorId="52E5A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33281" o:spid="_x0000_s12290"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7D65AB" w:rsidRDefault="007D65AB">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7D65AB" w:rsidRDefault="007D65AB">
    <w:pPr>
      <w:pStyle w:val="Header"/>
    </w:pPr>
  </w:p>
  <w:p w14:paraId="6ACF01F0" w14:textId="77777777" w:rsidR="007D65AB" w:rsidRDefault="007D65AB">
    <w:pPr>
      <w:pStyle w:val="Header"/>
    </w:pPr>
  </w:p>
  <w:p w14:paraId="6ACF01F1" w14:textId="77777777" w:rsidR="007D65AB" w:rsidRDefault="007D65AB">
    <w:pPr>
      <w:pStyle w:val="Header"/>
    </w:pPr>
  </w:p>
  <w:p w14:paraId="6ACF01F2" w14:textId="77777777" w:rsidR="007D65AB" w:rsidRDefault="007D65AB">
    <w:pPr>
      <w:pStyle w:val="Header"/>
    </w:pPr>
  </w:p>
  <w:p w14:paraId="6ACF01F3" w14:textId="77777777" w:rsidR="007D65AB" w:rsidRDefault="007D65AB">
    <w:pPr>
      <w:pStyle w:val="Header"/>
    </w:pPr>
  </w:p>
  <w:p w14:paraId="6ACF01F4" w14:textId="77777777" w:rsidR="007D65AB" w:rsidRDefault="007D65AB">
    <w:pPr>
      <w:pStyle w:val="Header"/>
    </w:pPr>
  </w:p>
  <w:p w14:paraId="6ACF01F5" w14:textId="77777777" w:rsidR="007D65AB" w:rsidRDefault="007D65AB">
    <w:pPr>
      <w:pStyle w:val="Header"/>
    </w:pPr>
  </w:p>
  <w:p w14:paraId="6ACF01F6" w14:textId="77777777" w:rsidR="007D65AB" w:rsidRDefault="007D65AB">
    <w:pPr>
      <w:pStyle w:val="Header"/>
    </w:pPr>
  </w:p>
  <w:p w14:paraId="6ACF01F7" w14:textId="77777777" w:rsidR="007D65AB" w:rsidRDefault="007D65AB">
    <w:pPr>
      <w:pStyle w:val="Header"/>
    </w:pPr>
  </w:p>
  <w:p w14:paraId="6ACF01F8" w14:textId="77777777" w:rsidR="007D65AB" w:rsidRDefault="007D65AB">
    <w:pPr>
      <w:pStyle w:val="Header"/>
    </w:pPr>
  </w:p>
  <w:p w14:paraId="6ACF01F9" w14:textId="77777777" w:rsidR="007D65AB" w:rsidRDefault="007D65AB">
    <w:pPr>
      <w:pStyle w:val="Header"/>
    </w:pPr>
  </w:p>
  <w:p w14:paraId="6ACF01FA" w14:textId="77777777" w:rsidR="007D65AB" w:rsidRDefault="007D65AB">
    <w:pPr>
      <w:pStyle w:val="Header"/>
    </w:pPr>
  </w:p>
  <w:p w14:paraId="6ACF01FB" w14:textId="77777777" w:rsidR="007D65AB" w:rsidRDefault="007D65AB">
    <w:pPr>
      <w:pStyle w:val="Header"/>
    </w:pPr>
  </w:p>
  <w:p w14:paraId="6ACF01FC" w14:textId="77777777" w:rsidR="007D65AB" w:rsidRDefault="007D65AB">
    <w:pPr>
      <w:pStyle w:val="Header"/>
    </w:pPr>
  </w:p>
  <w:p w14:paraId="6ACF01FD" w14:textId="77777777" w:rsidR="007D65AB" w:rsidRDefault="007D65AB">
    <w:pPr>
      <w:pStyle w:val="Header"/>
    </w:pPr>
  </w:p>
  <w:p w14:paraId="6ACF01FE" w14:textId="77777777" w:rsidR="007D65AB" w:rsidRDefault="007D65AB">
    <w:pPr>
      <w:pStyle w:val="Header"/>
    </w:pPr>
  </w:p>
  <w:p w14:paraId="6ACF01FF" w14:textId="77777777" w:rsidR="007D65AB" w:rsidRDefault="007D65AB">
    <w:pPr>
      <w:pStyle w:val="Header"/>
    </w:pPr>
  </w:p>
  <w:p w14:paraId="6ACF0200" w14:textId="77777777" w:rsidR="007D65AB" w:rsidRDefault="007D6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6353FEE"/>
    <w:multiLevelType w:val="hybridMultilevel"/>
    <w:tmpl w:val="566606C2"/>
    <w:lvl w:ilvl="0" w:tplc="EFA43108">
      <w:start w:val="2"/>
      <w:numFmt w:val="bullet"/>
      <w:lvlText w:val=""/>
      <w:lvlJc w:val="left"/>
      <w:pPr>
        <w:ind w:left="1211" w:hanging="360"/>
      </w:pPr>
      <w:rPr>
        <w:rFonts w:ascii="Symbol" w:eastAsia="Calibr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8A44D9C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12B5866"/>
    <w:multiLevelType w:val="hybridMultilevel"/>
    <w:tmpl w:val="F7A05E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4EC32DB"/>
    <w:multiLevelType w:val="hybridMultilevel"/>
    <w:tmpl w:val="72046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812E5A"/>
    <w:multiLevelType w:val="hybridMultilevel"/>
    <w:tmpl w:val="C67E45F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247F02"/>
    <w:multiLevelType w:val="multilevel"/>
    <w:tmpl w:val="6644A286"/>
    <w:lvl w:ilvl="0">
      <w:start w:val="1"/>
      <w:numFmt w:val="decimal"/>
      <w:pStyle w:val="Heading2"/>
      <w:lvlText w:val="%1."/>
      <w:lvlJc w:val="left"/>
      <w:pPr>
        <w:ind w:left="360" w:hanging="360"/>
      </w:pPr>
    </w:lvl>
    <w:lvl w:ilvl="1">
      <w:start w:val="1"/>
      <w:numFmt w:val="decimal"/>
      <w:pStyle w:val="Heading3"/>
      <w:lvlText w:val="%1.%2"/>
      <w:lvlJc w:val="left"/>
      <w:pPr>
        <w:ind w:left="39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1.%2.%3"/>
      <w:lvlJc w:val="left"/>
      <w:pPr>
        <w:ind w:left="720" w:hanging="720"/>
      </w:pPr>
      <w:rPr>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CA41D48"/>
    <w:multiLevelType w:val="hybridMultilevel"/>
    <w:tmpl w:val="1F04471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CA92975"/>
    <w:multiLevelType w:val="hybridMultilevel"/>
    <w:tmpl w:val="352E9EE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FAA5FE8"/>
    <w:multiLevelType w:val="hybridMultilevel"/>
    <w:tmpl w:val="D55E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112C0F"/>
    <w:multiLevelType w:val="multilevel"/>
    <w:tmpl w:val="1428A33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CC4E36"/>
    <w:multiLevelType w:val="hybridMultilevel"/>
    <w:tmpl w:val="1B9A3A3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34194A"/>
    <w:multiLevelType w:val="hybridMultilevel"/>
    <w:tmpl w:val="6AF6BE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FE177C3"/>
    <w:multiLevelType w:val="hybridMultilevel"/>
    <w:tmpl w:val="891EAEB2"/>
    <w:lvl w:ilvl="0" w:tplc="7BAAB8F8">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604E683C"/>
    <w:multiLevelType w:val="hybridMultilevel"/>
    <w:tmpl w:val="04E4F4AE"/>
    <w:lvl w:ilvl="0" w:tplc="2F68002C">
      <w:start w:val="6"/>
      <w:numFmt w:val="bullet"/>
      <w:lvlText w:val=""/>
      <w:lvlJc w:val="left"/>
      <w:pPr>
        <w:ind w:left="1211" w:hanging="360"/>
      </w:pPr>
      <w:rPr>
        <w:rFonts w:ascii="Symbol" w:eastAsia="Calibri"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2" w15:restartNumberingAfterBreak="0">
    <w:nsid w:val="667E43C1"/>
    <w:multiLevelType w:val="hybridMultilevel"/>
    <w:tmpl w:val="039CBF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68525ED5"/>
    <w:multiLevelType w:val="hybridMultilevel"/>
    <w:tmpl w:val="C868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8604F4"/>
    <w:multiLevelType w:val="hybridMultilevel"/>
    <w:tmpl w:val="8578F6A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5"/>
  </w:num>
  <w:num w:numId="4">
    <w:abstractNumId w:val="14"/>
  </w:num>
  <w:num w:numId="5">
    <w:abstractNumId w:val="20"/>
  </w:num>
  <w:num w:numId="6">
    <w:abstractNumId w:val="4"/>
  </w:num>
  <w:num w:numId="7">
    <w:abstractNumId w:val="24"/>
  </w:num>
  <w:num w:numId="8">
    <w:abstractNumId w:val="16"/>
  </w:num>
  <w:num w:numId="9">
    <w:abstractNumId w:val="8"/>
  </w:num>
  <w:num w:numId="10">
    <w:abstractNumId w:val="27"/>
  </w:num>
  <w:num w:numId="11">
    <w:abstractNumId w:val="25"/>
  </w:num>
  <w:num w:numId="12">
    <w:abstractNumId w:val="0"/>
  </w:num>
  <w:num w:numId="13">
    <w:abstractNumId w:val="18"/>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6"/>
  </w:num>
  <w:num w:numId="17">
    <w:abstractNumId w:val="1"/>
  </w:num>
  <w:num w:numId="18">
    <w:abstractNumId w:val="17"/>
  </w:num>
  <w:num w:numId="19">
    <w:abstractNumId w:val="11"/>
  </w:num>
  <w:num w:numId="20">
    <w:abstractNumId w:val="12"/>
  </w:num>
  <w:num w:numId="21">
    <w:abstractNumId w:val="3"/>
  </w:num>
  <w:num w:numId="22">
    <w:abstractNumId w:val="10"/>
  </w:num>
  <w:num w:numId="23">
    <w:abstractNumId w:val="19"/>
  </w:num>
  <w:num w:numId="24">
    <w:abstractNumId w:val="15"/>
  </w:num>
  <w:num w:numId="25">
    <w:abstractNumId w:val="9"/>
  </w:num>
  <w:num w:numId="26">
    <w:abstractNumId w:val="9"/>
  </w:num>
  <w:num w:numId="27">
    <w:abstractNumId w:val="9"/>
  </w:num>
  <w:num w:numId="28">
    <w:abstractNumId w:val="9"/>
  </w:num>
  <w:num w:numId="29">
    <w:abstractNumId w:val="9"/>
  </w:num>
  <w:num w:numId="30">
    <w:abstractNumId w:val="9"/>
  </w:num>
  <w:num w:numId="31">
    <w:abstractNumId w:val="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6"/>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93"/>
    <o:shapelayout v:ext="edit">
      <o:idmap v:ext="edit" data="1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45BE"/>
    <w:rsid w:val="00007A59"/>
    <w:rsid w:val="00010E2D"/>
    <w:rsid w:val="00016063"/>
    <w:rsid w:val="000211B5"/>
    <w:rsid w:val="00021B45"/>
    <w:rsid w:val="000266AB"/>
    <w:rsid w:val="0003007F"/>
    <w:rsid w:val="00032556"/>
    <w:rsid w:val="00034CB2"/>
    <w:rsid w:val="00043BB8"/>
    <w:rsid w:val="00050FEB"/>
    <w:rsid w:val="00052607"/>
    <w:rsid w:val="00052DD0"/>
    <w:rsid w:val="000549F2"/>
    <w:rsid w:val="00056B58"/>
    <w:rsid w:val="000679FD"/>
    <w:rsid w:val="000766F0"/>
    <w:rsid w:val="000767DA"/>
    <w:rsid w:val="00077DD1"/>
    <w:rsid w:val="000860E3"/>
    <w:rsid w:val="00087C5B"/>
    <w:rsid w:val="00091F26"/>
    <w:rsid w:val="00092895"/>
    <w:rsid w:val="000979E1"/>
    <w:rsid w:val="000A258D"/>
    <w:rsid w:val="000A35F7"/>
    <w:rsid w:val="000A4906"/>
    <w:rsid w:val="000A6CAC"/>
    <w:rsid w:val="000A7D53"/>
    <w:rsid w:val="000B0371"/>
    <w:rsid w:val="000B1359"/>
    <w:rsid w:val="000B1A8B"/>
    <w:rsid w:val="000B2FA6"/>
    <w:rsid w:val="000C3F17"/>
    <w:rsid w:val="000C4ABB"/>
    <w:rsid w:val="000D0600"/>
    <w:rsid w:val="000D3679"/>
    <w:rsid w:val="000E40D1"/>
    <w:rsid w:val="000E4576"/>
    <w:rsid w:val="000E4AF6"/>
    <w:rsid w:val="000E5ECC"/>
    <w:rsid w:val="000F0246"/>
    <w:rsid w:val="000F0A54"/>
    <w:rsid w:val="000F3BAE"/>
    <w:rsid w:val="000F67A5"/>
    <w:rsid w:val="000F71A9"/>
    <w:rsid w:val="00100156"/>
    <w:rsid w:val="00120D1F"/>
    <w:rsid w:val="001230FA"/>
    <w:rsid w:val="0012607F"/>
    <w:rsid w:val="00127338"/>
    <w:rsid w:val="00130330"/>
    <w:rsid w:val="00131AD8"/>
    <w:rsid w:val="00131BEC"/>
    <w:rsid w:val="001337CE"/>
    <w:rsid w:val="00134738"/>
    <w:rsid w:val="00151A39"/>
    <w:rsid w:val="001576C8"/>
    <w:rsid w:val="001644CD"/>
    <w:rsid w:val="00165DC0"/>
    <w:rsid w:val="00171EDB"/>
    <w:rsid w:val="00176D73"/>
    <w:rsid w:val="00180CB0"/>
    <w:rsid w:val="001824D8"/>
    <w:rsid w:val="00182726"/>
    <w:rsid w:val="001856A6"/>
    <w:rsid w:val="001914DB"/>
    <w:rsid w:val="00195FC8"/>
    <w:rsid w:val="00197E25"/>
    <w:rsid w:val="001A32DA"/>
    <w:rsid w:val="001A43BB"/>
    <w:rsid w:val="001B0BE5"/>
    <w:rsid w:val="001B2075"/>
    <w:rsid w:val="001B5D70"/>
    <w:rsid w:val="001B7305"/>
    <w:rsid w:val="001C56E2"/>
    <w:rsid w:val="001C7505"/>
    <w:rsid w:val="001D2409"/>
    <w:rsid w:val="001D30BA"/>
    <w:rsid w:val="001D7B53"/>
    <w:rsid w:val="001E32F4"/>
    <w:rsid w:val="001F161A"/>
    <w:rsid w:val="001F44B5"/>
    <w:rsid w:val="0020053E"/>
    <w:rsid w:val="00201549"/>
    <w:rsid w:val="00205709"/>
    <w:rsid w:val="00206028"/>
    <w:rsid w:val="00207D92"/>
    <w:rsid w:val="00211877"/>
    <w:rsid w:val="0021517C"/>
    <w:rsid w:val="00217E18"/>
    <w:rsid w:val="00225E62"/>
    <w:rsid w:val="00226320"/>
    <w:rsid w:val="00231349"/>
    <w:rsid w:val="002319FF"/>
    <w:rsid w:val="00232268"/>
    <w:rsid w:val="00236DD4"/>
    <w:rsid w:val="00237224"/>
    <w:rsid w:val="002408AC"/>
    <w:rsid w:val="00242A50"/>
    <w:rsid w:val="002525E0"/>
    <w:rsid w:val="00252B91"/>
    <w:rsid w:val="00253536"/>
    <w:rsid w:val="00254D35"/>
    <w:rsid w:val="002579BE"/>
    <w:rsid w:val="002616E1"/>
    <w:rsid w:val="002656B9"/>
    <w:rsid w:val="00266463"/>
    <w:rsid w:val="00270C8D"/>
    <w:rsid w:val="002766E8"/>
    <w:rsid w:val="0028272F"/>
    <w:rsid w:val="00282BA4"/>
    <w:rsid w:val="00283BA0"/>
    <w:rsid w:val="0029352A"/>
    <w:rsid w:val="00294CCF"/>
    <w:rsid w:val="0029746D"/>
    <w:rsid w:val="002A114B"/>
    <w:rsid w:val="002A2FBC"/>
    <w:rsid w:val="002B4822"/>
    <w:rsid w:val="002B5F73"/>
    <w:rsid w:val="002B640E"/>
    <w:rsid w:val="002C20C2"/>
    <w:rsid w:val="002C309C"/>
    <w:rsid w:val="002C4100"/>
    <w:rsid w:val="002C4796"/>
    <w:rsid w:val="002C4A99"/>
    <w:rsid w:val="002C4EE2"/>
    <w:rsid w:val="002C7E99"/>
    <w:rsid w:val="002E0C2A"/>
    <w:rsid w:val="002E30F7"/>
    <w:rsid w:val="002E6F57"/>
    <w:rsid w:val="002F4DF3"/>
    <w:rsid w:val="00306069"/>
    <w:rsid w:val="00314FA3"/>
    <w:rsid w:val="00324B2E"/>
    <w:rsid w:val="00327408"/>
    <w:rsid w:val="00331A4B"/>
    <w:rsid w:val="00333F4C"/>
    <w:rsid w:val="0033423C"/>
    <w:rsid w:val="00346EEC"/>
    <w:rsid w:val="00347617"/>
    <w:rsid w:val="0035499B"/>
    <w:rsid w:val="00370AC0"/>
    <w:rsid w:val="00374CFD"/>
    <w:rsid w:val="003751B1"/>
    <w:rsid w:val="00376288"/>
    <w:rsid w:val="00386A58"/>
    <w:rsid w:val="00390593"/>
    <w:rsid w:val="003946C4"/>
    <w:rsid w:val="003A5E1F"/>
    <w:rsid w:val="003A69F6"/>
    <w:rsid w:val="003B2D01"/>
    <w:rsid w:val="003B3FBB"/>
    <w:rsid w:val="003B4317"/>
    <w:rsid w:val="003B7603"/>
    <w:rsid w:val="003C2C64"/>
    <w:rsid w:val="003C4306"/>
    <w:rsid w:val="003C58A7"/>
    <w:rsid w:val="003C69D2"/>
    <w:rsid w:val="003D3AC5"/>
    <w:rsid w:val="003D41D5"/>
    <w:rsid w:val="003D707A"/>
    <w:rsid w:val="003D711E"/>
    <w:rsid w:val="003E17D7"/>
    <w:rsid w:val="003E4A8A"/>
    <w:rsid w:val="003E79C7"/>
    <w:rsid w:val="003F3A03"/>
    <w:rsid w:val="00402F36"/>
    <w:rsid w:val="00420631"/>
    <w:rsid w:val="00432B7A"/>
    <w:rsid w:val="0043744A"/>
    <w:rsid w:val="00444555"/>
    <w:rsid w:val="0045006C"/>
    <w:rsid w:val="0045163C"/>
    <w:rsid w:val="00455211"/>
    <w:rsid w:val="00463F2B"/>
    <w:rsid w:val="0046788A"/>
    <w:rsid w:val="0046788D"/>
    <w:rsid w:val="00472463"/>
    <w:rsid w:val="00481667"/>
    <w:rsid w:val="0049176F"/>
    <w:rsid w:val="004934F3"/>
    <w:rsid w:val="0049481E"/>
    <w:rsid w:val="00494E11"/>
    <w:rsid w:val="00495FB7"/>
    <w:rsid w:val="004967EB"/>
    <w:rsid w:val="004979F2"/>
    <w:rsid w:val="004A419C"/>
    <w:rsid w:val="004A551B"/>
    <w:rsid w:val="004A7771"/>
    <w:rsid w:val="004B0D08"/>
    <w:rsid w:val="004B2EE2"/>
    <w:rsid w:val="004B3A84"/>
    <w:rsid w:val="004B47BD"/>
    <w:rsid w:val="004B7959"/>
    <w:rsid w:val="004C6A2A"/>
    <w:rsid w:val="004C6A95"/>
    <w:rsid w:val="004C6E90"/>
    <w:rsid w:val="004D01DE"/>
    <w:rsid w:val="004D08C7"/>
    <w:rsid w:val="004D0D2A"/>
    <w:rsid w:val="004D2588"/>
    <w:rsid w:val="004E26DA"/>
    <w:rsid w:val="004E2B81"/>
    <w:rsid w:val="004E62F0"/>
    <w:rsid w:val="004F6C4A"/>
    <w:rsid w:val="005061F0"/>
    <w:rsid w:val="005108B5"/>
    <w:rsid w:val="00512BC8"/>
    <w:rsid w:val="005138F2"/>
    <w:rsid w:val="005150A1"/>
    <w:rsid w:val="00520F7D"/>
    <w:rsid w:val="00524DDD"/>
    <w:rsid w:val="00525253"/>
    <w:rsid w:val="005252C0"/>
    <w:rsid w:val="00526298"/>
    <w:rsid w:val="005267A5"/>
    <w:rsid w:val="005275AA"/>
    <w:rsid w:val="00530A41"/>
    <w:rsid w:val="0053299D"/>
    <w:rsid w:val="00535A94"/>
    <w:rsid w:val="0053616A"/>
    <w:rsid w:val="00542AF3"/>
    <w:rsid w:val="00543DC5"/>
    <w:rsid w:val="00547441"/>
    <w:rsid w:val="00550823"/>
    <w:rsid w:val="00556FF8"/>
    <w:rsid w:val="00557C8A"/>
    <w:rsid w:val="005618EB"/>
    <w:rsid w:val="005624FE"/>
    <w:rsid w:val="00566B99"/>
    <w:rsid w:val="005808FE"/>
    <w:rsid w:val="005825A1"/>
    <w:rsid w:val="00590F8F"/>
    <w:rsid w:val="0059569C"/>
    <w:rsid w:val="00595D60"/>
    <w:rsid w:val="005A0D26"/>
    <w:rsid w:val="005B1CE3"/>
    <w:rsid w:val="005B5812"/>
    <w:rsid w:val="005C174C"/>
    <w:rsid w:val="005C5527"/>
    <w:rsid w:val="005C5B98"/>
    <w:rsid w:val="005C67FE"/>
    <w:rsid w:val="005C7B1F"/>
    <w:rsid w:val="005C7BDD"/>
    <w:rsid w:val="005D3121"/>
    <w:rsid w:val="005D31E8"/>
    <w:rsid w:val="005D7E42"/>
    <w:rsid w:val="005E2962"/>
    <w:rsid w:val="005E2F30"/>
    <w:rsid w:val="005E37CB"/>
    <w:rsid w:val="005E4AC3"/>
    <w:rsid w:val="005E5E5F"/>
    <w:rsid w:val="005E755D"/>
    <w:rsid w:val="005F2807"/>
    <w:rsid w:val="005F2AAF"/>
    <w:rsid w:val="00603B7B"/>
    <w:rsid w:val="00605C65"/>
    <w:rsid w:val="00605FCD"/>
    <w:rsid w:val="0060785E"/>
    <w:rsid w:val="006112C2"/>
    <w:rsid w:val="00617EB9"/>
    <w:rsid w:val="006223DF"/>
    <w:rsid w:val="00623FFF"/>
    <w:rsid w:val="00624865"/>
    <w:rsid w:val="006320AD"/>
    <w:rsid w:val="0063552E"/>
    <w:rsid w:val="00640657"/>
    <w:rsid w:val="00641438"/>
    <w:rsid w:val="00641F2F"/>
    <w:rsid w:val="0064270F"/>
    <w:rsid w:val="0064550E"/>
    <w:rsid w:val="00647EBD"/>
    <w:rsid w:val="00651F65"/>
    <w:rsid w:val="006524FC"/>
    <w:rsid w:val="006529E2"/>
    <w:rsid w:val="00653531"/>
    <w:rsid w:val="006537AD"/>
    <w:rsid w:val="006560EA"/>
    <w:rsid w:val="00657C11"/>
    <w:rsid w:val="00661037"/>
    <w:rsid w:val="00661BAE"/>
    <w:rsid w:val="0066224E"/>
    <w:rsid w:val="006654BD"/>
    <w:rsid w:val="00665F18"/>
    <w:rsid w:val="006660AD"/>
    <w:rsid w:val="006705C9"/>
    <w:rsid w:val="006725B5"/>
    <w:rsid w:val="006811EE"/>
    <w:rsid w:val="00681A26"/>
    <w:rsid w:val="00681F75"/>
    <w:rsid w:val="00683B58"/>
    <w:rsid w:val="00684BB9"/>
    <w:rsid w:val="00685584"/>
    <w:rsid w:val="00686538"/>
    <w:rsid w:val="00686CBD"/>
    <w:rsid w:val="006872FD"/>
    <w:rsid w:val="006943C8"/>
    <w:rsid w:val="00695723"/>
    <w:rsid w:val="006A16FF"/>
    <w:rsid w:val="006A68FF"/>
    <w:rsid w:val="006A6CD9"/>
    <w:rsid w:val="006B0DDC"/>
    <w:rsid w:val="006B14C6"/>
    <w:rsid w:val="006B1C63"/>
    <w:rsid w:val="006B4863"/>
    <w:rsid w:val="006C3795"/>
    <w:rsid w:val="006C6128"/>
    <w:rsid w:val="006D5364"/>
    <w:rsid w:val="006E090D"/>
    <w:rsid w:val="006E4074"/>
    <w:rsid w:val="006E482F"/>
    <w:rsid w:val="006E6676"/>
    <w:rsid w:val="006E686E"/>
    <w:rsid w:val="006F575C"/>
    <w:rsid w:val="00700D18"/>
    <w:rsid w:val="00704016"/>
    <w:rsid w:val="007046A6"/>
    <w:rsid w:val="00704A28"/>
    <w:rsid w:val="00706BED"/>
    <w:rsid w:val="00710D1E"/>
    <w:rsid w:val="00710DB4"/>
    <w:rsid w:val="007110C4"/>
    <w:rsid w:val="0071268E"/>
    <w:rsid w:val="0072103B"/>
    <w:rsid w:val="0072290A"/>
    <w:rsid w:val="00723CEB"/>
    <w:rsid w:val="00724208"/>
    <w:rsid w:val="007242E8"/>
    <w:rsid w:val="0073321D"/>
    <w:rsid w:val="0073415C"/>
    <w:rsid w:val="00736630"/>
    <w:rsid w:val="00743555"/>
    <w:rsid w:val="00744ADD"/>
    <w:rsid w:val="007540C0"/>
    <w:rsid w:val="0075717A"/>
    <w:rsid w:val="007621F8"/>
    <w:rsid w:val="00762B82"/>
    <w:rsid w:val="0076565F"/>
    <w:rsid w:val="00767E4B"/>
    <w:rsid w:val="00770F47"/>
    <w:rsid w:val="00771FE7"/>
    <w:rsid w:val="007725D8"/>
    <w:rsid w:val="0077315C"/>
    <w:rsid w:val="00773DD3"/>
    <w:rsid w:val="007812FB"/>
    <w:rsid w:val="007824BC"/>
    <w:rsid w:val="00782AD4"/>
    <w:rsid w:val="00782F5D"/>
    <w:rsid w:val="007838EB"/>
    <w:rsid w:val="00784494"/>
    <w:rsid w:val="00784670"/>
    <w:rsid w:val="00787CDD"/>
    <w:rsid w:val="007C2805"/>
    <w:rsid w:val="007C3AAF"/>
    <w:rsid w:val="007C442A"/>
    <w:rsid w:val="007D5EDE"/>
    <w:rsid w:val="007D65AB"/>
    <w:rsid w:val="007D6A47"/>
    <w:rsid w:val="007D6F3D"/>
    <w:rsid w:val="007D7179"/>
    <w:rsid w:val="007E2942"/>
    <w:rsid w:val="007E5D45"/>
    <w:rsid w:val="007E626C"/>
    <w:rsid w:val="007F0796"/>
    <w:rsid w:val="007F14B5"/>
    <w:rsid w:val="007F7E1F"/>
    <w:rsid w:val="0080191E"/>
    <w:rsid w:val="00805F32"/>
    <w:rsid w:val="00806D7C"/>
    <w:rsid w:val="008126E4"/>
    <w:rsid w:val="008140D3"/>
    <w:rsid w:val="008140F0"/>
    <w:rsid w:val="00816517"/>
    <w:rsid w:val="00821106"/>
    <w:rsid w:val="008314C9"/>
    <w:rsid w:val="00831DB1"/>
    <w:rsid w:val="00833A0D"/>
    <w:rsid w:val="00844F98"/>
    <w:rsid w:val="00845B7A"/>
    <w:rsid w:val="00853532"/>
    <w:rsid w:val="008604BE"/>
    <w:rsid w:val="00862F2C"/>
    <w:rsid w:val="008737DF"/>
    <w:rsid w:val="00876A1C"/>
    <w:rsid w:val="00880791"/>
    <w:rsid w:val="00890246"/>
    <w:rsid w:val="00891F39"/>
    <w:rsid w:val="00892911"/>
    <w:rsid w:val="0089606B"/>
    <w:rsid w:val="00896669"/>
    <w:rsid w:val="008976DD"/>
    <w:rsid w:val="008A3675"/>
    <w:rsid w:val="008B155F"/>
    <w:rsid w:val="008B2D10"/>
    <w:rsid w:val="008B33B3"/>
    <w:rsid w:val="008C5E66"/>
    <w:rsid w:val="008D5382"/>
    <w:rsid w:val="008D66D4"/>
    <w:rsid w:val="008D69BF"/>
    <w:rsid w:val="008E1B67"/>
    <w:rsid w:val="008E2B18"/>
    <w:rsid w:val="008E3D43"/>
    <w:rsid w:val="008F12E8"/>
    <w:rsid w:val="008F276D"/>
    <w:rsid w:val="008F3E94"/>
    <w:rsid w:val="008F4DD3"/>
    <w:rsid w:val="009053E4"/>
    <w:rsid w:val="009068B8"/>
    <w:rsid w:val="00912C4F"/>
    <w:rsid w:val="009137BA"/>
    <w:rsid w:val="00916D38"/>
    <w:rsid w:val="009170A0"/>
    <w:rsid w:val="00921E1E"/>
    <w:rsid w:val="00923E92"/>
    <w:rsid w:val="00924671"/>
    <w:rsid w:val="00924BDB"/>
    <w:rsid w:val="00926295"/>
    <w:rsid w:val="00926A33"/>
    <w:rsid w:val="00927C94"/>
    <w:rsid w:val="009423C5"/>
    <w:rsid w:val="00943D7D"/>
    <w:rsid w:val="009448D3"/>
    <w:rsid w:val="0094759B"/>
    <w:rsid w:val="009529AC"/>
    <w:rsid w:val="00954873"/>
    <w:rsid w:val="00960CAB"/>
    <w:rsid w:val="0096230D"/>
    <w:rsid w:val="00962F07"/>
    <w:rsid w:val="009644A0"/>
    <w:rsid w:val="00971C18"/>
    <w:rsid w:val="00972BC6"/>
    <w:rsid w:val="0097400F"/>
    <w:rsid w:val="00975E6F"/>
    <w:rsid w:val="00976A25"/>
    <w:rsid w:val="00982CB1"/>
    <w:rsid w:val="009847E2"/>
    <w:rsid w:val="0098593A"/>
    <w:rsid w:val="00996918"/>
    <w:rsid w:val="009A2049"/>
    <w:rsid w:val="009A2E44"/>
    <w:rsid w:val="009A35EE"/>
    <w:rsid w:val="009A64C9"/>
    <w:rsid w:val="009A6730"/>
    <w:rsid w:val="009B0502"/>
    <w:rsid w:val="009B0C7C"/>
    <w:rsid w:val="009C02CE"/>
    <w:rsid w:val="009C0938"/>
    <w:rsid w:val="009C1A34"/>
    <w:rsid w:val="009C1B6C"/>
    <w:rsid w:val="009C22D3"/>
    <w:rsid w:val="009C38B4"/>
    <w:rsid w:val="009C39C8"/>
    <w:rsid w:val="009C500B"/>
    <w:rsid w:val="009C510A"/>
    <w:rsid w:val="009D1CBC"/>
    <w:rsid w:val="009D6CAD"/>
    <w:rsid w:val="009E1E0A"/>
    <w:rsid w:val="009E4807"/>
    <w:rsid w:val="009F099D"/>
    <w:rsid w:val="009F27B0"/>
    <w:rsid w:val="009F4B66"/>
    <w:rsid w:val="00A023DD"/>
    <w:rsid w:val="00A05682"/>
    <w:rsid w:val="00A110AA"/>
    <w:rsid w:val="00A11980"/>
    <w:rsid w:val="00A11C1B"/>
    <w:rsid w:val="00A13A4C"/>
    <w:rsid w:val="00A14203"/>
    <w:rsid w:val="00A156AD"/>
    <w:rsid w:val="00A21B52"/>
    <w:rsid w:val="00A24420"/>
    <w:rsid w:val="00A248EF"/>
    <w:rsid w:val="00A24F35"/>
    <w:rsid w:val="00A254D3"/>
    <w:rsid w:val="00A32F87"/>
    <w:rsid w:val="00A349EF"/>
    <w:rsid w:val="00A40451"/>
    <w:rsid w:val="00A40D57"/>
    <w:rsid w:val="00A411F5"/>
    <w:rsid w:val="00A456EE"/>
    <w:rsid w:val="00A46D86"/>
    <w:rsid w:val="00A524BF"/>
    <w:rsid w:val="00A531AB"/>
    <w:rsid w:val="00A55BDD"/>
    <w:rsid w:val="00A608FE"/>
    <w:rsid w:val="00A657EF"/>
    <w:rsid w:val="00A670AB"/>
    <w:rsid w:val="00A70477"/>
    <w:rsid w:val="00A7525C"/>
    <w:rsid w:val="00A9630B"/>
    <w:rsid w:val="00A9642F"/>
    <w:rsid w:val="00AA0971"/>
    <w:rsid w:val="00AB0D97"/>
    <w:rsid w:val="00AB58EB"/>
    <w:rsid w:val="00AB6C0C"/>
    <w:rsid w:val="00AB76A5"/>
    <w:rsid w:val="00AC2C15"/>
    <w:rsid w:val="00AC497C"/>
    <w:rsid w:val="00AD49F8"/>
    <w:rsid w:val="00AD519A"/>
    <w:rsid w:val="00AD7345"/>
    <w:rsid w:val="00AD7EBE"/>
    <w:rsid w:val="00AE40A9"/>
    <w:rsid w:val="00AE753C"/>
    <w:rsid w:val="00AE776B"/>
    <w:rsid w:val="00AF1745"/>
    <w:rsid w:val="00AF4D69"/>
    <w:rsid w:val="00AF6E96"/>
    <w:rsid w:val="00B02ADF"/>
    <w:rsid w:val="00B03BBB"/>
    <w:rsid w:val="00B04A12"/>
    <w:rsid w:val="00B052E5"/>
    <w:rsid w:val="00B0613A"/>
    <w:rsid w:val="00B11556"/>
    <w:rsid w:val="00B12595"/>
    <w:rsid w:val="00B14581"/>
    <w:rsid w:val="00B221B2"/>
    <w:rsid w:val="00B244EB"/>
    <w:rsid w:val="00B25C95"/>
    <w:rsid w:val="00B2641F"/>
    <w:rsid w:val="00B27742"/>
    <w:rsid w:val="00B32395"/>
    <w:rsid w:val="00B34107"/>
    <w:rsid w:val="00B36A93"/>
    <w:rsid w:val="00B40C17"/>
    <w:rsid w:val="00B54C83"/>
    <w:rsid w:val="00B568D0"/>
    <w:rsid w:val="00B603DB"/>
    <w:rsid w:val="00B64D73"/>
    <w:rsid w:val="00B666ED"/>
    <w:rsid w:val="00B7497F"/>
    <w:rsid w:val="00B74AA0"/>
    <w:rsid w:val="00B752B3"/>
    <w:rsid w:val="00B86D83"/>
    <w:rsid w:val="00B8783D"/>
    <w:rsid w:val="00B90BDF"/>
    <w:rsid w:val="00B90F07"/>
    <w:rsid w:val="00B91692"/>
    <w:rsid w:val="00B9412B"/>
    <w:rsid w:val="00B94CCE"/>
    <w:rsid w:val="00B97D59"/>
    <w:rsid w:val="00BA194D"/>
    <w:rsid w:val="00BA2789"/>
    <w:rsid w:val="00BA281A"/>
    <w:rsid w:val="00BB3A6F"/>
    <w:rsid w:val="00BB5136"/>
    <w:rsid w:val="00BC1566"/>
    <w:rsid w:val="00BC36A5"/>
    <w:rsid w:val="00BC6B2C"/>
    <w:rsid w:val="00BC75CB"/>
    <w:rsid w:val="00BD38C1"/>
    <w:rsid w:val="00BE0116"/>
    <w:rsid w:val="00BE1567"/>
    <w:rsid w:val="00BE5379"/>
    <w:rsid w:val="00BE58E5"/>
    <w:rsid w:val="00BF0622"/>
    <w:rsid w:val="00BF1B09"/>
    <w:rsid w:val="00BF31D7"/>
    <w:rsid w:val="00C0503A"/>
    <w:rsid w:val="00C107EE"/>
    <w:rsid w:val="00C11320"/>
    <w:rsid w:val="00C170D7"/>
    <w:rsid w:val="00C21457"/>
    <w:rsid w:val="00C25292"/>
    <w:rsid w:val="00C35F0D"/>
    <w:rsid w:val="00C44E39"/>
    <w:rsid w:val="00C52991"/>
    <w:rsid w:val="00C55252"/>
    <w:rsid w:val="00C56816"/>
    <w:rsid w:val="00C60A89"/>
    <w:rsid w:val="00C6237A"/>
    <w:rsid w:val="00C6434C"/>
    <w:rsid w:val="00C67713"/>
    <w:rsid w:val="00C71406"/>
    <w:rsid w:val="00C76650"/>
    <w:rsid w:val="00C826E8"/>
    <w:rsid w:val="00C837CE"/>
    <w:rsid w:val="00C86173"/>
    <w:rsid w:val="00C86E1B"/>
    <w:rsid w:val="00C9337E"/>
    <w:rsid w:val="00C94660"/>
    <w:rsid w:val="00C965B5"/>
    <w:rsid w:val="00CA182D"/>
    <w:rsid w:val="00CA5FA8"/>
    <w:rsid w:val="00CA7932"/>
    <w:rsid w:val="00CB0C90"/>
    <w:rsid w:val="00CB3ABF"/>
    <w:rsid w:val="00CD1454"/>
    <w:rsid w:val="00CD264C"/>
    <w:rsid w:val="00CE0B54"/>
    <w:rsid w:val="00CE7DC8"/>
    <w:rsid w:val="00CF3E3E"/>
    <w:rsid w:val="00CF77E2"/>
    <w:rsid w:val="00D002F3"/>
    <w:rsid w:val="00D00836"/>
    <w:rsid w:val="00D0107E"/>
    <w:rsid w:val="00D107E5"/>
    <w:rsid w:val="00D163AA"/>
    <w:rsid w:val="00D17EF9"/>
    <w:rsid w:val="00D24B76"/>
    <w:rsid w:val="00D3201A"/>
    <w:rsid w:val="00D3516E"/>
    <w:rsid w:val="00D376D6"/>
    <w:rsid w:val="00D405E5"/>
    <w:rsid w:val="00D56791"/>
    <w:rsid w:val="00D61D64"/>
    <w:rsid w:val="00D6408F"/>
    <w:rsid w:val="00D64CB2"/>
    <w:rsid w:val="00D728BE"/>
    <w:rsid w:val="00D72A2C"/>
    <w:rsid w:val="00D87F3C"/>
    <w:rsid w:val="00D900CE"/>
    <w:rsid w:val="00D90966"/>
    <w:rsid w:val="00D90E99"/>
    <w:rsid w:val="00D91F7D"/>
    <w:rsid w:val="00D92EAB"/>
    <w:rsid w:val="00D96230"/>
    <w:rsid w:val="00DA000C"/>
    <w:rsid w:val="00DA1223"/>
    <w:rsid w:val="00DA1583"/>
    <w:rsid w:val="00DA5094"/>
    <w:rsid w:val="00DA555F"/>
    <w:rsid w:val="00DA5693"/>
    <w:rsid w:val="00DB07F8"/>
    <w:rsid w:val="00DB374E"/>
    <w:rsid w:val="00DB6F02"/>
    <w:rsid w:val="00DD169F"/>
    <w:rsid w:val="00DD5AFB"/>
    <w:rsid w:val="00DE0294"/>
    <w:rsid w:val="00DE1F0B"/>
    <w:rsid w:val="00DE2C60"/>
    <w:rsid w:val="00DE4F7C"/>
    <w:rsid w:val="00DE4FAA"/>
    <w:rsid w:val="00E009BD"/>
    <w:rsid w:val="00E00E90"/>
    <w:rsid w:val="00E01191"/>
    <w:rsid w:val="00E01881"/>
    <w:rsid w:val="00E02AFC"/>
    <w:rsid w:val="00E04954"/>
    <w:rsid w:val="00E05F90"/>
    <w:rsid w:val="00E11B32"/>
    <w:rsid w:val="00E1290F"/>
    <w:rsid w:val="00E15E6C"/>
    <w:rsid w:val="00E15FDF"/>
    <w:rsid w:val="00E21AFE"/>
    <w:rsid w:val="00E22F74"/>
    <w:rsid w:val="00E24450"/>
    <w:rsid w:val="00E27C20"/>
    <w:rsid w:val="00E315CC"/>
    <w:rsid w:val="00E31750"/>
    <w:rsid w:val="00E3519A"/>
    <w:rsid w:val="00E43010"/>
    <w:rsid w:val="00E43B64"/>
    <w:rsid w:val="00E44CB3"/>
    <w:rsid w:val="00E52C57"/>
    <w:rsid w:val="00E61D6E"/>
    <w:rsid w:val="00E63BAF"/>
    <w:rsid w:val="00E81D95"/>
    <w:rsid w:val="00E8212B"/>
    <w:rsid w:val="00E84926"/>
    <w:rsid w:val="00E85C6B"/>
    <w:rsid w:val="00E871B3"/>
    <w:rsid w:val="00E9089A"/>
    <w:rsid w:val="00E93706"/>
    <w:rsid w:val="00EA18AD"/>
    <w:rsid w:val="00EA3BC4"/>
    <w:rsid w:val="00EA48BD"/>
    <w:rsid w:val="00EA5CCB"/>
    <w:rsid w:val="00EB02DE"/>
    <w:rsid w:val="00EB3F27"/>
    <w:rsid w:val="00EB680B"/>
    <w:rsid w:val="00EC35C7"/>
    <w:rsid w:val="00EC591A"/>
    <w:rsid w:val="00EC7DF2"/>
    <w:rsid w:val="00EC7E47"/>
    <w:rsid w:val="00ED0718"/>
    <w:rsid w:val="00ED2C88"/>
    <w:rsid w:val="00ED2DB6"/>
    <w:rsid w:val="00ED3EDA"/>
    <w:rsid w:val="00ED6669"/>
    <w:rsid w:val="00ED67A7"/>
    <w:rsid w:val="00ED77A9"/>
    <w:rsid w:val="00EE2E55"/>
    <w:rsid w:val="00EE4A00"/>
    <w:rsid w:val="00EE4AC8"/>
    <w:rsid w:val="00EF0154"/>
    <w:rsid w:val="00EF2A51"/>
    <w:rsid w:val="00EF3B2D"/>
    <w:rsid w:val="00EF3DBB"/>
    <w:rsid w:val="00F02232"/>
    <w:rsid w:val="00F0541B"/>
    <w:rsid w:val="00F064CD"/>
    <w:rsid w:val="00F12E20"/>
    <w:rsid w:val="00F12E8F"/>
    <w:rsid w:val="00F16A74"/>
    <w:rsid w:val="00F2764B"/>
    <w:rsid w:val="00F3282B"/>
    <w:rsid w:val="00F35F54"/>
    <w:rsid w:val="00F41E5D"/>
    <w:rsid w:val="00F42C7F"/>
    <w:rsid w:val="00F42CD1"/>
    <w:rsid w:val="00F5038B"/>
    <w:rsid w:val="00F63F73"/>
    <w:rsid w:val="00F643D6"/>
    <w:rsid w:val="00F665C9"/>
    <w:rsid w:val="00F704DE"/>
    <w:rsid w:val="00F81DC4"/>
    <w:rsid w:val="00F83EE3"/>
    <w:rsid w:val="00F87F3E"/>
    <w:rsid w:val="00F91ACA"/>
    <w:rsid w:val="00F92608"/>
    <w:rsid w:val="00FA1274"/>
    <w:rsid w:val="00FA12B1"/>
    <w:rsid w:val="00FA24A2"/>
    <w:rsid w:val="00FA5102"/>
    <w:rsid w:val="00FA6383"/>
    <w:rsid w:val="00FB2EDC"/>
    <w:rsid w:val="00FB3FAB"/>
    <w:rsid w:val="00FB4055"/>
    <w:rsid w:val="00FB763A"/>
    <w:rsid w:val="00FC1987"/>
    <w:rsid w:val="00FD3E5D"/>
    <w:rsid w:val="00FE0C08"/>
    <w:rsid w:val="00FE3494"/>
    <w:rsid w:val="00FE3E58"/>
    <w:rsid w:val="00FE4ACE"/>
    <w:rsid w:val="00FE4FAA"/>
    <w:rsid w:val="00FF302B"/>
    <w:rsid w:val="00FF4C59"/>
    <w:rsid w:val="56799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DE1F0B"/>
    <w:p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E1F0B"/>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49481E"/>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13"/>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7C2805"/>
    <w:pPr>
      <w:autoSpaceDE w:val="0"/>
      <w:autoSpaceDN w:val="0"/>
      <w:adjustRightInd w:val="0"/>
      <w:spacing w:after="0" w:line="240" w:lineRule="auto"/>
    </w:pPr>
    <w:rPr>
      <w:rFonts w:eastAsia="Times New Roman"/>
      <w:color w:val="000000"/>
      <w:szCs w:val="24"/>
      <w:lang w:eastAsia="en-GB"/>
    </w:rPr>
  </w:style>
  <w:style w:type="character" w:styleId="Strong">
    <w:name w:val="Strong"/>
    <w:basedOn w:val="DefaultParagraphFont"/>
    <w:uiPriority w:val="22"/>
    <w:qFormat/>
    <w:rsid w:val="00333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686">
      <w:bodyDiv w:val="1"/>
      <w:marLeft w:val="0"/>
      <w:marRight w:val="0"/>
      <w:marTop w:val="0"/>
      <w:marBottom w:val="0"/>
      <w:divBdr>
        <w:top w:val="none" w:sz="0" w:space="0" w:color="auto"/>
        <w:left w:val="none" w:sz="0" w:space="0" w:color="auto"/>
        <w:bottom w:val="none" w:sz="0" w:space="0" w:color="auto"/>
        <w:right w:val="none" w:sz="0" w:space="0" w:color="auto"/>
      </w:divBdr>
    </w:div>
    <w:div w:id="497892850">
      <w:bodyDiv w:val="1"/>
      <w:marLeft w:val="0"/>
      <w:marRight w:val="0"/>
      <w:marTop w:val="0"/>
      <w:marBottom w:val="0"/>
      <w:divBdr>
        <w:top w:val="none" w:sz="0" w:space="0" w:color="auto"/>
        <w:left w:val="none" w:sz="0" w:space="0" w:color="auto"/>
        <w:bottom w:val="none" w:sz="0" w:space="0" w:color="auto"/>
        <w:right w:val="none" w:sz="0" w:space="0" w:color="auto"/>
      </w:divBdr>
      <w:divsChild>
        <w:div w:id="148793315">
          <w:marLeft w:val="0"/>
          <w:marRight w:val="0"/>
          <w:marTop w:val="0"/>
          <w:marBottom w:val="0"/>
          <w:divBdr>
            <w:top w:val="none" w:sz="0" w:space="0" w:color="auto"/>
            <w:left w:val="none" w:sz="0" w:space="0" w:color="auto"/>
            <w:bottom w:val="none" w:sz="0" w:space="0" w:color="auto"/>
            <w:right w:val="none" w:sz="0" w:space="0" w:color="auto"/>
          </w:divBdr>
          <w:divsChild>
            <w:div w:id="2032216434">
              <w:marLeft w:val="0"/>
              <w:marRight w:val="0"/>
              <w:marTop w:val="0"/>
              <w:marBottom w:val="0"/>
              <w:divBdr>
                <w:top w:val="none" w:sz="0" w:space="0" w:color="auto"/>
                <w:left w:val="none" w:sz="0" w:space="0" w:color="auto"/>
                <w:bottom w:val="none" w:sz="0" w:space="0" w:color="auto"/>
                <w:right w:val="none" w:sz="0" w:space="0" w:color="auto"/>
              </w:divBdr>
              <w:divsChild>
                <w:div w:id="395513640">
                  <w:marLeft w:val="0"/>
                  <w:marRight w:val="0"/>
                  <w:marTop w:val="0"/>
                  <w:marBottom w:val="0"/>
                  <w:divBdr>
                    <w:top w:val="none" w:sz="0" w:space="0" w:color="auto"/>
                    <w:left w:val="none" w:sz="0" w:space="0" w:color="auto"/>
                    <w:bottom w:val="none" w:sz="0" w:space="0" w:color="auto"/>
                    <w:right w:val="none" w:sz="0" w:space="0" w:color="auto"/>
                  </w:divBdr>
                  <w:divsChild>
                    <w:div w:id="466633803">
                      <w:marLeft w:val="0"/>
                      <w:marRight w:val="0"/>
                      <w:marTop w:val="0"/>
                      <w:marBottom w:val="0"/>
                      <w:divBdr>
                        <w:top w:val="none" w:sz="0" w:space="0" w:color="auto"/>
                        <w:left w:val="none" w:sz="0" w:space="0" w:color="auto"/>
                        <w:bottom w:val="none" w:sz="0" w:space="0" w:color="auto"/>
                        <w:right w:val="none" w:sz="0" w:space="0" w:color="auto"/>
                      </w:divBdr>
                      <w:divsChild>
                        <w:div w:id="1053388064">
                          <w:marLeft w:val="-180"/>
                          <w:marRight w:val="-180"/>
                          <w:marTop w:val="0"/>
                          <w:marBottom w:val="0"/>
                          <w:divBdr>
                            <w:top w:val="none" w:sz="0" w:space="0" w:color="auto"/>
                            <w:left w:val="none" w:sz="0" w:space="0" w:color="auto"/>
                            <w:bottom w:val="none" w:sz="0" w:space="0" w:color="auto"/>
                            <w:right w:val="none" w:sz="0" w:space="0" w:color="auto"/>
                          </w:divBdr>
                          <w:divsChild>
                            <w:div w:id="565914258">
                              <w:marLeft w:val="0"/>
                              <w:marRight w:val="0"/>
                              <w:marTop w:val="0"/>
                              <w:marBottom w:val="0"/>
                              <w:divBdr>
                                <w:top w:val="none" w:sz="0" w:space="0" w:color="auto"/>
                                <w:left w:val="none" w:sz="0" w:space="0" w:color="auto"/>
                                <w:bottom w:val="none" w:sz="0" w:space="0" w:color="auto"/>
                                <w:right w:val="none" w:sz="0" w:space="0" w:color="auto"/>
                              </w:divBdr>
                              <w:divsChild>
                                <w:div w:id="5101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441046">
      <w:bodyDiv w:val="1"/>
      <w:marLeft w:val="0"/>
      <w:marRight w:val="0"/>
      <w:marTop w:val="0"/>
      <w:marBottom w:val="0"/>
      <w:divBdr>
        <w:top w:val="none" w:sz="0" w:space="0" w:color="auto"/>
        <w:left w:val="none" w:sz="0" w:space="0" w:color="auto"/>
        <w:bottom w:val="none" w:sz="0" w:space="0" w:color="auto"/>
        <w:right w:val="none" w:sz="0" w:space="0" w:color="auto"/>
      </w:divBdr>
      <w:divsChild>
        <w:div w:id="1809395119">
          <w:marLeft w:val="0"/>
          <w:marRight w:val="0"/>
          <w:marTop w:val="0"/>
          <w:marBottom w:val="0"/>
          <w:divBdr>
            <w:top w:val="none" w:sz="0" w:space="0" w:color="auto"/>
            <w:left w:val="none" w:sz="0" w:space="0" w:color="auto"/>
            <w:bottom w:val="none" w:sz="0" w:space="0" w:color="auto"/>
            <w:right w:val="none" w:sz="0" w:space="0" w:color="auto"/>
          </w:divBdr>
          <w:divsChild>
            <w:div w:id="1630164407">
              <w:marLeft w:val="180"/>
              <w:marRight w:val="180"/>
              <w:marTop w:val="0"/>
              <w:marBottom w:val="0"/>
              <w:divBdr>
                <w:top w:val="none" w:sz="0" w:space="0" w:color="auto"/>
                <w:left w:val="none" w:sz="0" w:space="0" w:color="auto"/>
                <w:bottom w:val="none" w:sz="0" w:space="0" w:color="auto"/>
                <w:right w:val="none" w:sz="0" w:space="0" w:color="auto"/>
              </w:divBdr>
              <w:divsChild>
                <w:div w:id="476609147">
                  <w:marLeft w:val="0"/>
                  <w:marRight w:val="0"/>
                  <w:marTop w:val="0"/>
                  <w:marBottom w:val="0"/>
                  <w:divBdr>
                    <w:top w:val="none" w:sz="0" w:space="0" w:color="auto"/>
                    <w:left w:val="none" w:sz="0" w:space="0" w:color="auto"/>
                    <w:bottom w:val="none" w:sz="0" w:space="0" w:color="auto"/>
                    <w:right w:val="none" w:sz="0" w:space="0" w:color="auto"/>
                  </w:divBdr>
                  <w:divsChild>
                    <w:div w:id="17069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2032">
      <w:bodyDiv w:val="1"/>
      <w:marLeft w:val="0"/>
      <w:marRight w:val="0"/>
      <w:marTop w:val="0"/>
      <w:marBottom w:val="0"/>
      <w:divBdr>
        <w:top w:val="none" w:sz="0" w:space="0" w:color="auto"/>
        <w:left w:val="none" w:sz="0" w:space="0" w:color="auto"/>
        <w:bottom w:val="none" w:sz="0" w:space="0" w:color="auto"/>
        <w:right w:val="none" w:sz="0" w:space="0" w:color="auto"/>
      </w:divBdr>
      <w:divsChild>
        <w:div w:id="436606916">
          <w:marLeft w:val="0"/>
          <w:marRight w:val="0"/>
          <w:marTop w:val="0"/>
          <w:marBottom w:val="0"/>
          <w:divBdr>
            <w:top w:val="none" w:sz="0" w:space="0" w:color="auto"/>
            <w:left w:val="none" w:sz="0" w:space="0" w:color="auto"/>
            <w:bottom w:val="none" w:sz="0" w:space="0" w:color="auto"/>
            <w:right w:val="none" w:sz="0" w:space="0" w:color="auto"/>
          </w:divBdr>
          <w:divsChild>
            <w:div w:id="2027319061">
              <w:marLeft w:val="0"/>
              <w:marRight w:val="0"/>
              <w:marTop w:val="0"/>
              <w:marBottom w:val="0"/>
              <w:divBdr>
                <w:top w:val="none" w:sz="0" w:space="0" w:color="auto"/>
                <w:left w:val="none" w:sz="0" w:space="0" w:color="auto"/>
                <w:bottom w:val="none" w:sz="0" w:space="0" w:color="auto"/>
                <w:right w:val="none" w:sz="0" w:space="0" w:color="auto"/>
              </w:divBdr>
              <w:divsChild>
                <w:div w:id="1194265253">
                  <w:marLeft w:val="0"/>
                  <w:marRight w:val="0"/>
                  <w:marTop w:val="0"/>
                  <w:marBottom w:val="0"/>
                  <w:divBdr>
                    <w:top w:val="none" w:sz="0" w:space="0" w:color="auto"/>
                    <w:left w:val="none" w:sz="0" w:space="0" w:color="auto"/>
                    <w:bottom w:val="none" w:sz="0" w:space="0" w:color="auto"/>
                    <w:right w:val="none" w:sz="0" w:space="0" w:color="auto"/>
                  </w:divBdr>
                  <w:divsChild>
                    <w:div w:id="726731301">
                      <w:marLeft w:val="0"/>
                      <w:marRight w:val="0"/>
                      <w:marTop w:val="0"/>
                      <w:marBottom w:val="0"/>
                      <w:divBdr>
                        <w:top w:val="none" w:sz="0" w:space="0" w:color="auto"/>
                        <w:left w:val="none" w:sz="0" w:space="0" w:color="auto"/>
                        <w:bottom w:val="none" w:sz="0" w:space="0" w:color="auto"/>
                        <w:right w:val="none" w:sz="0" w:space="0" w:color="auto"/>
                      </w:divBdr>
                      <w:divsChild>
                        <w:div w:id="1391920580">
                          <w:marLeft w:val="0"/>
                          <w:marRight w:val="0"/>
                          <w:marTop w:val="0"/>
                          <w:marBottom w:val="0"/>
                          <w:divBdr>
                            <w:top w:val="none" w:sz="0" w:space="0" w:color="auto"/>
                            <w:left w:val="none" w:sz="0" w:space="0" w:color="auto"/>
                            <w:bottom w:val="none" w:sz="0" w:space="0" w:color="auto"/>
                            <w:right w:val="none" w:sz="0" w:space="0" w:color="auto"/>
                          </w:divBdr>
                          <w:divsChild>
                            <w:div w:id="823013985">
                              <w:marLeft w:val="0"/>
                              <w:marRight w:val="0"/>
                              <w:marTop w:val="0"/>
                              <w:marBottom w:val="0"/>
                              <w:divBdr>
                                <w:top w:val="none" w:sz="0" w:space="0" w:color="auto"/>
                                <w:left w:val="none" w:sz="0" w:space="0" w:color="auto"/>
                                <w:bottom w:val="none" w:sz="0" w:space="0" w:color="auto"/>
                                <w:right w:val="none" w:sz="0" w:space="0" w:color="auto"/>
                              </w:divBdr>
                              <w:divsChild>
                                <w:div w:id="805045206">
                                  <w:marLeft w:val="0"/>
                                  <w:marRight w:val="0"/>
                                  <w:marTop w:val="0"/>
                                  <w:marBottom w:val="0"/>
                                  <w:divBdr>
                                    <w:top w:val="none" w:sz="0" w:space="0" w:color="auto"/>
                                    <w:left w:val="none" w:sz="0" w:space="0" w:color="auto"/>
                                    <w:bottom w:val="none" w:sz="0" w:space="0" w:color="auto"/>
                                    <w:right w:val="none" w:sz="0" w:space="0" w:color="auto"/>
                                  </w:divBdr>
                                  <w:divsChild>
                                    <w:div w:id="1766488290">
                                      <w:marLeft w:val="0"/>
                                      <w:marRight w:val="0"/>
                                      <w:marTop w:val="0"/>
                                      <w:marBottom w:val="0"/>
                                      <w:divBdr>
                                        <w:top w:val="none" w:sz="0" w:space="0" w:color="auto"/>
                                        <w:left w:val="none" w:sz="0" w:space="0" w:color="auto"/>
                                        <w:bottom w:val="none" w:sz="0" w:space="0" w:color="auto"/>
                                        <w:right w:val="none" w:sz="0" w:space="0" w:color="auto"/>
                                      </w:divBdr>
                                      <w:divsChild>
                                        <w:div w:id="1881942158">
                                          <w:marLeft w:val="0"/>
                                          <w:marRight w:val="0"/>
                                          <w:marTop w:val="0"/>
                                          <w:marBottom w:val="0"/>
                                          <w:divBdr>
                                            <w:top w:val="none" w:sz="0" w:space="0" w:color="auto"/>
                                            <w:left w:val="none" w:sz="0" w:space="0" w:color="auto"/>
                                            <w:bottom w:val="none" w:sz="0" w:space="0" w:color="auto"/>
                                            <w:right w:val="none" w:sz="0" w:space="0" w:color="auto"/>
                                          </w:divBdr>
                                          <w:divsChild>
                                            <w:div w:id="1037512363">
                                              <w:marLeft w:val="0"/>
                                              <w:marRight w:val="0"/>
                                              <w:marTop w:val="0"/>
                                              <w:marBottom w:val="0"/>
                                              <w:divBdr>
                                                <w:top w:val="none" w:sz="0" w:space="0" w:color="auto"/>
                                                <w:left w:val="none" w:sz="0" w:space="0" w:color="auto"/>
                                                <w:bottom w:val="none" w:sz="0" w:space="0" w:color="auto"/>
                                                <w:right w:val="none" w:sz="0" w:space="0" w:color="auto"/>
                                              </w:divBdr>
                                              <w:divsChild>
                                                <w:div w:id="838883165">
                                                  <w:marLeft w:val="0"/>
                                                  <w:marRight w:val="0"/>
                                                  <w:marTop w:val="0"/>
                                                  <w:marBottom w:val="0"/>
                                                  <w:divBdr>
                                                    <w:top w:val="none" w:sz="0" w:space="0" w:color="auto"/>
                                                    <w:left w:val="none" w:sz="0" w:space="0" w:color="auto"/>
                                                    <w:bottom w:val="none" w:sz="0" w:space="0" w:color="auto"/>
                                                    <w:right w:val="none" w:sz="0" w:space="0" w:color="auto"/>
                                                  </w:divBdr>
                                                  <w:divsChild>
                                                    <w:div w:id="563833758">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700982952">
                                                              <w:marLeft w:val="0"/>
                                                              <w:marRight w:val="0"/>
                                                              <w:marTop w:val="0"/>
                                                              <w:marBottom w:val="0"/>
                                                              <w:divBdr>
                                                                <w:top w:val="none" w:sz="0" w:space="0" w:color="auto"/>
                                                                <w:left w:val="none" w:sz="0" w:space="0" w:color="auto"/>
                                                                <w:bottom w:val="none" w:sz="0" w:space="0" w:color="auto"/>
                                                                <w:right w:val="none" w:sz="0" w:space="0" w:color="auto"/>
                                                              </w:divBdr>
                                                              <w:divsChild>
                                                                <w:div w:id="2018657519">
                                                                  <w:marLeft w:val="0"/>
                                                                  <w:marRight w:val="0"/>
                                                                  <w:marTop w:val="0"/>
                                                                  <w:marBottom w:val="0"/>
                                                                  <w:divBdr>
                                                                    <w:top w:val="none" w:sz="0" w:space="0" w:color="auto"/>
                                                                    <w:left w:val="none" w:sz="0" w:space="0" w:color="auto"/>
                                                                    <w:bottom w:val="none" w:sz="0" w:space="0" w:color="auto"/>
                                                                    <w:right w:val="none" w:sz="0" w:space="0" w:color="auto"/>
                                                                  </w:divBdr>
                                                                  <w:divsChild>
                                                                    <w:div w:id="708383451">
                                                                      <w:marLeft w:val="0"/>
                                                                      <w:marRight w:val="0"/>
                                                                      <w:marTop w:val="0"/>
                                                                      <w:marBottom w:val="0"/>
                                                                      <w:divBdr>
                                                                        <w:top w:val="none" w:sz="0" w:space="0" w:color="auto"/>
                                                                        <w:left w:val="none" w:sz="0" w:space="0" w:color="auto"/>
                                                                        <w:bottom w:val="none" w:sz="0" w:space="0" w:color="auto"/>
                                                                        <w:right w:val="none" w:sz="0" w:space="0" w:color="auto"/>
                                                                      </w:divBdr>
                                                                      <w:divsChild>
                                                                        <w:div w:id="1455830581">
                                                                          <w:marLeft w:val="0"/>
                                                                          <w:marRight w:val="0"/>
                                                                          <w:marTop w:val="0"/>
                                                                          <w:marBottom w:val="0"/>
                                                                          <w:divBdr>
                                                                            <w:top w:val="none" w:sz="0" w:space="0" w:color="auto"/>
                                                                            <w:left w:val="none" w:sz="0" w:space="0" w:color="auto"/>
                                                                            <w:bottom w:val="none" w:sz="0" w:space="0" w:color="auto"/>
                                                                            <w:right w:val="none" w:sz="0" w:space="0" w:color="auto"/>
                                                                          </w:divBdr>
                                                                          <w:divsChild>
                                                                            <w:div w:id="1286279815">
                                                                              <w:marLeft w:val="0"/>
                                                                              <w:marRight w:val="0"/>
                                                                              <w:marTop w:val="0"/>
                                                                              <w:marBottom w:val="0"/>
                                                                              <w:divBdr>
                                                                                <w:top w:val="none" w:sz="0" w:space="0" w:color="auto"/>
                                                                                <w:left w:val="none" w:sz="0" w:space="0" w:color="auto"/>
                                                                                <w:bottom w:val="none" w:sz="0" w:space="0" w:color="auto"/>
                                                                                <w:right w:val="none" w:sz="0" w:space="0" w:color="auto"/>
                                                                              </w:divBdr>
                                                                              <w:divsChild>
                                                                                <w:div w:id="419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62546">
      <w:bodyDiv w:val="1"/>
      <w:marLeft w:val="0"/>
      <w:marRight w:val="0"/>
      <w:marTop w:val="0"/>
      <w:marBottom w:val="0"/>
      <w:divBdr>
        <w:top w:val="none" w:sz="0" w:space="0" w:color="auto"/>
        <w:left w:val="none" w:sz="0" w:space="0" w:color="auto"/>
        <w:bottom w:val="none" w:sz="0" w:space="0" w:color="auto"/>
        <w:right w:val="none" w:sz="0" w:space="0" w:color="auto"/>
      </w:divBdr>
      <w:divsChild>
        <w:div w:id="1616712037">
          <w:marLeft w:val="0"/>
          <w:marRight w:val="0"/>
          <w:marTop w:val="0"/>
          <w:marBottom w:val="0"/>
          <w:divBdr>
            <w:top w:val="none" w:sz="0" w:space="0" w:color="auto"/>
            <w:left w:val="none" w:sz="0" w:space="0" w:color="auto"/>
            <w:bottom w:val="none" w:sz="0" w:space="0" w:color="auto"/>
            <w:right w:val="none" w:sz="0" w:space="0" w:color="auto"/>
          </w:divBdr>
          <w:divsChild>
            <w:div w:id="550656205">
              <w:marLeft w:val="180"/>
              <w:marRight w:val="180"/>
              <w:marTop w:val="0"/>
              <w:marBottom w:val="0"/>
              <w:divBdr>
                <w:top w:val="none" w:sz="0" w:space="0" w:color="auto"/>
                <w:left w:val="none" w:sz="0" w:space="0" w:color="auto"/>
                <w:bottom w:val="none" w:sz="0" w:space="0" w:color="auto"/>
                <w:right w:val="none" w:sz="0" w:space="0" w:color="auto"/>
              </w:divBdr>
              <w:divsChild>
                <w:div w:id="1933971885">
                  <w:marLeft w:val="0"/>
                  <w:marRight w:val="0"/>
                  <w:marTop w:val="0"/>
                  <w:marBottom w:val="0"/>
                  <w:divBdr>
                    <w:top w:val="none" w:sz="0" w:space="0" w:color="auto"/>
                    <w:left w:val="none" w:sz="0" w:space="0" w:color="auto"/>
                    <w:bottom w:val="none" w:sz="0" w:space="0" w:color="auto"/>
                    <w:right w:val="none" w:sz="0" w:space="0" w:color="auto"/>
                  </w:divBdr>
                  <w:divsChild>
                    <w:div w:id="3779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researching-coi/" TargetMode="External"/><Relationship Id="rId18" Type="http://schemas.openxmlformats.org/officeDocument/2006/relationships/hyperlink" Target="https://www.gov.uk/government/publications/considering-asylum-claims-and-assessing-credibility-instruction" TargetMode="External"/><Relationship Id="rId26" Type="http://schemas.openxmlformats.org/officeDocument/2006/relationships/hyperlink" Target="https://www.gov.uk/government/publications/iraq-country-policy-and-information-notes" TargetMode="External"/><Relationship Id="rId39" Type="http://schemas.openxmlformats.org/officeDocument/2006/relationships/hyperlink" Target="https://www.easo.europa.eu/sites/default/files/Country_Guidance_Iraq_2019.pdf" TargetMode="External"/><Relationship Id="rId21" Type="http://schemas.openxmlformats.org/officeDocument/2006/relationships/hyperlink" Target="https://www.gov.uk/government/publications/asylum-instruction-exclusion-article-1f-of-the-refugee-convention" TargetMode="External"/><Relationship Id="rId34" Type="http://schemas.openxmlformats.org/officeDocument/2006/relationships/hyperlink" Target="http://news.bbc.co.uk/1/hi/world/middle_east/2886733.stm" TargetMode="External"/><Relationship Id="rId42" Type="http://schemas.openxmlformats.org/officeDocument/2006/relationships/hyperlink" Target="https://www.gicj.org/un-special-procedures-appeals/iraq/448-iraq-new-bill-contradicts-basic-principles-of-human-rights" TargetMode="External"/><Relationship Id="rId47" Type="http://schemas.openxmlformats.org/officeDocument/2006/relationships/hyperlink" Target="http://www.middleeasteye.net/in-depth/features/analysis-iraqs-baath-party-where-are-they-now-1079222336" TargetMode="External"/><Relationship Id="rId50" Type="http://schemas.openxmlformats.org/officeDocument/2006/relationships/hyperlink" Target="https://www.independent.co.uk/news/world/middle-east/how-saddam-husseins-former-military-officers-and-spies-are-controlling-isis-10156610.html" TargetMode="External"/><Relationship Id="rId55" Type="http://schemas.openxmlformats.org/officeDocument/2006/relationships/hyperlink" Target="https://www.alaraby.co.uk/english/news/2016/1/11/saddam-era-iraqi-leader-condemned-to-death-in-genocide-case" TargetMode="External"/><Relationship Id="rId63" Type="http://schemas.openxmlformats.org/officeDocument/2006/relationships/hyperlink" Target="https://www.aa.com.tr/en/world/iraq-pm-security-forces-arrest-senior-baathist-leade/31886" TargetMode="External"/><Relationship Id="rId68" Type="http://schemas.openxmlformats.org/officeDocument/2006/relationships/hyperlink" Target="http://iswresearch.blogspot.com/2016/11/anticipating-iraqs-next-sunni-insurgency.html" TargetMode="External"/><Relationship Id="rId7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www.theatlantic.com/ideas/archive/2018/11/isis-origins-anbari-zarqawi/577030/" TargetMode="External"/><Relationship Id="rId2" Type="http://schemas.openxmlformats.org/officeDocument/2006/relationships/customXml" Target="../customXml/item2.xml"/><Relationship Id="rId16" Type="http://schemas.openxmlformats.org/officeDocument/2006/relationships/hyperlink" Target="mailto:chiefinspector@icinspector.gov.uk" TargetMode="External"/><Relationship Id="rId29" Type="http://schemas.openxmlformats.org/officeDocument/2006/relationships/hyperlink" Target="https://www.gov.uk/government/publications/iraq-country-policy-and-information-notes" TargetMode="External"/><Relationship Id="rId11" Type="http://schemas.openxmlformats.org/officeDocument/2006/relationships/endnotes" Target="endnote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s://dfat.gov.au/about-us/publications/&#8204;Documents/country-information-report-iraq.pdf" TargetMode="External"/><Relationship Id="rId40" Type="http://schemas.openxmlformats.org/officeDocument/2006/relationships/hyperlink" Target="https://coi.easo.europa.eu/administration/easo/&#8204;PLib/Iraq_targeting_of_individuals.pdf" TargetMode="External"/><Relationship Id="rId45" Type="http://schemas.openxmlformats.org/officeDocument/2006/relationships/hyperlink" Target="http://www.refworld.org/docid/520b818b4.html" TargetMode="External"/><Relationship Id="rId53" Type="http://schemas.openxmlformats.org/officeDocument/2006/relationships/hyperlink" Target="https://www.alaraby.co.uk/english/news/2014/11/7/iraqi-president-calls-for-repeal-of-de-baathification-laws" TargetMode="External"/><Relationship Id="rId58" Type="http://schemas.openxmlformats.org/officeDocument/2006/relationships/hyperlink" Target="https://undocs.org/S/2015/852" TargetMode="External"/><Relationship Id="rId66" Type="http://schemas.openxmlformats.org/officeDocument/2006/relationships/hyperlink" Target="http://www.eu-iraq.org/index.php/news/item/211-interview-with-gen-muzhir-al-qaisi-spokesman-of-general-military-council-of-iraqi-revolutionaries"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state.gov/wp-content/uploads/2019/05/IRAQ-2018-INTERNATIONAL&#8204;-RELIGIOUS-FREEDOM-REPORT.pdf" TargetMode="External"/><Relationship Id="rId10" Type="http://schemas.openxmlformats.org/officeDocument/2006/relationships/footnotes" Target="footnotes.xml"/><Relationship Id="rId19" Type="http://schemas.openxmlformats.org/officeDocument/2006/relationships/hyperlink" Target="https://www.gov.uk/government/publications/visa-matches-handling-asylum-claims-from-uk-visa-applicants-instruction" TargetMode="External"/><Relationship Id="rId31" Type="http://schemas.openxmlformats.org/officeDocument/2006/relationships/hyperlink" Target="https://www.gov.uk/government/publications/iraq-country-policy-and-information-notes" TargetMode="External"/><Relationship Id="rId44" Type="http://schemas.openxmlformats.org/officeDocument/2006/relationships/hyperlink" Target="https://www.ictj.org/sites/default/files/ICTJ-Report-Iraq-De-Baathification-2013-ENG.pdf" TargetMode="External"/><Relationship Id="rId52" Type="http://schemas.openxmlformats.org/officeDocument/2006/relationships/hyperlink" Target="http://www.jamestown.org/programs/&#8204;tm/single/?tx_ttnews%5Btt_news%5D=42554&amp;cHash=5ce0%20babbb2face2fa0e67b07a91048c5" TargetMode="External"/><Relationship Id="rId60" Type="http://schemas.openxmlformats.org/officeDocument/2006/relationships/hyperlink" Target="https://www.state.gov/wp-content/uploads/2019/03/IRAQ-2018.pdf" TargetMode="External"/><Relationship Id="rId65" Type="http://schemas.openxmlformats.org/officeDocument/2006/relationships/hyperlink" Target="https://www.dailymail.co.uk/news/article-6972903/ISIS-leader-Abu-Bakr-al-Baghdadi-seen-new-video-appearance-2014.html"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pu@homeoffice.gov.uk" TargetMode="External"/><Relationship Id="rId22" Type="http://schemas.openxmlformats.org/officeDocument/2006/relationships/hyperlink" Target="https://horizon.fcos.gsi.gov.uk/file-wrapper/humanitarian-prote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www.understandingwar.org/sites/default/files/Sunni%20Insurgency%20in%20Iraq.pdf" TargetMode="External"/><Relationship Id="rId43" Type="http://schemas.openxmlformats.org/officeDocument/2006/relationships/hyperlink" Target="https://www.hrw.org/sites/default/files/&#8204;report_pdf/iraq0915_4up_0.pdf" TargetMode="External"/><Relationship Id="rId48" Type="http://schemas.openxmlformats.org/officeDocument/2006/relationships/hyperlink" Target="https://www.rudaw.net/english/middleeast/iraq/15072019" TargetMode="External"/><Relationship Id="rId56" Type="http://schemas.openxmlformats.org/officeDocument/2006/relationships/hyperlink" Target="https://www.ohchr.org/Documents/Countries/IQ/UNAMI_OHCHR_4th_POCReport-11Dec2014-30April2015.pdf" TargetMode="External"/><Relationship Id="rId64" Type="http://schemas.openxmlformats.org/officeDocument/2006/relationships/hyperlink" Target="https://www.atlanticcouncil.org/blogs/new-atlanticist/isis-syria-and-iraq-a-year-end-appraisal/" TargetMode="External"/><Relationship Id="rId69" Type="http://schemas.openxmlformats.org/officeDocument/2006/relationships/hyperlink" Target="https://www.rudaw.net/english/opinion/20062014" TargetMode="External"/><Relationship Id="rId7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jamestown.org/program/a-marriage-of-convenience-the-many-faces-of-iraqs-sunni-insurgency/"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non-suspensive-appeals-certification-under-section-94-of-the-nia-act-2002-process" TargetMode="External"/><Relationship Id="rId38" Type="http://schemas.openxmlformats.org/officeDocument/2006/relationships/hyperlink" Target="http://news.bbc.co.uk/1/hi/&#8204;world/middle_east/2886733.stm" TargetMode="External"/><Relationship Id="rId46" Type="http://schemas.openxmlformats.org/officeDocument/2006/relationships/hyperlink" Target="https://www.iraqinews.com/iraq-war/photos-baathist-abdel-baqi-al-saadoun-arrested-kirkuk/" TargetMode="External"/><Relationship Id="rId59" Type="http://schemas.openxmlformats.org/officeDocument/2006/relationships/hyperlink" Target="https://www.state.gov/wp-content/uploads/2019/04/crt_2017.pdf" TargetMode="External"/><Relationship Id="rId67" Type="http://schemas.openxmlformats.org/officeDocument/2006/relationships/hyperlink" Target="https://foreignpolicy.com/2018/03/07/baathism-caused-the-chaos-in-iraq-and-syria/" TargetMode="External"/><Relationship Id="rId20" Type="http://schemas.openxmlformats.org/officeDocument/2006/relationships/hyperlink" Target="https://www.gov.uk/government/publications/language-analysis-instruction" TargetMode="External"/><Relationship Id="rId41" Type="http://schemas.openxmlformats.org/officeDocument/2006/relationships/hyperlink" Target="https://freedomhouse.org/&#8204;report/freedom-world/2019/iraq" TargetMode="External"/><Relationship Id="rId54" Type="http://schemas.openxmlformats.org/officeDocument/2006/relationships/hyperlink" Target="https://www.alaraby.co.uk/english/news/2018/4/23/14-saddam-era-officials-remain-behind-bars-in-iraq-survey" TargetMode="External"/><Relationship Id="rId62" Type="http://schemas.openxmlformats.org/officeDocument/2006/relationships/hyperlink" Target="https://www.al-monitor.com/pulse/originals/2016/08/debaathification-law-iraq-justice.html" TargetMode="External"/><Relationship Id="rId70" Type="http://schemas.openxmlformats.org/officeDocument/2006/relationships/hyperlink" Target="https://news.stanford.edu/2018/03/29/baath-party-archives-reveal-brutality-saddam-husseins-rule/"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restricted-leave-asylum-casework-instruction" TargetMode="External"/><Relationship Id="rId28" Type="http://schemas.openxmlformats.org/officeDocument/2006/relationships/hyperlink" Target="http://www.bailii.org/cgi-bin/format.cgi?doc=/uk/cases/UKUT/IAC/2017/18.html&amp;query=(BA)+AND+(iraq)" TargetMode="External"/><Relationship Id="rId36" Type="http://schemas.openxmlformats.org/officeDocument/2006/relationships/hyperlink" Target="https://aawsat.com/english/home/article/1195801/iraq-seize-assets-saddam-hussein-his-aides" TargetMode="External"/><Relationship Id="rId49" Type="http://schemas.openxmlformats.org/officeDocument/2006/relationships/hyperlink" Target="https://www.&#8204;rudaw.net/english/middleeast/05032018" TargetMode="External"/><Relationship Id="rId57" Type="http://schemas.openxmlformats.org/officeDocument/2006/relationships/hyperlink" Target="https:/&#8204;/www.refworld.org/docid/5885c1694.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ctj.org/sites/default/files/ICTJ-Report-Iraq-De-Baathification-2013-ENG.pdf" TargetMode="External"/><Relationship Id="rId13" Type="http://schemas.openxmlformats.org/officeDocument/2006/relationships/hyperlink" Target="https://www.state.gov/wp-content/uploads/2019/03/IRAQ-2018.pdf" TargetMode="External"/><Relationship Id="rId18" Type="http://schemas.openxmlformats.org/officeDocument/2006/relationships/hyperlink" Target="https://www.easo.europa.eu/sites/default/files/Country_Guidance_Iraq_2019.pdf" TargetMode="External"/><Relationship Id="rId26" Type="http://schemas.openxmlformats.org/officeDocument/2006/relationships/hyperlink" Target="https://www.ictj.org/sites/default/files/ICTJ-Report-Iraq-De-Baathification-2013-ENG.pdf" TargetMode="External"/><Relationship Id="rId39" Type="http://schemas.openxmlformats.org/officeDocument/2006/relationships/hyperlink" Target="https://www.hrw.org/sites/default/files/report_pdf/iraq0915_4up_0.pdf" TargetMode="External"/><Relationship Id="rId3" Type="http://schemas.openxmlformats.org/officeDocument/2006/relationships/hyperlink" Target="http://news.bbc.co.uk/1/hi/world/middle_east/2886733.stm" TargetMode="External"/><Relationship Id="rId21" Type="http://schemas.openxmlformats.org/officeDocument/2006/relationships/hyperlink" Target="https://jamestown.org/program/the-tribal-component-of-iraqs-sunni-rebellion-the-general-military-council-for-iraqi-revolutionaries/" TargetMode="External"/><Relationship Id="rId34" Type="http://schemas.openxmlformats.org/officeDocument/2006/relationships/hyperlink" Target="https://www.alaraby.co.uk/english/news/2016/1/11/saddam-era-iraqi-leader-condemned-to-death-in-genocide-case" TargetMode="External"/><Relationship Id="rId42" Type="http://schemas.openxmlformats.org/officeDocument/2006/relationships/hyperlink" Target="https://www.alaraby.co.uk/english/news/2018/4/23/14-saddam-era-officials-remain-behind-bars-in-iraq-survey" TargetMode="External"/><Relationship Id="rId47" Type="http://schemas.openxmlformats.org/officeDocument/2006/relationships/hyperlink" Target="https://www.rudaw.net/english/middleeast/iraq/15072019" TargetMode="External"/><Relationship Id="rId7" Type="http://schemas.openxmlformats.org/officeDocument/2006/relationships/hyperlink" Target="https://www.easo.europa.eu/sites/default/files/Country_Guidance_Iraq_2019.pdf" TargetMode="External"/><Relationship Id="rId12" Type="http://schemas.openxmlformats.org/officeDocument/2006/relationships/hyperlink" Target="https://www.easo.europa.eu/sites/default/files/Country_Guidance_Iraq_2019.pdf" TargetMode="External"/><Relationship Id="rId17" Type="http://schemas.openxmlformats.org/officeDocument/2006/relationships/hyperlink" Target="https://www.independent.co.uk/news/world/middle-east/how-saddam-husseins-former-military-officers-and-spies-are-controlling-isis-10156610.html" TargetMode="External"/><Relationship Id="rId25" Type="http://schemas.openxmlformats.org/officeDocument/2006/relationships/hyperlink" Target="https://www.ictj.org/sites/default/files/ICTJ-Report-Iraq-De-Baathification-2013-ENG.pdf" TargetMode="External"/><Relationship Id="rId33" Type="http://schemas.openxmlformats.org/officeDocument/2006/relationships/hyperlink" Target="https://www.iraqinews.com/iraq-war/photos-baathist-abdel-baqi-al-saadoun-arrested-kirkuk/" TargetMode="External"/><Relationship Id="rId38" Type="http://schemas.openxmlformats.org/officeDocument/2006/relationships/hyperlink" Target="https://www.hrw.org/sites/default/files/report_pdf/iraq0915_4up_0.pdf" TargetMode="External"/><Relationship Id="rId46" Type="http://schemas.openxmlformats.org/officeDocument/2006/relationships/hyperlink" Target="https://www.easo.europa.eu/sites/default/files/Country_Guidance_Iraq_2019.pdf" TargetMode="External"/><Relationship Id="rId2" Type="http://schemas.openxmlformats.org/officeDocument/2006/relationships/hyperlink" Target="https://www.ictj.org/sites/default/files/ICTJ-Report-Iraq-De-Baathification-2013-ENG.pdf" TargetMode="External"/><Relationship Id="rId16" Type="http://schemas.openxmlformats.org/officeDocument/2006/relationships/hyperlink" Target="https://undocs.org/S/2015/852" TargetMode="External"/><Relationship Id="rId20" Type="http://schemas.openxmlformats.org/officeDocument/2006/relationships/hyperlink" Target="https://jamestown.org/program/a-marriage-of-convenience-the-many-faces-of-iraqs-sunni-insurgency/" TargetMode="External"/><Relationship Id="rId29" Type="http://schemas.openxmlformats.org/officeDocument/2006/relationships/hyperlink" Target="https://www.ictj.org/sites/default/files/ICTJ-Report-Iraq-De-Baathification-2013-ENG.pdf" TargetMode="External"/><Relationship Id="rId41" Type="http://schemas.openxmlformats.org/officeDocument/2006/relationships/hyperlink" Target="https://aawsat.com/english/home/article/1195801/iraq-seize-assets-saddam-hussein-his-aides" TargetMode="External"/><Relationship Id="rId1" Type="http://schemas.openxmlformats.org/officeDocument/2006/relationships/hyperlink" Target="http://news.bbc.co.uk/1/hi/world/middle_east/2886733.stm" TargetMode="External"/><Relationship Id="rId6" Type="http://schemas.openxmlformats.org/officeDocument/2006/relationships/hyperlink" Target="https://www.ictj.org/sites/default/files/ICTJ-Report-Iraq-De-Baathification-2013-ENG.pdf" TargetMode="External"/><Relationship Id="rId11" Type="http://schemas.openxmlformats.org/officeDocument/2006/relationships/hyperlink" Target="https://www.ictj.org/sites/default/files/ICTJ-Report-Iraq-De-Baathification-2013-ENG.pdf" TargetMode="External"/><Relationship Id="rId24" Type="http://schemas.openxmlformats.org/officeDocument/2006/relationships/hyperlink" Target="https://www.ictj.org/sites/default/files/ICTJ-Report-Iraq-De-Baathification-2013-ENG.pdf" TargetMode="External"/><Relationship Id="rId32" Type="http://schemas.openxmlformats.org/officeDocument/2006/relationships/hyperlink" Target="https://www.gicj.org/un-special-procedures-appeals/iraq/448-iraq-new-bill-contradicts-basic-principles-of-human-rights" TargetMode="External"/><Relationship Id="rId37" Type="http://schemas.openxmlformats.org/officeDocument/2006/relationships/hyperlink" Target="https://www.refworld.org/docid/5885c1694.html" TargetMode="External"/><Relationship Id="rId40" Type="http://schemas.openxmlformats.org/officeDocument/2006/relationships/hyperlink" Target="https://www.rudaw.net/english/middleeast/05032018" TargetMode="External"/><Relationship Id="rId45" Type="http://schemas.openxmlformats.org/officeDocument/2006/relationships/hyperlink" Target="https://www.state.gov/wp-content/uploads/2019/05/IRAQ-2018-INTERNATIONAL-RELIGIOUS-FREEDOM-REPORT.pdf" TargetMode="External"/><Relationship Id="rId5" Type="http://schemas.openxmlformats.org/officeDocument/2006/relationships/hyperlink" Target="https://www.ictj.org/sites/default/files/ICTJ-Report-Iraq-De-Baathification-2013-ENG.pdf" TargetMode="External"/><Relationship Id="rId15" Type="http://schemas.openxmlformats.org/officeDocument/2006/relationships/hyperlink" Target="https://coi.easo.europa.eu/administration/easo/PLib/Iraq_targeting_of_individuals.pdf" TargetMode="External"/><Relationship Id="rId23" Type="http://schemas.openxmlformats.org/officeDocument/2006/relationships/hyperlink" Target="https://www.ictj.org/sites/default/files/ICTJ-Report-Iraq-De-Baathification-2013-ENG.pdf" TargetMode="External"/><Relationship Id="rId28" Type="http://schemas.openxmlformats.org/officeDocument/2006/relationships/hyperlink" Target="https://www.ictj.org/sites/default/files/ICTJ-Report-Iraq-De-Baathification-2013-ENG.pdf" TargetMode="External"/><Relationship Id="rId36" Type="http://schemas.openxmlformats.org/officeDocument/2006/relationships/hyperlink" Target="https://www.ohchr.org/Documents/Countries/IQ/UNAMI_OHCHR_4th_POCReport-11Dec2014-30April2015.pdf" TargetMode="External"/><Relationship Id="rId10" Type="http://schemas.openxmlformats.org/officeDocument/2006/relationships/hyperlink" Target="https://www.middleeasteye.net/features/analysis-iraqs-baath-party-where-are-they-now" TargetMode="External"/><Relationship Id="rId19" Type="http://schemas.openxmlformats.org/officeDocument/2006/relationships/hyperlink" Target="https://www.state.gov/wp-content/uploads/2019/04/crt_2017.pdf" TargetMode="External"/><Relationship Id="rId31" Type="http://schemas.openxmlformats.org/officeDocument/2006/relationships/hyperlink" Target="https://www.alaraby.co.uk/english/news/2014/11/7/iraqi-president-calls-for-repeal-of-de-baathification-laws" TargetMode="External"/><Relationship Id="rId44" Type="http://schemas.openxmlformats.org/officeDocument/2006/relationships/hyperlink" Target="https://dfat.gov.au/about-us/publications/Documents/country-information-report-iraq.pdf" TargetMode="External"/><Relationship Id="rId4" Type="http://schemas.openxmlformats.org/officeDocument/2006/relationships/hyperlink" Target="https://www.easo.europa.eu/sites/default/files/Country_Guidance_Iraq_2019.pdf" TargetMode="External"/><Relationship Id="rId9" Type="http://schemas.openxmlformats.org/officeDocument/2006/relationships/hyperlink" Target="https://www.refworld.org/docid/520b818b4.html" TargetMode="External"/><Relationship Id="rId14" Type="http://schemas.openxmlformats.org/officeDocument/2006/relationships/hyperlink" Target="https://freedomhouse.org/report/freedom-world/2019/iraq" TargetMode="External"/><Relationship Id="rId22" Type="http://schemas.openxmlformats.org/officeDocument/2006/relationships/hyperlink" Target="https://www.ictj.org/sites/default/files/ICTJ-Report-Iraq-De-Baathification-2013-ENG.pdf" TargetMode="External"/><Relationship Id="rId27" Type="http://schemas.openxmlformats.org/officeDocument/2006/relationships/hyperlink" Target="https://www.ictj.org/sites/default/files/ICTJ-Report-Iraq-De-Baathification-2013-ENG.pdf" TargetMode="External"/><Relationship Id="rId30" Type="http://schemas.openxmlformats.org/officeDocument/2006/relationships/hyperlink" Target="https://dfat.gov.au/about-us/publications/Documents/country-information-report-iraq.pdf" TargetMode="External"/><Relationship Id="rId35" Type="http://schemas.openxmlformats.org/officeDocument/2006/relationships/hyperlink" Target="https://www.ohchr.org/Documents/Countries/IQ/UNAMI_OHCHR_4th_POCReport-11Dec2014-30April2015.pdf" TargetMode="External"/><Relationship Id="rId43" Type="http://schemas.openxmlformats.org/officeDocument/2006/relationships/hyperlink" Target="https://dfat.gov.au/about-us/publications/Documents/country-information-report-iraq.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8" ma:contentTypeDescription="Create a new document." ma:contentTypeScope="" ma:versionID="83cd02baa8a68c81d8edd48ddfc318d3">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8ea828452458c6a01a59dfa09f01de01"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14C3D8C9-45AF-46FE-B986-FB3E1CE89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3CC8-31DD-47A7-9638-9EC6A4F30F39}">
  <ds:schemaRefs>
    <ds:schemaRef ds:uri="http://schemas.openxmlformats.org/officeDocument/2006/bibliography"/>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F117CAA7-1DD8-4E74-9039-90C8DDB681A3}">
  <ds:schemaRefs>
    <ds:schemaRef ds:uri="e53deb5b-328f-428d-9c73-d307b6dc79c5"/>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cead7266-2d30-40ba-9b05-25eb0561d86a"/>
    <ds:schemaRef ds:uri="http://www.w3.org/XML/1998/namespace"/>
    <ds:schemaRef ds:uri="http://purl.org/dc/dcmitype/"/>
  </ds:schemaRefs>
</ds:datastoreItem>
</file>

<file path=customXml/itemProps5.xml><?xml version="1.0" encoding="utf-8"?>
<ds:datastoreItem xmlns:ds="http://schemas.openxmlformats.org/officeDocument/2006/customXml" ds:itemID="{E2D93B56-CCFA-49BE-931B-850E78356A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10152</Words>
  <Characters>57872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67889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creator>Country Policy &amp; Information Team</dc:creator>
  <dc:description/>
  <cp:lastModifiedBy>Christopher Hicks (CPIT)</cp:lastModifiedBy>
  <cp:revision>2</cp:revision>
  <cp:lastPrinted>2019-12-18T10:43:00Z</cp:lastPrinted>
  <dcterms:created xsi:type="dcterms:W3CDTF">2022-04-12T14:11:00Z</dcterms:created>
  <dcterms:modified xsi:type="dcterms:W3CDTF">2022-04-12T14:11:00Z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b217c53c-f419-4595-943b-269b6e16dfc3</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0.5</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2019-04-29T09:51:20Z</vt:lpwstr>
  </property>
  <property fmtid="{D5CDD505-2E9C-101B-9397-08002B2CF9AE}" pid="38" name="CX_RelocationUser">
    <vt:lpwstr>Pauline Crichlow</vt:lpwstr>
  </property>
  <property fmtid="{D5CDD505-2E9C-101B-9397-08002B2CF9AE}" pid="39" name="CX_RelocationOperation">
    <vt:lpwstr>Copy</vt:lpwstr>
  </property>
  <property fmtid="{D5CDD505-2E9C-101B-9397-08002B2CF9AE}" pid="40" name="Deleted">
    <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