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6E" w:rsidRDefault="00FF0ACD" w:rsidP="00FF0ACD">
      <w:pPr>
        <w:jc w:val="center"/>
        <w:rPr>
          <w:rFonts w:ascii="Times New Roman" w:hAnsi="Times New Roman" w:cs="Times New Roman"/>
          <w:b/>
          <w:bCs/>
          <w:sz w:val="24"/>
          <w:szCs w:val="24"/>
        </w:rPr>
      </w:pPr>
      <w:bookmarkStart w:id="0" w:name="_GoBack"/>
      <w:bookmarkEnd w:id="0"/>
      <w:r>
        <w:rPr>
          <w:noProof/>
          <w:lang w:eastAsia="en-GB"/>
        </w:rPr>
        <w:drawing>
          <wp:inline distT="0" distB="0" distL="0" distR="0" wp14:anchorId="3C82C3A7" wp14:editId="7F98A8F8">
            <wp:extent cx="2276476" cy="3160724"/>
            <wp:effectExtent l="0" t="0" r="0" b="0"/>
            <wp:docPr id="57" name="Picture 57" descr="cid:image001.png@01D4CD06.CAEA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CD06.CAEA08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2152" cy="3168605"/>
                    </a:xfrm>
                    <a:prstGeom prst="rect">
                      <a:avLst/>
                    </a:prstGeom>
                    <a:noFill/>
                    <a:ln>
                      <a:noFill/>
                    </a:ln>
                  </pic:spPr>
                </pic:pic>
              </a:graphicData>
            </a:graphic>
          </wp:inline>
        </w:drawing>
      </w:r>
    </w:p>
    <w:p w:rsidR="009D69EF" w:rsidRDefault="009D69EF" w:rsidP="009D69EF">
      <w:pPr>
        <w:jc w:val="both"/>
        <w:rPr>
          <w:rFonts w:ascii="Times New Roman" w:hAnsi="Times New Roman" w:cs="Times New Roman"/>
          <w:sz w:val="24"/>
          <w:szCs w:val="24"/>
        </w:rPr>
      </w:pPr>
    </w:p>
    <w:p w:rsidR="00287976" w:rsidRDefault="00287976" w:rsidP="009D69EF">
      <w:pPr>
        <w:jc w:val="both"/>
        <w:rPr>
          <w:rFonts w:ascii="Times New Roman" w:hAnsi="Times New Roman" w:cs="Times New Roman"/>
          <w:sz w:val="24"/>
          <w:szCs w:val="24"/>
        </w:rPr>
      </w:pPr>
    </w:p>
    <w:p w:rsidR="00287976" w:rsidRDefault="00287976" w:rsidP="009D69EF">
      <w:pPr>
        <w:jc w:val="both"/>
        <w:rPr>
          <w:rFonts w:ascii="Times New Roman" w:hAnsi="Times New Roman" w:cs="Times New Roman"/>
          <w:sz w:val="24"/>
          <w:szCs w:val="24"/>
        </w:rPr>
      </w:pPr>
    </w:p>
    <w:p w:rsidR="009D69EF" w:rsidRDefault="00287976" w:rsidP="009D69EF">
      <w:pPr>
        <w:jc w:val="both"/>
        <w:rPr>
          <w:rFonts w:ascii="Times New Roman" w:hAnsi="Times New Roman" w:cs="Times New Roman"/>
          <w:sz w:val="24"/>
          <w:szCs w:val="24"/>
        </w:rPr>
      </w:pPr>
      <w:r>
        <w:rPr>
          <w:rFonts w:ascii="Times New Roman" w:hAnsi="Times New Roman" w:cs="Times New Roman"/>
          <w:b/>
          <w:bCs/>
          <w:sz w:val="24"/>
          <w:szCs w:val="24"/>
        </w:rPr>
        <w:t>To:</w:t>
      </w:r>
      <w:r w:rsidRPr="009D69EF">
        <w:rPr>
          <w:rFonts w:ascii="Times New Roman" w:hAnsi="Times New Roman" w:cs="Times New Roman"/>
          <w:b/>
          <w:bCs/>
          <w:sz w:val="24"/>
          <w:szCs w:val="24"/>
        </w:rPr>
        <w:t xml:space="preserve"> </w:t>
      </w:r>
      <w:r w:rsidRPr="0038348D">
        <w:rPr>
          <w:rFonts w:ascii="Times New Roman" w:hAnsi="Times New Roman" w:cs="Times New Roman"/>
          <w:b/>
          <w:bCs/>
          <w:sz w:val="24"/>
          <w:szCs w:val="24"/>
        </w:rPr>
        <w:t>CRC 83 Pre-Sessional Working Group (03 Jun 2019 - 07 Jun 2019)</w:t>
      </w:r>
    </w:p>
    <w:p w:rsidR="00287976" w:rsidRDefault="00287976" w:rsidP="00777A39">
      <w:pPr>
        <w:jc w:val="both"/>
        <w:rPr>
          <w:rFonts w:ascii="Times New Roman" w:hAnsi="Times New Roman" w:cs="Times New Roman"/>
          <w:b/>
          <w:bCs/>
          <w:sz w:val="24"/>
          <w:szCs w:val="24"/>
        </w:rPr>
      </w:pPr>
      <w:r w:rsidRPr="00287976">
        <w:rPr>
          <w:rFonts w:ascii="Times New Roman" w:hAnsi="Times New Roman" w:cs="Times New Roman"/>
          <w:b/>
          <w:bCs/>
          <w:sz w:val="24"/>
          <w:szCs w:val="24"/>
        </w:rPr>
        <w:t xml:space="preserve"> From: </w:t>
      </w:r>
      <w:r w:rsidRPr="009D69EF">
        <w:rPr>
          <w:rFonts w:ascii="Times New Roman" w:hAnsi="Times New Roman" w:cs="Times New Roman"/>
          <w:b/>
          <w:bCs/>
          <w:sz w:val="24"/>
          <w:szCs w:val="24"/>
        </w:rPr>
        <w:t>Independent Commission</w:t>
      </w:r>
      <w:r w:rsidRPr="009B11FB">
        <w:rPr>
          <w:rFonts w:ascii="Times New Roman" w:hAnsi="Times New Roman" w:cs="Times New Roman"/>
          <w:b/>
          <w:bCs/>
          <w:sz w:val="24"/>
          <w:szCs w:val="24"/>
        </w:rPr>
        <w:t xml:space="preserve"> </w:t>
      </w:r>
      <w:r w:rsidRPr="009D69EF">
        <w:rPr>
          <w:rFonts w:ascii="Times New Roman" w:hAnsi="Times New Roman" w:cs="Times New Roman"/>
          <w:b/>
          <w:bCs/>
          <w:sz w:val="24"/>
          <w:szCs w:val="24"/>
        </w:rPr>
        <w:t>for Human Rights</w:t>
      </w:r>
      <w:r>
        <w:rPr>
          <w:rFonts w:ascii="Times New Roman" w:hAnsi="Times New Roman" w:cs="Times New Roman"/>
          <w:b/>
          <w:bCs/>
          <w:sz w:val="24"/>
          <w:szCs w:val="24"/>
        </w:rPr>
        <w:t xml:space="preserve"> ICHR.</w:t>
      </w:r>
      <w:r w:rsidRPr="00287976">
        <w:rPr>
          <w:rFonts w:ascii="Times New Roman" w:hAnsi="Times New Roman" w:cs="Times New Roman"/>
          <w:b/>
          <w:bCs/>
          <w:sz w:val="24"/>
          <w:szCs w:val="24"/>
        </w:rPr>
        <w:t xml:space="preserve"> (NHRIs)</w:t>
      </w:r>
    </w:p>
    <w:p w:rsidR="00287976" w:rsidRDefault="00287976" w:rsidP="00287976">
      <w:pPr>
        <w:jc w:val="both"/>
        <w:rPr>
          <w:rFonts w:ascii="Times New Roman" w:hAnsi="Times New Roman" w:cs="Times New Roman"/>
          <w:b/>
          <w:bCs/>
          <w:sz w:val="24"/>
          <w:szCs w:val="24"/>
        </w:rPr>
      </w:pPr>
    </w:p>
    <w:p w:rsidR="00287976" w:rsidRPr="00287976" w:rsidRDefault="00287976" w:rsidP="00287976">
      <w:pPr>
        <w:jc w:val="both"/>
        <w:rPr>
          <w:rFonts w:ascii="Times New Roman" w:hAnsi="Times New Roman" w:cs="Times New Roman"/>
          <w:b/>
          <w:bCs/>
          <w:sz w:val="24"/>
          <w:szCs w:val="24"/>
        </w:rPr>
      </w:pPr>
    </w:p>
    <w:p w:rsidR="00221A54" w:rsidRDefault="00221A54" w:rsidP="00221A54">
      <w:pPr>
        <w:jc w:val="both"/>
        <w:rPr>
          <w:rFonts w:ascii="Times New Roman" w:hAnsi="Times New Roman" w:cs="Times New Roman"/>
          <w:sz w:val="24"/>
          <w:szCs w:val="24"/>
        </w:rPr>
      </w:pPr>
    </w:p>
    <w:p w:rsidR="00221A54" w:rsidRDefault="00221A54" w:rsidP="00221A54">
      <w:pPr>
        <w:jc w:val="center"/>
        <w:rPr>
          <w:rFonts w:ascii="Times New Roman" w:hAnsi="Times New Roman" w:cs="Times New Roman"/>
          <w:b/>
          <w:bCs/>
          <w:sz w:val="24"/>
          <w:szCs w:val="24"/>
        </w:rPr>
      </w:pPr>
      <w:r>
        <w:rPr>
          <w:rFonts w:ascii="Times New Roman" w:hAnsi="Times New Roman" w:cs="Times New Roman"/>
          <w:b/>
          <w:bCs/>
          <w:sz w:val="24"/>
          <w:szCs w:val="24"/>
        </w:rPr>
        <w:t xml:space="preserve">Statement by the Independent Commission for Human Rights on the Initial report submitted by the State of Palestine to the United Nations Committee on the Rights of the Child </w:t>
      </w:r>
    </w:p>
    <w:p w:rsidR="00D1393A" w:rsidRDefault="00D1393A" w:rsidP="00DE424A">
      <w:pPr>
        <w:rPr>
          <w:rFonts w:ascii="Times New Roman" w:hAnsi="Times New Roman" w:cs="Times New Roman"/>
          <w:b/>
          <w:bCs/>
          <w:sz w:val="24"/>
          <w:szCs w:val="24"/>
          <w:rtl/>
        </w:rPr>
      </w:pPr>
    </w:p>
    <w:p w:rsidR="000D59B3" w:rsidRDefault="000D59B3" w:rsidP="00CA1F6E">
      <w:pPr>
        <w:jc w:val="center"/>
        <w:rPr>
          <w:rFonts w:ascii="Times New Roman" w:hAnsi="Times New Roman" w:cs="Times New Roman"/>
          <w:b/>
          <w:bCs/>
          <w:sz w:val="24"/>
          <w:szCs w:val="24"/>
        </w:rPr>
      </w:pPr>
    </w:p>
    <w:p w:rsidR="00DE424A" w:rsidRDefault="00CA1F6E" w:rsidP="00DE424A">
      <w:pPr>
        <w:jc w:val="center"/>
        <w:rPr>
          <w:rFonts w:ascii="Times New Roman" w:hAnsi="Times New Roman" w:cs="Times New Roman"/>
          <w:b/>
          <w:bCs/>
          <w:sz w:val="24"/>
          <w:szCs w:val="24"/>
        </w:rPr>
      </w:pPr>
      <w:r>
        <w:rPr>
          <w:rFonts w:ascii="Times New Roman" w:hAnsi="Times New Roman" w:cs="Times New Roman"/>
          <w:b/>
          <w:bCs/>
          <w:sz w:val="24"/>
          <w:szCs w:val="24"/>
        </w:rPr>
        <w:t>April 2019</w:t>
      </w:r>
    </w:p>
    <w:p w:rsidR="00404473" w:rsidRDefault="00404473" w:rsidP="00DE424A">
      <w:pPr>
        <w:jc w:val="center"/>
        <w:rPr>
          <w:rFonts w:ascii="Times New Roman" w:hAnsi="Times New Roman" w:cs="Times New Roman"/>
          <w:b/>
          <w:bCs/>
          <w:sz w:val="24"/>
          <w:szCs w:val="24"/>
        </w:rPr>
      </w:pPr>
    </w:p>
    <w:p w:rsidR="00CA1F6E" w:rsidRDefault="00CA1F6E" w:rsidP="00CA1F6E">
      <w:pPr>
        <w:jc w:val="center"/>
        <w:rPr>
          <w:rFonts w:ascii="Times New Roman" w:hAnsi="Times New Roman" w:cs="Times New Roman"/>
          <w:b/>
          <w:bCs/>
          <w:sz w:val="24"/>
          <w:szCs w:val="24"/>
        </w:rPr>
      </w:pPr>
      <w:r>
        <w:rPr>
          <w:rFonts w:ascii="Times New Roman" w:hAnsi="Times New Roman" w:cs="Times New Roman"/>
          <w:b/>
          <w:bCs/>
          <w:sz w:val="24"/>
          <w:szCs w:val="24"/>
        </w:rPr>
        <w:t>Palestine</w:t>
      </w:r>
    </w:p>
    <w:p w:rsidR="009B11FB" w:rsidRDefault="009B11FB" w:rsidP="00CA1F6E">
      <w:pPr>
        <w:jc w:val="center"/>
        <w:rPr>
          <w:rFonts w:ascii="Times New Roman" w:hAnsi="Times New Roman" w:cs="Times New Roman"/>
          <w:b/>
          <w:bCs/>
          <w:sz w:val="24"/>
          <w:szCs w:val="24"/>
        </w:rPr>
      </w:pPr>
    </w:p>
    <w:p w:rsidR="009B11FB" w:rsidRDefault="009B11FB" w:rsidP="00CA1F6E">
      <w:pPr>
        <w:jc w:val="center"/>
        <w:rPr>
          <w:rFonts w:ascii="Times New Roman" w:hAnsi="Times New Roman" w:cs="Times New Roman"/>
          <w:b/>
          <w:bCs/>
          <w:sz w:val="24"/>
          <w:szCs w:val="24"/>
        </w:rPr>
      </w:pPr>
    </w:p>
    <w:p w:rsidR="009B11FB" w:rsidRPr="009D69EF" w:rsidRDefault="009B11FB" w:rsidP="00CA1F6E">
      <w:pPr>
        <w:jc w:val="center"/>
        <w:rPr>
          <w:rFonts w:ascii="Times New Roman" w:hAnsi="Times New Roman" w:cs="Times New Roman"/>
          <w:b/>
          <w:bCs/>
          <w:sz w:val="24"/>
          <w:szCs w:val="24"/>
        </w:rPr>
      </w:pPr>
    </w:p>
    <w:p w:rsidR="00AA6349" w:rsidRPr="009D69EF" w:rsidRDefault="00AA6349" w:rsidP="009D69EF">
      <w:pPr>
        <w:jc w:val="both"/>
        <w:rPr>
          <w:rFonts w:ascii="Times New Roman" w:hAnsi="Times New Roman" w:cs="Times New Roman"/>
          <w:sz w:val="24"/>
          <w:szCs w:val="24"/>
        </w:rPr>
      </w:pPr>
    </w:p>
    <w:tbl>
      <w:tblPr>
        <w:tblStyle w:val="TableGrid"/>
        <w:tblW w:w="9990" w:type="dxa"/>
        <w:tblInd w:w="-545" w:type="dxa"/>
        <w:shd w:val="clear" w:color="auto" w:fill="F2F2F2" w:themeFill="background1" w:themeFillShade="F2"/>
        <w:tblLook w:val="04A0" w:firstRow="1" w:lastRow="0" w:firstColumn="1" w:lastColumn="0" w:noHBand="0" w:noVBand="1"/>
      </w:tblPr>
      <w:tblGrid>
        <w:gridCol w:w="9990"/>
      </w:tblGrid>
      <w:tr w:rsidR="008A3C74" w:rsidRPr="00FF0ACD" w:rsidTr="00FF0ACD">
        <w:tc>
          <w:tcPr>
            <w:tcW w:w="9990" w:type="dxa"/>
            <w:shd w:val="clear" w:color="auto" w:fill="F2F2F2" w:themeFill="background1" w:themeFillShade="F2"/>
          </w:tcPr>
          <w:p w:rsidR="00FF0ACD" w:rsidRDefault="00FF0ACD" w:rsidP="008A3C74">
            <w:pPr>
              <w:jc w:val="center"/>
              <w:rPr>
                <w:rFonts w:asciiTheme="majorBidi" w:hAnsiTheme="majorBidi" w:cstheme="majorBidi"/>
                <w:b/>
                <w:bCs/>
                <w:sz w:val="26"/>
                <w:szCs w:val="26"/>
              </w:rPr>
            </w:pPr>
            <w:r>
              <w:rPr>
                <w:noProof/>
                <w:lang w:eastAsia="en-GB"/>
              </w:rPr>
              <w:drawing>
                <wp:inline distT="0" distB="0" distL="0" distR="0" wp14:anchorId="1E271AFE" wp14:editId="5D4337FF">
                  <wp:extent cx="714612" cy="992188"/>
                  <wp:effectExtent l="0" t="0" r="9525" b="0"/>
                  <wp:docPr id="1" name="Picture 1" descr="cid:image001.png@01D4CD06.CAEA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CD06.CAEA08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5151" cy="1034589"/>
                          </a:xfrm>
                          <a:prstGeom prst="rect">
                            <a:avLst/>
                          </a:prstGeom>
                          <a:noFill/>
                          <a:ln>
                            <a:noFill/>
                          </a:ln>
                        </pic:spPr>
                      </pic:pic>
                    </a:graphicData>
                  </a:graphic>
                </wp:inline>
              </w:drawing>
            </w:r>
          </w:p>
          <w:p w:rsidR="008A3C74" w:rsidRPr="00FF0ACD" w:rsidRDefault="008A3C74" w:rsidP="008A3C74">
            <w:pPr>
              <w:jc w:val="center"/>
              <w:rPr>
                <w:rFonts w:asciiTheme="majorBidi" w:hAnsiTheme="majorBidi" w:cstheme="majorBidi"/>
                <w:b/>
                <w:bCs/>
                <w:sz w:val="26"/>
                <w:szCs w:val="26"/>
              </w:rPr>
            </w:pPr>
            <w:r w:rsidRPr="00FF0ACD">
              <w:rPr>
                <w:rFonts w:asciiTheme="majorBidi" w:hAnsiTheme="majorBidi" w:cstheme="majorBidi"/>
                <w:b/>
                <w:bCs/>
                <w:sz w:val="26"/>
                <w:szCs w:val="26"/>
              </w:rPr>
              <w:t>Profile of the Independent Commission for Human Rights</w:t>
            </w:r>
          </w:p>
          <w:p w:rsidR="008A3C74" w:rsidRPr="00FF0ACD" w:rsidRDefault="008A3C74" w:rsidP="008A3C74">
            <w:pPr>
              <w:jc w:val="center"/>
              <w:rPr>
                <w:rFonts w:asciiTheme="majorBidi" w:hAnsiTheme="majorBidi" w:cstheme="majorBidi"/>
                <w:b/>
                <w:bCs/>
                <w:sz w:val="26"/>
                <w:szCs w:val="26"/>
              </w:rPr>
            </w:pPr>
          </w:p>
          <w:p w:rsidR="008A3C74" w:rsidRDefault="008A3C74" w:rsidP="00FF0ACD">
            <w:pPr>
              <w:ind w:left="255" w:right="256"/>
              <w:jc w:val="both"/>
              <w:rPr>
                <w:rFonts w:asciiTheme="majorBidi" w:hAnsiTheme="majorBidi" w:cstheme="majorBidi"/>
                <w:sz w:val="26"/>
                <w:szCs w:val="26"/>
              </w:rPr>
            </w:pPr>
            <w:r w:rsidRPr="00FF0ACD">
              <w:rPr>
                <w:rFonts w:asciiTheme="majorBidi" w:hAnsiTheme="majorBidi" w:cstheme="majorBidi"/>
                <w:sz w:val="26"/>
                <w:szCs w:val="26"/>
              </w:rPr>
              <w:t xml:space="preserve">As the Palestinian national human rights institution, the Independent Commission for Human Rights (ICHR) is a full member of the Global Alliance of National Human Rights Institutions (GANRI). On 30 September 1993, the ICHR was established in accordance with a Presidential Decree promulgated by the late President Yasser Arafat. The Decree was subsequently published under number 95/1995 in the Palestinian Official Gazette in 1995. According to the Presidential Decree, the functions and responsibilities of the ICHR are outlined as follows: “To monitor and ensure that requirements for safeguarding human rights are fulfilled by various Palestinian laws, bylaws and regulations, as well as by functions of various departments, agencies and institutions of the State of Palestine and the Palestine Liberation Organisation.” </w:t>
            </w:r>
          </w:p>
          <w:p w:rsidR="00FF0ACD" w:rsidRPr="00FF0ACD" w:rsidRDefault="00FF0ACD" w:rsidP="00FF0ACD">
            <w:pPr>
              <w:ind w:left="255" w:right="256"/>
              <w:jc w:val="both"/>
              <w:rPr>
                <w:rFonts w:asciiTheme="majorBidi" w:hAnsiTheme="majorBidi" w:cstheme="majorBidi"/>
                <w:sz w:val="26"/>
                <w:szCs w:val="26"/>
              </w:rPr>
            </w:pPr>
          </w:p>
          <w:p w:rsidR="00FF0ACD" w:rsidRDefault="008A3C74" w:rsidP="00FF0ACD">
            <w:pPr>
              <w:ind w:left="255" w:right="256"/>
              <w:jc w:val="both"/>
              <w:rPr>
                <w:rFonts w:asciiTheme="majorBidi" w:hAnsiTheme="majorBidi" w:cstheme="majorBidi"/>
                <w:sz w:val="26"/>
                <w:szCs w:val="26"/>
              </w:rPr>
            </w:pPr>
            <w:r w:rsidRPr="00FF0ACD">
              <w:rPr>
                <w:rFonts w:asciiTheme="majorBidi" w:hAnsiTheme="majorBidi" w:cstheme="majorBidi"/>
                <w:sz w:val="26"/>
                <w:szCs w:val="26"/>
              </w:rPr>
              <w:t>The President Decree tasks the ICHR with drafting its own bylaws in a manner that ensures the Commission’s independence and effectiveness. The ICHR commenced its activities in early 1994. The first ICHR Commissioner General was Dr. Hanan Ashrawi, who initiated and spearheaded establishment of the ICHR. Having been approved by the Palestinian Legislative Council (PLC) in 1997, later, the Palestinian Basic Law was promulgated and published in the Palestinian Official Gazette in 2002. Article 31 of the Basic Law provides that “[a]n independent Commission for Human Rights shall be established by law, which shall specify its formation, duties and jurisdiction. The Commission shall submit its reports to the President of the National Authority and the Palestinian Legislative Council.” Despite the fact that the law has not yet been approved or passed, the ICHR clearly operates based on the 1994 Presidential Decree until such time the ICHR Law is endorsed.</w:t>
            </w:r>
          </w:p>
          <w:p w:rsidR="008A3C74" w:rsidRPr="00FF0ACD" w:rsidRDefault="008A3C74" w:rsidP="00FF0ACD">
            <w:pPr>
              <w:ind w:left="255" w:right="256"/>
              <w:jc w:val="both"/>
              <w:rPr>
                <w:rFonts w:asciiTheme="majorBidi" w:hAnsiTheme="majorBidi" w:cstheme="majorBidi"/>
                <w:sz w:val="26"/>
                <w:szCs w:val="26"/>
              </w:rPr>
            </w:pPr>
            <w:r w:rsidRPr="00FF0ACD">
              <w:rPr>
                <w:rFonts w:asciiTheme="majorBidi" w:hAnsiTheme="majorBidi" w:cstheme="majorBidi"/>
                <w:sz w:val="26"/>
                <w:szCs w:val="26"/>
              </w:rPr>
              <w:t xml:space="preserve"> </w:t>
            </w:r>
          </w:p>
          <w:p w:rsidR="008A3C74" w:rsidRDefault="008A3C74" w:rsidP="00FF0ACD">
            <w:pPr>
              <w:ind w:left="255" w:right="256"/>
              <w:jc w:val="both"/>
              <w:rPr>
                <w:rFonts w:asciiTheme="majorBidi" w:hAnsiTheme="majorBidi" w:cstheme="majorBidi"/>
                <w:sz w:val="26"/>
                <w:szCs w:val="26"/>
              </w:rPr>
            </w:pPr>
            <w:r w:rsidRPr="00FF0ACD">
              <w:rPr>
                <w:rFonts w:asciiTheme="majorBidi" w:hAnsiTheme="majorBidi" w:cstheme="majorBidi"/>
                <w:sz w:val="26"/>
                <w:szCs w:val="26"/>
              </w:rPr>
              <w:t>In its capacity as the national human rights institution and Ombudsman office, the ICHR monitors and ensures that requirements for safeguarding human rights are fulfilled by various Palestinian laws, bylaws and regulations, as well as by functions of various Palestinian departments, agencies and institutions. The ICHR scope of work extends to address human rights violations, handle complaints of human rights abuses committed against citizens by the Executive branch of government, promote legal literacy, and monitor national legislation and policies, ensuring consistence with international human rights standards.</w:t>
            </w:r>
          </w:p>
          <w:p w:rsidR="00FF0ACD" w:rsidRPr="00FF0ACD" w:rsidRDefault="00FF0ACD" w:rsidP="00FF0ACD">
            <w:pPr>
              <w:ind w:right="256"/>
              <w:jc w:val="both"/>
              <w:rPr>
                <w:rFonts w:asciiTheme="majorBidi" w:hAnsiTheme="majorBidi" w:cstheme="majorBidi"/>
                <w:b/>
                <w:bCs/>
                <w:sz w:val="26"/>
                <w:szCs w:val="26"/>
              </w:rPr>
            </w:pPr>
          </w:p>
        </w:tc>
      </w:tr>
    </w:tbl>
    <w:p w:rsidR="00FF0ACD" w:rsidRDefault="00FF0ACD"/>
    <w:tbl>
      <w:tblPr>
        <w:tblStyle w:val="TableGrid"/>
        <w:tblW w:w="9990" w:type="dxa"/>
        <w:tblInd w:w="-545" w:type="dxa"/>
        <w:tblLook w:val="04A0" w:firstRow="1" w:lastRow="0" w:firstColumn="1" w:lastColumn="0" w:noHBand="0" w:noVBand="1"/>
      </w:tblPr>
      <w:tblGrid>
        <w:gridCol w:w="9990"/>
      </w:tblGrid>
      <w:tr w:rsidR="00FD6912" w:rsidTr="00FF0ACD">
        <w:tc>
          <w:tcPr>
            <w:tcW w:w="9990" w:type="dxa"/>
            <w:shd w:val="clear" w:color="auto" w:fill="F2F2F2" w:themeFill="background1" w:themeFillShade="F2"/>
          </w:tcPr>
          <w:p w:rsidR="00FD6912" w:rsidRDefault="00FD6912" w:rsidP="00FF0ACD">
            <w:pPr>
              <w:ind w:left="255" w:right="256"/>
              <w:jc w:val="both"/>
              <w:rPr>
                <w:rFonts w:ascii="Times New Roman" w:hAnsi="Times New Roman" w:cs="Times New Roman"/>
                <w:sz w:val="24"/>
                <w:szCs w:val="24"/>
              </w:rPr>
            </w:pPr>
            <w:r w:rsidRPr="00FF0ACD">
              <w:rPr>
                <w:rFonts w:asciiTheme="majorBidi" w:hAnsiTheme="majorBidi" w:cstheme="majorBidi"/>
                <w:sz w:val="26"/>
                <w:szCs w:val="26"/>
              </w:rPr>
              <w:t xml:space="preserve">Communication Person: </w:t>
            </w:r>
            <w:r w:rsidR="009B11FB" w:rsidRPr="00FF0ACD">
              <w:rPr>
                <w:rFonts w:asciiTheme="majorBidi" w:hAnsiTheme="majorBidi" w:cstheme="majorBidi"/>
                <w:sz w:val="26"/>
                <w:szCs w:val="26"/>
              </w:rPr>
              <w:t>Khadija</w:t>
            </w:r>
            <w:r w:rsidRPr="00FF0ACD">
              <w:rPr>
                <w:rFonts w:asciiTheme="majorBidi" w:hAnsiTheme="majorBidi" w:cstheme="majorBidi"/>
                <w:sz w:val="26"/>
                <w:szCs w:val="26"/>
              </w:rPr>
              <w:t xml:space="preserve"> Zahran. Director of Monitoring Policies &amp; National Legislations Department.  E-mail. khadeja@ichr.ps</w:t>
            </w:r>
          </w:p>
        </w:tc>
      </w:tr>
    </w:tbl>
    <w:p w:rsidR="00FF0ACD" w:rsidRDefault="00FF0ACD" w:rsidP="009D69EF">
      <w:pPr>
        <w:jc w:val="both"/>
        <w:rPr>
          <w:rFonts w:ascii="Times New Roman" w:hAnsi="Times New Roman" w:cs="Times New Roman"/>
          <w:b/>
          <w:bCs/>
          <w:sz w:val="24"/>
          <w:szCs w:val="24"/>
        </w:rPr>
      </w:pPr>
    </w:p>
    <w:p w:rsidR="00F021B1" w:rsidRPr="009D69EF" w:rsidRDefault="00F021B1" w:rsidP="00A15513">
      <w:pPr>
        <w:ind w:right="-810" w:hanging="540"/>
        <w:jc w:val="both"/>
        <w:rPr>
          <w:rFonts w:ascii="Times New Roman" w:hAnsi="Times New Roman" w:cs="Times New Roman"/>
          <w:b/>
          <w:bCs/>
          <w:sz w:val="24"/>
          <w:szCs w:val="24"/>
        </w:rPr>
      </w:pPr>
      <w:r w:rsidRPr="009D69EF">
        <w:rPr>
          <w:rFonts w:ascii="Times New Roman" w:hAnsi="Times New Roman" w:cs="Times New Roman"/>
          <w:b/>
          <w:bCs/>
          <w:sz w:val="24"/>
          <w:szCs w:val="24"/>
        </w:rPr>
        <w:t xml:space="preserve">Common core document </w:t>
      </w:r>
    </w:p>
    <w:p w:rsidR="00F021B1" w:rsidRPr="009D69EF" w:rsidRDefault="007B144E" w:rsidP="00A15513">
      <w:pPr>
        <w:pStyle w:val="ListParagraph"/>
        <w:numPr>
          <w:ilvl w:val="0"/>
          <w:numId w:val="1"/>
        </w:numPr>
        <w:ind w:left="0" w:right="-810" w:hanging="450"/>
        <w:jc w:val="both"/>
        <w:rPr>
          <w:rFonts w:ascii="Times New Roman" w:hAnsi="Times New Roman" w:cs="Times New Roman"/>
          <w:sz w:val="24"/>
          <w:szCs w:val="24"/>
        </w:rPr>
      </w:pPr>
      <w:r>
        <w:rPr>
          <w:rFonts w:ascii="Times New Roman" w:hAnsi="Times New Roman" w:cs="Times New Roman"/>
          <w:sz w:val="24"/>
          <w:szCs w:val="24"/>
        </w:rPr>
        <w:t>T</w:t>
      </w:r>
      <w:r w:rsidRPr="009D69EF">
        <w:rPr>
          <w:rFonts w:ascii="Times New Roman" w:hAnsi="Times New Roman" w:cs="Times New Roman"/>
          <w:sz w:val="24"/>
          <w:szCs w:val="24"/>
        </w:rPr>
        <w:t xml:space="preserve">he State of Palestine </w:t>
      </w:r>
      <w:r>
        <w:rPr>
          <w:rFonts w:ascii="Times New Roman" w:hAnsi="Times New Roman" w:cs="Times New Roman"/>
          <w:sz w:val="24"/>
          <w:szCs w:val="24"/>
        </w:rPr>
        <w:t xml:space="preserve">acceded to the Convention on the Rights of the Child </w:t>
      </w:r>
      <w:r w:rsidR="00252C0A">
        <w:rPr>
          <w:rFonts w:ascii="Times New Roman" w:hAnsi="Times New Roman" w:cs="Times New Roman"/>
          <w:sz w:val="24"/>
          <w:szCs w:val="24"/>
        </w:rPr>
        <w:t>(hereinafter the “</w:t>
      </w:r>
      <w:r w:rsidR="00252C0A" w:rsidRPr="009D69EF">
        <w:rPr>
          <w:rFonts w:ascii="Times New Roman" w:hAnsi="Times New Roman" w:cs="Times New Roman"/>
          <w:sz w:val="24"/>
          <w:szCs w:val="24"/>
          <w:lang w:bidi="ar-JO"/>
        </w:rPr>
        <w:t>Convention</w:t>
      </w:r>
      <w:r w:rsidR="00252C0A">
        <w:rPr>
          <w:rFonts w:ascii="Times New Roman" w:hAnsi="Times New Roman" w:cs="Times New Roman"/>
          <w:sz w:val="24"/>
          <w:szCs w:val="24"/>
          <w:lang w:bidi="ar-JO"/>
        </w:rPr>
        <w:t>”</w:t>
      </w:r>
      <w:r w:rsidR="00252C0A">
        <w:rPr>
          <w:rFonts w:ascii="Times New Roman" w:hAnsi="Times New Roman" w:cs="Times New Roman"/>
          <w:sz w:val="24"/>
          <w:szCs w:val="24"/>
        </w:rPr>
        <w:t xml:space="preserve">) </w:t>
      </w:r>
      <w:r>
        <w:rPr>
          <w:rFonts w:ascii="Times New Roman" w:hAnsi="Times New Roman" w:cs="Times New Roman"/>
          <w:sz w:val="24"/>
          <w:szCs w:val="24"/>
        </w:rPr>
        <w:t xml:space="preserve">in April 2014. </w:t>
      </w:r>
      <w:r w:rsidR="00536DF8">
        <w:rPr>
          <w:rFonts w:ascii="Times New Roman" w:hAnsi="Times New Roman" w:cs="Times New Roman"/>
          <w:sz w:val="24"/>
          <w:szCs w:val="24"/>
        </w:rPr>
        <w:t xml:space="preserve">In </w:t>
      </w:r>
      <w:r w:rsidR="00C4238E" w:rsidRPr="009D69EF">
        <w:rPr>
          <w:rFonts w:ascii="Times New Roman" w:hAnsi="Times New Roman" w:cs="Times New Roman"/>
          <w:sz w:val="24"/>
          <w:szCs w:val="24"/>
        </w:rPr>
        <w:t>its initial report to the Committee on the Rights of the Child (CRC)</w:t>
      </w:r>
      <w:r w:rsidR="00536DF8">
        <w:rPr>
          <w:rFonts w:ascii="Times New Roman" w:hAnsi="Times New Roman" w:cs="Times New Roman"/>
          <w:sz w:val="24"/>
          <w:szCs w:val="24"/>
        </w:rPr>
        <w:t>, t</w:t>
      </w:r>
      <w:r w:rsidR="00536DF8" w:rsidRPr="009D69EF">
        <w:rPr>
          <w:rFonts w:ascii="Times New Roman" w:hAnsi="Times New Roman" w:cs="Times New Roman"/>
          <w:sz w:val="24"/>
          <w:szCs w:val="24"/>
        </w:rPr>
        <w:t xml:space="preserve">he State of Palestine </w:t>
      </w:r>
      <w:r w:rsidR="00536DF8">
        <w:rPr>
          <w:rFonts w:ascii="Times New Roman" w:hAnsi="Times New Roman" w:cs="Times New Roman"/>
          <w:sz w:val="24"/>
          <w:szCs w:val="24"/>
        </w:rPr>
        <w:t>does</w:t>
      </w:r>
      <w:r w:rsidR="00536DF8" w:rsidRPr="009D69EF">
        <w:rPr>
          <w:rFonts w:ascii="Times New Roman" w:hAnsi="Times New Roman" w:cs="Times New Roman"/>
          <w:sz w:val="24"/>
          <w:szCs w:val="24"/>
        </w:rPr>
        <w:t xml:space="preserve"> not </w:t>
      </w:r>
      <w:r w:rsidR="00536DF8">
        <w:rPr>
          <w:rFonts w:ascii="Times New Roman" w:hAnsi="Times New Roman" w:cs="Times New Roman"/>
          <w:sz w:val="24"/>
          <w:szCs w:val="24"/>
        </w:rPr>
        <w:t>enclose</w:t>
      </w:r>
      <w:r w:rsidR="00536DF8" w:rsidRPr="009D69EF">
        <w:rPr>
          <w:rFonts w:ascii="Times New Roman" w:hAnsi="Times New Roman" w:cs="Times New Roman"/>
          <w:sz w:val="24"/>
          <w:szCs w:val="24"/>
        </w:rPr>
        <w:t xml:space="preserve"> the common core document</w:t>
      </w:r>
      <w:r w:rsidR="00D62557" w:rsidRPr="009D69EF">
        <w:rPr>
          <w:rFonts w:ascii="Times New Roman" w:hAnsi="Times New Roman" w:cs="Times New Roman"/>
          <w:sz w:val="24"/>
          <w:szCs w:val="24"/>
        </w:rPr>
        <w:t xml:space="preserve">. The ICHR is, therefore, unaware of the </w:t>
      </w:r>
      <w:r w:rsidR="00536DF8">
        <w:rPr>
          <w:rFonts w:ascii="Times New Roman" w:hAnsi="Times New Roman" w:cs="Times New Roman"/>
          <w:sz w:val="24"/>
          <w:szCs w:val="24"/>
        </w:rPr>
        <w:t xml:space="preserve">official </w:t>
      </w:r>
      <w:r w:rsidR="00D62557" w:rsidRPr="009D69EF">
        <w:rPr>
          <w:rFonts w:ascii="Times New Roman" w:hAnsi="Times New Roman" w:cs="Times New Roman"/>
          <w:sz w:val="24"/>
          <w:szCs w:val="24"/>
        </w:rPr>
        <w:t xml:space="preserve">efforts </w:t>
      </w:r>
      <w:r w:rsidR="00536DF8">
        <w:rPr>
          <w:rFonts w:ascii="Times New Roman" w:hAnsi="Times New Roman" w:cs="Times New Roman"/>
          <w:sz w:val="24"/>
          <w:szCs w:val="24"/>
        </w:rPr>
        <w:t xml:space="preserve">made </w:t>
      </w:r>
      <w:r w:rsidR="006874F4">
        <w:rPr>
          <w:rFonts w:ascii="Times New Roman" w:hAnsi="Times New Roman" w:cs="Times New Roman"/>
          <w:sz w:val="24"/>
          <w:szCs w:val="24"/>
        </w:rPr>
        <w:t xml:space="preserve">in the course of </w:t>
      </w:r>
      <w:r w:rsidR="00D62557" w:rsidRPr="009D69EF">
        <w:rPr>
          <w:rFonts w:ascii="Times New Roman" w:hAnsi="Times New Roman" w:cs="Times New Roman"/>
          <w:sz w:val="24"/>
          <w:szCs w:val="24"/>
        </w:rPr>
        <w:t>develop</w:t>
      </w:r>
      <w:r w:rsidR="006874F4">
        <w:rPr>
          <w:rFonts w:ascii="Times New Roman" w:hAnsi="Times New Roman" w:cs="Times New Roman"/>
          <w:sz w:val="24"/>
          <w:szCs w:val="24"/>
        </w:rPr>
        <w:t>ing</w:t>
      </w:r>
      <w:r w:rsidR="00D62557" w:rsidRPr="009D69EF">
        <w:rPr>
          <w:rFonts w:ascii="Times New Roman" w:hAnsi="Times New Roman" w:cs="Times New Roman"/>
          <w:sz w:val="24"/>
          <w:szCs w:val="24"/>
        </w:rPr>
        <w:t xml:space="preserve"> </w:t>
      </w:r>
      <w:r w:rsidR="006874F4">
        <w:rPr>
          <w:rFonts w:ascii="Times New Roman" w:hAnsi="Times New Roman" w:cs="Times New Roman"/>
          <w:sz w:val="24"/>
          <w:szCs w:val="24"/>
        </w:rPr>
        <w:t>common core document</w:t>
      </w:r>
      <w:r w:rsidR="00D62557" w:rsidRPr="009D69EF">
        <w:rPr>
          <w:rFonts w:ascii="Times New Roman" w:hAnsi="Times New Roman" w:cs="Times New Roman"/>
          <w:sz w:val="24"/>
          <w:szCs w:val="24"/>
        </w:rPr>
        <w:t xml:space="preserve">. </w:t>
      </w:r>
    </w:p>
    <w:p w:rsidR="00FF0ACD" w:rsidRDefault="00D62557" w:rsidP="00A15513">
      <w:pPr>
        <w:pStyle w:val="ListParagraph"/>
        <w:numPr>
          <w:ilvl w:val="0"/>
          <w:numId w:val="1"/>
        </w:numPr>
        <w:ind w:left="0" w:right="-810" w:hanging="450"/>
        <w:jc w:val="both"/>
        <w:rPr>
          <w:rFonts w:ascii="Times New Roman" w:hAnsi="Times New Roman" w:cs="Times New Roman"/>
          <w:sz w:val="24"/>
          <w:szCs w:val="24"/>
        </w:rPr>
      </w:pPr>
      <w:r w:rsidRPr="009D69EF">
        <w:rPr>
          <w:rFonts w:ascii="Times New Roman" w:hAnsi="Times New Roman" w:cs="Times New Roman"/>
          <w:sz w:val="24"/>
          <w:szCs w:val="24"/>
        </w:rPr>
        <w:t xml:space="preserve">The information reported in the initial report of the State of Palestine does not cover all relevant topics, which must </w:t>
      </w:r>
      <w:r w:rsidR="006874F4">
        <w:rPr>
          <w:rFonts w:ascii="Times New Roman" w:hAnsi="Times New Roman" w:cs="Times New Roman"/>
          <w:sz w:val="24"/>
          <w:szCs w:val="24"/>
        </w:rPr>
        <w:t xml:space="preserve">have </w:t>
      </w:r>
      <w:r w:rsidRPr="009D69EF">
        <w:rPr>
          <w:rFonts w:ascii="Times New Roman" w:hAnsi="Times New Roman" w:cs="Times New Roman"/>
          <w:sz w:val="24"/>
          <w:szCs w:val="24"/>
        </w:rPr>
        <w:t>be</w:t>
      </w:r>
      <w:r w:rsidR="006874F4">
        <w:rPr>
          <w:rFonts w:ascii="Times New Roman" w:hAnsi="Times New Roman" w:cs="Times New Roman"/>
          <w:sz w:val="24"/>
          <w:szCs w:val="24"/>
        </w:rPr>
        <w:t>en</w:t>
      </w:r>
      <w:r w:rsidRPr="009D69EF">
        <w:rPr>
          <w:rFonts w:ascii="Times New Roman" w:hAnsi="Times New Roman" w:cs="Times New Roman"/>
          <w:sz w:val="24"/>
          <w:szCs w:val="24"/>
        </w:rPr>
        <w:t xml:space="preserve"> included in line with the</w:t>
      </w:r>
      <w:r w:rsidR="00094F1C" w:rsidRPr="009D69EF">
        <w:rPr>
          <w:rFonts w:ascii="Times New Roman" w:hAnsi="Times New Roman" w:cs="Times New Roman"/>
          <w:sz w:val="24"/>
          <w:szCs w:val="24"/>
        </w:rPr>
        <w:t xml:space="preserve"> guidelines on a common core document. </w:t>
      </w:r>
    </w:p>
    <w:p w:rsidR="00FF0ACD" w:rsidRDefault="00FF0ACD" w:rsidP="00A15513">
      <w:pPr>
        <w:pStyle w:val="ListParagraph"/>
        <w:ind w:left="0" w:right="-810"/>
        <w:jc w:val="both"/>
        <w:rPr>
          <w:rFonts w:ascii="Times New Roman" w:hAnsi="Times New Roman" w:cs="Times New Roman"/>
          <w:sz w:val="24"/>
          <w:szCs w:val="24"/>
        </w:rPr>
      </w:pPr>
    </w:p>
    <w:p w:rsidR="00FF0ACD" w:rsidRPr="00FF0ACD" w:rsidRDefault="00094F1C" w:rsidP="00A15513">
      <w:pPr>
        <w:pStyle w:val="ListParagraph"/>
        <w:ind w:left="0" w:right="-810"/>
        <w:jc w:val="both"/>
        <w:rPr>
          <w:rFonts w:ascii="Times New Roman" w:hAnsi="Times New Roman" w:cs="Times New Roman"/>
          <w:sz w:val="24"/>
          <w:szCs w:val="24"/>
        </w:rPr>
      </w:pPr>
      <w:r w:rsidRPr="00FF0ACD">
        <w:rPr>
          <w:rFonts w:ascii="Times New Roman" w:hAnsi="Times New Roman" w:cs="Times New Roman"/>
          <w:b/>
          <w:bCs/>
          <w:sz w:val="24"/>
          <w:szCs w:val="24"/>
        </w:rPr>
        <w:t xml:space="preserve">Below is a presentation of key topics of the common core document, which are not </w:t>
      </w:r>
      <w:r w:rsidR="006874F4" w:rsidRPr="00FF0ACD">
        <w:rPr>
          <w:rFonts w:ascii="Times New Roman" w:hAnsi="Times New Roman" w:cs="Times New Roman"/>
          <w:b/>
          <w:bCs/>
          <w:sz w:val="24"/>
          <w:szCs w:val="24"/>
        </w:rPr>
        <w:t xml:space="preserve">entirely </w:t>
      </w:r>
      <w:r w:rsidRPr="00FF0ACD">
        <w:rPr>
          <w:rFonts w:ascii="Times New Roman" w:hAnsi="Times New Roman" w:cs="Times New Roman"/>
          <w:b/>
          <w:bCs/>
          <w:sz w:val="24"/>
          <w:szCs w:val="24"/>
        </w:rPr>
        <w:t xml:space="preserve">and/or adequately covered by the initial </w:t>
      </w:r>
      <w:r w:rsidR="00E65340" w:rsidRPr="00FF0ACD">
        <w:rPr>
          <w:rFonts w:ascii="Times New Roman" w:hAnsi="Times New Roman" w:cs="Times New Roman"/>
          <w:b/>
          <w:bCs/>
          <w:sz w:val="24"/>
          <w:szCs w:val="24"/>
        </w:rPr>
        <w:t>report,</w:t>
      </w:r>
      <w:r w:rsidRPr="00FF0ACD">
        <w:rPr>
          <w:rFonts w:ascii="Times New Roman" w:hAnsi="Times New Roman" w:cs="Times New Roman"/>
          <w:b/>
          <w:bCs/>
          <w:sz w:val="24"/>
          <w:szCs w:val="24"/>
        </w:rPr>
        <w:t xml:space="preserve"> submitted by the State of Palestine</w:t>
      </w:r>
      <w:r w:rsidR="00085EE6" w:rsidRPr="00FF0ACD">
        <w:rPr>
          <w:rFonts w:ascii="Times New Roman" w:hAnsi="Times New Roman" w:cs="Times New Roman"/>
          <w:b/>
          <w:bCs/>
          <w:sz w:val="24"/>
          <w:szCs w:val="24"/>
        </w:rPr>
        <w:t xml:space="preserve"> to the CRC</w:t>
      </w:r>
      <w:r w:rsidRPr="00FF0ACD">
        <w:rPr>
          <w:rFonts w:ascii="Times New Roman" w:hAnsi="Times New Roman" w:cs="Times New Roman"/>
          <w:b/>
          <w:bCs/>
          <w:sz w:val="24"/>
          <w:szCs w:val="24"/>
        </w:rPr>
        <w:t xml:space="preserve">. </w:t>
      </w:r>
    </w:p>
    <w:p w:rsidR="00094F1C" w:rsidRPr="009D69EF" w:rsidRDefault="00FB6F2E" w:rsidP="00A15513">
      <w:pPr>
        <w:ind w:right="-810"/>
        <w:jc w:val="both"/>
        <w:rPr>
          <w:rFonts w:ascii="Times New Roman" w:hAnsi="Times New Roman" w:cs="Times New Roman"/>
          <w:b/>
          <w:bCs/>
          <w:sz w:val="24"/>
          <w:szCs w:val="24"/>
        </w:rPr>
      </w:pPr>
      <w:r w:rsidRPr="009D69EF">
        <w:rPr>
          <w:rFonts w:ascii="Times New Roman" w:hAnsi="Times New Roman" w:cs="Times New Roman"/>
          <w:b/>
          <w:bCs/>
          <w:sz w:val="24"/>
          <w:szCs w:val="24"/>
          <w:lang w:bidi="ar-JO"/>
        </w:rPr>
        <w:t>General measures of implementation</w:t>
      </w:r>
    </w:p>
    <w:p w:rsidR="00F021B1" w:rsidRPr="009D69EF" w:rsidRDefault="00E409DD" w:rsidP="00A15513">
      <w:pPr>
        <w:ind w:right="-810"/>
        <w:jc w:val="both"/>
        <w:rPr>
          <w:rFonts w:ascii="Times New Roman" w:hAnsi="Times New Roman" w:cs="Times New Roman"/>
          <w:sz w:val="24"/>
          <w:szCs w:val="24"/>
          <w:lang w:bidi="ar-JO"/>
        </w:rPr>
      </w:pPr>
      <w:r>
        <w:rPr>
          <w:rFonts w:ascii="Times New Roman" w:hAnsi="Times New Roman" w:cs="Times New Roman"/>
          <w:sz w:val="24"/>
          <w:szCs w:val="24"/>
          <w:lang w:bidi="ar-JO"/>
        </w:rPr>
        <w:t>T</w:t>
      </w:r>
      <w:r w:rsidRPr="009D69EF">
        <w:rPr>
          <w:rFonts w:ascii="Times New Roman" w:hAnsi="Times New Roman" w:cs="Times New Roman"/>
          <w:sz w:val="24"/>
          <w:szCs w:val="24"/>
          <w:lang w:bidi="ar-JO"/>
        </w:rPr>
        <w:t xml:space="preserve">he Committee for Alignment of National Legislation </w:t>
      </w:r>
      <w:r w:rsidR="006874F4">
        <w:rPr>
          <w:rFonts w:ascii="Times New Roman" w:hAnsi="Times New Roman" w:cs="Times New Roman"/>
          <w:sz w:val="24"/>
          <w:szCs w:val="24"/>
          <w:lang w:bidi="ar-JO"/>
        </w:rPr>
        <w:t>Contrary</w:t>
      </w:r>
      <w:r>
        <w:rPr>
          <w:rFonts w:ascii="Times New Roman" w:hAnsi="Times New Roman" w:cs="Times New Roman"/>
          <w:sz w:val="24"/>
          <w:szCs w:val="24"/>
          <w:lang w:bidi="ar-JO"/>
        </w:rPr>
        <w:t xml:space="preserve">, referred </w:t>
      </w:r>
      <w:r w:rsidR="000F5B7B" w:rsidRPr="009D69EF">
        <w:rPr>
          <w:rFonts w:ascii="Times New Roman" w:hAnsi="Times New Roman" w:cs="Times New Roman"/>
          <w:sz w:val="24"/>
          <w:szCs w:val="24"/>
          <w:lang w:bidi="ar-JO"/>
        </w:rPr>
        <w:t>to Para</w:t>
      </w:r>
      <w:r>
        <w:rPr>
          <w:rFonts w:ascii="Times New Roman" w:hAnsi="Times New Roman" w:cs="Times New Roman"/>
          <w:sz w:val="24"/>
          <w:szCs w:val="24"/>
          <w:lang w:bidi="ar-JO"/>
        </w:rPr>
        <w:t>graph</w:t>
      </w:r>
      <w:r w:rsidR="000F5B7B" w:rsidRPr="009D69EF">
        <w:rPr>
          <w:rFonts w:ascii="Times New Roman" w:hAnsi="Times New Roman" w:cs="Times New Roman"/>
          <w:sz w:val="24"/>
          <w:szCs w:val="24"/>
          <w:lang w:bidi="ar-JO"/>
        </w:rPr>
        <w:t xml:space="preserve"> 16 of the initial </w:t>
      </w:r>
      <w:r w:rsidRPr="009D69EF">
        <w:rPr>
          <w:rFonts w:ascii="Times New Roman" w:hAnsi="Times New Roman" w:cs="Times New Roman"/>
          <w:sz w:val="24"/>
          <w:szCs w:val="24"/>
          <w:lang w:bidi="ar-JO"/>
        </w:rPr>
        <w:t>report</w:t>
      </w:r>
      <w:r>
        <w:rPr>
          <w:rFonts w:ascii="Times New Roman" w:hAnsi="Times New Roman" w:cs="Times New Roman"/>
          <w:sz w:val="24"/>
          <w:szCs w:val="24"/>
          <w:lang w:bidi="ar-JO"/>
        </w:rPr>
        <w:t>,</w:t>
      </w:r>
      <w:r w:rsidRPr="009D69EF">
        <w:rPr>
          <w:rFonts w:ascii="Times New Roman" w:hAnsi="Times New Roman" w:cs="Times New Roman"/>
          <w:sz w:val="24"/>
          <w:szCs w:val="24"/>
          <w:lang w:bidi="ar-JO"/>
        </w:rPr>
        <w:t xml:space="preserve"> </w:t>
      </w:r>
      <w:r w:rsidR="000F5B7B" w:rsidRPr="009D69EF">
        <w:rPr>
          <w:rFonts w:ascii="Times New Roman" w:hAnsi="Times New Roman" w:cs="Times New Roman"/>
          <w:sz w:val="24"/>
          <w:szCs w:val="24"/>
          <w:lang w:bidi="ar-JO"/>
        </w:rPr>
        <w:t>has not play</w:t>
      </w:r>
      <w:r w:rsidR="006874F4">
        <w:rPr>
          <w:rFonts w:ascii="Times New Roman" w:hAnsi="Times New Roman" w:cs="Times New Roman"/>
          <w:sz w:val="24"/>
          <w:szCs w:val="24"/>
          <w:lang w:bidi="ar-JO"/>
        </w:rPr>
        <w:t>ed</w:t>
      </w:r>
      <w:r w:rsidR="000F5B7B" w:rsidRPr="009D69EF">
        <w:rPr>
          <w:rFonts w:ascii="Times New Roman" w:hAnsi="Times New Roman" w:cs="Times New Roman"/>
          <w:sz w:val="24"/>
          <w:szCs w:val="24"/>
          <w:lang w:bidi="ar-JO"/>
        </w:rPr>
        <w:t xml:space="preserve"> its role in harmonising national legislation with the provisions of international human rights conventions, particularly the Convention. </w:t>
      </w:r>
    </w:p>
    <w:p w:rsidR="000F5B7B" w:rsidRPr="009D69EF" w:rsidRDefault="000F5B7B" w:rsidP="00A15513">
      <w:pPr>
        <w:ind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initial report does not address </w:t>
      </w:r>
      <w:r w:rsidR="00C66CA2">
        <w:rPr>
          <w:rFonts w:ascii="Times New Roman" w:hAnsi="Times New Roman" w:cs="Times New Roman"/>
          <w:sz w:val="24"/>
          <w:szCs w:val="24"/>
          <w:lang w:bidi="ar-JO"/>
        </w:rPr>
        <w:t xml:space="preserve">the </w:t>
      </w:r>
      <w:r w:rsidRPr="009D69EF">
        <w:rPr>
          <w:rFonts w:ascii="Times New Roman" w:hAnsi="Times New Roman" w:cs="Times New Roman"/>
          <w:sz w:val="24"/>
          <w:szCs w:val="24"/>
          <w:lang w:bidi="ar-JO"/>
        </w:rPr>
        <w:t xml:space="preserve">actions </w:t>
      </w:r>
      <w:r w:rsidR="00C66CA2">
        <w:rPr>
          <w:rFonts w:ascii="Times New Roman" w:hAnsi="Times New Roman" w:cs="Times New Roman"/>
          <w:sz w:val="24"/>
          <w:szCs w:val="24"/>
          <w:lang w:bidi="ar-JO"/>
        </w:rPr>
        <w:t>adopted</w:t>
      </w:r>
      <w:r w:rsidRPr="009D69EF">
        <w:rPr>
          <w:rFonts w:ascii="Times New Roman" w:hAnsi="Times New Roman" w:cs="Times New Roman"/>
          <w:sz w:val="24"/>
          <w:szCs w:val="24"/>
          <w:lang w:bidi="ar-JO"/>
        </w:rPr>
        <w:t xml:space="preserve"> by the State of Palestine to implement </w:t>
      </w:r>
      <w:r w:rsidR="00C66CA2">
        <w:rPr>
          <w:rFonts w:ascii="Times New Roman" w:hAnsi="Times New Roman" w:cs="Times New Roman"/>
          <w:sz w:val="24"/>
          <w:szCs w:val="24"/>
          <w:lang w:bidi="ar-JO"/>
        </w:rPr>
        <w:t xml:space="preserve">the </w:t>
      </w:r>
      <w:r w:rsidRPr="009D69EF">
        <w:rPr>
          <w:rFonts w:ascii="Times New Roman" w:hAnsi="Times New Roman" w:cs="Times New Roman"/>
          <w:sz w:val="24"/>
          <w:szCs w:val="24"/>
          <w:lang w:bidi="ar-JO"/>
        </w:rPr>
        <w:t xml:space="preserve">measures, plans and strategies, </w:t>
      </w:r>
      <w:r w:rsidR="00C66CA2">
        <w:rPr>
          <w:rFonts w:ascii="Times New Roman" w:hAnsi="Times New Roman" w:cs="Times New Roman"/>
          <w:sz w:val="24"/>
          <w:szCs w:val="24"/>
          <w:lang w:bidi="ar-JO"/>
        </w:rPr>
        <w:t>described in</w:t>
      </w:r>
      <w:r w:rsidRPr="009D69EF">
        <w:rPr>
          <w:rFonts w:ascii="Times New Roman" w:hAnsi="Times New Roman" w:cs="Times New Roman"/>
          <w:sz w:val="24"/>
          <w:szCs w:val="24"/>
          <w:lang w:bidi="ar-JO"/>
        </w:rPr>
        <w:t xml:space="preserve"> Paragraphs 25-30. </w:t>
      </w:r>
    </w:p>
    <w:p w:rsidR="00A15513" w:rsidRDefault="000F5B7B" w:rsidP="00A15513">
      <w:pPr>
        <w:ind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In relation to data collection (Para</w:t>
      </w:r>
      <w:r w:rsidR="00252C0A">
        <w:rPr>
          <w:rFonts w:ascii="Times New Roman" w:hAnsi="Times New Roman" w:cs="Times New Roman"/>
          <w:sz w:val="24"/>
          <w:szCs w:val="24"/>
          <w:lang w:bidi="ar-JO"/>
        </w:rPr>
        <w:t>graph</w:t>
      </w:r>
      <w:r w:rsidRPr="009D69EF">
        <w:rPr>
          <w:rFonts w:ascii="Times New Roman" w:hAnsi="Times New Roman" w:cs="Times New Roman"/>
          <w:sz w:val="24"/>
          <w:szCs w:val="24"/>
          <w:lang w:bidi="ar-JO"/>
        </w:rPr>
        <w:t xml:space="preserve">s 38-42), the initial report does not </w:t>
      </w:r>
      <w:r w:rsidR="00252C0A">
        <w:rPr>
          <w:rFonts w:ascii="Times New Roman" w:hAnsi="Times New Roman" w:cs="Times New Roman"/>
          <w:sz w:val="24"/>
          <w:szCs w:val="24"/>
          <w:lang w:bidi="ar-JO"/>
        </w:rPr>
        <w:t>elaborate on</w:t>
      </w:r>
      <w:r w:rsidRPr="009D69EF">
        <w:rPr>
          <w:rFonts w:ascii="Times New Roman" w:hAnsi="Times New Roman" w:cs="Times New Roman"/>
          <w:sz w:val="24"/>
          <w:szCs w:val="24"/>
          <w:lang w:bidi="ar-JO"/>
        </w:rPr>
        <w:t xml:space="preserve"> government plans </w:t>
      </w:r>
      <w:r w:rsidR="00252C0A">
        <w:rPr>
          <w:rFonts w:ascii="Times New Roman" w:hAnsi="Times New Roman" w:cs="Times New Roman"/>
          <w:sz w:val="24"/>
          <w:szCs w:val="24"/>
          <w:lang w:bidi="ar-JO"/>
        </w:rPr>
        <w:t>to</w:t>
      </w:r>
      <w:r w:rsidRPr="009D69EF">
        <w:rPr>
          <w:rFonts w:ascii="Times New Roman" w:hAnsi="Times New Roman" w:cs="Times New Roman"/>
          <w:sz w:val="24"/>
          <w:szCs w:val="24"/>
          <w:lang w:bidi="ar-JO"/>
        </w:rPr>
        <w:t xml:space="preserve"> upgrad</w:t>
      </w:r>
      <w:r w:rsidR="00252C0A">
        <w:rPr>
          <w:rFonts w:ascii="Times New Roman" w:hAnsi="Times New Roman" w:cs="Times New Roman"/>
          <w:sz w:val="24"/>
          <w:szCs w:val="24"/>
          <w:lang w:bidi="ar-JO"/>
        </w:rPr>
        <w:t>e</w:t>
      </w:r>
      <w:r w:rsidRPr="009D69EF">
        <w:rPr>
          <w:rFonts w:ascii="Times New Roman" w:hAnsi="Times New Roman" w:cs="Times New Roman"/>
          <w:sz w:val="24"/>
          <w:szCs w:val="24"/>
          <w:lang w:bidi="ar-JO"/>
        </w:rPr>
        <w:t xml:space="preserve"> and develop a national databank to access </w:t>
      </w:r>
      <w:r w:rsidR="00252C0A">
        <w:rPr>
          <w:rFonts w:ascii="Times New Roman" w:hAnsi="Times New Roman" w:cs="Times New Roman"/>
          <w:sz w:val="24"/>
          <w:szCs w:val="24"/>
          <w:lang w:bidi="ar-JO"/>
        </w:rPr>
        <w:t>dis</w:t>
      </w:r>
      <w:r w:rsidRPr="009D69EF">
        <w:rPr>
          <w:rFonts w:ascii="Times New Roman" w:hAnsi="Times New Roman" w:cs="Times New Roman"/>
          <w:sz w:val="24"/>
          <w:szCs w:val="24"/>
          <w:lang w:bidi="ar-JO"/>
        </w:rPr>
        <w:t xml:space="preserve">aggregated and comprehensive information in consistence with the Convention. </w:t>
      </w:r>
    </w:p>
    <w:p w:rsidR="000F5B7B" w:rsidRPr="00A15513" w:rsidRDefault="000F5B7B" w:rsidP="00A15513">
      <w:pPr>
        <w:ind w:left="-450" w:right="-810"/>
        <w:jc w:val="both"/>
        <w:rPr>
          <w:rFonts w:ascii="Times New Roman" w:hAnsi="Times New Roman" w:cs="Times New Roman"/>
          <w:sz w:val="24"/>
          <w:szCs w:val="24"/>
          <w:lang w:bidi="ar-JO"/>
        </w:rPr>
      </w:pPr>
      <w:r w:rsidRPr="009D69EF">
        <w:rPr>
          <w:rFonts w:ascii="Times New Roman" w:hAnsi="Times New Roman" w:cs="Times New Roman"/>
          <w:b/>
          <w:bCs/>
          <w:sz w:val="24"/>
          <w:szCs w:val="24"/>
          <w:lang w:bidi="ar-JO"/>
        </w:rPr>
        <w:t xml:space="preserve">Implementation of the Convention in the Gaza Strip and Area C </w:t>
      </w:r>
    </w:p>
    <w:p w:rsidR="000F5B7B" w:rsidRDefault="00FF0822" w:rsidP="00A15513">
      <w:pPr>
        <w:pStyle w:val="ListParagraph"/>
        <w:numPr>
          <w:ilvl w:val="0"/>
          <w:numId w:val="2"/>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Titled </w:t>
      </w:r>
      <w:r w:rsidR="00184112">
        <w:rPr>
          <w:rFonts w:ascii="Times New Roman" w:hAnsi="Times New Roman" w:cs="Times New Roman"/>
          <w:sz w:val="24"/>
          <w:szCs w:val="24"/>
          <w:lang w:bidi="ar-JO"/>
        </w:rPr>
        <w:t>“</w:t>
      </w:r>
      <w:r w:rsidRPr="009D69EF">
        <w:rPr>
          <w:rFonts w:ascii="Times New Roman" w:hAnsi="Times New Roman" w:cs="Times New Roman"/>
          <w:sz w:val="24"/>
          <w:szCs w:val="24"/>
          <w:lang w:bidi="ar-JO"/>
        </w:rPr>
        <w:t>General measures of implementation</w:t>
      </w:r>
      <w:r w:rsidR="00184112">
        <w:rPr>
          <w:rFonts w:ascii="Times New Roman" w:hAnsi="Times New Roman" w:cs="Times New Roman"/>
          <w:sz w:val="24"/>
          <w:szCs w:val="24"/>
          <w:lang w:bidi="ar-JO"/>
        </w:rPr>
        <w:t>”</w:t>
      </w:r>
      <w:r w:rsidRPr="009D69EF">
        <w:rPr>
          <w:rFonts w:ascii="Times New Roman" w:hAnsi="Times New Roman" w:cs="Times New Roman"/>
          <w:sz w:val="24"/>
          <w:szCs w:val="24"/>
          <w:lang w:bidi="ar-JO"/>
        </w:rPr>
        <w:t xml:space="preserve">, </w:t>
      </w:r>
      <w:r w:rsidR="000F5B7B" w:rsidRPr="009D69EF">
        <w:rPr>
          <w:rFonts w:ascii="Times New Roman" w:hAnsi="Times New Roman" w:cs="Times New Roman"/>
          <w:sz w:val="24"/>
          <w:szCs w:val="24"/>
          <w:lang w:bidi="ar-JO"/>
        </w:rPr>
        <w:t>Para</w:t>
      </w:r>
      <w:r w:rsidR="00184112">
        <w:rPr>
          <w:rFonts w:ascii="Times New Roman" w:hAnsi="Times New Roman" w:cs="Times New Roman"/>
          <w:sz w:val="24"/>
          <w:szCs w:val="24"/>
          <w:lang w:bidi="ar-JO"/>
        </w:rPr>
        <w:t>graph</w:t>
      </w:r>
      <w:r w:rsidR="000F5B7B" w:rsidRPr="009D69EF">
        <w:rPr>
          <w:rFonts w:ascii="Times New Roman" w:hAnsi="Times New Roman" w:cs="Times New Roman"/>
          <w:sz w:val="24"/>
          <w:szCs w:val="24"/>
          <w:lang w:bidi="ar-JO"/>
        </w:rPr>
        <w:t>s 14, 15 and 23</w:t>
      </w:r>
      <w:r w:rsidRPr="009D69EF">
        <w:rPr>
          <w:rFonts w:ascii="Times New Roman" w:hAnsi="Times New Roman" w:cs="Times New Roman"/>
          <w:sz w:val="24"/>
          <w:szCs w:val="24"/>
          <w:lang w:bidi="ar-JO"/>
        </w:rPr>
        <w:t xml:space="preserve"> of</w:t>
      </w:r>
      <w:r w:rsidR="000F5B7B" w:rsidRPr="009D69EF">
        <w:rPr>
          <w:rFonts w:ascii="Times New Roman" w:hAnsi="Times New Roman" w:cs="Times New Roman"/>
          <w:sz w:val="24"/>
          <w:szCs w:val="24"/>
          <w:lang w:bidi="ar-JO"/>
        </w:rPr>
        <w:t xml:space="preserve"> </w:t>
      </w:r>
      <w:r w:rsidRPr="009D69EF">
        <w:rPr>
          <w:rFonts w:ascii="Times New Roman" w:hAnsi="Times New Roman" w:cs="Times New Roman"/>
          <w:sz w:val="24"/>
          <w:szCs w:val="24"/>
          <w:lang w:bidi="ar-JO"/>
        </w:rPr>
        <w:t xml:space="preserve">the initial report </w:t>
      </w:r>
      <w:r w:rsidR="00184112">
        <w:rPr>
          <w:rFonts w:ascii="Times New Roman" w:hAnsi="Times New Roman" w:cs="Times New Roman"/>
          <w:sz w:val="24"/>
          <w:szCs w:val="24"/>
          <w:lang w:bidi="ar-JO"/>
        </w:rPr>
        <w:t>state</w:t>
      </w:r>
      <w:r w:rsidRPr="009D69EF">
        <w:rPr>
          <w:rFonts w:ascii="Times New Roman" w:hAnsi="Times New Roman" w:cs="Times New Roman"/>
          <w:sz w:val="24"/>
          <w:szCs w:val="24"/>
          <w:lang w:bidi="ar-JO"/>
        </w:rPr>
        <w:t xml:space="preserve"> that the State of Palestine has passed </w:t>
      </w:r>
      <w:r w:rsidR="00184112" w:rsidRPr="00184112">
        <w:rPr>
          <w:rFonts w:ascii="Times New Roman" w:hAnsi="Times New Roman" w:cs="Times New Roman"/>
          <w:sz w:val="24"/>
          <w:szCs w:val="24"/>
          <w:lang w:bidi="ar-JO"/>
        </w:rPr>
        <w:t>extensive</w:t>
      </w:r>
      <w:r w:rsidRPr="00184112">
        <w:rPr>
          <w:rFonts w:ascii="Times New Roman" w:hAnsi="Times New Roman" w:cs="Times New Roman"/>
          <w:sz w:val="24"/>
          <w:szCs w:val="24"/>
          <w:lang w:bidi="ar-JO"/>
        </w:rPr>
        <w:t xml:space="preserve"> </w:t>
      </w:r>
      <w:r w:rsidRPr="009D69EF">
        <w:rPr>
          <w:rFonts w:ascii="Times New Roman" w:hAnsi="Times New Roman" w:cs="Times New Roman"/>
          <w:sz w:val="24"/>
          <w:szCs w:val="24"/>
          <w:lang w:bidi="ar-JO"/>
        </w:rPr>
        <w:t>national legislation, which contribute</w:t>
      </w:r>
      <w:r w:rsidR="00184112">
        <w:rPr>
          <w:rFonts w:ascii="Times New Roman" w:hAnsi="Times New Roman" w:cs="Times New Roman"/>
          <w:sz w:val="24"/>
          <w:szCs w:val="24"/>
          <w:lang w:bidi="ar-JO"/>
        </w:rPr>
        <w:t>s</w:t>
      </w:r>
      <w:r w:rsidRPr="009D69EF">
        <w:rPr>
          <w:rFonts w:ascii="Times New Roman" w:hAnsi="Times New Roman" w:cs="Times New Roman"/>
          <w:sz w:val="24"/>
          <w:szCs w:val="24"/>
          <w:lang w:bidi="ar-JO"/>
        </w:rPr>
        <w:t xml:space="preserve"> to promoting and safeguarding fundamental human rights of all citizens, including children</w:t>
      </w:r>
      <w:r w:rsidR="00184112">
        <w:rPr>
          <w:rFonts w:ascii="Times New Roman" w:hAnsi="Times New Roman" w:cs="Times New Roman"/>
          <w:sz w:val="24"/>
          <w:szCs w:val="24"/>
          <w:lang w:bidi="ar-JO"/>
        </w:rPr>
        <w:t>. This reflects</w:t>
      </w:r>
      <w:r w:rsidRPr="009D69EF">
        <w:rPr>
          <w:rFonts w:ascii="Times New Roman" w:hAnsi="Times New Roman" w:cs="Times New Roman"/>
          <w:sz w:val="24"/>
          <w:szCs w:val="24"/>
          <w:lang w:bidi="ar-JO"/>
        </w:rPr>
        <w:t xml:space="preserve"> </w:t>
      </w:r>
      <w:r w:rsidR="00184112">
        <w:rPr>
          <w:rFonts w:ascii="Times New Roman" w:hAnsi="Times New Roman" w:cs="Times New Roman"/>
          <w:sz w:val="24"/>
          <w:szCs w:val="24"/>
          <w:lang w:bidi="ar-JO"/>
        </w:rPr>
        <w:t xml:space="preserve">the State of Palestine’s </w:t>
      </w:r>
      <w:r w:rsidRPr="009D69EF">
        <w:rPr>
          <w:rFonts w:ascii="Times New Roman" w:hAnsi="Times New Roman" w:cs="Times New Roman"/>
          <w:sz w:val="24"/>
          <w:szCs w:val="24"/>
          <w:lang w:bidi="ar-JO"/>
        </w:rPr>
        <w:t xml:space="preserve">responsibility and duty to provide comprehensive care and protection to children. </w:t>
      </w:r>
      <w:r w:rsidR="00184112">
        <w:rPr>
          <w:rFonts w:ascii="Times New Roman" w:hAnsi="Times New Roman" w:cs="Times New Roman"/>
          <w:sz w:val="24"/>
          <w:szCs w:val="24"/>
          <w:lang w:bidi="ar-JO"/>
        </w:rPr>
        <w:t xml:space="preserve">The body of legislation </w:t>
      </w:r>
      <w:r w:rsidRPr="009D69EF">
        <w:rPr>
          <w:rFonts w:ascii="Times New Roman" w:hAnsi="Times New Roman" w:cs="Times New Roman"/>
          <w:sz w:val="24"/>
          <w:szCs w:val="24"/>
          <w:lang w:bidi="ar-JO"/>
        </w:rPr>
        <w:t>include</w:t>
      </w:r>
      <w:r w:rsidR="00184112">
        <w:rPr>
          <w:rFonts w:ascii="Times New Roman" w:hAnsi="Times New Roman" w:cs="Times New Roman"/>
          <w:sz w:val="24"/>
          <w:szCs w:val="24"/>
          <w:lang w:bidi="ar-JO"/>
        </w:rPr>
        <w:t>s</w:t>
      </w:r>
      <w:r w:rsidRPr="009D69EF">
        <w:rPr>
          <w:rFonts w:ascii="Times New Roman" w:hAnsi="Times New Roman" w:cs="Times New Roman"/>
          <w:sz w:val="24"/>
          <w:szCs w:val="24"/>
          <w:lang w:bidi="ar-JO"/>
        </w:rPr>
        <w:t xml:space="preserve"> the Jordanian Juvenile Law No. 16 of 1954</w:t>
      </w:r>
      <w:r w:rsidR="005763D5" w:rsidRPr="009D69EF">
        <w:rPr>
          <w:rFonts w:ascii="Times New Roman" w:hAnsi="Times New Roman" w:cs="Times New Roman"/>
          <w:sz w:val="24"/>
          <w:szCs w:val="24"/>
          <w:lang w:bidi="ar-JO"/>
        </w:rPr>
        <w:t xml:space="preserve">, which was in force in the West Bank, and Law on Juvenile Offenders No. 2 of 1937, which was operative in the Gaza Strip. The State of Palestine also promulgated the Palestinian Law by Decree on the Protection of Juveniles, published in the Official Gazette in March 2016. The </w:t>
      </w:r>
      <w:r w:rsidR="001544D0" w:rsidRPr="009D69EF">
        <w:rPr>
          <w:rFonts w:ascii="Times New Roman" w:hAnsi="Times New Roman" w:cs="Times New Roman"/>
          <w:sz w:val="24"/>
          <w:szCs w:val="24"/>
          <w:lang w:bidi="ar-JO"/>
        </w:rPr>
        <w:t xml:space="preserve">Law on </w:t>
      </w:r>
      <w:r w:rsidR="00184112">
        <w:rPr>
          <w:rFonts w:ascii="Times New Roman" w:hAnsi="Times New Roman" w:cs="Times New Roman"/>
          <w:sz w:val="24"/>
          <w:szCs w:val="24"/>
          <w:lang w:bidi="ar-JO"/>
        </w:rPr>
        <w:t xml:space="preserve">the </w:t>
      </w:r>
      <w:r w:rsidR="001544D0" w:rsidRPr="009D69EF">
        <w:rPr>
          <w:rFonts w:ascii="Times New Roman" w:hAnsi="Times New Roman" w:cs="Times New Roman"/>
          <w:sz w:val="24"/>
          <w:szCs w:val="24"/>
          <w:lang w:bidi="ar-JO"/>
        </w:rPr>
        <w:t xml:space="preserve">Enforcement </w:t>
      </w:r>
      <w:r w:rsidR="00184112">
        <w:rPr>
          <w:rFonts w:ascii="Times New Roman" w:hAnsi="Times New Roman" w:cs="Times New Roman"/>
          <w:sz w:val="24"/>
          <w:szCs w:val="24"/>
          <w:lang w:bidi="ar-JO"/>
        </w:rPr>
        <w:t xml:space="preserve">of </w:t>
      </w:r>
      <w:r w:rsidR="001544D0" w:rsidRPr="009D69EF">
        <w:rPr>
          <w:rFonts w:ascii="Times New Roman" w:hAnsi="Times New Roman" w:cs="Times New Roman"/>
          <w:sz w:val="24"/>
          <w:szCs w:val="24"/>
          <w:lang w:bidi="ar-JO"/>
        </w:rPr>
        <w:t xml:space="preserve">Family Court Rulings </w:t>
      </w:r>
      <w:r w:rsidR="005763D5" w:rsidRPr="009D69EF">
        <w:rPr>
          <w:rFonts w:ascii="Times New Roman" w:hAnsi="Times New Roman" w:cs="Times New Roman"/>
          <w:sz w:val="24"/>
          <w:szCs w:val="24"/>
          <w:lang w:bidi="ar-JO"/>
        </w:rPr>
        <w:t xml:space="preserve">No. 17 of 2016 </w:t>
      </w:r>
      <w:r w:rsidR="00921C64">
        <w:rPr>
          <w:rFonts w:ascii="Times New Roman" w:hAnsi="Times New Roman" w:cs="Times New Roman"/>
          <w:sz w:val="24"/>
          <w:szCs w:val="24"/>
          <w:lang w:bidi="ar-JO"/>
        </w:rPr>
        <w:t xml:space="preserve">also </w:t>
      </w:r>
      <w:r w:rsidR="001544D0" w:rsidRPr="009D69EF">
        <w:rPr>
          <w:rFonts w:ascii="Times New Roman" w:hAnsi="Times New Roman" w:cs="Times New Roman"/>
          <w:sz w:val="24"/>
          <w:szCs w:val="24"/>
          <w:lang w:bidi="ar-JO"/>
        </w:rPr>
        <w:t xml:space="preserve">provides for executing </w:t>
      </w:r>
      <w:r w:rsidR="00921C64">
        <w:rPr>
          <w:rFonts w:ascii="Times New Roman" w:hAnsi="Times New Roman" w:cs="Times New Roman"/>
          <w:sz w:val="24"/>
          <w:szCs w:val="24"/>
          <w:lang w:bidi="ar-JO"/>
        </w:rPr>
        <w:t>decisions</w:t>
      </w:r>
      <w:r w:rsidR="001544D0" w:rsidRPr="009D69EF">
        <w:rPr>
          <w:rFonts w:ascii="Times New Roman" w:hAnsi="Times New Roman" w:cs="Times New Roman"/>
          <w:sz w:val="24"/>
          <w:szCs w:val="24"/>
          <w:lang w:bidi="ar-JO"/>
        </w:rPr>
        <w:t xml:space="preserve"> rendered by family courts in cases involving families and children. </w:t>
      </w:r>
      <w:r w:rsidR="00921C64">
        <w:rPr>
          <w:rFonts w:ascii="Times New Roman" w:hAnsi="Times New Roman" w:cs="Times New Roman"/>
          <w:sz w:val="24"/>
          <w:szCs w:val="24"/>
          <w:lang w:bidi="ar-JO"/>
        </w:rPr>
        <w:t xml:space="preserve">However, </w:t>
      </w:r>
      <w:r w:rsidR="00921C64" w:rsidRPr="009D69EF">
        <w:rPr>
          <w:rFonts w:ascii="Times New Roman" w:hAnsi="Times New Roman" w:cs="Times New Roman"/>
          <w:sz w:val="24"/>
          <w:szCs w:val="24"/>
          <w:lang w:bidi="ar-JO"/>
        </w:rPr>
        <w:t xml:space="preserve">after the internal Palestinian political divide </w:t>
      </w:r>
      <w:r w:rsidR="00921C64">
        <w:rPr>
          <w:rFonts w:ascii="Times New Roman" w:hAnsi="Times New Roman" w:cs="Times New Roman"/>
          <w:sz w:val="24"/>
          <w:szCs w:val="24"/>
          <w:lang w:bidi="ar-JO"/>
        </w:rPr>
        <w:t>took place</w:t>
      </w:r>
      <w:r w:rsidR="00921C64" w:rsidRPr="009D69EF">
        <w:rPr>
          <w:rFonts w:ascii="Times New Roman" w:hAnsi="Times New Roman" w:cs="Times New Roman"/>
          <w:sz w:val="24"/>
          <w:szCs w:val="24"/>
          <w:lang w:bidi="ar-JO"/>
        </w:rPr>
        <w:t xml:space="preserve"> in 2007</w:t>
      </w:r>
      <w:r w:rsidR="00921C64">
        <w:rPr>
          <w:rFonts w:ascii="Times New Roman" w:hAnsi="Times New Roman" w:cs="Times New Roman"/>
          <w:sz w:val="24"/>
          <w:szCs w:val="24"/>
          <w:lang w:bidi="ar-JO"/>
        </w:rPr>
        <w:t xml:space="preserve">, </w:t>
      </w:r>
      <w:r w:rsidR="00E65340">
        <w:rPr>
          <w:rFonts w:ascii="Times New Roman" w:hAnsi="Times New Roman" w:cs="Times New Roman"/>
          <w:sz w:val="24"/>
          <w:szCs w:val="24"/>
          <w:lang w:bidi="ar-JO"/>
        </w:rPr>
        <w:t xml:space="preserve">not all laws by decrees issued forth by the West </w:t>
      </w:r>
      <w:r w:rsidR="00E65340">
        <w:rPr>
          <w:rFonts w:ascii="Times New Roman" w:hAnsi="Times New Roman" w:cs="Times New Roman"/>
          <w:sz w:val="24"/>
          <w:szCs w:val="24"/>
          <w:lang w:bidi="ar-JO"/>
        </w:rPr>
        <w:lastRenderedPageBreak/>
        <w:t>Bank-based Palestinian government are</w:t>
      </w:r>
      <w:r w:rsidR="001544D0" w:rsidRPr="009D69EF">
        <w:rPr>
          <w:rFonts w:ascii="Times New Roman" w:hAnsi="Times New Roman" w:cs="Times New Roman"/>
          <w:sz w:val="24"/>
          <w:szCs w:val="24"/>
          <w:lang w:bidi="ar-JO"/>
        </w:rPr>
        <w:t xml:space="preserve"> applicable in the Gaza Strip. These include the Law by Decree on the Protection of Juveniles. Meantime, the Law on Juvenile Offenders No. 2 of 1937 continues to be in force in the Gaza Strip. The State of Palestine’s initial report does not make clear whether the Palestinian government can apply </w:t>
      </w:r>
      <w:r w:rsidR="00921C64">
        <w:rPr>
          <w:rFonts w:ascii="Times New Roman" w:hAnsi="Times New Roman" w:cs="Times New Roman"/>
          <w:sz w:val="24"/>
          <w:szCs w:val="24"/>
          <w:lang w:bidi="ar-JO"/>
        </w:rPr>
        <w:t>UN</w:t>
      </w:r>
      <w:r w:rsidR="001544D0" w:rsidRPr="009D69EF">
        <w:rPr>
          <w:rFonts w:ascii="Times New Roman" w:hAnsi="Times New Roman" w:cs="Times New Roman"/>
          <w:sz w:val="24"/>
          <w:szCs w:val="24"/>
          <w:lang w:bidi="ar-JO"/>
        </w:rPr>
        <w:t xml:space="preserve"> human rights conventions to the Gaza Strip, effectively under control of the </w:t>
      </w:r>
      <w:r w:rsidR="001544D0" w:rsidRPr="00921C64">
        <w:rPr>
          <w:rFonts w:ascii="Times New Roman" w:hAnsi="Times New Roman" w:cs="Times New Roman"/>
          <w:i/>
          <w:iCs/>
          <w:sz w:val="24"/>
          <w:szCs w:val="24"/>
          <w:lang w:bidi="ar-JO"/>
        </w:rPr>
        <w:t>de facto</w:t>
      </w:r>
      <w:r w:rsidR="001544D0" w:rsidRPr="009D69EF">
        <w:rPr>
          <w:rFonts w:ascii="Times New Roman" w:hAnsi="Times New Roman" w:cs="Times New Roman"/>
          <w:sz w:val="24"/>
          <w:szCs w:val="24"/>
          <w:lang w:bidi="ar-JO"/>
        </w:rPr>
        <w:t xml:space="preserve"> authority of Hamas. Formed in July 2014, the </w:t>
      </w:r>
      <w:r w:rsidR="00921C64">
        <w:rPr>
          <w:rFonts w:ascii="Times New Roman" w:hAnsi="Times New Roman" w:cs="Times New Roman"/>
          <w:sz w:val="24"/>
          <w:szCs w:val="24"/>
          <w:lang w:bidi="ar-JO"/>
        </w:rPr>
        <w:t xml:space="preserve">Palestinian </w:t>
      </w:r>
      <w:r w:rsidR="001544D0" w:rsidRPr="009D69EF">
        <w:rPr>
          <w:rFonts w:ascii="Times New Roman" w:hAnsi="Times New Roman" w:cs="Times New Roman"/>
          <w:sz w:val="24"/>
          <w:szCs w:val="24"/>
          <w:lang w:bidi="ar-JO"/>
        </w:rPr>
        <w:t>Government</w:t>
      </w:r>
      <w:r w:rsidR="00921C64">
        <w:rPr>
          <w:rFonts w:ascii="Times New Roman" w:hAnsi="Times New Roman" w:cs="Times New Roman"/>
          <w:sz w:val="24"/>
          <w:szCs w:val="24"/>
          <w:lang w:bidi="ar-JO"/>
        </w:rPr>
        <w:t xml:space="preserve"> of </w:t>
      </w:r>
      <w:r w:rsidR="00921C64" w:rsidRPr="009D69EF">
        <w:rPr>
          <w:rFonts w:ascii="Times New Roman" w:hAnsi="Times New Roman" w:cs="Times New Roman"/>
          <w:sz w:val="24"/>
          <w:szCs w:val="24"/>
          <w:lang w:bidi="ar-JO"/>
        </w:rPr>
        <w:t>National Consensus</w:t>
      </w:r>
      <w:r w:rsidR="0070321F">
        <w:rPr>
          <w:rFonts w:ascii="Times New Roman" w:hAnsi="Times New Roman" w:cs="Times New Roman"/>
          <w:sz w:val="24"/>
          <w:szCs w:val="24"/>
          <w:lang w:bidi="ar-JO"/>
        </w:rPr>
        <w:t xml:space="preserve"> and all</w:t>
      </w:r>
      <w:r w:rsidR="00921C64">
        <w:rPr>
          <w:rFonts w:ascii="Times New Roman" w:hAnsi="Times New Roman" w:cs="Times New Roman"/>
          <w:sz w:val="24"/>
          <w:szCs w:val="24"/>
          <w:lang w:bidi="ar-JO"/>
        </w:rPr>
        <w:t xml:space="preserve"> </w:t>
      </w:r>
      <w:r w:rsidR="001544D0" w:rsidRPr="009D69EF">
        <w:rPr>
          <w:rFonts w:ascii="Times New Roman" w:hAnsi="Times New Roman" w:cs="Times New Roman"/>
          <w:sz w:val="24"/>
          <w:szCs w:val="24"/>
          <w:lang w:bidi="ar-JO"/>
        </w:rPr>
        <w:t xml:space="preserve">subsequent reshuffles, </w:t>
      </w:r>
      <w:r w:rsidR="00B72630" w:rsidRPr="009D69EF">
        <w:rPr>
          <w:rFonts w:ascii="Times New Roman" w:hAnsi="Times New Roman" w:cs="Times New Roman"/>
          <w:sz w:val="24"/>
          <w:szCs w:val="24"/>
          <w:lang w:bidi="ar-JO"/>
        </w:rPr>
        <w:t xml:space="preserve">could not </w:t>
      </w:r>
      <w:r w:rsidR="0070321F">
        <w:rPr>
          <w:rFonts w:ascii="Times New Roman" w:hAnsi="Times New Roman" w:cs="Times New Roman"/>
          <w:sz w:val="24"/>
          <w:szCs w:val="24"/>
          <w:lang w:bidi="ar-JO"/>
        </w:rPr>
        <w:t xml:space="preserve">effectively </w:t>
      </w:r>
      <w:r w:rsidR="00B72630" w:rsidRPr="009D69EF">
        <w:rPr>
          <w:rFonts w:ascii="Times New Roman" w:hAnsi="Times New Roman" w:cs="Times New Roman"/>
          <w:sz w:val="24"/>
          <w:szCs w:val="24"/>
          <w:lang w:bidi="ar-JO"/>
        </w:rPr>
        <w:t>exercise control over, administer or</w:t>
      </w:r>
      <w:r w:rsidR="00921C64">
        <w:rPr>
          <w:rFonts w:ascii="Times New Roman" w:hAnsi="Times New Roman" w:cs="Times New Roman"/>
          <w:sz w:val="24"/>
          <w:szCs w:val="24"/>
          <w:lang w:val="en-US" w:bidi="ar-JO"/>
        </w:rPr>
        <w:t xml:space="preserve"> govern </w:t>
      </w:r>
      <w:r w:rsidR="00B72630" w:rsidRPr="009D69EF">
        <w:rPr>
          <w:rFonts w:ascii="Times New Roman" w:hAnsi="Times New Roman" w:cs="Times New Roman"/>
          <w:sz w:val="24"/>
          <w:szCs w:val="24"/>
          <w:lang w:bidi="ar-JO"/>
        </w:rPr>
        <w:t>the Gaza Strip</w:t>
      </w:r>
      <w:r w:rsidR="0070321F">
        <w:rPr>
          <w:rFonts w:ascii="Times New Roman" w:hAnsi="Times New Roman" w:cs="Times New Roman"/>
          <w:sz w:val="24"/>
          <w:szCs w:val="24"/>
          <w:lang w:bidi="ar-JO"/>
        </w:rPr>
        <w:t>. As a result, e</w:t>
      </w:r>
      <w:r w:rsidR="00B72630" w:rsidRPr="009D69EF">
        <w:rPr>
          <w:rFonts w:ascii="Times New Roman" w:hAnsi="Times New Roman" w:cs="Times New Roman"/>
          <w:sz w:val="24"/>
          <w:szCs w:val="24"/>
          <w:lang w:bidi="ar-JO"/>
        </w:rPr>
        <w:t xml:space="preserve">nforcement of international laws, resolutions and conventions, to which the Palestinian government is committed, </w:t>
      </w:r>
      <w:r w:rsidR="0070321F">
        <w:rPr>
          <w:rFonts w:ascii="Times New Roman" w:hAnsi="Times New Roman" w:cs="Times New Roman"/>
          <w:sz w:val="24"/>
          <w:szCs w:val="24"/>
          <w:lang w:bidi="ar-JO"/>
        </w:rPr>
        <w:t xml:space="preserve">has been </w:t>
      </w:r>
      <w:r w:rsidR="0070321F" w:rsidRPr="009D69EF">
        <w:rPr>
          <w:rFonts w:ascii="Times New Roman" w:hAnsi="Times New Roman" w:cs="Times New Roman"/>
          <w:sz w:val="24"/>
          <w:szCs w:val="24"/>
          <w:lang w:bidi="ar-JO"/>
        </w:rPr>
        <w:t>practically obstruct</w:t>
      </w:r>
      <w:r w:rsidR="0070321F">
        <w:rPr>
          <w:rFonts w:ascii="Times New Roman" w:hAnsi="Times New Roman" w:cs="Times New Roman"/>
          <w:sz w:val="24"/>
          <w:szCs w:val="24"/>
          <w:lang w:bidi="ar-JO"/>
        </w:rPr>
        <w:t>ed</w:t>
      </w:r>
      <w:r w:rsidR="0070321F" w:rsidRPr="009D69EF">
        <w:rPr>
          <w:rFonts w:ascii="Times New Roman" w:hAnsi="Times New Roman" w:cs="Times New Roman"/>
          <w:sz w:val="24"/>
          <w:szCs w:val="24"/>
          <w:lang w:bidi="ar-JO"/>
        </w:rPr>
        <w:t xml:space="preserve"> </w:t>
      </w:r>
      <w:r w:rsidR="00B72630" w:rsidRPr="009D69EF">
        <w:rPr>
          <w:rFonts w:ascii="Times New Roman" w:hAnsi="Times New Roman" w:cs="Times New Roman"/>
          <w:sz w:val="24"/>
          <w:szCs w:val="24"/>
          <w:lang w:bidi="ar-JO"/>
        </w:rPr>
        <w:t xml:space="preserve">in Gaza. This is also the case of the </w:t>
      </w:r>
      <w:r w:rsidR="0070321F">
        <w:rPr>
          <w:rFonts w:ascii="Times New Roman" w:hAnsi="Times New Roman" w:cs="Times New Roman"/>
          <w:sz w:val="24"/>
          <w:szCs w:val="24"/>
          <w:lang w:bidi="ar-JO"/>
        </w:rPr>
        <w:t xml:space="preserve">prospects for </w:t>
      </w:r>
      <w:r w:rsidR="00B72630" w:rsidRPr="009D69EF">
        <w:rPr>
          <w:rFonts w:ascii="Times New Roman" w:hAnsi="Times New Roman" w:cs="Times New Roman"/>
          <w:sz w:val="24"/>
          <w:szCs w:val="24"/>
          <w:lang w:bidi="ar-JO"/>
        </w:rPr>
        <w:t>apply</w:t>
      </w:r>
      <w:r w:rsidR="0070321F">
        <w:rPr>
          <w:rFonts w:ascii="Times New Roman" w:hAnsi="Times New Roman" w:cs="Times New Roman"/>
          <w:sz w:val="24"/>
          <w:szCs w:val="24"/>
          <w:lang w:bidi="ar-JO"/>
        </w:rPr>
        <w:t>ing</w:t>
      </w:r>
      <w:r w:rsidR="00B72630" w:rsidRPr="009D69EF">
        <w:rPr>
          <w:rFonts w:ascii="Times New Roman" w:hAnsi="Times New Roman" w:cs="Times New Roman"/>
          <w:sz w:val="24"/>
          <w:szCs w:val="24"/>
          <w:lang w:bidi="ar-JO"/>
        </w:rPr>
        <w:t xml:space="preserve"> international conventions to Area C in the West Bank, which is under full control of the Israeli occupying authorities. </w:t>
      </w:r>
    </w:p>
    <w:p w:rsidR="00A15513" w:rsidRPr="009D69EF" w:rsidRDefault="00A15513" w:rsidP="00A15513">
      <w:pPr>
        <w:pStyle w:val="ListParagraph"/>
        <w:ind w:left="0" w:right="-810"/>
        <w:jc w:val="both"/>
        <w:rPr>
          <w:rFonts w:ascii="Times New Roman" w:hAnsi="Times New Roman" w:cs="Times New Roman"/>
          <w:sz w:val="24"/>
          <w:szCs w:val="24"/>
          <w:lang w:bidi="ar-JO"/>
        </w:rPr>
      </w:pPr>
    </w:p>
    <w:p w:rsidR="00A15513" w:rsidRDefault="00B72630" w:rsidP="00A15513">
      <w:pPr>
        <w:pStyle w:val="ListParagraph"/>
        <w:numPr>
          <w:ilvl w:val="0"/>
          <w:numId w:val="2"/>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State of Palestine’s initial report does not refer to </w:t>
      </w:r>
      <w:r w:rsidR="0070321F">
        <w:rPr>
          <w:rFonts w:ascii="Times New Roman" w:hAnsi="Times New Roman" w:cs="Times New Roman"/>
          <w:sz w:val="24"/>
          <w:szCs w:val="24"/>
          <w:lang w:bidi="ar-JO"/>
        </w:rPr>
        <w:t>actions</w:t>
      </w:r>
      <w:r w:rsidRPr="009D69EF">
        <w:rPr>
          <w:rFonts w:ascii="Times New Roman" w:hAnsi="Times New Roman" w:cs="Times New Roman"/>
          <w:sz w:val="24"/>
          <w:szCs w:val="24"/>
          <w:lang w:bidi="ar-JO"/>
        </w:rPr>
        <w:t xml:space="preserve"> and measures, which reflect efforts made by the Palestinian government to ensure implementation of the Convention to the Gaza Strip and Area C.</w:t>
      </w:r>
    </w:p>
    <w:p w:rsidR="00A15513" w:rsidRPr="00A15513" w:rsidRDefault="00A15513" w:rsidP="00A15513">
      <w:pPr>
        <w:pStyle w:val="ListParagraph"/>
        <w:ind w:right="-810"/>
        <w:rPr>
          <w:rFonts w:ascii="Times New Roman" w:hAnsi="Times New Roman" w:cs="Times New Roman"/>
          <w:b/>
          <w:bCs/>
          <w:sz w:val="24"/>
          <w:szCs w:val="24"/>
          <w:lang w:bidi="ar-JO"/>
        </w:rPr>
      </w:pPr>
    </w:p>
    <w:p w:rsidR="00B72630" w:rsidRPr="00A15513" w:rsidRDefault="00B72630" w:rsidP="00A15513">
      <w:pPr>
        <w:ind w:left="-450" w:right="-810"/>
        <w:jc w:val="both"/>
        <w:rPr>
          <w:rFonts w:ascii="Times New Roman" w:hAnsi="Times New Roman" w:cs="Times New Roman"/>
          <w:sz w:val="24"/>
          <w:szCs w:val="24"/>
          <w:lang w:bidi="ar-JO"/>
        </w:rPr>
      </w:pPr>
      <w:r w:rsidRPr="00A15513">
        <w:rPr>
          <w:rFonts w:ascii="Times New Roman" w:hAnsi="Times New Roman" w:cs="Times New Roman"/>
          <w:b/>
          <w:bCs/>
          <w:sz w:val="24"/>
          <w:szCs w:val="24"/>
          <w:lang w:bidi="ar-JO"/>
        </w:rPr>
        <w:t xml:space="preserve">Lack of a legal framework </w:t>
      </w:r>
      <w:r w:rsidR="0070321F" w:rsidRPr="00A15513">
        <w:rPr>
          <w:rFonts w:ascii="Times New Roman" w:hAnsi="Times New Roman" w:cs="Times New Roman"/>
          <w:b/>
          <w:bCs/>
          <w:sz w:val="24"/>
          <w:szCs w:val="24"/>
          <w:lang w:bidi="ar-JO"/>
        </w:rPr>
        <w:t xml:space="preserve">for </w:t>
      </w:r>
      <w:r w:rsidRPr="00A15513">
        <w:rPr>
          <w:rFonts w:ascii="Times New Roman" w:hAnsi="Times New Roman" w:cs="Times New Roman"/>
          <w:b/>
          <w:bCs/>
          <w:sz w:val="24"/>
          <w:szCs w:val="24"/>
          <w:lang w:bidi="ar-JO"/>
        </w:rPr>
        <w:t>incorporat</w:t>
      </w:r>
      <w:r w:rsidR="0070321F" w:rsidRPr="00A15513">
        <w:rPr>
          <w:rFonts w:ascii="Times New Roman" w:hAnsi="Times New Roman" w:cs="Times New Roman"/>
          <w:b/>
          <w:bCs/>
          <w:sz w:val="24"/>
          <w:szCs w:val="24"/>
          <w:lang w:bidi="ar-JO"/>
        </w:rPr>
        <w:t>ing</w:t>
      </w:r>
      <w:r w:rsidRPr="00A15513">
        <w:rPr>
          <w:rFonts w:ascii="Times New Roman" w:hAnsi="Times New Roman" w:cs="Times New Roman"/>
          <w:b/>
          <w:bCs/>
          <w:sz w:val="24"/>
          <w:szCs w:val="24"/>
          <w:lang w:bidi="ar-JO"/>
        </w:rPr>
        <w:t xml:space="preserve"> the Convention into the Palestinian legal system </w:t>
      </w:r>
    </w:p>
    <w:p w:rsidR="00B72630" w:rsidRDefault="001322FB" w:rsidP="00A15513">
      <w:pPr>
        <w:pStyle w:val="ListParagraph"/>
        <w:numPr>
          <w:ilvl w:val="0"/>
          <w:numId w:val="3"/>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Para</w:t>
      </w:r>
      <w:r w:rsidR="0070321F">
        <w:rPr>
          <w:rFonts w:ascii="Times New Roman" w:hAnsi="Times New Roman" w:cs="Times New Roman"/>
          <w:sz w:val="24"/>
          <w:szCs w:val="24"/>
          <w:lang w:bidi="ar-JO"/>
        </w:rPr>
        <w:t>graph</w:t>
      </w:r>
      <w:r w:rsidRPr="009D69EF">
        <w:rPr>
          <w:rFonts w:ascii="Times New Roman" w:hAnsi="Times New Roman" w:cs="Times New Roman"/>
          <w:sz w:val="24"/>
          <w:szCs w:val="24"/>
          <w:lang w:bidi="ar-JO"/>
        </w:rPr>
        <w:t>s 19, 20 and 21 of the State of Palestine’s initial report emphasise the significant development associated with the legal value of international conventions, highlighting their superiority to domestic legislation</w:t>
      </w:r>
      <w:r w:rsidR="008E668B" w:rsidRPr="009D69EF">
        <w:rPr>
          <w:rFonts w:ascii="Times New Roman" w:hAnsi="Times New Roman" w:cs="Times New Roman"/>
          <w:sz w:val="24"/>
          <w:szCs w:val="24"/>
          <w:lang w:bidi="ar-JO"/>
        </w:rPr>
        <w:t>. Contrary to the Supreme Constitutional Court’s interpretation, however, this development has not been translated into a formula, which provides the needed mechanism</w:t>
      </w:r>
      <w:r w:rsidR="0070321F">
        <w:rPr>
          <w:rFonts w:ascii="Times New Roman" w:hAnsi="Times New Roman" w:cs="Times New Roman"/>
          <w:sz w:val="24"/>
          <w:szCs w:val="24"/>
          <w:lang w:bidi="ar-JO"/>
        </w:rPr>
        <w:t>s</w:t>
      </w:r>
      <w:r w:rsidR="008E668B" w:rsidRPr="009D69EF">
        <w:rPr>
          <w:rFonts w:ascii="Times New Roman" w:hAnsi="Times New Roman" w:cs="Times New Roman"/>
          <w:sz w:val="24"/>
          <w:szCs w:val="24"/>
          <w:lang w:bidi="ar-JO"/>
        </w:rPr>
        <w:t xml:space="preserve"> for in</w:t>
      </w:r>
      <w:r w:rsidR="0070321F">
        <w:rPr>
          <w:rFonts w:ascii="Times New Roman" w:hAnsi="Times New Roman" w:cs="Times New Roman"/>
          <w:sz w:val="24"/>
          <w:szCs w:val="24"/>
          <w:lang w:bidi="ar-JO"/>
        </w:rPr>
        <w:t xml:space="preserve">corporating </w:t>
      </w:r>
      <w:r w:rsidR="008E668B" w:rsidRPr="009D69EF">
        <w:rPr>
          <w:rFonts w:ascii="Times New Roman" w:hAnsi="Times New Roman" w:cs="Times New Roman"/>
          <w:sz w:val="24"/>
          <w:szCs w:val="24"/>
          <w:lang w:bidi="ar-JO"/>
        </w:rPr>
        <w:t>international conventions into the domestic legal system. Approved by the national legal framework, the legislative mechanism ha</w:t>
      </w:r>
      <w:r w:rsidR="00FF12FA">
        <w:rPr>
          <w:rFonts w:ascii="Times New Roman" w:hAnsi="Times New Roman" w:cs="Times New Roman"/>
          <w:sz w:val="24"/>
          <w:szCs w:val="24"/>
          <w:lang w:bidi="ar-JO"/>
        </w:rPr>
        <w:t>s</w:t>
      </w:r>
      <w:r w:rsidR="008E668B" w:rsidRPr="009D69EF">
        <w:rPr>
          <w:rFonts w:ascii="Times New Roman" w:hAnsi="Times New Roman" w:cs="Times New Roman"/>
          <w:sz w:val="24"/>
          <w:szCs w:val="24"/>
          <w:lang w:bidi="ar-JO"/>
        </w:rPr>
        <w:t xml:space="preserve"> </w:t>
      </w:r>
      <w:r w:rsidR="00FF12FA">
        <w:rPr>
          <w:rFonts w:ascii="Times New Roman" w:hAnsi="Times New Roman" w:cs="Times New Roman"/>
          <w:sz w:val="24"/>
          <w:szCs w:val="24"/>
          <w:lang w:bidi="ar-JO"/>
        </w:rPr>
        <w:t xml:space="preserve">not </w:t>
      </w:r>
      <w:r w:rsidR="008E668B" w:rsidRPr="009D69EF">
        <w:rPr>
          <w:rFonts w:ascii="Times New Roman" w:hAnsi="Times New Roman" w:cs="Times New Roman"/>
          <w:sz w:val="24"/>
          <w:szCs w:val="24"/>
          <w:lang w:bidi="ar-JO"/>
        </w:rPr>
        <w:t xml:space="preserve">been applied to these conventions. International conventions have </w:t>
      </w:r>
      <w:r w:rsidR="00FF12FA">
        <w:rPr>
          <w:rFonts w:ascii="Times New Roman" w:hAnsi="Times New Roman" w:cs="Times New Roman"/>
          <w:sz w:val="24"/>
          <w:szCs w:val="24"/>
          <w:lang w:bidi="ar-JO"/>
        </w:rPr>
        <w:t xml:space="preserve">neither </w:t>
      </w:r>
      <w:r w:rsidR="008E668B" w:rsidRPr="009D69EF">
        <w:rPr>
          <w:rFonts w:ascii="Times New Roman" w:hAnsi="Times New Roman" w:cs="Times New Roman"/>
          <w:sz w:val="24"/>
          <w:szCs w:val="24"/>
          <w:lang w:bidi="ar-JO"/>
        </w:rPr>
        <w:t xml:space="preserve">been published in the Palestinian Official Gazette nor </w:t>
      </w:r>
      <w:r w:rsidR="003001BE">
        <w:rPr>
          <w:rFonts w:ascii="Times New Roman" w:hAnsi="Times New Roman" w:cs="Times New Roman"/>
          <w:sz w:val="24"/>
          <w:szCs w:val="24"/>
          <w:lang w:bidi="ar-JO"/>
        </w:rPr>
        <w:t xml:space="preserve">has have they been </w:t>
      </w:r>
      <w:r w:rsidR="008E668B" w:rsidRPr="009D69EF">
        <w:rPr>
          <w:rFonts w:ascii="Times New Roman" w:hAnsi="Times New Roman" w:cs="Times New Roman"/>
          <w:sz w:val="24"/>
          <w:szCs w:val="24"/>
          <w:lang w:bidi="ar-JO"/>
        </w:rPr>
        <w:t xml:space="preserve">made public. </w:t>
      </w:r>
    </w:p>
    <w:p w:rsidR="00A15513" w:rsidRPr="009D69EF" w:rsidRDefault="00A15513" w:rsidP="00A15513">
      <w:pPr>
        <w:pStyle w:val="ListParagraph"/>
        <w:ind w:left="0" w:right="-810"/>
        <w:jc w:val="both"/>
        <w:rPr>
          <w:rFonts w:ascii="Times New Roman" w:hAnsi="Times New Roman" w:cs="Times New Roman"/>
          <w:sz w:val="24"/>
          <w:szCs w:val="24"/>
          <w:lang w:bidi="ar-JO"/>
        </w:rPr>
      </w:pPr>
    </w:p>
    <w:p w:rsidR="008E668B" w:rsidRDefault="008E668B" w:rsidP="00A15513">
      <w:pPr>
        <w:pStyle w:val="ListParagraph"/>
        <w:numPr>
          <w:ilvl w:val="0"/>
          <w:numId w:val="3"/>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initial report does not make clear whether any measures or </w:t>
      </w:r>
      <w:r w:rsidR="00FF12FA">
        <w:rPr>
          <w:rFonts w:ascii="Times New Roman" w:hAnsi="Times New Roman" w:cs="Times New Roman"/>
          <w:sz w:val="24"/>
          <w:szCs w:val="24"/>
          <w:lang w:bidi="ar-JO"/>
        </w:rPr>
        <w:t>actions</w:t>
      </w:r>
      <w:r w:rsidRPr="009D69EF">
        <w:rPr>
          <w:rFonts w:ascii="Times New Roman" w:hAnsi="Times New Roman" w:cs="Times New Roman"/>
          <w:sz w:val="24"/>
          <w:szCs w:val="24"/>
          <w:lang w:bidi="ar-JO"/>
        </w:rPr>
        <w:t xml:space="preserve"> have been </w:t>
      </w:r>
      <w:r w:rsidR="002251A5">
        <w:rPr>
          <w:rFonts w:ascii="Times New Roman" w:hAnsi="Times New Roman" w:cs="Times New Roman"/>
          <w:sz w:val="24"/>
          <w:szCs w:val="24"/>
          <w:lang w:bidi="ar-JO"/>
        </w:rPr>
        <w:t>taken</w:t>
      </w:r>
      <w:r w:rsidRPr="009D69EF">
        <w:rPr>
          <w:rFonts w:ascii="Times New Roman" w:hAnsi="Times New Roman" w:cs="Times New Roman"/>
          <w:sz w:val="24"/>
          <w:szCs w:val="24"/>
          <w:lang w:bidi="ar-JO"/>
        </w:rPr>
        <w:t xml:space="preserve"> by the Palestinian government and/or judicial bodies</w:t>
      </w:r>
      <w:r w:rsidR="00262127" w:rsidRPr="009D69EF">
        <w:rPr>
          <w:rFonts w:ascii="Times New Roman" w:hAnsi="Times New Roman" w:cs="Times New Roman"/>
          <w:sz w:val="24"/>
          <w:szCs w:val="24"/>
          <w:lang w:bidi="ar-JO"/>
        </w:rPr>
        <w:t xml:space="preserve"> to implement international conventions and invoke relevant provisions before national courts. According to the ICHR monitoring, the official position </w:t>
      </w:r>
      <w:r w:rsidR="002251A5">
        <w:rPr>
          <w:rFonts w:ascii="Times New Roman" w:hAnsi="Times New Roman" w:cs="Times New Roman"/>
          <w:sz w:val="24"/>
          <w:szCs w:val="24"/>
          <w:lang w:bidi="ar-JO"/>
        </w:rPr>
        <w:t xml:space="preserve">suggests a vague approach </w:t>
      </w:r>
      <w:r w:rsidR="00262127" w:rsidRPr="009D69EF">
        <w:rPr>
          <w:rFonts w:ascii="Times New Roman" w:hAnsi="Times New Roman" w:cs="Times New Roman"/>
          <w:sz w:val="24"/>
          <w:szCs w:val="24"/>
          <w:lang w:bidi="ar-JO"/>
        </w:rPr>
        <w:t xml:space="preserve">to </w:t>
      </w:r>
      <w:r w:rsidR="002251A5">
        <w:rPr>
          <w:rFonts w:ascii="Times New Roman" w:hAnsi="Times New Roman" w:cs="Times New Roman"/>
          <w:sz w:val="24"/>
          <w:szCs w:val="24"/>
          <w:lang w:bidi="ar-JO"/>
        </w:rPr>
        <w:t>adopting</w:t>
      </w:r>
      <w:r w:rsidR="00262127" w:rsidRPr="009D69EF">
        <w:rPr>
          <w:rFonts w:ascii="Times New Roman" w:hAnsi="Times New Roman" w:cs="Times New Roman"/>
          <w:sz w:val="24"/>
          <w:szCs w:val="24"/>
          <w:lang w:bidi="ar-JO"/>
        </w:rPr>
        <w:t xml:space="preserve"> measures</w:t>
      </w:r>
      <w:r w:rsidR="002251A5">
        <w:rPr>
          <w:rFonts w:ascii="Times New Roman" w:hAnsi="Times New Roman" w:cs="Times New Roman"/>
          <w:sz w:val="24"/>
          <w:szCs w:val="24"/>
          <w:lang w:bidi="ar-JO"/>
        </w:rPr>
        <w:t>, which would ensure</w:t>
      </w:r>
      <w:r w:rsidR="00262127" w:rsidRPr="009D69EF">
        <w:rPr>
          <w:rFonts w:ascii="Times New Roman" w:hAnsi="Times New Roman" w:cs="Times New Roman"/>
          <w:sz w:val="24"/>
          <w:szCs w:val="24"/>
          <w:lang w:bidi="ar-JO"/>
        </w:rPr>
        <w:t xml:space="preserve"> </w:t>
      </w:r>
      <w:r w:rsidR="002251A5">
        <w:rPr>
          <w:rFonts w:ascii="Times New Roman" w:hAnsi="Times New Roman" w:cs="Times New Roman"/>
          <w:sz w:val="24"/>
          <w:szCs w:val="24"/>
          <w:lang w:bidi="ar-JO"/>
        </w:rPr>
        <w:t xml:space="preserve">the </w:t>
      </w:r>
      <w:r w:rsidR="00262127" w:rsidRPr="009D69EF">
        <w:rPr>
          <w:rFonts w:ascii="Times New Roman" w:hAnsi="Times New Roman" w:cs="Times New Roman"/>
          <w:sz w:val="24"/>
          <w:szCs w:val="24"/>
          <w:lang w:bidi="ar-JO"/>
        </w:rPr>
        <w:t>enforc</w:t>
      </w:r>
      <w:r w:rsidR="002251A5">
        <w:rPr>
          <w:rFonts w:ascii="Times New Roman" w:hAnsi="Times New Roman" w:cs="Times New Roman"/>
          <w:sz w:val="24"/>
          <w:szCs w:val="24"/>
          <w:lang w:bidi="ar-JO"/>
        </w:rPr>
        <w:t>ement of</w:t>
      </w:r>
      <w:r w:rsidR="00262127" w:rsidRPr="009D69EF">
        <w:rPr>
          <w:rFonts w:ascii="Times New Roman" w:hAnsi="Times New Roman" w:cs="Times New Roman"/>
          <w:sz w:val="24"/>
          <w:szCs w:val="24"/>
          <w:lang w:bidi="ar-JO"/>
        </w:rPr>
        <w:t xml:space="preserve"> international human rights conventions on the domestic judicial system of Palestine. </w:t>
      </w:r>
    </w:p>
    <w:p w:rsidR="00A15513" w:rsidRPr="009D69EF" w:rsidRDefault="00A15513" w:rsidP="00A15513">
      <w:pPr>
        <w:pStyle w:val="ListParagraph"/>
        <w:ind w:left="0" w:right="-810"/>
        <w:jc w:val="both"/>
        <w:rPr>
          <w:rFonts w:ascii="Times New Roman" w:hAnsi="Times New Roman" w:cs="Times New Roman"/>
          <w:sz w:val="24"/>
          <w:szCs w:val="24"/>
          <w:lang w:bidi="ar-JO"/>
        </w:rPr>
      </w:pPr>
    </w:p>
    <w:p w:rsidR="00262127" w:rsidRDefault="00262127" w:rsidP="00A15513">
      <w:pPr>
        <w:pStyle w:val="ListParagraph"/>
        <w:numPr>
          <w:ilvl w:val="0"/>
          <w:numId w:val="3"/>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Para</w:t>
      </w:r>
      <w:r w:rsidR="003001BE">
        <w:rPr>
          <w:rFonts w:ascii="Times New Roman" w:hAnsi="Times New Roman" w:cs="Times New Roman"/>
          <w:sz w:val="24"/>
          <w:szCs w:val="24"/>
          <w:lang w:bidi="ar-JO"/>
        </w:rPr>
        <w:t>graph</w:t>
      </w:r>
      <w:r w:rsidRPr="009D69EF">
        <w:rPr>
          <w:rFonts w:ascii="Times New Roman" w:hAnsi="Times New Roman" w:cs="Times New Roman"/>
          <w:sz w:val="24"/>
          <w:szCs w:val="24"/>
          <w:lang w:bidi="ar-JO"/>
        </w:rPr>
        <w:t xml:space="preserve"> 36 of the State of Palestine’s initial report refers to establishment of the National Council for Children (NCC) as a national </w:t>
      </w:r>
      <w:r w:rsidR="003001BE">
        <w:rPr>
          <w:rFonts w:ascii="Times New Roman" w:hAnsi="Times New Roman" w:cs="Times New Roman"/>
          <w:sz w:val="24"/>
          <w:szCs w:val="24"/>
          <w:lang w:bidi="ar-JO"/>
        </w:rPr>
        <w:t>mechanism that</w:t>
      </w:r>
      <w:r w:rsidRPr="009D69EF">
        <w:rPr>
          <w:rFonts w:ascii="Times New Roman" w:hAnsi="Times New Roman" w:cs="Times New Roman"/>
          <w:sz w:val="24"/>
          <w:szCs w:val="24"/>
          <w:lang w:bidi="ar-JO"/>
        </w:rPr>
        <w:t xml:space="preserve"> aims at proposing public strategies and policies to provide care and protection to children. However, the NCC does not exist nor does its role ha</w:t>
      </w:r>
      <w:r w:rsidR="00516585">
        <w:rPr>
          <w:rFonts w:ascii="Times New Roman" w:hAnsi="Times New Roman" w:cs="Times New Roman"/>
          <w:sz w:val="24"/>
          <w:szCs w:val="24"/>
          <w:lang w:bidi="ar-JO"/>
        </w:rPr>
        <w:t>ve</w:t>
      </w:r>
      <w:r w:rsidRPr="009D69EF">
        <w:rPr>
          <w:rFonts w:ascii="Times New Roman" w:hAnsi="Times New Roman" w:cs="Times New Roman"/>
          <w:sz w:val="24"/>
          <w:szCs w:val="24"/>
          <w:lang w:bidi="ar-JO"/>
        </w:rPr>
        <w:t xml:space="preserve"> any impact. </w:t>
      </w:r>
    </w:p>
    <w:p w:rsidR="00A15513" w:rsidRPr="009D69EF" w:rsidRDefault="00A15513" w:rsidP="00A15513">
      <w:pPr>
        <w:pStyle w:val="ListParagraph"/>
        <w:ind w:left="0" w:right="-810"/>
        <w:jc w:val="both"/>
        <w:rPr>
          <w:rFonts w:ascii="Times New Roman" w:hAnsi="Times New Roman" w:cs="Times New Roman"/>
          <w:sz w:val="24"/>
          <w:szCs w:val="24"/>
          <w:lang w:bidi="ar-JO"/>
        </w:rPr>
      </w:pPr>
    </w:p>
    <w:p w:rsidR="00262127" w:rsidRPr="009D69EF" w:rsidRDefault="00262127" w:rsidP="00A15513">
      <w:pPr>
        <w:pStyle w:val="ListParagraph"/>
        <w:numPr>
          <w:ilvl w:val="0"/>
          <w:numId w:val="3"/>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initial report does </w:t>
      </w:r>
      <w:r w:rsidR="00516585">
        <w:rPr>
          <w:rFonts w:ascii="Times New Roman" w:hAnsi="Times New Roman" w:cs="Times New Roman"/>
          <w:sz w:val="24"/>
          <w:szCs w:val="24"/>
          <w:lang w:bidi="ar-JO"/>
        </w:rPr>
        <w:t xml:space="preserve">not make reference </w:t>
      </w:r>
      <w:r w:rsidRPr="009D69EF">
        <w:rPr>
          <w:rFonts w:ascii="Times New Roman" w:hAnsi="Times New Roman" w:cs="Times New Roman"/>
          <w:sz w:val="24"/>
          <w:szCs w:val="24"/>
          <w:lang w:bidi="ar-JO"/>
        </w:rPr>
        <w:t xml:space="preserve">to the transformation of the Ministry of Social Affairs into the Ministry of Social Development </w:t>
      </w:r>
      <w:r w:rsidR="00516585">
        <w:rPr>
          <w:rFonts w:ascii="Times New Roman" w:hAnsi="Times New Roman" w:cs="Times New Roman"/>
          <w:sz w:val="24"/>
          <w:szCs w:val="24"/>
          <w:lang w:bidi="ar-JO"/>
        </w:rPr>
        <w:t xml:space="preserve">(MoSD) </w:t>
      </w:r>
      <w:r w:rsidRPr="009D69EF">
        <w:rPr>
          <w:rFonts w:ascii="Times New Roman" w:hAnsi="Times New Roman" w:cs="Times New Roman"/>
          <w:sz w:val="24"/>
          <w:szCs w:val="24"/>
          <w:lang w:bidi="ar-JO"/>
        </w:rPr>
        <w:t xml:space="preserve">in line with international obligations, approved by the State of Palestine upon signing </w:t>
      </w:r>
      <w:r w:rsidR="00516585">
        <w:rPr>
          <w:rFonts w:ascii="Times New Roman" w:hAnsi="Times New Roman" w:cs="Times New Roman"/>
          <w:sz w:val="24"/>
          <w:szCs w:val="24"/>
          <w:lang w:bidi="ar-JO"/>
        </w:rPr>
        <w:t>relevant</w:t>
      </w:r>
      <w:r w:rsidRPr="009D69EF">
        <w:rPr>
          <w:rFonts w:ascii="Times New Roman" w:hAnsi="Times New Roman" w:cs="Times New Roman"/>
          <w:sz w:val="24"/>
          <w:szCs w:val="24"/>
          <w:lang w:bidi="ar-JO"/>
        </w:rPr>
        <w:t xml:space="preserve"> conventions</w:t>
      </w:r>
      <w:r w:rsidR="002D76B6" w:rsidRPr="009D69EF">
        <w:rPr>
          <w:rFonts w:ascii="Times New Roman" w:hAnsi="Times New Roman" w:cs="Times New Roman"/>
          <w:sz w:val="24"/>
          <w:szCs w:val="24"/>
          <w:lang w:bidi="ar-JO"/>
        </w:rPr>
        <w:t xml:space="preserve">. This conversion favourably reflects on the Ministry’s objectives, programmes and policies. </w:t>
      </w:r>
    </w:p>
    <w:p w:rsidR="00A15513" w:rsidRDefault="002D76B6" w:rsidP="00A15513">
      <w:pPr>
        <w:pStyle w:val="ListParagraph"/>
        <w:numPr>
          <w:ilvl w:val="0"/>
          <w:numId w:val="3"/>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In the context of </w:t>
      </w:r>
      <w:r w:rsidR="00151181">
        <w:rPr>
          <w:rFonts w:ascii="Times New Roman" w:hAnsi="Times New Roman" w:cs="Times New Roman"/>
          <w:sz w:val="24"/>
          <w:szCs w:val="24"/>
          <w:lang w:bidi="ar-JO"/>
        </w:rPr>
        <w:t>reviewing</w:t>
      </w:r>
      <w:r w:rsidRPr="009D69EF">
        <w:rPr>
          <w:rFonts w:ascii="Times New Roman" w:hAnsi="Times New Roman" w:cs="Times New Roman"/>
          <w:sz w:val="24"/>
          <w:szCs w:val="24"/>
          <w:lang w:bidi="ar-JO"/>
        </w:rPr>
        <w:t xml:space="preserve"> obstacles and challenges, </w:t>
      </w:r>
      <w:r w:rsidR="009572B7" w:rsidRPr="009D69EF">
        <w:rPr>
          <w:rFonts w:ascii="Times New Roman" w:hAnsi="Times New Roman" w:cs="Times New Roman"/>
          <w:sz w:val="24"/>
          <w:szCs w:val="24"/>
          <w:lang w:bidi="ar-JO"/>
        </w:rPr>
        <w:t>Para</w:t>
      </w:r>
      <w:r w:rsidR="00151181">
        <w:rPr>
          <w:rFonts w:ascii="Times New Roman" w:hAnsi="Times New Roman" w:cs="Times New Roman"/>
          <w:sz w:val="24"/>
          <w:szCs w:val="24"/>
          <w:lang w:bidi="ar-JO"/>
        </w:rPr>
        <w:t>graph</w:t>
      </w:r>
      <w:r w:rsidR="009572B7" w:rsidRPr="009D69EF">
        <w:rPr>
          <w:rFonts w:ascii="Times New Roman" w:hAnsi="Times New Roman" w:cs="Times New Roman"/>
          <w:sz w:val="24"/>
          <w:szCs w:val="24"/>
          <w:lang w:bidi="ar-JO"/>
        </w:rPr>
        <w:t xml:space="preserve"> 37 of </w:t>
      </w:r>
      <w:r w:rsidRPr="009D69EF">
        <w:rPr>
          <w:rFonts w:ascii="Times New Roman" w:hAnsi="Times New Roman" w:cs="Times New Roman"/>
          <w:sz w:val="24"/>
          <w:szCs w:val="24"/>
          <w:lang w:bidi="ar-JO"/>
        </w:rPr>
        <w:t xml:space="preserve">the initial report does </w:t>
      </w:r>
      <w:r w:rsidR="009572B7" w:rsidRPr="009D69EF">
        <w:rPr>
          <w:rFonts w:ascii="Times New Roman" w:hAnsi="Times New Roman" w:cs="Times New Roman"/>
          <w:sz w:val="24"/>
          <w:szCs w:val="24"/>
          <w:lang w:bidi="ar-JO"/>
        </w:rPr>
        <w:t xml:space="preserve">not </w:t>
      </w:r>
      <w:r w:rsidR="008331E7">
        <w:rPr>
          <w:rFonts w:ascii="Times New Roman" w:hAnsi="Times New Roman" w:cs="Times New Roman"/>
          <w:sz w:val="24"/>
          <w:szCs w:val="24"/>
          <w:lang w:bidi="ar-JO"/>
        </w:rPr>
        <w:t xml:space="preserve">describe </w:t>
      </w:r>
      <w:r w:rsidR="009572B7" w:rsidRPr="009D69EF">
        <w:rPr>
          <w:rFonts w:ascii="Times New Roman" w:hAnsi="Times New Roman" w:cs="Times New Roman"/>
          <w:sz w:val="24"/>
          <w:szCs w:val="24"/>
          <w:lang w:bidi="ar-JO"/>
        </w:rPr>
        <w:t xml:space="preserve">the impact of Israel’s siege on the Gaza Strip and consequences of </w:t>
      </w:r>
      <w:r w:rsidR="00671BFD">
        <w:rPr>
          <w:rFonts w:ascii="Times New Roman" w:hAnsi="Times New Roman" w:cs="Times New Roman"/>
          <w:sz w:val="24"/>
          <w:szCs w:val="24"/>
          <w:lang w:bidi="ar-JO"/>
        </w:rPr>
        <w:t xml:space="preserve">frequent and </w:t>
      </w:r>
      <w:r w:rsidR="009572B7" w:rsidRPr="009D69EF">
        <w:rPr>
          <w:rFonts w:ascii="Times New Roman" w:hAnsi="Times New Roman" w:cs="Times New Roman"/>
          <w:sz w:val="24"/>
          <w:szCs w:val="24"/>
          <w:lang w:bidi="ar-JO"/>
        </w:rPr>
        <w:t xml:space="preserve">daily attacks </w:t>
      </w:r>
      <w:r w:rsidR="00667F88">
        <w:rPr>
          <w:rFonts w:ascii="Times New Roman" w:hAnsi="Times New Roman" w:cs="Times New Roman"/>
          <w:sz w:val="24"/>
          <w:szCs w:val="24"/>
          <w:lang w:bidi="ar-JO"/>
        </w:rPr>
        <w:t>of</w:t>
      </w:r>
      <w:r w:rsidR="009572B7" w:rsidRPr="009D69EF">
        <w:rPr>
          <w:rFonts w:ascii="Times New Roman" w:hAnsi="Times New Roman" w:cs="Times New Roman"/>
          <w:sz w:val="24"/>
          <w:szCs w:val="24"/>
          <w:lang w:bidi="ar-JO"/>
        </w:rPr>
        <w:t xml:space="preserve"> the Israeli occupying forces, resulting in </w:t>
      </w:r>
      <w:r w:rsidR="00E65340" w:rsidRPr="009D69EF">
        <w:rPr>
          <w:rFonts w:ascii="Times New Roman" w:hAnsi="Times New Roman" w:cs="Times New Roman"/>
          <w:sz w:val="24"/>
          <w:szCs w:val="24"/>
          <w:lang w:bidi="ar-JO"/>
        </w:rPr>
        <w:t>large-scale</w:t>
      </w:r>
      <w:r w:rsidR="009572B7" w:rsidRPr="009D69EF">
        <w:rPr>
          <w:rFonts w:ascii="Times New Roman" w:hAnsi="Times New Roman" w:cs="Times New Roman"/>
          <w:sz w:val="24"/>
          <w:szCs w:val="24"/>
          <w:lang w:bidi="ar-JO"/>
        </w:rPr>
        <w:t xml:space="preserve"> violations of the rights of children, including the</w:t>
      </w:r>
      <w:r w:rsidR="00E625A3">
        <w:rPr>
          <w:rFonts w:ascii="Times New Roman" w:hAnsi="Times New Roman" w:cs="Times New Roman"/>
          <w:sz w:val="24"/>
          <w:szCs w:val="24"/>
          <w:lang w:bidi="ar-JO"/>
        </w:rPr>
        <w:t>ir</w:t>
      </w:r>
      <w:r w:rsidR="009572B7" w:rsidRPr="009D69EF">
        <w:rPr>
          <w:rFonts w:ascii="Times New Roman" w:hAnsi="Times New Roman" w:cs="Times New Roman"/>
          <w:sz w:val="24"/>
          <w:szCs w:val="24"/>
          <w:lang w:bidi="ar-JO"/>
        </w:rPr>
        <w:t xml:space="preserve"> right to life.</w:t>
      </w:r>
    </w:p>
    <w:p w:rsidR="00262127" w:rsidRPr="009D69EF" w:rsidRDefault="009572B7" w:rsidP="00A15513">
      <w:pPr>
        <w:pStyle w:val="ListParagraph"/>
        <w:ind w:left="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 </w:t>
      </w:r>
    </w:p>
    <w:p w:rsidR="00262127" w:rsidRPr="009D69EF" w:rsidRDefault="009572B7" w:rsidP="00A15513">
      <w:pPr>
        <w:pStyle w:val="ListParagraph"/>
        <w:numPr>
          <w:ilvl w:val="0"/>
          <w:numId w:val="3"/>
        </w:numPr>
        <w:ind w:left="0" w:right="-810" w:hanging="45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initial report does not </w:t>
      </w:r>
      <w:r w:rsidR="006B188B">
        <w:rPr>
          <w:rFonts w:ascii="Times New Roman" w:hAnsi="Times New Roman" w:cs="Times New Roman"/>
          <w:sz w:val="24"/>
          <w:szCs w:val="24"/>
          <w:lang w:bidi="ar-JO"/>
        </w:rPr>
        <w:t>outline</w:t>
      </w:r>
      <w:r w:rsidR="00973C31">
        <w:rPr>
          <w:rFonts w:ascii="Times New Roman" w:hAnsi="Times New Roman" w:cs="Times New Roman"/>
          <w:sz w:val="24"/>
          <w:szCs w:val="24"/>
          <w:lang w:bidi="ar-JO"/>
        </w:rPr>
        <w:t xml:space="preserve"> the</w:t>
      </w:r>
      <w:r w:rsidRPr="009D69EF">
        <w:rPr>
          <w:rFonts w:ascii="Times New Roman" w:hAnsi="Times New Roman" w:cs="Times New Roman"/>
          <w:sz w:val="24"/>
          <w:szCs w:val="24"/>
          <w:lang w:bidi="ar-JO"/>
        </w:rPr>
        <w:t xml:space="preserve"> budgetary resources dedicated to children within the MoSD budget</w:t>
      </w:r>
      <w:r w:rsidR="00E164F1">
        <w:rPr>
          <w:rFonts w:ascii="Times New Roman" w:hAnsi="Times New Roman" w:cs="Times New Roman"/>
          <w:sz w:val="24"/>
          <w:szCs w:val="24"/>
          <w:lang w:bidi="ar-JO"/>
        </w:rPr>
        <w:t xml:space="preserve"> line items</w:t>
      </w:r>
      <w:r w:rsidRPr="009D69EF">
        <w:rPr>
          <w:rFonts w:ascii="Times New Roman" w:hAnsi="Times New Roman" w:cs="Times New Roman"/>
          <w:sz w:val="24"/>
          <w:szCs w:val="24"/>
          <w:lang w:bidi="ar-JO"/>
        </w:rPr>
        <w:t xml:space="preserve">, nor does not indicate the percentage of budget appropriations for the protection and care of </w:t>
      </w:r>
      <w:r w:rsidR="00E164F1">
        <w:rPr>
          <w:rFonts w:ascii="Times New Roman" w:hAnsi="Times New Roman" w:cs="Times New Roman"/>
          <w:sz w:val="24"/>
          <w:szCs w:val="24"/>
          <w:lang w:bidi="ar-JO"/>
        </w:rPr>
        <w:t xml:space="preserve">the rights of </w:t>
      </w:r>
      <w:r w:rsidRPr="009D69EF">
        <w:rPr>
          <w:rFonts w:ascii="Times New Roman" w:hAnsi="Times New Roman" w:cs="Times New Roman"/>
          <w:sz w:val="24"/>
          <w:szCs w:val="24"/>
          <w:lang w:bidi="ar-JO"/>
        </w:rPr>
        <w:t xml:space="preserve">children. The budget section </w:t>
      </w:r>
      <w:r w:rsidR="00E164F1">
        <w:rPr>
          <w:rFonts w:ascii="Times New Roman" w:hAnsi="Times New Roman" w:cs="Times New Roman"/>
          <w:sz w:val="24"/>
          <w:szCs w:val="24"/>
          <w:lang w:bidi="ar-JO"/>
        </w:rPr>
        <w:t xml:space="preserve">provides a </w:t>
      </w:r>
      <w:r w:rsidRPr="009D69EF">
        <w:rPr>
          <w:rFonts w:ascii="Times New Roman" w:hAnsi="Times New Roman" w:cs="Times New Roman"/>
          <w:sz w:val="24"/>
          <w:szCs w:val="24"/>
          <w:lang w:bidi="ar-JO"/>
        </w:rPr>
        <w:t xml:space="preserve">general </w:t>
      </w:r>
      <w:r w:rsidR="00E164F1">
        <w:rPr>
          <w:rFonts w:ascii="Times New Roman" w:hAnsi="Times New Roman" w:cs="Times New Roman"/>
          <w:sz w:val="24"/>
          <w:szCs w:val="24"/>
          <w:lang w:bidi="ar-JO"/>
        </w:rPr>
        <w:t xml:space="preserve">overview of </w:t>
      </w:r>
      <w:r w:rsidRPr="009D69EF">
        <w:rPr>
          <w:rFonts w:ascii="Times New Roman" w:hAnsi="Times New Roman" w:cs="Times New Roman"/>
          <w:sz w:val="24"/>
          <w:szCs w:val="24"/>
          <w:lang w:bidi="ar-JO"/>
        </w:rPr>
        <w:t xml:space="preserve">budget </w:t>
      </w:r>
      <w:r w:rsidR="00E164F1">
        <w:rPr>
          <w:rFonts w:ascii="Times New Roman" w:hAnsi="Times New Roman" w:cs="Times New Roman"/>
          <w:sz w:val="24"/>
          <w:szCs w:val="24"/>
          <w:lang w:bidi="ar-JO"/>
        </w:rPr>
        <w:t>line items</w:t>
      </w:r>
      <w:r w:rsidRPr="009D69EF">
        <w:rPr>
          <w:rFonts w:ascii="Times New Roman" w:hAnsi="Times New Roman" w:cs="Times New Roman"/>
          <w:sz w:val="24"/>
          <w:szCs w:val="24"/>
          <w:lang w:bidi="ar-JO"/>
        </w:rPr>
        <w:t>, which in part cover children. Budget allocations are not linked to national strategies and international cooperation with a view to assess</w:t>
      </w:r>
      <w:r w:rsidR="00E164F1">
        <w:rPr>
          <w:rFonts w:ascii="Times New Roman" w:hAnsi="Times New Roman" w:cs="Times New Roman"/>
          <w:sz w:val="24"/>
          <w:szCs w:val="24"/>
          <w:lang w:bidi="ar-JO"/>
        </w:rPr>
        <w:t>ing</w:t>
      </w:r>
      <w:r w:rsidRPr="009D69EF">
        <w:rPr>
          <w:rFonts w:ascii="Times New Roman" w:hAnsi="Times New Roman" w:cs="Times New Roman"/>
          <w:sz w:val="24"/>
          <w:szCs w:val="24"/>
          <w:lang w:bidi="ar-JO"/>
        </w:rPr>
        <w:t xml:space="preserve"> how international cooperation supports national strategies </w:t>
      </w:r>
      <w:r w:rsidR="00E164F1">
        <w:rPr>
          <w:rFonts w:ascii="Times New Roman" w:hAnsi="Times New Roman" w:cs="Times New Roman"/>
          <w:sz w:val="24"/>
          <w:szCs w:val="24"/>
          <w:lang w:bidi="ar-JO"/>
        </w:rPr>
        <w:t>on the</w:t>
      </w:r>
      <w:r w:rsidRPr="009D69EF">
        <w:rPr>
          <w:rFonts w:ascii="Times New Roman" w:hAnsi="Times New Roman" w:cs="Times New Roman"/>
          <w:sz w:val="24"/>
          <w:szCs w:val="24"/>
          <w:lang w:bidi="ar-JO"/>
        </w:rPr>
        <w:t xml:space="preserve"> rights of children, </w:t>
      </w:r>
      <w:r w:rsidR="00E164F1">
        <w:rPr>
          <w:rFonts w:ascii="Times New Roman" w:hAnsi="Times New Roman" w:cs="Times New Roman"/>
          <w:sz w:val="24"/>
          <w:szCs w:val="24"/>
          <w:lang w:bidi="ar-JO"/>
        </w:rPr>
        <w:t xml:space="preserve">prospects of </w:t>
      </w:r>
      <w:r w:rsidRPr="009D69EF">
        <w:rPr>
          <w:rFonts w:ascii="Times New Roman" w:hAnsi="Times New Roman" w:cs="Times New Roman"/>
          <w:sz w:val="24"/>
          <w:szCs w:val="24"/>
          <w:lang w:bidi="ar-JO"/>
        </w:rPr>
        <w:t xml:space="preserve">implementation, </w:t>
      </w:r>
      <w:r w:rsidR="00E65340" w:rsidRPr="009D69EF">
        <w:rPr>
          <w:rFonts w:ascii="Times New Roman" w:hAnsi="Times New Roman" w:cs="Times New Roman"/>
          <w:sz w:val="24"/>
          <w:szCs w:val="24"/>
          <w:lang w:bidi="ar-JO"/>
        </w:rPr>
        <w:t xml:space="preserve">and </w:t>
      </w:r>
      <w:r w:rsidR="00E65340" w:rsidRPr="00E164F1">
        <w:rPr>
          <w:rFonts w:ascii="Times New Roman" w:hAnsi="Times New Roman" w:cs="Times New Roman"/>
          <w:sz w:val="24"/>
          <w:szCs w:val="24"/>
          <w:lang w:bidi="ar-JO"/>
        </w:rPr>
        <w:t>guarantee</w:t>
      </w:r>
      <w:r w:rsidR="00E164F1" w:rsidRPr="00E164F1">
        <w:rPr>
          <w:rFonts w:ascii="Times New Roman" w:hAnsi="Times New Roman" w:cs="Times New Roman"/>
          <w:sz w:val="24"/>
          <w:szCs w:val="24"/>
          <w:lang w:bidi="ar-JO"/>
        </w:rPr>
        <w:t xml:space="preserve"> of children’s rights</w:t>
      </w:r>
      <w:r w:rsidRPr="009D69EF">
        <w:rPr>
          <w:rFonts w:ascii="Times New Roman" w:hAnsi="Times New Roman" w:cs="Times New Roman"/>
          <w:sz w:val="24"/>
          <w:szCs w:val="24"/>
          <w:lang w:bidi="ar-JO"/>
        </w:rPr>
        <w:t xml:space="preserve">. </w:t>
      </w:r>
    </w:p>
    <w:p w:rsidR="00A15513" w:rsidRDefault="009572B7"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Definition of the child </w:t>
      </w:r>
    </w:p>
    <w:p w:rsidR="00A15513" w:rsidRDefault="009572B7"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Para</w:t>
      </w:r>
      <w:r w:rsidR="0090259D">
        <w:rPr>
          <w:rFonts w:ascii="Times New Roman" w:hAnsi="Times New Roman" w:cs="Times New Roman"/>
          <w:sz w:val="24"/>
          <w:szCs w:val="24"/>
          <w:lang w:bidi="ar-JO"/>
        </w:rPr>
        <w:t>graph</w:t>
      </w:r>
      <w:r w:rsidRPr="009D69EF">
        <w:rPr>
          <w:rFonts w:ascii="Times New Roman" w:hAnsi="Times New Roman" w:cs="Times New Roman"/>
          <w:sz w:val="24"/>
          <w:szCs w:val="24"/>
          <w:lang w:bidi="ar-JO"/>
        </w:rPr>
        <w:t xml:space="preserve">s 98-112 </w:t>
      </w:r>
      <w:r w:rsidR="0090259D">
        <w:rPr>
          <w:rFonts w:ascii="Times New Roman" w:hAnsi="Times New Roman" w:cs="Times New Roman"/>
          <w:sz w:val="24"/>
          <w:szCs w:val="24"/>
          <w:lang w:bidi="ar-JO"/>
        </w:rPr>
        <w:t xml:space="preserve">of the initial report </w:t>
      </w:r>
      <w:r w:rsidRPr="009D69EF">
        <w:rPr>
          <w:rFonts w:ascii="Times New Roman" w:hAnsi="Times New Roman" w:cs="Times New Roman"/>
          <w:sz w:val="24"/>
          <w:szCs w:val="24"/>
          <w:lang w:bidi="ar-JO"/>
        </w:rPr>
        <w:t xml:space="preserve">provide a detailed account of disparities and inconsistencies among laws in force in the State of Palestine. </w:t>
      </w:r>
      <w:r w:rsidR="002E0D9E" w:rsidRPr="009D69EF">
        <w:rPr>
          <w:rFonts w:ascii="Times New Roman" w:hAnsi="Times New Roman" w:cs="Times New Roman"/>
          <w:sz w:val="24"/>
          <w:szCs w:val="24"/>
          <w:lang w:bidi="ar-JO"/>
        </w:rPr>
        <w:t xml:space="preserve">Aspects of incompatibility include legal minimum age </w:t>
      </w:r>
      <w:r w:rsidR="0090259D">
        <w:rPr>
          <w:rFonts w:ascii="Times New Roman" w:hAnsi="Times New Roman" w:cs="Times New Roman"/>
          <w:sz w:val="24"/>
          <w:szCs w:val="24"/>
          <w:lang w:bidi="ar-JO"/>
        </w:rPr>
        <w:t xml:space="preserve">of the child </w:t>
      </w:r>
      <w:r w:rsidR="002E0D9E" w:rsidRPr="009D69EF">
        <w:rPr>
          <w:rFonts w:ascii="Times New Roman" w:hAnsi="Times New Roman" w:cs="Times New Roman"/>
          <w:sz w:val="24"/>
          <w:szCs w:val="24"/>
          <w:lang w:bidi="ar-JO"/>
        </w:rPr>
        <w:t>and ensuing responsibilities</w:t>
      </w:r>
      <w:r w:rsidR="0044031D">
        <w:rPr>
          <w:rFonts w:ascii="Times New Roman" w:hAnsi="Times New Roman" w:cs="Times New Roman"/>
          <w:sz w:val="24"/>
          <w:szCs w:val="24"/>
          <w:lang w:bidi="ar-JO"/>
        </w:rPr>
        <w:t xml:space="preserve">. In </w:t>
      </w:r>
      <w:r w:rsidR="002E0D9E" w:rsidRPr="009D69EF">
        <w:rPr>
          <w:rFonts w:ascii="Times New Roman" w:hAnsi="Times New Roman" w:cs="Times New Roman"/>
          <w:sz w:val="24"/>
          <w:szCs w:val="24"/>
          <w:lang w:bidi="ar-JO"/>
        </w:rPr>
        <w:t>particular</w:t>
      </w:r>
      <w:r w:rsidR="0044031D">
        <w:rPr>
          <w:rFonts w:ascii="Times New Roman" w:hAnsi="Times New Roman" w:cs="Times New Roman"/>
          <w:sz w:val="24"/>
          <w:szCs w:val="24"/>
          <w:lang w:bidi="ar-JO"/>
        </w:rPr>
        <w:t xml:space="preserve">, the report addresses the </w:t>
      </w:r>
      <w:r w:rsidR="002E0D9E" w:rsidRPr="009D69EF">
        <w:rPr>
          <w:rFonts w:ascii="Times New Roman" w:hAnsi="Times New Roman" w:cs="Times New Roman"/>
          <w:sz w:val="24"/>
          <w:szCs w:val="24"/>
          <w:lang w:bidi="ar-JO"/>
        </w:rPr>
        <w:t xml:space="preserve">age of legal capacity, compulsory education age, working age, age for giving testimony, marriageable age, age of criminal liability, age of becoming eligible for business, and </w:t>
      </w:r>
      <w:r w:rsidR="00945B0B" w:rsidRPr="009D69EF">
        <w:rPr>
          <w:rFonts w:ascii="Times New Roman" w:hAnsi="Times New Roman" w:cs="Times New Roman"/>
          <w:sz w:val="24"/>
          <w:szCs w:val="24"/>
          <w:lang w:bidi="ar-JO"/>
        </w:rPr>
        <w:t xml:space="preserve">narcotic drug and alcohol use. </w:t>
      </w:r>
      <w:r w:rsidR="00605CAB">
        <w:rPr>
          <w:rFonts w:ascii="Times New Roman" w:hAnsi="Times New Roman" w:cs="Times New Roman"/>
          <w:sz w:val="24"/>
          <w:szCs w:val="24"/>
          <w:lang w:bidi="ar-JO"/>
        </w:rPr>
        <w:t>On the other hand, t</w:t>
      </w:r>
      <w:r w:rsidR="00945B0B" w:rsidRPr="009D69EF">
        <w:rPr>
          <w:rFonts w:ascii="Times New Roman" w:hAnsi="Times New Roman" w:cs="Times New Roman"/>
          <w:sz w:val="24"/>
          <w:szCs w:val="24"/>
          <w:lang w:bidi="ar-JO"/>
        </w:rPr>
        <w:t xml:space="preserve">he initial report does not present the </w:t>
      </w:r>
      <w:r w:rsidR="00605CAB">
        <w:rPr>
          <w:rFonts w:ascii="Times New Roman" w:hAnsi="Times New Roman" w:cs="Times New Roman"/>
          <w:sz w:val="24"/>
          <w:szCs w:val="24"/>
          <w:lang w:bidi="ar-JO"/>
        </w:rPr>
        <w:t>actions</w:t>
      </w:r>
      <w:r w:rsidR="00945B0B" w:rsidRPr="009D69EF">
        <w:rPr>
          <w:rFonts w:ascii="Times New Roman" w:hAnsi="Times New Roman" w:cs="Times New Roman"/>
          <w:sz w:val="24"/>
          <w:szCs w:val="24"/>
          <w:lang w:bidi="ar-JO"/>
        </w:rPr>
        <w:t xml:space="preserve"> and policies </w:t>
      </w:r>
      <w:r w:rsidR="00605CAB">
        <w:rPr>
          <w:rFonts w:ascii="Times New Roman" w:hAnsi="Times New Roman" w:cs="Times New Roman"/>
          <w:sz w:val="24"/>
          <w:szCs w:val="24"/>
          <w:lang w:bidi="ar-JO"/>
        </w:rPr>
        <w:t>adopted</w:t>
      </w:r>
      <w:r w:rsidR="00945B0B" w:rsidRPr="009D69EF">
        <w:rPr>
          <w:rFonts w:ascii="Times New Roman" w:hAnsi="Times New Roman" w:cs="Times New Roman"/>
          <w:sz w:val="24"/>
          <w:szCs w:val="24"/>
          <w:lang w:bidi="ar-JO"/>
        </w:rPr>
        <w:t xml:space="preserve"> by the government to remove legislative inconsistenc</w:t>
      </w:r>
      <w:r w:rsidR="00605CAB">
        <w:rPr>
          <w:rFonts w:ascii="Times New Roman" w:hAnsi="Times New Roman" w:cs="Times New Roman"/>
          <w:sz w:val="24"/>
          <w:szCs w:val="24"/>
          <w:lang w:bidi="ar-JO"/>
        </w:rPr>
        <w:t>ies</w:t>
      </w:r>
      <w:r w:rsidR="00945B0B" w:rsidRPr="009D69EF">
        <w:rPr>
          <w:rFonts w:ascii="Times New Roman" w:hAnsi="Times New Roman" w:cs="Times New Roman"/>
          <w:sz w:val="24"/>
          <w:szCs w:val="24"/>
          <w:lang w:bidi="ar-JO"/>
        </w:rPr>
        <w:t xml:space="preserve"> and ensure compliance with the provisions of the Convention, with a particular focus on </w:t>
      </w:r>
      <w:r w:rsidR="00785500">
        <w:rPr>
          <w:rFonts w:ascii="Times New Roman" w:hAnsi="Times New Roman" w:cs="Times New Roman"/>
          <w:sz w:val="24"/>
          <w:szCs w:val="24"/>
          <w:lang w:bidi="ar-JO"/>
        </w:rPr>
        <w:t xml:space="preserve">the </w:t>
      </w:r>
      <w:r w:rsidR="00785500" w:rsidRPr="009D69EF">
        <w:rPr>
          <w:rFonts w:ascii="Times New Roman" w:hAnsi="Times New Roman" w:cs="Times New Roman"/>
          <w:sz w:val="24"/>
          <w:szCs w:val="24"/>
          <w:lang w:bidi="ar-JO"/>
        </w:rPr>
        <w:t>age of legal capacity</w:t>
      </w:r>
      <w:r w:rsidR="00785500">
        <w:rPr>
          <w:rFonts w:ascii="Times New Roman" w:hAnsi="Times New Roman" w:cs="Times New Roman"/>
          <w:sz w:val="24"/>
          <w:szCs w:val="24"/>
          <w:lang w:bidi="ar-JO"/>
        </w:rPr>
        <w:t xml:space="preserve">, which </w:t>
      </w:r>
      <w:r w:rsidR="00945B0B" w:rsidRPr="009D69EF">
        <w:rPr>
          <w:rFonts w:ascii="Times New Roman" w:hAnsi="Times New Roman" w:cs="Times New Roman"/>
          <w:sz w:val="24"/>
          <w:szCs w:val="24"/>
          <w:lang w:bidi="ar-JO"/>
        </w:rPr>
        <w:t xml:space="preserve">gives rise to binding legal norms based on the principle of </w:t>
      </w:r>
      <w:r w:rsidR="00134E00" w:rsidRPr="00134E00">
        <w:rPr>
          <w:rFonts w:ascii="Times New Roman" w:hAnsi="Times New Roman" w:cs="Times New Roman"/>
          <w:sz w:val="24"/>
          <w:szCs w:val="24"/>
          <w:lang w:bidi="ar-JO"/>
        </w:rPr>
        <w:t>obligations and liabilities</w:t>
      </w:r>
      <w:r w:rsidR="00945B0B" w:rsidRPr="009D69EF">
        <w:rPr>
          <w:rFonts w:ascii="Times New Roman" w:hAnsi="Times New Roman" w:cs="Times New Roman"/>
          <w:sz w:val="24"/>
          <w:szCs w:val="24"/>
          <w:lang w:bidi="ar-JO"/>
        </w:rPr>
        <w:t xml:space="preserve">. </w:t>
      </w:r>
    </w:p>
    <w:p w:rsidR="00A15513" w:rsidRDefault="00945B0B"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Continued enforcement of the foregoing </w:t>
      </w:r>
      <w:r w:rsidR="005F348F">
        <w:rPr>
          <w:rFonts w:ascii="Times New Roman" w:hAnsi="Times New Roman" w:cs="Times New Roman"/>
          <w:sz w:val="24"/>
          <w:szCs w:val="24"/>
          <w:lang w:bidi="ar-JO"/>
        </w:rPr>
        <w:t>pieces</w:t>
      </w:r>
      <w:r w:rsidRPr="009D69EF">
        <w:rPr>
          <w:rFonts w:ascii="Times New Roman" w:hAnsi="Times New Roman" w:cs="Times New Roman"/>
          <w:sz w:val="24"/>
          <w:szCs w:val="24"/>
          <w:lang w:bidi="ar-JO"/>
        </w:rPr>
        <w:t xml:space="preserve"> of legislation, especially outdated and inconsistent legal provisions with the Convention, and failure to </w:t>
      </w:r>
      <w:r w:rsidR="005F348F">
        <w:rPr>
          <w:rFonts w:ascii="Times New Roman" w:hAnsi="Times New Roman" w:cs="Times New Roman"/>
          <w:sz w:val="24"/>
          <w:szCs w:val="24"/>
          <w:lang w:bidi="ar-JO"/>
        </w:rPr>
        <w:t xml:space="preserve">bring </w:t>
      </w:r>
      <w:r w:rsidRPr="009D69EF">
        <w:rPr>
          <w:rFonts w:ascii="Times New Roman" w:hAnsi="Times New Roman" w:cs="Times New Roman"/>
          <w:sz w:val="24"/>
          <w:szCs w:val="24"/>
          <w:lang w:bidi="ar-JO"/>
        </w:rPr>
        <w:t xml:space="preserve">them </w:t>
      </w:r>
      <w:r w:rsidR="005F348F">
        <w:rPr>
          <w:rFonts w:ascii="Times New Roman" w:hAnsi="Times New Roman" w:cs="Times New Roman"/>
          <w:sz w:val="24"/>
          <w:szCs w:val="24"/>
          <w:lang w:bidi="ar-JO"/>
        </w:rPr>
        <w:t xml:space="preserve">in line </w:t>
      </w:r>
      <w:r w:rsidRPr="009D69EF">
        <w:rPr>
          <w:rFonts w:ascii="Times New Roman" w:hAnsi="Times New Roman" w:cs="Times New Roman"/>
          <w:sz w:val="24"/>
          <w:szCs w:val="24"/>
          <w:lang w:bidi="ar-JO"/>
        </w:rPr>
        <w:t xml:space="preserve">with human rights standards negatively impacts protection and safeguards of children’s rights. </w:t>
      </w:r>
    </w:p>
    <w:p w:rsidR="00A15513" w:rsidRDefault="00945B0B"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General principles </w:t>
      </w:r>
    </w:p>
    <w:p w:rsidR="00A15513" w:rsidRDefault="00945B0B"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Right to non-discrimination </w:t>
      </w:r>
    </w:p>
    <w:p w:rsidR="00A15513" w:rsidRDefault="005F348F" w:rsidP="00A15513">
      <w:pPr>
        <w:ind w:left="-450" w:right="-810"/>
        <w:jc w:val="both"/>
        <w:rPr>
          <w:rFonts w:ascii="Times New Roman" w:hAnsi="Times New Roman" w:cs="Times New Roman"/>
          <w:b/>
          <w:bCs/>
          <w:sz w:val="24"/>
          <w:szCs w:val="24"/>
          <w:lang w:bidi="ar-JO"/>
        </w:rPr>
      </w:pPr>
      <w:r>
        <w:rPr>
          <w:rFonts w:ascii="Times New Roman" w:hAnsi="Times New Roman" w:cs="Times New Roman"/>
          <w:sz w:val="24"/>
          <w:szCs w:val="24"/>
          <w:lang w:bidi="ar-JO"/>
        </w:rPr>
        <w:t xml:space="preserve">Addressing </w:t>
      </w:r>
      <w:r w:rsidRPr="009D69EF">
        <w:rPr>
          <w:rFonts w:ascii="Times New Roman" w:hAnsi="Times New Roman" w:cs="Times New Roman"/>
          <w:sz w:val="24"/>
          <w:szCs w:val="24"/>
          <w:lang w:bidi="ar-JO"/>
        </w:rPr>
        <w:t>non-discrimination against children</w:t>
      </w:r>
      <w:r>
        <w:rPr>
          <w:rFonts w:ascii="Times New Roman" w:hAnsi="Times New Roman" w:cs="Times New Roman"/>
          <w:sz w:val="24"/>
          <w:szCs w:val="24"/>
          <w:lang w:bidi="ar-JO"/>
        </w:rPr>
        <w:t>, p</w:t>
      </w:r>
      <w:r w:rsidR="00945B0B" w:rsidRPr="009D69EF">
        <w:rPr>
          <w:rFonts w:ascii="Times New Roman" w:hAnsi="Times New Roman" w:cs="Times New Roman"/>
          <w:sz w:val="24"/>
          <w:szCs w:val="24"/>
          <w:lang w:bidi="ar-JO"/>
        </w:rPr>
        <w:t>ara</w:t>
      </w:r>
      <w:r>
        <w:rPr>
          <w:rFonts w:ascii="Times New Roman" w:hAnsi="Times New Roman" w:cs="Times New Roman"/>
          <w:sz w:val="24"/>
          <w:szCs w:val="24"/>
          <w:lang w:bidi="ar-JO"/>
        </w:rPr>
        <w:t>graph</w:t>
      </w:r>
      <w:r w:rsidR="00945B0B" w:rsidRPr="009D69EF">
        <w:rPr>
          <w:rFonts w:ascii="Times New Roman" w:hAnsi="Times New Roman" w:cs="Times New Roman"/>
          <w:sz w:val="24"/>
          <w:szCs w:val="24"/>
          <w:lang w:bidi="ar-JO"/>
        </w:rPr>
        <w:t xml:space="preserve">s 113 and 115 of the </w:t>
      </w:r>
      <w:r>
        <w:rPr>
          <w:rFonts w:ascii="Times New Roman" w:hAnsi="Times New Roman" w:cs="Times New Roman"/>
          <w:sz w:val="24"/>
          <w:szCs w:val="24"/>
          <w:lang w:bidi="ar-JO"/>
        </w:rPr>
        <w:t xml:space="preserve">State of Palestine’s </w:t>
      </w:r>
      <w:r w:rsidR="00945B0B" w:rsidRPr="009D69EF">
        <w:rPr>
          <w:rFonts w:ascii="Times New Roman" w:hAnsi="Times New Roman" w:cs="Times New Roman"/>
          <w:sz w:val="24"/>
          <w:szCs w:val="24"/>
          <w:lang w:bidi="ar-JO"/>
        </w:rPr>
        <w:t xml:space="preserve">initial report </w:t>
      </w:r>
      <w:r>
        <w:rPr>
          <w:rFonts w:ascii="Times New Roman" w:hAnsi="Times New Roman" w:cs="Times New Roman"/>
          <w:sz w:val="24"/>
          <w:szCs w:val="24"/>
          <w:lang w:bidi="ar-JO"/>
        </w:rPr>
        <w:t xml:space="preserve">are </w:t>
      </w:r>
      <w:r w:rsidRPr="005F348F">
        <w:rPr>
          <w:rFonts w:ascii="Times New Roman" w:hAnsi="Times New Roman" w:cs="Times New Roman"/>
          <w:sz w:val="24"/>
          <w:szCs w:val="24"/>
          <w:lang w:bidi="ar-JO"/>
        </w:rPr>
        <w:t>clearly anomalous</w:t>
      </w:r>
      <w:r w:rsidR="00945B0B" w:rsidRPr="009D69EF">
        <w:rPr>
          <w:rFonts w:ascii="Times New Roman" w:hAnsi="Times New Roman" w:cs="Times New Roman"/>
          <w:sz w:val="24"/>
          <w:szCs w:val="24"/>
          <w:lang w:bidi="ar-JO"/>
        </w:rPr>
        <w:t xml:space="preserve">. Article 115 admits </w:t>
      </w:r>
      <w:r w:rsidR="00927118">
        <w:rPr>
          <w:rFonts w:ascii="Times New Roman" w:hAnsi="Times New Roman" w:cs="Times New Roman"/>
          <w:sz w:val="24"/>
          <w:szCs w:val="24"/>
          <w:lang w:bidi="ar-JO"/>
        </w:rPr>
        <w:t xml:space="preserve">that </w:t>
      </w:r>
      <w:r w:rsidR="00945B0B" w:rsidRPr="009D69EF">
        <w:rPr>
          <w:rFonts w:ascii="Times New Roman" w:hAnsi="Times New Roman" w:cs="Times New Roman"/>
          <w:sz w:val="24"/>
          <w:szCs w:val="24"/>
          <w:lang w:bidi="ar-JO"/>
        </w:rPr>
        <w:t xml:space="preserve">discrimination </w:t>
      </w:r>
      <w:r w:rsidR="00927118">
        <w:rPr>
          <w:rFonts w:ascii="Times New Roman" w:hAnsi="Times New Roman" w:cs="Times New Roman"/>
          <w:sz w:val="24"/>
          <w:szCs w:val="24"/>
          <w:lang w:bidi="ar-JO"/>
        </w:rPr>
        <w:t xml:space="preserve">is in favour of </w:t>
      </w:r>
      <w:r w:rsidR="00945B0B" w:rsidRPr="009D69EF">
        <w:rPr>
          <w:rFonts w:ascii="Times New Roman" w:hAnsi="Times New Roman" w:cs="Times New Roman"/>
          <w:sz w:val="24"/>
          <w:szCs w:val="24"/>
          <w:lang w:bidi="ar-JO"/>
        </w:rPr>
        <w:t xml:space="preserve">male children, who are given the right to choose </w:t>
      </w:r>
      <w:r w:rsidR="00927118" w:rsidRPr="009D69EF">
        <w:rPr>
          <w:rFonts w:ascii="Times New Roman" w:hAnsi="Times New Roman" w:cs="Times New Roman"/>
          <w:sz w:val="24"/>
          <w:szCs w:val="24"/>
          <w:lang w:bidi="ar-JO"/>
        </w:rPr>
        <w:t xml:space="preserve">custody </w:t>
      </w:r>
      <w:r w:rsidR="00927118">
        <w:rPr>
          <w:rFonts w:ascii="Times New Roman" w:hAnsi="Times New Roman" w:cs="Times New Roman"/>
          <w:sz w:val="24"/>
          <w:szCs w:val="24"/>
          <w:lang w:bidi="ar-JO"/>
        </w:rPr>
        <w:t xml:space="preserve">with either </w:t>
      </w:r>
      <w:r w:rsidR="00945B0B" w:rsidRPr="009D69EF">
        <w:rPr>
          <w:rFonts w:ascii="Times New Roman" w:hAnsi="Times New Roman" w:cs="Times New Roman"/>
          <w:sz w:val="24"/>
          <w:szCs w:val="24"/>
          <w:lang w:bidi="ar-JO"/>
        </w:rPr>
        <w:t xml:space="preserve">one of their parents. On the other hand, female children are forced to be </w:t>
      </w:r>
      <w:r w:rsidR="00927118">
        <w:rPr>
          <w:rFonts w:ascii="Times New Roman" w:hAnsi="Times New Roman" w:cs="Times New Roman"/>
          <w:sz w:val="24"/>
          <w:szCs w:val="24"/>
          <w:lang w:bidi="ar-JO"/>
        </w:rPr>
        <w:t xml:space="preserve">in the custody of their </w:t>
      </w:r>
      <w:r w:rsidR="00945B0B" w:rsidRPr="009D69EF">
        <w:rPr>
          <w:rFonts w:ascii="Times New Roman" w:hAnsi="Times New Roman" w:cs="Times New Roman"/>
          <w:sz w:val="24"/>
          <w:szCs w:val="24"/>
          <w:lang w:bidi="ar-JO"/>
        </w:rPr>
        <w:t>male guardian</w:t>
      </w:r>
      <w:r w:rsidR="00927118">
        <w:rPr>
          <w:rFonts w:ascii="Times New Roman" w:hAnsi="Times New Roman" w:cs="Times New Roman"/>
          <w:sz w:val="24"/>
          <w:szCs w:val="24"/>
          <w:lang w:bidi="ar-JO"/>
        </w:rPr>
        <w:t>s</w:t>
      </w:r>
      <w:r w:rsidR="00945B0B" w:rsidRPr="009D69EF">
        <w:rPr>
          <w:rFonts w:ascii="Times New Roman" w:hAnsi="Times New Roman" w:cs="Times New Roman"/>
          <w:sz w:val="24"/>
          <w:szCs w:val="24"/>
          <w:lang w:bidi="ar-JO"/>
        </w:rPr>
        <w:t xml:space="preserve">. If she refuses to do so, </w:t>
      </w:r>
      <w:r w:rsidR="00927118">
        <w:rPr>
          <w:rFonts w:ascii="Times New Roman" w:hAnsi="Times New Roman" w:cs="Times New Roman"/>
          <w:sz w:val="24"/>
          <w:szCs w:val="24"/>
          <w:lang w:bidi="ar-JO"/>
        </w:rPr>
        <w:t xml:space="preserve">a female child risks </w:t>
      </w:r>
      <w:r w:rsidR="00945B0B" w:rsidRPr="009D69EF">
        <w:rPr>
          <w:rFonts w:ascii="Times New Roman" w:hAnsi="Times New Roman" w:cs="Times New Roman"/>
          <w:sz w:val="24"/>
          <w:szCs w:val="24"/>
          <w:lang w:bidi="ar-JO"/>
        </w:rPr>
        <w:t>los</w:t>
      </w:r>
      <w:r w:rsidR="00927118">
        <w:rPr>
          <w:rFonts w:ascii="Times New Roman" w:hAnsi="Times New Roman" w:cs="Times New Roman"/>
          <w:sz w:val="24"/>
          <w:szCs w:val="24"/>
          <w:lang w:bidi="ar-JO"/>
        </w:rPr>
        <w:t>ing</w:t>
      </w:r>
      <w:r w:rsidR="00945B0B" w:rsidRPr="009D69EF">
        <w:rPr>
          <w:rFonts w:ascii="Times New Roman" w:hAnsi="Times New Roman" w:cs="Times New Roman"/>
          <w:sz w:val="24"/>
          <w:szCs w:val="24"/>
          <w:lang w:bidi="ar-JO"/>
        </w:rPr>
        <w:t xml:space="preserve"> her maintenance. </w:t>
      </w:r>
    </w:p>
    <w:p w:rsidR="00A15513" w:rsidRDefault="00945B0B"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Child marriage </w:t>
      </w:r>
    </w:p>
    <w:p w:rsidR="00A15513" w:rsidRDefault="0006550D"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Family laws allow child marriage. According to the </w:t>
      </w:r>
      <w:r w:rsidR="00D50ABD" w:rsidRPr="009D69EF">
        <w:rPr>
          <w:rFonts w:ascii="Times New Roman" w:hAnsi="Times New Roman" w:cs="Times New Roman"/>
          <w:sz w:val="24"/>
          <w:szCs w:val="24"/>
          <w:lang w:bidi="ar-JO"/>
        </w:rPr>
        <w:t xml:space="preserve">Jordanian </w:t>
      </w:r>
      <w:r w:rsidRPr="009D69EF">
        <w:rPr>
          <w:rFonts w:ascii="Times New Roman" w:hAnsi="Times New Roman" w:cs="Times New Roman"/>
          <w:sz w:val="24"/>
          <w:szCs w:val="24"/>
          <w:lang w:bidi="ar-JO"/>
        </w:rPr>
        <w:t xml:space="preserve">Personal Status Law </w:t>
      </w:r>
      <w:r w:rsidR="00D50ABD" w:rsidRPr="009D69EF">
        <w:rPr>
          <w:rFonts w:ascii="Times New Roman" w:hAnsi="Times New Roman" w:cs="Times New Roman"/>
          <w:sz w:val="24"/>
          <w:szCs w:val="24"/>
          <w:lang w:bidi="ar-JO"/>
        </w:rPr>
        <w:t xml:space="preserve">No. 16 of 1976 </w:t>
      </w:r>
      <w:r w:rsidRPr="009D69EF">
        <w:rPr>
          <w:rFonts w:ascii="Times New Roman" w:hAnsi="Times New Roman" w:cs="Times New Roman"/>
          <w:sz w:val="24"/>
          <w:szCs w:val="24"/>
          <w:lang w:bidi="ar-JO"/>
        </w:rPr>
        <w:t xml:space="preserve">in force in the West Bank, </w:t>
      </w:r>
      <w:r w:rsidR="00B431A2" w:rsidRPr="009D69EF">
        <w:rPr>
          <w:rFonts w:ascii="Times New Roman" w:hAnsi="Times New Roman" w:cs="Times New Roman"/>
          <w:sz w:val="24"/>
          <w:szCs w:val="24"/>
          <w:lang w:bidi="ar-JO"/>
        </w:rPr>
        <w:t xml:space="preserve">to be eligible for marriage, the </w:t>
      </w:r>
      <w:r w:rsidR="00D50ABD">
        <w:rPr>
          <w:rFonts w:ascii="Times New Roman" w:hAnsi="Times New Roman" w:cs="Times New Roman"/>
          <w:sz w:val="24"/>
          <w:szCs w:val="24"/>
          <w:lang w:bidi="ar-JO"/>
        </w:rPr>
        <w:t xml:space="preserve">male </w:t>
      </w:r>
      <w:r w:rsidR="00B431A2" w:rsidRPr="009D69EF">
        <w:rPr>
          <w:rFonts w:ascii="Times New Roman" w:hAnsi="Times New Roman" w:cs="Times New Roman"/>
          <w:sz w:val="24"/>
          <w:szCs w:val="24"/>
          <w:lang w:bidi="ar-JO"/>
        </w:rPr>
        <w:t xml:space="preserve">should be 16 years of age and the </w:t>
      </w:r>
      <w:r w:rsidR="00D50ABD">
        <w:rPr>
          <w:rFonts w:ascii="Times New Roman" w:hAnsi="Times New Roman" w:cs="Times New Roman"/>
          <w:sz w:val="24"/>
          <w:szCs w:val="24"/>
          <w:lang w:bidi="ar-JO"/>
        </w:rPr>
        <w:t xml:space="preserve">female </w:t>
      </w:r>
      <w:r w:rsidR="00B431A2" w:rsidRPr="009D69EF">
        <w:rPr>
          <w:rFonts w:ascii="Times New Roman" w:hAnsi="Times New Roman" w:cs="Times New Roman"/>
          <w:sz w:val="24"/>
          <w:szCs w:val="24"/>
          <w:lang w:bidi="ar-JO"/>
        </w:rPr>
        <w:t xml:space="preserve">15 years of age. Issued by the Egyptian Administration of the Gaza Strip in 1954, the Family </w:t>
      </w:r>
      <w:r w:rsidR="00D50ABD">
        <w:rPr>
          <w:rFonts w:ascii="Times New Roman" w:hAnsi="Times New Roman" w:cs="Times New Roman"/>
          <w:sz w:val="24"/>
          <w:szCs w:val="24"/>
          <w:lang w:bidi="ar-JO"/>
        </w:rPr>
        <w:t xml:space="preserve">Rights </w:t>
      </w:r>
      <w:r w:rsidR="00B431A2" w:rsidRPr="009D69EF">
        <w:rPr>
          <w:rFonts w:ascii="Times New Roman" w:hAnsi="Times New Roman" w:cs="Times New Roman"/>
          <w:sz w:val="24"/>
          <w:szCs w:val="24"/>
          <w:lang w:bidi="ar-JO"/>
        </w:rPr>
        <w:t xml:space="preserve">Law permits female child marriage, providing that the marriageable age is 17 years and </w:t>
      </w:r>
      <w:r w:rsidR="00D50ABD">
        <w:rPr>
          <w:rFonts w:ascii="Times New Roman" w:hAnsi="Times New Roman" w:cs="Times New Roman"/>
          <w:sz w:val="24"/>
          <w:szCs w:val="24"/>
          <w:lang w:bidi="ar-JO"/>
        </w:rPr>
        <w:t>over</w:t>
      </w:r>
      <w:r w:rsidR="00B431A2" w:rsidRPr="009D69EF">
        <w:rPr>
          <w:rFonts w:ascii="Times New Roman" w:hAnsi="Times New Roman" w:cs="Times New Roman"/>
          <w:sz w:val="24"/>
          <w:szCs w:val="24"/>
          <w:lang w:bidi="ar-JO"/>
        </w:rPr>
        <w:t xml:space="preserve">. However, Articles 6, 7 and 8 of the Family </w:t>
      </w:r>
      <w:r w:rsidR="008E2542" w:rsidRPr="009D69EF">
        <w:rPr>
          <w:rFonts w:ascii="Times New Roman" w:hAnsi="Times New Roman" w:cs="Times New Roman"/>
          <w:sz w:val="24"/>
          <w:szCs w:val="24"/>
          <w:lang w:bidi="ar-JO"/>
        </w:rPr>
        <w:t xml:space="preserve">Rights </w:t>
      </w:r>
      <w:r w:rsidR="00B431A2" w:rsidRPr="009D69EF">
        <w:rPr>
          <w:rFonts w:ascii="Times New Roman" w:hAnsi="Times New Roman" w:cs="Times New Roman"/>
          <w:sz w:val="24"/>
          <w:szCs w:val="24"/>
          <w:lang w:bidi="ar-JO"/>
        </w:rPr>
        <w:t xml:space="preserve">Law provide a serious exception, whereby the judge is allowed to marry a female child who is over nine years and the boy </w:t>
      </w:r>
      <w:r w:rsidR="00D50ABD">
        <w:rPr>
          <w:rFonts w:ascii="Times New Roman" w:hAnsi="Times New Roman" w:cs="Times New Roman"/>
          <w:sz w:val="24"/>
          <w:szCs w:val="24"/>
          <w:lang w:bidi="ar-JO"/>
        </w:rPr>
        <w:t xml:space="preserve">over </w:t>
      </w:r>
      <w:r w:rsidR="00B431A2" w:rsidRPr="009D69EF">
        <w:rPr>
          <w:rFonts w:ascii="Times New Roman" w:hAnsi="Times New Roman" w:cs="Times New Roman"/>
          <w:sz w:val="24"/>
          <w:szCs w:val="24"/>
          <w:lang w:bidi="ar-JO"/>
        </w:rPr>
        <w:t>12 years of age. Article 6 provides that “</w:t>
      </w:r>
      <w:r w:rsidR="00D50ABD">
        <w:rPr>
          <w:rFonts w:ascii="Times New Roman" w:hAnsi="Times New Roman" w:cs="Times New Roman"/>
          <w:sz w:val="24"/>
          <w:szCs w:val="24"/>
          <w:lang w:bidi="ar-JO"/>
        </w:rPr>
        <w:t>[</w:t>
      </w:r>
      <w:r w:rsidR="00B431A2" w:rsidRPr="009D69EF">
        <w:rPr>
          <w:rFonts w:ascii="Times New Roman" w:hAnsi="Times New Roman" w:cs="Times New Roman"/>
          <w:sz w:val="24"/>
          <w:szCs w:val="24"/>
          <w:lang w:bidi="ar-JO"/>
        </w:rPr>
        <w:t>i</w:t>
      </w:r>
      <w:r w:rsidR="00D50ABD">
        <w:rPr>
          <w:rFonts w:ascii="Times New Roman" w:hAnsi="Times New Roman" w:cs="Times New Roman"/>
          <w:sz w:val="24"/>
          <w:szCs w:val="24"/>
          <w:lang w:bidi="ar-JO"/>
        </w:rPr>
        <w:t>]</w:t>
      </w:r>
      <w:r w:rsidR="00B431A2" w:rsidRPr="009D69EF">
        <w:rPr>
          <w:rFonts w:ascii="Times New Roman" w:hAnsi="Times New Roman" w:cs="Times New Roman"/>
          <w:sz w:val="24"/>
          <w:szCs w:val="24"/>
          <w:lang w:bidi="ar-JO"/>
        </w:rPr>
        <w:t xml:space="preserve">f the adolescent who has not completed eighteen years of age claims maturity, the judge shall be entitled to </w:t>
      </w:r>
      <w:r w:rsidR="008E2542" w:rsidRPr="009D69EF">
        <w:rPr>
          <w:rFonts w:ascii="Times New Roman" w:hAnsi="Times New Roman" w:cs="Times New Roman"/>
          <w:sz w:val="24"/>
          <w:szCs w:val="24"/>
          <w:lang w:bidi="ar-JO"/>
        </w:rPr>
        <w:t xml:space="preserve">allow him </w:t>
      </w:r>
      <w:r w:rsidR="00B431A2" w:rsidRPr="009D69EF">
        <w:rPr>
          <w:rFonts w:ascii="Times New Roman" w:hAnsi="Times New Roman" w:cs="Times New Roman"/>
          <w:sz w:val="24"/>
          <w:szCs w:val="24"/>
          <w:lang w:bidi="ar-JO"/>
        </w:rPr>
        <w:t>be married in the event he is of an endur</w:t>
      </w:r>
      <w:r w:rsidR="00D50ABD">
        <w:rPr>
          <w:rFonts w:ascii="Times New Roman" w:hAnsi="Times New Roman" w:cs="Times New Roman"/>
          <w:sz w:val="24"/>
          <w:szCs w:val="24"/>
          <w:lang w:bidi="ar-JO"/>
        </w:rPr>
        <w:t>ing</w:t>
      </w:r>
      <w:r w:rsidR="00B431A2" w:rsidRPr="009D69EF">
        <w:rPr>
          <w:rFonts w:ascii="Times New Roman" w:hAnsi="Times New Roman" w:cs="Times New Roman"/>
          <w:sz w:val="24"/>
          <w:szCs w:val="24"/>
          <w:lang w:bidi="ar-JO"/>
        </w:rPr>
        <w:t xml:space="preserve"> physique</w:t>
      </w:r>
      <w:r w:rsidR="008E2542" w:rsidRPr="009D69EF">
        <w:rPr>
          <w:rFonts w:ascii="Times New Roman" w:hAnsi="Times New Roman" w:cs="Times New Roman"/>
          <w:sz w:val="24"/>
          <w:szCs w:val="24"/>
          <w:lang w:bidi="ar-JO"/>
        </w:rPr>
        <w:t>”</w:t>
      </w:r>
      <w:r w:rsidR="00B431A2" w:rsidRPr="009D69EF">
        <w:rPr>
          <w:rFonts w:ascii="Times New Roman" w:hAnsi="Times New Roman" w:cs="Times New Roman"/>
          <w:sz w:val="24"/>
          <w:szCs w:val="24"/>
          <w:lang w:bidi="ar-JO"/>
        </w:rPr>
        <w:t xml:space="preserve">. Article 7 </w:t>
      </w:r>
      <w:r w:rsidR="00D50ABD">
        <w:rPr>
          <w:rFonts w:ascii="Times New Roman" w:hAnsi="Times New Roman" w:cs="Times New Roman"/>
          <w:sz w:val="24"/>
          <w:szCs w:val="24"/>
          <w:lang w:bidi="ar-JO"/>
        </w:rPr>
        <w:t>states:</w:t>
      </w:r>
      <w:r w:rsidR="00B431A2" w:rsidRPr="009D69EF">
        <w:rPr>
          <w:rFonts w:ascii="Times New Roman" w:hAnsi="Times New Roman" w:cs="Times New Roman"/>
          <w:sz w:val="24"/>
          <w:szCs w:val="24"/>
          <w:lang w:bidi="ar-JO"/>
        </w:rPr>
        <w:t xml:space="preserve"> “</w:t>
      </w:r>
      <w:r w:rsidR="00D50ABD">
        <w:rPr>
          <w:rFonts w:ascii="Times New Roman" w:hAnsi="Times New Roman" w:cs="Times New Roman"/>
          <w:sz w:val="24"/>
          <w:szCs w:val="24"/>
          <w:lang w:bidi="ar-JO"/>
        </w:rPr>
        <w:t>I</w:t>
      </w:r>
      <w:r w:rsidR="00B431A2" w:rsidRPr="009D69EF">
        <w:rPr>
          <w:rFonts w:ascii="Times New Roman" w:hAnsi="Times New Roman" w:cs="Times New Roman"/>
          <w:sz w:val="24"/>
          <w:szCs w:val="24"/>
          <w:lang w:bidi="ar-JO"/>
        </w:rPr>
        <w:t xml:space="preserve">f the female </w:t>
      </w:r>
      <w:r w:rsidR="008E2542" w:rsidRPr="009D69EF">
        <w:rPr>
          <w:rFonts w:ascii="Times New Roman" w:hAnsi="Times New Roman" w:cs="Times New Roman"/>
          <w:sz w:val="24"/>
          <w:szCs w:val="24"/>
          <w:lang w:bidi="ar-JO"/>
        </w:rPr>
        <w:t xml:space="preserve">adolescent who has not completed </w:t>
      </w:r>
      <w:r w:rsidR="00D50ABD">
        <w:rPr>
          <w:rFonts w:ascii="Times New Roman" w:hAnsi="Times New Roman" w:cs="Times New Roman"/>
          <w:sz w:val="24"/>
          <w:szCs w:val="24"/>
          <w:lang w:bidi="ar-JO"/>
        </w:rPr>
        <w:t xml:space="preserve">seventeen </w:t>
      </w:r>
      <w:r w:rsidR="008E2542" w:rsidRPr="009D69EF">
        <w:rPr>
          <w:rFonts w:ascii="Times New Roman" w:hAnsi="Times New Roman" w:cs="Times New Roman"/>
          <w:sz w:val="24"/>
          <w:szCs w:val="24"/>
          <w:lang w:bidi="ar-JO"/>
        </w:rPr>
        <w:t>years of age claims maturity, the judge shall be entitled to allow her be married in the event he is of an endur</w:t>
      </w:r>
      <w:r w:rsidR="00D50ABD">
        <w:rPr>
          <w:rFonts w:ascii="Times New Roman" w:hAnsi="Times New Roman" w:cs="Times New Roman"/>
          <w:sz w:val="24"/>
          <w:szCs w:val="24"/>
          <w:lang w:bidi="ar-JO"/>
        </w:rPr>
        <w:t>ing</w:t>
      </w:r>
      <w:r w:rsidR="008E2542" w:rsidRPr="009D69EF">
        <w:rPr>
          <w:rFonts w:ascii="Times New Roman" w:hAnsi="Times New Roman" w:cs="Times New Roman"/>
          <w:sz w:val="24"/>
          <w:szCs w:val="24"/>
          <w:lang w:bidi="ar-JO"/>
        </w:rPr>
        <w:t xml:space="preserve"> physique”. Article 8 </w:t>
      </w:r>
      <w:r w:rsidR="00D50ABD">
        <w:rPr>
          <w:rFonts w:ascii="Times New Roman" w:hAnsi="Times New Roman" w:cs="Times New Roman"/>
          <w:sz w:val="24"/>
          <w:szCs w:val="24"/>
          <w:lang w:bidi="ar-JO"/>
        </w:rPr>
        <w:t xml:space="preserve">prescribes </w:t>
      </w:r>
      <w:r w:rsidR="008E2542" w:rsidRPr="009D69EF">
        <w:rPr>
          <w:rFonts w:ascii="Times New Roman" w:hAnsi="Times New Roman" w:cs="Times New Roman"/>
          <w:sz w:val="24"/>
          <w:szCs w:val="24"/>
          <w:lang w:bidi="ar-JO"/>
        </w:rPr>
        <w:t>that “</w:t>
      </w:r>
      <w:r w:rsidR="00D50ABD">
        <w:rPr>
          <w:rFonts w:ascii="Times New Roman" w:hAnsi="Times New Roman" w:cs="Times New Roman"/>
          <w:sz w:val="24"/>
          <w:szCs w:val="24"/>
          <w:lang w:bidi="ar-JO"/>
        </w:rPr>
        <w:t>[m]</w:t>
      </w:r>
      <w:r w:rsidR="008E2542" w:rsidRPr="009D69EF">
        <w:rPr>
          <w:rFonts w:ascii="Times New Roman" w:hAnsi="Times New Roman" w:cs="Times New Roman"/>
          <w:sz w:val="24"/>
          <w:szCs w:val="24"/>
          <w:lang w:bidi="ar-JO"/>
        </w:rPr>
        <w:t xml:space="preserve">o person may marry the male minor who has not completed twelve years of age or the female minor who has not completed nine years of age.” </w:t>
      </w:r>
    </w:p>
    <w:p w:rsidR="00A15513" w:rsidRDefault="008E2542"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Continued enforcement of the laws above is in violation of children’s rights. Children are married in disregard of the age set </w:t>
      </w:r>
      <w:r w:rsidR="00D50ABD">
        <w:rPr>
          <w:rFonts w:ascii="Times New Roman" w:hAnsi="Times New Roman" w:cs="Times New Roman"/>
          <w:sz w:val="24"/>
          <w:szCs w:val="24"/>
          <w:lang w:bidi="ar-JO"/>
        </w:rPr>
        <w:t xml:space="preserve">forth </w:t>
      </w:r>
      <w:r w:rsidRPr="009D69EF">
        <w:rPr>
          <w:rFonts w:ascii="Times New Roman" w:hAnsi="Times New Roman" w:cs="Times New Roman"/>
          <w:sz w:val="24"/>
          <w:szCs w:val="24"/>
          <w:lang w:bidi="ar-JO"/>
        </w:rPr>
        <w:t>by the Palestinian Child</w:t>
      </w:r>
      <w:r w:rsidR="00D50ABD">
        <w:rPr>
          <w:rFonts w:ascii="Times New Roman" w:hAnsi="Times New Roman" w:cs="Times New Roman"/>
          <w:sz w:val="24"/>
          <w:szCs w:val="24"/>
          <w:lang w:bidi="ar-JO"/>
        </w:rPr>
        <w:t xml:space="preserve"> </w:t>
      </w:r>
      <w:r w:rsidR="00D50ABD" w:rsidRPr="009D69EF">
        <w:rPr>
          <w:rFonts w:ascii="Times New Roman" w:hAnsi="Times New Roman" w:cs="Times New Roman"/>
          <w:sz w:val="24"/>
          <w:szCs w:val="24"/>
          <w:lang w:bidi="ar-JO"/>
        </w:rPr>
        <w:t>Law</w:t>
      </w:r>
      <w:r w:rsidRPr="009D69EF">
        <w:rPr>
          <w:rFonts w:ascii="Times New Roman" w:hAnsi="Times New Roman" w:cs="Times New Roman"/>
          <w:sz w:val="24"/>
          <w:szCs w:val="24"/>
          <w:lang w:bidi="ar-JO"/>
        </w:rPr>
        <w:t xml:space="preserve">. These laws also involve discrimination on the basis of gender, allowing </w:t>
      </w:r>
      <w:r w:rsidR="00D50ABD">
        <w:rPr>
          <w:rFonts w:ascii="Times New Roman" w:hAnsi="Times New Roman" w:cs="Times New Roman"/>
          <w:sz w:val="24"/>
          <w:szCs w:val="24"/>
          <w:lang w:bidi="ar-JO"/>
        </w:rPr>
        <w:t>fe</w:t>
      </w:r>
      <w:r w:rsidRPr="009D69EF">
        <w:rPr>
          <w:rFonts w:ascii="Times New Roman" w:hAnsi="Times New Roman" w:cs="Times New Roman"/>
          <w:sz w:val="24"/>
          <w:szCs w:val="24"/>
          <w:lang w:bidi="ar-JO"/>
        </w:rPr>
        <w:t xml:space="preserve">male children to be married at </w:t>
      </w:r>
      <w:r w:rsidR="00D50ABD">
        <w:rPr>
          <w:rFonts w:ascii="Times New Roman" w:hAnsi="Times New Roman" w:cs="Times New Roman"/>
          <w:sz w:val="24"/>
          <w:szCs w:val="24"/>
          <w:lang w:bidi="ar-JO"/>
        </w:rPr>
        <w:t xml:space="preserve">a </w:t>
      </w:r>
      <w:r w:rsidRPr="009D69EF">
        <w:rPr>
          <w:rFonts w:ascii="Times New Roman" w:hAnsi="Times New Roman" w:cs="Times New Roman"/>
          <w:sz w:val="24"/>
          <w:szCs w:val="24"/>
          <w:lang w:bidi="ar-JO"/>
        </w:rPr>
        <w:t xml:space="preserve">younger age than male children. This is contingent on the judge’s consideration of the child’s physique and appearance. </w:t>
      </w:r>
    </w:p>
    <w:p w:rsidR="00A15513" w:rsidRDefault="008E2542"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The State of Palestine’s initial report does not </w:t>
      </w:r>
      <w:r w:rsidR="00D50ABD">
        <w:rPr>
          <w:rFonts w:ascii="Times New Roman" w:hAnsi="Times New Roman" w:cs="Times New Roman"/>
          <w:sz w:val="24"/>
          <w:szCs w:val="24"/>
          <w:lang w:bidi="ar-JO"/>
        </w:rPr>
        <w:t xml:space="preserve">refer to </w:t>
      </w:r>
      <w:r w:rsidRPr="009D69EF">
        <w:rPr>
          <w:rFonts w:ascii="Times New Roman" w:hAnsi="Times New Roman" w:cs="Times New Roman"/>
          <w:sz w:val="24"/>
          <w:szCs w:val="24"/>
          <w:lang w:bidi="ar-JO"/>
        </w:rPr>
        <w:t xml:space="preserve">continued discrimination, which involves male guardianship over females as a condition of marriage, particularly in relation to children. Both the Jordanian Personal Status Law and Egyptian Family Rights Law provide that male guardianship over females is a condition precedent of marriage. </w:t>
      </w:r>
      <w:r w:rsidR="000C34D9" w:rsidRPr="009D69EF">
        <w:rPr>
          <w:rFonts w:ascii="Times New Roman" w:hAnsi="Times New Roman" w:cs="Times New Roman"/>
          <w:sz w:val="24"/>
          <w:szCs w:val="24"/>
          <w:lang w:bidi="ar-JO"/>
        </w:rPr>
        <w:t>On the other hand, the</w:t>
      </w:r>
      <w:r w:rsidR="00363B1C">
        <w:rPr>
          <w:rFonts w:ascii="Times New Roman" w:hAnsi="Times New Roman" w:cs="Times New Roman"/>
          <w:sz w:val="24"/>
          <w:szCs w:val="24"/>
          <w:lang w:bidi="ar-JO"/>
        </w:rPr>
        <w:t>se</w:t>
      </w:r>
      <w:r w:rsidR="000C34D9" w:rsidRPr="009D69EF">
        <w:rPr>
          <w:rFonts w:ascii="Times New Roman" w:hAnsi="Times New Roman" w:cs="Times New Roman"/>
          <w:sz w:val="24"/>
          <w:szCs w:val="24"/>
          <w:lang w:bidi="ar-JO"/>
        </w:rPr>
        <w:t xml:space="preserve"> Laws do not prescribe guardianship over males. This discrimination is based on gender. According to the Family Rights Law in force in the Gaza Strip, a female child between 15 and 18 years of age can be married upon </w:t>
      </w:r>
      <w:r w:rsidR="00AC6D41">
        <w:rPr>
          <w:rFonts w:ascii="Times New Roman" w:hAnsi="Times New Roman" w:cs="Times New Roman"/>
          <w:sz w:val="24"/>
          <w:szCs w:val="24"/>
          <w:lang w:bidi="ar-JO"/>
        </w:rPr>
        <w:t xml:space="preserve">the </w:t>
      </w:r>
      <w:r w:rsidR="000C34D9" w:rsidRPr="009D69EF">
        <w:rPr>
          <w:rFonts w:ascii="Times New Roman" w:hAnsi="Times New Roman" w:cs="Times New Roman"/>
          <w:sz w:val="24"/>
          <w:szCs w:val="24"/>
          <w:lang w:bidi="ar-JO"/>
        </w:rPr>
        <w:t xml:space="preserve">judge’s consent if her physical appearance indicates that she can endure marriage. Article 7 of the Personal Status Law goes </w:t>
      </w:r>
      <w:r w:rsidR="00AC6D41" w:rsidRPr="009D69EF">
        <w:rPr>
          <w:rFonts w:ascii="Times New Roman" w:hAnsi="Times New Roman" w:cs="Times New Roman"/>
          <w:sz w:val="24"/>
          <w:szCs w:val="24"/>
          <w:lang w:bidi="ar-JO"/>
        </w:rPr>
        <w:t xml:space="preserve">even </w:t>
      </w:r>
      <w:r w:rsidR="000C34D9" w:rsidRPr="009D69EF">
        <w:rPr>
          <w:rFonts w:ascii="Times New Roman" w:hAnsi="Times New Roman" w:cs="Times New Roman"/>
          <w:sz w:val="24"/>
          <w:szCs w:val="24"/>
          <w:lang w:bidi="ar-JO"/>
        </w:rPr>
        <w:t>further, providing that “</w:t>
      </w:r>
      <w:r w:rsidR="00AC6D41">
        <w:rPr>
          <w:rFonts w:ascii="Times New Roman" w:hAnsi="Times New Roman" w:cs="Times New Roman"/>
          <w:sz w:val="24"/>
          <w:szCs w:val="24"/>
          <w:lang w:bidi="ar-JO"/>
        </w:rPr>
        <w:t>[</w:t>
      </w:r>
      <w:r w:rsidR="000C34D9" w:rsidRPr="009D69EF">
        <w:rPr>
          <w:rFonts w:ascii="Times New Roman" w:hAnsi="Times New Roman" w:cs="Times New Roman"/>
          <w:sz w:val="24"/>
          <w:szCs w:val="24"/>
          <w:lang w:bidi="ar-JO"/>
        </w:rPr>
        <w:t>t</w:t>
      </w:r>
      <w:r w:rsidR="00AC6D41">
        <w:rPr>
          <w:rFonts w:ascii="Times New Roman" w:hAnsi="Times New Roman" w:cs="Times New Roman"/>
          <w:sz w:val="24"/>
          <w:szCs w:val="24"/>
          <w:lang w:bidi="ar-JO"/>
        </w:rPr>
        <w:t>]</w:t>
      </w:r>
      <w:r w:rsidR="000C34D9" w:rsidRPr="009D69EF">
        <w:rPr>
          <w:rFonts w:ascii="Times New Roman" w:hAnsi="Times New Roman" w:cs="Times New Roman"/>
          <w:sz w:val="24"/>
          <w:szCs w:val="24"/>
          <w:lang w:bidi="ar-JO"/>
        </w:rPr>
        <w:t xml:space="preserve">he conclusion of the contract with a woman who has not completed eighteen years of age shall be prevented in case her fiancé is more than twenty years older than she is except after the judge verifies her consent and choice and that her interest is established therein.” </w:t>
      </w:r>
    </w:p>
    <w:p w:rsidR="00A15513" w:rsidRDefault="000C34D9"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Right to life, survival and development </w:t>
      </w:r>
    </w:p>
    <w:p w:rsidR="008E2542" w:rsidRPr="00A15513" w:rsidRDefault="000C34D9"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Between 2015 and 2018, the ICHR monitored a total of 194 child deaths, including 49 in 2015, 50 in 2016, 46 in 2017, and 49 in 2018. These </w:t>
      </w:r>
      <w:r w:rsidR="00B7238D">
        <w:rPr>
          <w:rFonts w:ascii="Times New Roman" w:hAnsi="Times New Roman" w:cs="Times New Roman"/>
          <w:sz w:val="24"/>
          <w:szCs w:val="24"/>
          <w:lang w:bidi="ar-JO"/>
        </w:rPr>
        <w:t>comprised</w:t>
      </w:r>
      <w:r w:rsidRPr="009D69EF">
        <w:rPr>
          <w:rFonts w:ascii="Times New Roman" w:hAnsi="Times New Roman" w:cs="Times New Roman"/>
          <w:sz w:val="24"/>
          <w:szCs w:val="24"/>
          <w:lang w:bidi="ar-JO"/>
        </w:rPr>
        <w:t xml:space="preserve"> 27 </w:t>
      </w:r>
      <w:r w:rsidR="00B7238D">
        <w:rPr>
          <w:rFonts w:ascii="Times New Roman" w:hAnsi="Times New Roman" w:cs="Times New Roman"/>
          <w:sz w:val="24"/>
          <w:szCs w:val="24"/>
          <w:lang w:bidi="ar-JO"/>
        </w:rPr>
        <w:t xml:space="preserve">incidents of </w:t>
      </w:r>
      <w:r w:rsidRPr="009D69EF">
        <w:rPr>
          <w:rFonts w:ascii="Times New Roman" w:hAnsi="Times New Roman" w:cs="Times New Roman"/>
          <w:sz w:val="24"/>
          <w:szCs w:val="24"/>
          <w:lang w:bidi="ar-JO"/>
        </w:rPr>
        <w:t xml:space="preserve">death in unknown circumstances, 112 as a result of </w:t>
      </w:r>
      <w:r w:rsidR="003A1A67" w:rsidRPr="009D69EF">
        <w:rPr>
          <w:rFonts w:ascii="Times New Roman" w:hAnsi="Times New Roman" w:cs="Times New Roman"/>
          <w:sz w:val="24"/>
          <w:szCs w:val="24"/>
          <w:lang w:bidi="ar-JO"/>
        </w:rPr>
        <w:t xml:space="preserve">failure to comply with public safety measures, 20 in family feuds, 5 due to unexploded ordnances or explosive devices, 7 </w:t>
      </w:r>
      <w:r w:rsidR="00B7238D">
        <w:rPr>
          <w:rFonts w:ascii="Times New Roman" w:hAnsi="Times New Roman" w:cs="Times New Roman"/>
          <w:sz w:val="24"/>
          <w:szCs w:val="24"/>
          <w:lang w:bidi="ar-JO"/>
        </w:rPr>
        <w:t xml:space="preserve">during </w:t>
      </w:r>
      <w:r w:rsidR="003A1A67" w:rsidRPr="009D69EF">
        <w:rPr>
          <w:rFonts w:ascii="Times New Roman" w:hAnsi="Times New Roman" w:cs="Times New Roman"/>
          <w:sz w:val="24"/>
          <w:szCs w:val="24"/>
          <w:lang w:bidi="ar-JO"/>
        </w:rPr>
        <w:t xml:space="preserve">interrogation by the Public Prosecution, 1 in a place of detention, 10 as a consequence of abuse of arms by citizens, and 6 as a result of medical malpractice. The ICHR does not have access to adequate information on measures taken by relevant authorities to hold violators to account, ensure </w:t>
      </w:r>
      <w:r w:rsidR="00B7238D">
        <w:rPr>
          <w:rFonts w:ascii="Times New Roman" w:hAnsi="Times New Roman" w:cs="Times New Roman"/>
          <w:sz w:val="24"/>
          <w:szCs w:val="24"/>
          <w:lang w:bidi="ar-JO"/>
        </w:rPr>
        <w:t xml:space="preserve">that </w:t>
      </w:r>
      <w:r w:rsidR="003A1A67" w:rsidRPr="009D69EF">
        <w:rPr>
          <w:rFonts w:ascii="Times New Roman" w:hAnsi="Times New Roman" w:cs="Times New Roman"/>
          <w:sz w:val="24"/>
          <w:szCs w:val="24"/>
          <w:lang w:bidi="ar-JO"/>
        </w:rPr>
        <w:t>victims</w:t>
      </w:r>
      <w:r w:rsidR="00B7238D">
        <w:rPr>
          <w:rFonts w:ascii="Times New Roman" w:hAnsi="Times New Roman" w:cs="Times New Roman"/>
          <w:sz w:val="24"/>
          <w:szCs w:val="24"/>
          <w:lang w:bidi="ar-JO"/>
        </w:rPr>
        <w:t xml:space="preserve"> obtain </w:t>
      </w:r>
      <w:r w:rsidR="00B7238D" w:rsidRPr="009D69EF">
        <w:rPr>
          <w:rFonts w:ascii="Times New Roman" w:hAnsi="Times New Roman" w:cs="Times New Roman"/>
          <w:sz w:val="24"/>
          <w:szCs w:val="24"/>
          <w:lang w:bidi="ar-JO"/>
        </w:rPr>
        <w:t>redress</w:t>
      </w:r>
      <w:r w:rsidR="003A1A67" w:rsidRPr="009D69EF">
        <w:rPr>
          <w:rFonts w:ascii="Times New Roman" w:hAnsi="Times New Roman" w:cs="Times New Roman"/>
          <w:sz w:val="24"/>
          <w:szCs w:val="24"/>
          <w:lang w:bidi="ar-JO"/>
        </w:rPr>
        <w:t xml:space="preserve">, and provide reparations. </w:t>
      </w:r>
    </w:p>
    <w:p w:rsidR="003A1A67" w:rsidRPr="009D69EF" w:rsidRDefault="003A1A67" w:rsidP="00A15513">
      <w:pPr>
        <w:pStyle w:val="ListParagraph"/>
        <w:numPr>
          <w:ilvl w:val="0"/>
          <w:numId w:val="4"/>
        </w:numPr>
        <w:ind w:left="-9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Suicide </w:t>
      </w:r>
    </w:p>
    <w:p w:rsidR="00A15513" w:rsidRDefault="00766375" w:rsidP="00A15513">
      <w:p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Particularly Para</w:t>
      </w:r>
      <w:r w:rsidR="00B7238D">
        <w:rPr>
          <w:rFonts w:ascii="Times New Roman" w:hAnsi="Times New Roman" w:cs="Times New Roman"/>
          <w:sz w:val="24"/>
          <w:szCs w:val="24"/>
          <w:lang w:bidi="ar-JO"/>
        </w:rPr>
        <w:t>graph</w:t>
      </w:r>
      <w:r w:rsidRPr="009D69EF">
        <w:rPr>
          <w:rFonts w:ascii="Times New Roman" w:hAnsi="Times New Roman" w:cs="Times New Roman"/>
          <w:sz w:val="24"/>
          <w:szCs w:val="24"/>
          <w:lang w:bidi="ar-JO"/>
        </w:rPr>
        <w:t xml:space="preserve"> 138 of the </w:t>
      </w:r>
      <w:r w:rsidR="003A1A67" w:rsidRPr="009D69EF">
        <w:rPr>
          <w:rFonts w:ascii="Times New Roman" w:hAnsi="Times New Roman" w:cs="Times New Roman"/>
          <w:sz w:val="24"/>
          <w:szCs w:val="24"/>
          <w:lang w:bidi="ar-JO"/>
        </w:rPr>
        <w:t xml:space="preserve">initial report submitted by the State of Palestine </w:t>
      </w:r>
      <w:r w:rsidRPr="009D69EF">
        <w:rPr>
          <w:rFonts w:ascii="Times New Roman" w:hAnsi="Times New Roman" w:cs="Times New Roman"/>
          <w:sz w:val="24"/>
          <w:szCs w:val="24"/>
          <w:lang w:bidi="ar-JO"/>
        </w:rPr>
        <w:t xml:space="preserve">to the CRC </w:t>
      </w:r>
      <w:r w:rsidR="003A1A67" w:rsidRPr="009D69EF">
        <w:rPr>
          <w:rFonts w:ascii="Times New Roman" w:hAnsi="Times New Roman" w:cs="Times New Roman"/>
          <w:sz w:val="24"/>
          <w:szCs w:val="24"/>
          <w:lang w:bidi="ar-JO"/>
        </w:rPr>
        <w:t xml:space="preserve">does </w:t>
      </w:r>
      <w:r w:rsidRPr="009D69EF">
        <w:rPr>
          <w:rFonts w:ascii="Times New Roman" w:hAnsi="Times New Roman" w:cs="Times New Roman"/>
          <w:sz w:val="24"/>
          <w:szCs w:val="24"/>
          <w:lang w:bidi="ar-JO"/>
        </w:rPr>
        <w:t xml:space="preserve">not </w:t>
      </w:r>
      <w:r w:rsidR="00B7238D">
        <w:rPr>
          <w:rFonts w:ascii="Times New Roman" w:hAnsi="Times New Roman" w:cs="Times New Roman"/>
          <w:sz w:val="24"/>
          <w:szCs w:val="24"/>
          <w:lang w:bidi="ar-JO"/>
        </w:rPr>
        <w:t>provide an account of</w:t>
      </w:r>
      <w:r w:rsidRPr="009D69EF">
        <w:rPr>
          <w:rFonts w:ascii="Times New Roman" w:hAnsi="Times New Roman" w:cs="Times New Roman"/>
          <w:sz w:val="24"/>
          <w:szCs w:val="24"/>
          <w:lang w:bidi="ar-JO"/>
        </w:rPr>
        <w:t xml:space="preserve"> suicides among children during the reporting period. In 2016</w:t>
      </w:r>
      <w:r w:rsidR="00B7238D">
        <w:rPr>
          <w:rFonts w:ascii="Times New Roman" w:hAnsi="Times New Roman" w:cs="Times New Roman"/>
          <w:sz w:val="24"/>
          <w:szCs w:val="24"/>
          <w:lang w:bidi="ar-JO"/>
        </w:rPr>
        <w:t>-</w:t>
      </w:r>
      <w:r w:rsidRPr="009D69EF">
        <w:rPr>
          <w:rFonts w:ascii="Times New Roman" w:hAnsi="Times New Roman" w:cs="Times New Roman"/>
          <w:sz w:val="24"/>
          <w:szCs w:val="24"/>
          <w:lang w:bidi="ar-JO"/>
        </w:rPr>
        <w:t>201</w:t>
      </w:r>
      <w:r w:rsidR="00B7238D">
        <w:rPr>
          <w:rFonts w:ascii="Times New Roman" w:hAnsi="Times New Roman" w:cs="Times New Roman"/>
          <w:sz w:val="24"/>
          <w:szCs w:val="24"/>
          <w:lang w:bidi="ar-JO"/>
        </w:rPr>
        <w:t>7</w:t>
      </w:r>
      <w:r w:rsidRPr="009D69EF">
        <w:rPr>
          <w:rFonts w:ascii="Times New Roman" w:hAnsi="Times New Roman" w:cs="Times New Roman"/>
          <w:sz w:val="24"/>
          <w:szCs w:val="24"/>
          <w:lang w:bidi="ar-JO"/>
        </w:rPr>
        <w:t xml:space="preserve">, the ICHR monitored three suicides by children in the Gaza Strip. The ICHR also published a reference paper on the high incidence of suicide among children in the Gaza </w:t>
      </w:r>
      <w:r w:rsidR="00B7238D">
        <w:rPr>
          <w:rFonts w:ascii="Times New Roman" w:hAnsi="Times New Roman" w:cs="Times New Roman"/>
          <w:sz w:val="24"/>
          <w:szCs w:val="24"/>
          <w:lang w:bidi="ar-JO"/>
        </w:rPr>
        <w:t>S</w:t>
      </w:r>
      <w:r w:rsidRPr="009D69EF">
        <w:rPr>
          <w:rFonts w:ascii="Times New Roman" w:hAnsi="Times New Roman" w:cs="Times New Roman"/>
          <w:sz w:val="24"/>
          <w:szCs w:val="24"/>
          <w:lang w:bidi="ar-JO"/>
        </w:rPr>
        <w:t xml:space="preserve">trip between 2015 and 2017. Additionally, the </w:t>
      </w:r>
      <w:r w:rsidR="00B7238D">
        <w:rPr>
          <w:rFonts w:ascii="Times New Roman" w:hAnsi="Times New Roman" w:cs="Times New Roman"/>
          <w:sz w:val="24"/>
          <w:szCs w:val="24"/>
          <w:lang w:bidi="ar-JO"/>
        </w:rPr>
        <w:t xml:space="preserve">State of Palestine’s </w:t>
      </w:r>
      <w:r w:rsidRPr="009D69EF">
        <w:rPr>
          <w:rFonts w:ascii="Times New Roman" w:hAnsi="Times New Roman" w:cs="Times New Roman"/>
          <w:sz w:val="24"/>
          <w:szCs w:val="24"/>
          <w:lang w:bidi="ar-JO"/>
        </w:rPr>
        <w:t xml:space="preserve">initial report does not provide a review of government policies and procedures to identify the reasons behind increasing suicides in general, and among children in particular. </w:t>
      </w:r>
    </w:p>
    <w:p w:rsidR="00A15513" w:rsidRDefault="00A15513">
      <w:pPr>
        <w:rPr>
          <w:rFonts w:ascii="Times New Roman" w:hAnsi="Times New Roman" w:cs="Times New Roman"/>
          <w:sz w:val="24"/>
          <w:szCs w:val="24"/>
          <w:lang w:bidi="ar-JO"/>
        </w:rPr>
      </w:pPr>
      <w:r>
        <w:rPr>
          <w:rFonts w:ascii="Times New Roman" w:hAnsi="Times New Roman" w:cs="Times New Roman"/>
          <w:sz w:val="24"/>
          <w:szCs w:val="24"/>
          <w:lang w:bidi="ar-JO"/>
        </w:rPr>
        <w:br w:type="page"/>
      </w:r>
    </w:p>
    <w:p w:rsidR="00766375" w:rsidRPr="009D69EF" w:rsidRDefault="00766375" w:rsidP="00A15513">
      <w:pPr>
        <w:pStyle w:val="ListParagraph"/>
        <w:numPr>
          <w:ilvl w:val="0"/>
          <w:numId w:val="4"/>
        </w:numPr>
        <w:ind w:left="-9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Child deaths resulting from failure to implement public safety measures </w:t>
      </w:r>
      <w:r w:rsidR="00B7238D">
        <w:rPr>
          <w:rFonts w:ascii="Times New Roman" w:hAnsi="Times New Roman" w:cs="Times New Roman"/>
          <w:b/>
          <w:bCs/>
          <w:sz w:val="24"/>
          <w:szCs w:val="24"/>
          <w:lang w:bidi="ar-JO"/>
        </w:rPr>
        <w:t>as well as</w:t>
      </w:r>
      <w:r w:rsidR="00C55774" w:rsidRPr="009D69EF">
        <w:rPr>
          <w:rFonts w:ascii="Times New Roman" w:hAnsi="Times New Roman" w:cs="Times New Roman"/>
          <w:b/>
          <w:bCs/>
          <w:sz w:val="24"/>
          <w:szCs w:val="24"/>
          <w:lang w:bidi="ar-JO"/>
        </w:rPr>
        <w:t xml:space="preserve"> occupational safety and health standards in workplaces </w:t>
      </w:r>
    </w:p>
    <w:p w:rsidR="00C55774" w:rsidRPr="009D69EF" w:rsidRDefault="00C55774" w:rsidP="00A15513">
      <w:p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initial report is silent on the results of investigation into </w:t>
      </w:r>
      <w:r w:rsidR="00D163CB">
        <w:rPr>
          <w:rFonts w:ascii="Times New Roman" w:hAnsi="Times New Roman" w:cs="Times New Roman"/>
          <w:sz w:val="24"/>
          <w:szCs w:val="24"/>
          <w:lang w:bidi="ar-JO"/>
        </w:rPr>
        <w:t xml:space="preserve">the </w:t>
      </w:r>
      <w:r w:rsidRPr="009D69EF">
        <w:rPr>
          <w:rFonts w:ascii="Times New Roman" w:hAnsi="Times New Roman" w:cs="Times New Roman"/>
          <w:sz w:val="24"/>
          <w:szCs w:val="24"/>
          <w:lang w:bidi="ar-JO"/>
        </w:rPr>
        <w:t>complaints</w:t>
      </w:r>
      <w:r w:rsidR="00D163CB">
        <w:rPr>
          <w:rFonts w:ascii="Times New Roman" w:hAnsi="Times New Roman" w:cs="Times New Roman"/>
          <w:sz w:val="24"/>
          <w:szCs w:val="24"/>
          <w:lang w:bidi="ar-JO"/>
        </w:rPr>
        <w:t>, which</w:t>
      </w:r>
      <w:r w:rsidRPr="009D69EF">
        <w:rPr>
          <w:rFonts w:ascii="Times New Roman" w:hAnsi="Times New Roman" w:cs="Times New Roman"/>
          <w:sz w:val="24"/>
          <w:szCs w:val="24"/>
          <w:lang w:bidi="ar-JO"/>
        </w:rPr>
        <w:t xml:space="preserve"> the Ministry of Labour </w:t>
      </w:r>
      <w:r w:rsidR="00FD6D4F" w:rsidRPr="009D69EF">
        <w:rPr>
          <w:rFonts w:ascii="Times New Roman" w:hAnsi="Times New Roman" w:cs="Times New Roman"/>
          <w:sz w:val="24"/>
          <w:szCs w:val="24"/>
          <w:lang w:bidi="ar-JO"/>
        </w:rPr>
        <w:t xml:space="preserve">(MoL) </w:t>
      </w:r>
      <w:r w:rsidRPr="009D69EF">
        <w:rPr>
          <w:rFonts w:ascii="Times New Roman" w:hAnsi="Times New Roman" w:cs="Times New Roman"/>
          <w:sz w:val="24"/>
          <w:szCs w:val="24"/>
          <w:lang w:bidi="ar-JO"/>
        </w:rPr>
        <w:t xml:space="preserve">received on </w:t>
      </w:r>
      <w:r w:rsidR="00FD6D4F" w:rsidRPr="009D69EF">
        <w:rPr>
          <w:rFonts w:ascii="Times New Roman" w:hAnsi="Times New Roman" w:cs="Times New Roman"/>
          <w:sz w:val="24"/>
          <w:szCs w:val="24"/>
          <w:lang w:bidi="ar-JO"/>
        </w:rPr>
        <w:t>exploit</w:t>
      </w:r>
      <w:r w:rsidR="00D163CB">
        <w:rPr>
          <w:rFonts w:ascii="Times New Roman" w:hAnsi="Times New Roman" w:cs="Times New Roman"/>
          <w:sz w:val="24"/>
          <w:szCs w:val="24"/>
          <w:lang w:bidi="ar-JO"/>
        </w:rPr>
        <w:t>at</w:t>
      </w:r>
      <w:r w:rsidR="00FD6D4F" w:rsidRPr="009D69EF">
        <w:rPr>
          <w:rFonts w:ascii="Times New Roman" w:hAnsi="Times New Roman" w:cs="Times New Roman"/>
          <w:sz w:val="24"/>
          <w:szCs w:val="24"/>
          <w:lang w:bidi="ar-JO"/>
        </w:rPr>
        <w:t xml:space="preserve">ive </w:t>
      </w:r>
      <w:r w:rsidRPr="009D69EF">
        <w:rPr>
          <w:rFonts w:ascii="Times New Roman" w:hAnsi="Times New Roman" w:cs="Times New Roman"/>
          <w:sz w:val="24"/>
          <w:szCs w:val="24"/>
          <w:lang w:bidi="ar-JO"/>
        </w:rPr>
        <w:t xml:space="preserve">child labour and the </w:t>
      </w:r>
      <w:r w:rsidR="00DE4717">
        <w:rPr>
          <w:rFonts w:ascii="Times New Roman" w:hAnsi="Times New Roman" w:cs="Times New Roman"/>
          <w:sz w:val="24"/>
          <w:szCs w:val="24"/>
          <w:lang w:bidi="ar-JO"/>
        </w:rPr>
        <w:t>actions</w:t>
      </w:r>
      <w:r w:rsidRPr="009D69EF">
        <w:rPr>
          <w:rFonts w:ascii="Times New Roman" w:hAnsi="Times New Roman" w:cs="Times New Roman"/>
          <w:sz w:val="24"/>
          <w:szCs w:val="24"/>
          <w:lang w:bidi="ar-JO"/>
        </w:rPr>
        <w:t xml:space="preserve"> taken by the Ministry </w:t>
      </w:r>
      <w:r w:rsidR="00DE4717">
        <w:rPr>
          <w:rFonts w:ascii="Times New Roman" w:hAnsi="Times New Roman" w:cs="Times New Roman"/>
          <w:sz w:val="24"/>
          <w:szCs w:val="24"/>
          <w:lang w:bidi="ar-JO"/>
        </w:rPr>
        <w:t xml:space="preserve">in response to these </w:t>
      </w:r>
      <w:r w:rsidRPr="009D69EF">
        <w:rPr>
          <w:rFonts w:ascii="Times New Roman" w:hAnsi="Times New Roman" w:cs="Times New Roman"/>
          <w:sz w:val="24"/>
          <w:szCs w:val="24"/>
          <w:lang w:bidi="ar-JO"/>
        </w:rPr>
        <w:t>violation</w:t>
      </w:r>
      <w:r w:rsidR="00DE4717">
        <w:rPr>
          <w:rFonts w:ascii="Times New Roman" w:hAnsi="Times New Roman" w:cs="Times New Roman"/>
          <w:sz w:val="24"/>
          <w:szCs w:val="24"/>
          <w:lang w:bidi="ar-JO"/>
        </w:rPr>
        <w:t>s</w:t>
      </w:r>
      <w:r w:rsidRPr="009D69EF">
        <w:rPr>
          <w:rFonts w:ascii="Times New Roman" w:hAnsi="Times New Roman" w:cs="Times New Roman"/>
          <w:sz w:val="24"/>
          <w:szCs w:val="24"/>
          <w:lang w:bidi="ar-JO"/>
        </w:rPr>
        <w:t xml:space="preserve">. </w:t>
      </w:r>
    </w:p>
    <w:p w:rsidR="00C55774" w:rsidRPr="009D69EF" w:rsidRDefault="00C55774" w:rsidP="00A15513">
      <w:p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report does not address child deaths that resulted from failure to implement occupational safety and health standards </w:t>
      </w:r>
      <w:r w:rsidR="00DE4717">
        <w:rPr>
          <w:rFonts w:ascii="Times New Roman" w:hAnsi="Times New Roman" w:cs="Times New Roman"/>
          <w:sz w:val="24"/>
          <w:szCs w:val="24"/>
          <w:lang w:bidi="ar-JO"/>
        </w:rPr>
        <w:t>in</w:t>
      </w:r>
      <w:r w:rsidRPr="009D69EF">
        <w:rPr>
          <w:rFonts w:ascii="Times New Roman" w:hAnsi="Times New Roman" w:cs="Times New Roman"/>
          <w:sz w:val="24"/>
          <w:szCs w:val="24"/>
          <w:lang w:bidi="ar-JO"/>
        </w:rPr>
        <w:t xml:space="preserve"> workplaces. Between 2014 and 2017, the ICHR monitored nine deaths </w:t>
      </w:r>
      <w:r w:rsidR="00DE4717">
        <w:rPr>
          <w:rFonts w:ascii="Times New Roman" w:hAnsi="Times New Roman" w:cs="Times New Roman"/>
          <w:sz w:val="24"/>
          <w:szCs w:val="24"/>
          <w:lang w:bidi="ar-JO"/>
        </w:rPr>
        <w:t>caused by</w:t>
      </w:r>
      <w:r w:rsidRPr="009D69EF">
        <w:rPr>
          <w:rFonts w:ascii="Times New Roman" w:hAnsi="Times New Roman" w:cs="Times New Roman"/>
          <w:sz w:val="24"/>
          <w:szCs w:val="24"/>
          <w:lang w:bidi="ar-JO"/>
        </w:rPr>
        <w:t xml:space="preserve"> failure to comply with occupational safety and health standards. </w:t>
      </w:r>
      <w:r w:rsidR="00DE4717">
        <w:rPr>
          <w:rFonts w:ascii="Times New Roman" w:hAnsi="Times New Roman" w:cs="Times New Roman"/>
          <w:sz w:val="24"/>
          <w:szCs w:val="24"/>
          <w:lang w:bidi="ar-JO"/>
        </w:rPr>
        <w:t>I</w:t>
      </w:r>
      <w:r w:rsidR="00EB71A3" w:rsidRPr="009D69EF">
        <w:rPr>
          <w:rFonts w:ascii="Times New Roman" w:hAnsi="Times New Roman" w:cs="Times New Roman"/>
          <w:sz w:val="24"/>
          <w:szCs w:val="24"/>
          <w:lang w:bidi="ar-JO"/>
        </w:rPr>
        <w:t>n the informal business sector and household enterprises</w:t>
      </w:r>
      <w:r w:rsidR="00DE4717">
        <w:rPr>
          <w:rFonts w:ascii="Times New Roman" w:hAnsi="Times New Roman" w:cs="Times New Roman"/>
          <w:sz w:val="24"/>
          <w:szCs w:val="24"/>
          <w:lang w:bidi="ar-JO"/>
        </w:rPr>
        <w:t>, c</w:t>
      </w:r>
      <w:r w:rsidR="00DE4717" w:rsidRPr="009D69EF">
        <w:rPr>
          <w:rFonts w:ascii="Times New Roman" w:hAnsi="Times New Roman" w:cs="Times New Roman"/>
          <w:sz w:val="24"/>
          <w:szCs w:val="24"/>
          <w:lang w:bidi="ar-JO"/>
        </w:rPr>
        <w:t>hild deaths</w:t>
      </w:r>
      <w:r w:rsidR="00EB71A3" w:rsidRPr="009D69EF">
        <w:rPr>
          <w:rFonts w:ascii="Times New Roman" w:hAnsi="Times New Roman" w:cs="Times New Roman"/>
          <w:sz w:val="24"/>
          <w:szCs w:val="24"/>
          <w:lang w:bidi="ar-JO"/>
        </w:rPr>
        <w:t xml:space="preserve"> comprised the majority of death incidents among children. Most household enterprises are beyond </w:t>
      </w:r>
      <w:r w:rsidR="00DE4717">
        <w:rPr>
          <w:rFonts w:ascii="Times New Roman" w:hAnsi="Times New Roman" w:cs="Times New Roman"/>
          <w:sz w:val="24"/>
          <w:szCs w:val="24"/>
          <w:lang w:bidi="ar-JO"/>
        </w:rPr>
        <w:t xml:space="preserve">the </w:t>
      </w:r>
      <w:r w:rsidR="00421542" w:rsidRPr="009D69EF">
        <w:rPr>
          <w:rFonts w:ascii="Times New Roman" w:hAnsi="Times New Roman" w:cs="Times New Roman"/>
          <w:sz w:val="24"/>
          <w:szCs w:val="24"/>
          <w:lang w:bidi="ar-JO"/>
        </w:rPr>
        <w:t xml:space="preserve">formal </w:t>
      </w:r>
      <w:r w:rsidR="00EB71A3" w:rsidRPr="009D69EF">
        <w:rPr>
          <w:rFonts w:ascii="Times New Roman" w:hAnsi="Times New Roman" w:cs="Times New Roman"/>
          <w:sz w:val="24"/>
          <w:szCs w:val="24"/>
          <w:lang w:bidi="ar-JO"/>
        </w:rPr>
        <w:t>control</w:t>
      </w:r>
      <w:r w:rsidR="00421542" w:rsidRPr="009D69EF">
        <w:rPr>
          <w:rFonts w:ascii="Times New Roman" w:hAnsi="Times New Roman" w:cs="Times New Roman"/>
          <w:sz w:val="24"/>
          <w:szCs w:val="24"/>
          <w:lang w:bidi="ar-JO"/>
        </w:rPr>
        <w:t xml:space="preserve"> </w:t>
      </w:r>
      <w:r w:rsidR="00DE4717">
        <w:rPr>
          <w:rFonts w:ascii="Times New Roman" w:hAnsi="Times New Roman" w:cs="Times New Roman"/>
          <w:sz w:val="24"/>
          <w:szCs w:val="24"/>
          <w:lang w:bidi="ar-JO"/>
        </w:rPr>
        <w:t>of</w:t>
      </w:r>
      <w:r w:rsidR="00421542" w:rsidRPr="009D69EF">
        <w:rPr>
          <w:rFonts w:ascii="Times New Roman" w:hAnsi="Times New Roman" w:cs="Times New Roman"/>
          <w:sz w:val="24"/>
          <w:szCs w:val="24"/>
          <w:lang w:bidi="ar-JO"/>
        </w:rPr>
        <w:t xml:space="preserve"> the MoL. Although legislation and instructions on occupational safety and health standards in children’s environment are in place, employers do not comply with these regulations</w:t>
      </w:r>
      <w:r w:rsidR="00DE4717">
        <w:rPr>
          <w:rFonts w:ascii="Times New Roman" w:hAnsi="Times New Roman" w:cs="Times New Roman"/>
          <w:sz w:val="24"/>
          <w:szCs w:val="24"/>
          <w:lang w:bidi="ar-JO"/>
        </w:rPr>
        <w:t xml:space="preserve"> on the ground</w:t>
      </w:r>
      <w:r w:rsidR="00421542" w:rsidRPr="009D69EF">
        <w:rPr>
          <w:rFonts w:ascii="Times New Roman" w:hAnsi="Times New Roman" w:cs="Times New Roman"/>
          <w:sz w:val="24"/>
          <w:szCs w:val="24"/>
          <w:lang w:bidi="ar-JO"/>
        </w:rPr>
        <w:t xml:space="preserve">. The government does not </w:t>
      </w:r>
      <w:r w:rsidR="00DE4717">
        <w:rPr>
          <w:rFonts w:ascii="Times New Roman" w:hAnsi="Times New Roman" w:cs="Times New Roman"/>
          <w:sz w:val="24"/>
          <w:szCs w:val="24"/>
          <w:lang w:bidi="ar-JO"/>
        </w:rPr>
        <w:t xml:space="preserve">provide </w:t>
      </w:r>
      <w:r w:rsidR="00421542" w:rsidRPr="009D69EF">
        <w:rPr>
          <w:rFonts w:ascii="Times New Roman" w:hAnsi="Times New Roman" w:cs="Times New Roman"/>
          <w:sz w:val="24"/>
          <w:szCs w:val="24"/>
          <w:lang w:bidi="ar-JO"/>
        </w:rPr>
        <w:t xml:space="preserve">adequate control </w:t>
      </w:r>
      <w:r w:rsidR="00DE4717">
        <w:rPr>
          <w:rFonts w:ascii="Times New Roman" w:hAnsi="Times New Roman" w:cs="Times New Roman"/>
          <w:sz w:val="24"/>
          <w:szCs w:val="24"/>
          <w:lang w:bidi="ar-JO"/>
        </w:rPr>
        <w:t>to ensure</w:t>
      </w:r>
      <w:r w:rsidR="00421542" w:rsidRPr="009D69EF">
        <w:rPr>
          <w:rFonts w:ascii="Times New Roman" w:hAnsi="Times New Roman" w:cs="Times New Roman"/>
          <w:sz w:val="24"/>
          <w:szCs w:val="24"/>
          <w:lang w:bidi="ar-JO"/>
        </w:rPr>
        <w:t xml:space="preserve"> compliance these standards, leading to </w:t>
      </w:r>
      <w:r w:rsidR="00DE4717">
        <w:rPr>
          <w:rFonts w:ascii="Times New Roman" w:hAnsi="Times New Roman" w:cs="Times New Roman"/>
          <w:sz w:val="24"/>
          <w:szCs w:val="24"/>
          <w:lang w:bidi="ar-JO"/>
        </w:rPr>
        <w:t xml:space="preserve">a </w:t>
      </w:r>
      <w:r w:rsidR="00421542" w:rsidRPr="009D69EF">
        <w:rPr>
          <w:rFonts w:ascii="Times New Roman" w:hAnsi="Times New Roman" w:cs="Times New Roman"/>
          <w:sz w:val="24"/>
          <w:szCs w:val="24"/>
          <w:lang w:bidi="ar-JO"/>
        </w:rPr>
        <w:t xml:space="preserve">high incidence of child deaths. The government has not adopted policies or measures, which would integrate informal employment into government control. According to the ICHR estimations, children have been injured </w:t>
      </w:r>
      <w:r w:rsidR="00E65340" w:rsidRPr="009D69EF">
        <w:rPr>
          <w:rFonts w:ascii="Times New Roman" w:hAnsi="Times New Roman" w:cs="Times New Roman"/>
          <w:sz w:val="24"/>
          <w:szCs w:val="24"/>
          <w:lang w:bidi="ar-JO"/>
        </w:rPr>
        <w:t>because</w:t>
      </w:r>
      <w:r w:rsidR="00421542" w:rsidRPr="009D69EF">
        <w:rPr>
          <w:rFonts w:ascii="Times New Roman" w:hAnsi="Times New Roman" w:cs="Times New Roman"/>
          <w:sz w:val="24"/>
          <w:szCs w:val="24"/>
          <w:lang w:bidi="ar-JO"/>
        </w:rPr>
        <w:t xml:space="preserve"> of failure to implement occupational safety and health standards. However, statistical data are not </w:t>
      </w:r>
      <w:r w:rsidR="009B0D3D">
        <w:rPr>
          <w:rFonts w:ascii="Times New Roman" w:hAnsi="Times New Roman" w:cs="Times New Roman"/>
          <w:sz w:val="24"/>
          <w:szCs w:val="24"/>
          <w:lang w:bidi="ar-JO"/>
        </w:rPr>
        <w:t>available</w:t>
      </w:r>
      <w:r w:rsidR="00421542" w:rsidRPr="009D69EF">
        <w:rPr>
          <w:rFonts w:ascii="Times New Roman" w:hAnsi="Times New Roman" w:cs="Times New Roman"/>
          <w:sz w:val="24"/>
          <w:szCs w:val="24"/>
          <w:lang w:bidi="ar-JO"/>
        </w:rPr>
        <w:t xml:space="preserve"> either </w:t>
      </w:r>
      <w:r w:rsidR="009B0D3D">
        <w:rPr>
          <w:rFonts w:ascii="Times New Roman" w:hAnsi="Times New Roman" w:cs="Times New Roman"/>
          <w:sz w:val="24"/>
          <w:szCs w:val="24"/>
          <w:lang w:bidi="ar-JO"/>
        </w:rPr>
        <w:t>from</w:t>
      </w:r>
      <w:r w:rsidR="00421542" w:rsidRPr="009D69EF">
        <w:rPr>
          <w:rFonts w:ascii="Times New Roman" w:hAnsi="Times New Roman" w:cs="Times New Roman"/>
          <w:sz w:val="24"/>
          <w:szCs w:val="24"/>
          <w:lang w:bidi="ar-JO"/>
        </w:rPr>
        <w:t xml:space="preserve"> official authorities or employers. (Given the importance of th</w:t>
      </w:r>
      <w:r w:rsidR="009B0D3D">
        <w:rPr>
          <w:rFonts w:ascii="Times New Roman" w:hAnsi="Times New Roman" w:cs="Times New Roman"/>
          <w:sz w:val="24"/>
          <w:szCs w:val="24"/>
          <w:lang w:bidi="ar-JO"/>
        </w:rPr>
        <w:t>is</w:t>
      </w:r>
      <w:r w:rsidR="00421542" w:rsidRPr="009D69EF">
        <w:rPr>
          <w:rFonts w:ascii="Times New Roman" w:hAnsi="Times New Roman" w:cs="Times New Roman"/>
          <w:sz w:val="24"/>
          <w:szCs w:val="24"/>
          <w:lang w:bidi="ar-JO"/>
        </w:rPr>
        <w:t xml:space="preserve"> issue, the ICHR published a special report, titled </w:t>
      </w:r>
      <w:r w:rsidR="009B0D3D" w:rsidRPr="009B0D3D">
        <w:rPr>
          <w:rFonts w:ascii="Times New Roman" w:hAnsi="Times New Roman" w:cs="Times New Roman"/>
          <w:i/>
          <w:iCs/>
          <w:sz w:val="24"/>
          <w:szCs w:val="24"/>
          <w:lang w:bidi="ar-JO"/>
        </w:rPr>
        <w:t xml:space="preserve">The </w:t>
      </w:r>
      <w:r w:rsidR="00421542" w:rsidRPr="009B0D3D">
        <w:rPr>
          <w:rFonts w:ascii="Times New Roman" w:hAnsi="Times New Roman" w:cs="Times New Roman"/>
          <w:i/>
          <w:iCs/>
          <w:sz w:val="24"/>
          <w:szCs w:val="24"/>
          <w:lang w:bidi="ar-JO"/>
        </w:rPr>
        <w:t>Establishments of Death: Analytical Report on Death Resulting from Failure to Comply with Occupational Safety and Health Standards</w:t>
      </w:r>
      <w:r w:rsidR="002E352C" w:rsidRPr="009B0D3D">
        <w:rPr>
          <w:rFonts w:ascii="Times New Roman" w:hAnsi="Times New Roman" w:cs="Times New Roman"/>
          <w:i/>
          <w:iCs/>
          <w:sz w:val="24"/>
          <w:szCs w:val="24"/>
          <w:lang w:bidi="ar-JO"/>
        </w:rPr>
        <w:t xml:space="preserve"> </w:t>
      </w:r>
      <w:r w:rsidR="009B0D3D" w:rsidRPr="009B0D3D">
        <w:rPr>
          <w:rFonts w:ascii="Times New Roman" w:hAnsi="Times New Roman" w:cs="Times New Roman"/>
          <w:i/>
          <w:iCs/>
          <w:sz w:val="24"/>
          <w:szCs w:val="24"/>
          <w:lang w:bidi="ar-JO"/>
        </w:rPr>
        <w:t>in</w:t>
      </w:r>
      <w:r w:rsidR="002E352C" w:rsidRPr="009B0D3D">
        <w:rPr>
          <w:rFonts w:ascii="Times New Roman" w:hAnsi="Times New Roman" w:cs="Times New Roman"/>
          <w:i/>
          <w:iCs/>
          <w:sz w:val="24"/>
          <w:szCs w:val="24"/>
          <w:lang w:bidi="ar-JO"/>
        </w:rPr>
        <w:t xml:space="preserve"> Workplaces 2014-2018</w:t>
      </w:r>
      <w:r w:rsidR="002E352C" w:rsidRPr="009D69EF">
        <w:rPr>
          <w:rFonts w:ascii="Times New Roman" w:hAnsi="Times New Roman" w:cs="Times New Roman"/>
          <w:sz w:val="24"/>
          <w:szCs w:val="24"/>
          <w:lang w:bidi="ar-JO"/>
        </w:rPr>
        <w:t xml:space="preserve">). </w:t>
      </w:r>
    </w:p>
    <w:p w:rsidR="002E352C" w:rsidRPr="009D69EF" w:rsidRDefault="002E352C" w:rsidP="00A15513">
      <w:pPr>
        <w:pStyle w:val="ListParagraph"/>
        <w:numPr>
          <w:ilvl w:val="0"/>
          <w:numId w:val="4"/>
        </w:numPr>
        <w:ind w:left="-9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Extrajudicial killing of Palestinian children by the Israeli occupying forces </w:t>
      </w:r>
    </w:p>
    <w:p w:rsidR="00A15513" w:rsidRDefault="002E352C" w:rsidP="00A15513">
      <w:p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The State of Palestine’s initial report does not provide a separate account of statistics o</w:t>
      </w:r>
      <w:r w:rsidR="000B10D7">
        <w:rPr>
          <w:rFonts w:ascii="Times New Roman" w:hAnsi="Times New Roman" w:cs="Times New Roman"/>
          <w:sz w:val="24"/>
          <w:szCs w:val="24"/>
          <w:lang w:bidi="ar-JO"/>
        </w:rPr>
        <w:t>n</w:t>
      </w:r>
      <w:r w:rsidRPr="009D69EF">
        <w:rPr>
          <w:rFonts w:ascii="Times New Roman" w:hAnsi="Times New Roman" w:cs="Times New Roman"/>
          <w:sz w:val="24"/>
          <w:szCs w:val="24"/>
          <w:lang w:bidi="ar-JO"/>
        </w:rPr>
        <w:t xml:space="preserve"> children killed and injured during </w:t>
      </w:r>
      <w:r w:rsidR="000B10D7">
        <w:rPr>
          <w:rFonts w:ascii="Times New Roman" w:hAnsi="Times New Roman" w:cs="Times New Roman"/>
          <w:sz w:val="24"/>
          <w:szCs w:val="24"/>
          <w:lang w:bidi="ar-JO"/>
        </w:rPr>
        <w:t xml:space="preserve">the </w:t>
      </w:r>
      <w:r w:rsidRPr="009D69EF">
        <w:rPr>
          <w:rFonts w:ascii="Times New Roman" w:hAnsi="Times New Roman" w:cs="Times New Roman"/>
          <w:sz w:val="24"/>
          <w:szCs w:val="24"/>
          <w:lang w:bidi="ar-JO"/>
        </w:rPr>
        <w:t xml:space="preserve">wars </w:t>
      </w:r>
      <w:r w:rsidR="000B10D7">
        <w:rPr>
          <w:rFonts w:ascii="Times New Roman" w:hAnsi="Times New Roman" w:cs="Times New Roman"/>
          <w:sz w:val="24"/>
          <w:szCs w:val="24"/>
          <w:lang w:bidi="ar-JO"/>
        </w:rPr>
        <w:t xml:space="preserve">launched by Israel </w:t>
      </w:r>
      <w:r w:rsidRPr="009D69EF">
        <w:rPr>
          <w:rFonts w:ascii="Times New Roman" w:hAnsi="Times New Roman" w:cs="Times New Roman"/>
          <w:sz w:val="24"/>
          <w:szCs w:val="24"/>
          <w:lang w:bidi="ar-JO"/>
        </w:rPr>
        <w:t xml:space="preserve">on the Gaza Strip. </w:t>
      </w:r>
      <w:r w:rsidR="000B10D7">
        <w:rPr>
          <w:rFonts w:ascii="Times New Roman" w:hAnsi="Times New Roman" w:cs="Times New Roman"/>
          <w:sz w:val="24"/>
          <w:szCs w:val="24"/>
          <w:lang w:bidi="ar-JO"/>
        </w:rPr>
        <w:t>These</w:t>
      </w:r>
      <w:r w:rsidRPr="009D69EF">
        <w:rPr>
          <w:rFonts w:ascii="Times New Roman" w:hAnsi="Times New Roman" w:cs="Times New Roman"/>
          <w:sz w:val="24"/>
          <w:szCs w:val="24"/>
          <w:lang w:bidi="ar-JO"/>
        </w:rPr>
        <w:t xml:space="preserve"> violations </w:t>
      </w:r>
      <w:r w:rsidR="000B10D7">
        <w:rPr>
          <w:rFonts w:ascii="Times New Roman" w:hAnsi="Times New Roman" w:cs="Times New Roman"/>
          <w:sz w:val="24"/>
          <w:szCs w:val="24"/>
          <w:lang w:bidi="ar-JO"/>
        </w:rPr>
        <w:t xml:space="preserve">were associated with Israel’s offensive, which targeted </w:t>
      </w:r>
      <w:r w:rsidRPr="009D69EF">
        <w:rPr>
          <w:rFonts w:ascii="Times New Roman" w:hAnsi="Times New Roman" w:cs="Times New Roman"/>
          <w:sz w:val="24"/>
          <w:szCs w:val="24"/>
          <w:lang w:bidi="ar-JO"/>
        </w:rPr>
        <w:t xml:space="preserve">civilians and </w:t>
      </w:r>
      <w:r w:rsidR="000B10D7">
        <w:rPr>
          <w:rFonts w:ascii="Times New Roman" w:hAnsi="Times New Roman" w:cs="Times New Roman"/>
          <w:sz w:val="24"/>
          <w:szCs w:val="24"/>
          <w:lang w:bidi="ar-JO"/>
        </w:rPr>
        <w:t>civilian objects</w:t>
      </w:r>
      <w:r w:rsidRPr="009D69EF">
        <w:rPr>
          <w:rFonts w:ascii="Times New Roman" w:hAnsi="Times New Roman" w:cs="Times New Roman"/>
          <w:sz w:val="24"/>
          <w:szCs w:val="24"/>
          <w:lang w:bidi="ar-JO"/>
        </w:rPr>
        <w:t xml:space="preserve">. </w:t>
      </w:r>
    </w:p>
    <w:p w:rsidR="007B19AF" w:rsidRPr="00A15513" w:rsidRDefault="007B19AF" w:rsidP="00A15513">
      <w:pPr>
        <w:ind w:left="-450" w:right="-810"/>
        <w:jc w:val="both"/>
        <w:rPr>
          <w:rFonts w:ascii="Times New Roman" w:hAnsi="Times New Roman" w:cs="Times New Roman"/>
          <w:sz w:val="24"/>
          <w:szCs w:val="24"/>
          <w:lang w:bidi="ar-JO"/>
        </w:rPr>
      </w:pPr>
      <w:r w:rsidRPr="009D69EF">
        <w:rPr>
          <w:rFonts w:ascii="Times New Roman" w:hAnsi="Times New Roman" w:cs="Times New Roman"/>
          <w:b/>
          <w:bCs/>
          <w:sz w:val="24"/>
          <w:szCs w:val="24"/>
          <w:lang w:bidi="ar-JO"/>
        </w:rPr>
        <w:t xml:space="preserve">Civil rights and freedoms </w:t>
      </w:r>
    </w:p>
    <w:p w:rsidR="00A15513" w:rsidRDefault="004D142E"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Right</w:t>
      </w:r>
      <w:r w:rsidR="004D0BBC">
        <w:rPr>
          <w:rFonts w:ascii="Times New Roman" w:hAnsi="Times New Roman" w:cs="Times New Roman"/>
          <w:b/>
          <w:bCs/>
          <w:sz w:val="24"/>
          <w:szCs w:val="24"/>
          <w:lang w:bidi="ar-JO"/>
        </w:rPr>
        <w:t>s</w:t>
      </w:r>
      <w:r w:rsidRPr="009D69EF">
        <w:rPr>
          <w:rFonts w:ascii="Times New Roman" w:hAnsi="Times New Roman" w:cs="Times New Roman"/>
          <w:b/>
          <w:bCs/>
          <w:sz w:val="24"/>
          <w:szCs w:val="24"/>
          <w:lang w:bidi="ar-JO"/>
        </w:rPr>
        <w:t xml:space="preserve"> to freedom of association and peaceful assembly </w:t>
      </w:r>
    </w:p>
    <w:p w:rsidR="00A15513" w:rsidRDefault="004D142E"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The initial report submitted by the State of Palestine to the CRC does not go through the obstacles to promoting children’s right to freedom of association. It does not </w:t>
      </w:r>
      <w:r w:rsidR="004D0BBC">
        <w:rPr>
          <w:rFonts w:ascii="Times New Roman" w:hAnsi="Times New Roman" w:cs="Times New Roman"/>
          <w:sz w:val="24"/>
          <w:szCs w:val="24"/>
          <w:lang w:bidi="ar-JO"/>
        </w:rPr>
        <w:t>outline</w:t>
      </w:r>
      <w:r w:rsidR="00E53B2D" w:rsidRPr="009D69EF">
        <w:rPr>
          <w:rFonts w:ascii="Times New Roman" w:hAnsi="Times New Roman" w:cs="Times New Roman"/>
          <w:sz w:val="24"/>
          <w:szCs w:val="24"/>
          <w:lang w:bidi="ar-JO"/>
        </w:rPr>
        <w:t xml:space="preserve"> policies </w:t>
      </w:r>
      <w:r w:rsidR="004D0BBC" w:rsidRPr="009D69EF">
        <w:rPr>
          <w:rFonts w:ascii="Times New Roman" w:hAnsi="Times New Roman" w:cs="Times New Roman"/>
          <w:sz w:val="24"/>
          <w:szCs w:val="24"/>
          <w:lang w:bidi="ar-JO"/>
        </w:rPr>
        <w:t xml:space="preserve">approved </w:t>
      </w:r>
      <w:r w:rsidR="004D0BBC">
        <w:rPr>
          <w:rFonts w:ascii="Times New Roman" w:hAnsi="Times New Roman" w:cs="Times New Roman"/>
          <w:sz w:val="24"/>
          <w:szCs w:val="24"/>
          <w:lang w:bidi="ar-JO"/>
        </w:rPr>
        <w:t xml:space="preserve">by the </w:t>
      </w:r>
      <w:r w:rsidR="004D0BBC" w:rsidRPr="009D69EF">
        <w:rPr>
          <w:rFonts w:ascii="Times New Roman" w:hAnsi="Times New Roman" w:cs="Times New Roman"/>
          <w:sz w:val="24"/>
          <w:szCs w:val="24"/>
          <w:lang w:bidi="ar-JO"/>
        </w:rPr>
        <w:t xml:space="preserve">government </w:t>
      </w:r>
      <w:r w:rsidR="00E53B2D" w:rsidRPr="009D69EF">
        <w:rPr>
          <w:rFonts w:ascii="Times New Roman" w:hAnsi="Times New Roman" w:cs="Times New Roman"/>
          <w:sz w:val="24"/>
          <w:szCs w:val="24"/>
          <w:lang w:bidi="ar-JO"/>
        </w:rPr>
        <w:t xml:space="preserve">to enable children to exercise their </w:t>
      </w:r>
      <w:r w:rsidR="004D0BBC">
        <w:rPr>
          <w:rFonts w:ascii="Times New Roman" w:hAnsi="Times New Roman" w:cs="Times New Roman"/>
          <w:sz w:val="24"/>
          <w:szCs w:val="24"/>
          <w:lang w:bidi="ar-JO"/>
        </w:rPr>
        <w:t xml:space="preserve">right </w:t>
      </w:r>
      <w:r w:rsidR="00E53B2D" w:rsidRPr="009D69EF">
        <w:rPr>
          <w:rFonts w:ascii="Times New Roman" w:hAnsi="Times New Roman" w:cs="Times New Roman"/>
          <w:sz w:val="24"/>
          <w:szCs w:val="24"/>
          <w:lang w:bidi="ar-JO"/>
        </w:rPr>
        <w:t xml:space="preserve">to freedom of association. </w:t>
      </w:r>
    </w:p>
    <w:p w:rsidR="00A15513" w:rsidRDefault="00E53B2D"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Disability, basic health services and care </w:t>
      </w:r>
    </w:p>
    <w:p w:rsidR="00A15513" w:rsidRDefault="00E53B2D"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Children with disabilities </w:t>
      </w:r>
    </w:p>
    <w:p w:rsidR="00A15513" w:rsidRDefault="00E53B2D"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The initial report omits any reference to the deterioration in the enjoyment of the right</w:t>
      </w:r>
      <w:r w:rsidR="00EF4B10">
        <w:rPr>
          <w:rFonts w:ascii="Times New Roman" w:hAnsi="Times New Roman" w:cs="Times New Roman"/>
          <w:sz w:val="24"/>
          <w:szCs w:val="24"/>
          <w:lang w:bidi="ar-JO"/>
        </w:rPr>
        <w:t>s</w:t>
      </w:r>
      <w:r w:rsidRPr="009D69EF">
        <w:rPr>
          <w:rFonts w:ascii="Times New Roman" w:hAnsi="Times New Roman" w:cs="Times New Roman"/>
          <w:sz w:val="24"/>
          <w:szCs w:val="24"/>
          <w:lang w:bidi="ar-JO"/>
        </w:rPr>
        <w:t xml:space="preserve"> to enjoy a dignified life by children with disabilities, including their right to a decent standard of living. The report is silent on the service </w:t>
      </w:r>
      <w:r w:rsidR="00EF4B10">
        <w:rPr>
          <w:rFonts w:ascii="Times New Roman" w:hAnsi="Times New Roman" w:cs="Times New Roman"/>
          <w:sz w:val="24"/>
          <w:szCs w:val="24"/>
          <w:lang w:bidi="ar-JO"/>
        </w:rPr>
        <w:t xml:space="preserve">procurement </w:t>
      </w:r>
      <w:r w:rsidRPr="009D69EF">
        <w:rPr>
          <w:rFonts w:ascii="Times New Roman" w:hAnsi="Times New Roman" w:cs="Times New Roman"/>
          <w:sz w:val="24"/>
          <w:szCs w:val="24"/>
          <w:lang w:bidi="ar-JO"/>
        </w:rPr>
        <w:t xml:space="preserve">policy, social security allocations, and social protection of children with disabilities. (Although it addresses service </w:t>
      </w:r>
      <w:r w:rsidR="00EF4B10">
        <w:rPr>
          <w:rFonts w:ascii="Times New Roman" w:hAnsi="Times New Roman" w:cs="Times New Roman"/>
          <w:sz w:val="24"/>
          <w:szCs w:val="24"/>
          <w:lang w:bidi="ar-JO"/>
        </w:rPr>
        <w:t>procurement</w:t>
      </w:r>
      <w:r w:rsidRPr="009D69EF">
        <w:rPr>
          <w:rFonts w:ascii="Times New Roman" w:hAnsi="Times New Roman" w:cs="Times New Roman"/>
          <w:sz w:val="24"/>
          <w:szCs w:val="24"/>
          <w:lang w:bidi="ar-JO"/>
        </w:rPr>
        <w:t xml:space="preserve">, the report fails to mention that this policy is inapplicable in the Gaza Strip). </w:t>
      </w:r>
    </w:p>
    <w:p w:rsidR="00A15513" w:rsidRDefault="00E53B2D"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The report does not go over school dropout rates</w:t>
      </w:r>
      <w:r w:rsidR="00F20E23" w:rsidRPr="009D69EF">
        <w:rPr>
          <w:rFonts w:ascii="Times New Roman" w:hAnsi="Times New Roman" w:cs="Times New Roman"/>
          <w:sz w:val="24"/>
          <w:szCs w:val="24"/>
          <w:lang w:bidi="ar-JO"/>
        </w:rPr>
        <w:t xml:space="preserve"> </w:t>
      </w:r>
      <w:r w:rsidR="00E65340" w:rsidRPr="009D69EF">
        <w:rPr>
          <w:rFonts w:ascii="Times New Roman" w:hAnsi="Times New Roman" w:cs="Times New Roman"/>
          <w:sz w:val="24"/>
          <w:szCs w:val="24"/>
          <w:lang w:bidi="ar-JO"/>
        </w:rPr>
        <w:t>because</w:t>
      </w:r>
      <w:r w:rsidR="00F20E23" w:rsidRPr="009D69EF">
        <w:rPr>
          <w:rFonts w:ascii="Times New Roman" w:hAnsi="Times New Roman" w:cs="Times New Roman"/>
          <w:sz w:val="24"/>
          <w:szCs w:val="24"/>
          <w:lang w:bidi="ar-JO"/>
        </w:rPr>
        <w:t xml:space="preserve"> of disability or children who are not enrolled in school</w:t>
      </w:r>
      <w:r w:rsidR="00EF4B10">
        <w:rPr>
          <w:rFonts w:ascii="Times New Roman" w:hAnsi="Times New Roman" w:cs="Times New Roman"/>
          <w:sz w:val="24"/>
          <w:szCs w:val="24"/>
          <w:lang w:bidi="ar-JO"/>
        </w:rPr>
        <w:t>s</w:t>
      </w:r>
      <w:r w:rsidR="00F20E23" w:rsidRPr="009D69EF">
        <w:rPr>
          <w:rFonts w:ascii="Times New Roman" w:hAnsi="Times New Roman" w:cs="Times New Roman"/>
          <w:sz w:val="24"/>
          <w:szCs w:val="24"/>
          <w:lang w:bidi="ar-JO"/>
        </w:rPr>
        <w:t xml:space="preserve"> because of their disabilities or other</w:t>
      </w:r>
      <w:r w:rsidR="00EF4B10">
        <w:rPr>
          <w:rFonts w:ascii="Times New Roman" w:hAnsi="Times New Roman" w:cs="Times New Roman"/>
          <w:sz w:val="24"/>
          <w:szCs w:val="24"/>
          <w:lang w:val="en-US" w:bidi="ar-JO"/>
        </w:rPr>
        <w:t xml:space="preserve"> obstructive </w:t>
      </w:r>
      <w:r w:rsidR="00F20E23" w:rsidRPr="009D69EF">
        <w:rPr>
          <w:rFonts w:ascii="Times New Roman" w:hAnsi="Times New Roman" w:cs="Times New Roman"/>
          <w:sz w:val="24"/>
          <w:szCs w:val="24"/>
          <w:lang w:bidi="ar-JO"/>
        </w:rPr>
        <w:t xml:space="preserve">environmental causes. </w:t>
      </w:r>
    </w:p>
    <w:p w:rsidR="00A15513" w:rsidRDefault="00F20E23"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Education, leisure and cultural activities </w:t>
      </w:r>
    </w:p>
    <w:p w:rsidR="00EF4B10" w:rsidRPr="009D69EF" w:rsidRDefault="00EF4B10" w:rsidP="00A15513">
      <w:pPr>
        <w:ind w:left="-450" w:right="-810"/>
        <w:jc w:val="both"/>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Right to education </w:t>
      </w:r>
    </w:p>
    <w:p w:rsidR="0025456C" w:rsidRDefault="00F20E23" w:rsidP="00A15513">
      <w:pPr>
        <w:pStyle w:val="ListParagraph"/>
        <w:numPr>
          <w:ilvl w:val="0"/>
          <w:numId w:val="5"/>
        </w:num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report does not address </w:t>
      </w:r>
      <w:r w:rsidR="001E0DAE">
        <w:rPr>
          <w:rFonts w:ascii="Times New Roman" w:hAnsi="Times New Roman" w:cs="Times New Roman"/>
          <w:sz w:val="24"/>
          <w:szCs w:val="24"/>
          <w:lang w:bidi="ar-JO"/>
        </w:rPr>
        <w:t xml:space="preserve">constrained </w:t>
      </w:r>
      <w:r w:rsidRPr="009D69EF">
        <w:rPr>
          <w:rFonts w:ascii="Times New Roman" w:hAnsi="Times New Roman" w:cs="Times New Roman"/>
          <w:sz w:val="24"/>
          <w:szCs w:val="24"/>
          <w:lang w:bidi="ar-JO"/>
        </w:rPr>
        <w:t xml:space="preserve">government </w:t>
      </w:r>
      <w:r w:rsidR="001E0DAE" w:rsidRPr="001E0DAE">
        <w:rPr>
          <w:rFonts w:ascii="Times New Roman" w:hAnsi="Times New Roman" w:cs="Times New Roman"/>
          <w:sz w:val="24"/>
          <w:szCs w:val="24"/>
          <w:lang w:bidi="ar-JO"/>
        </w:rPr>
        <w:t>spending</w:t>
      </w:r>
      <w:r w:rsidRPr="009D69EF">
        <w:rPr>
          <w:rFonts w:ascii="Times New Roman" w:hAnsi="Times New Roman" w:cs="Times New Roman"/>
          <w:sz w:val="24"/>
          <w:szCs w:val="24"/>
          <w:lang w:bidi="ar-JO"/>
        </w:rPr>
        <w:t xml:space="preserve"> on education, particularly in the Gaza Strip. Government schools are affected by a major crisis, especially in the number of teachers and budget allocations. The shortage of teachers in various disciplines </w:t>
      </w:r>
      <w:r w:rsidR="001E0DAE">
        <w:rPr>
          <w:rFonts w:ascii="Times New Roman" w:hAnsi="Times New Roman" w:cs="Times New Roman"/>
          <w:sz w:val="24"/>
          <w:szCs w:val="24"/>
          <w:lang w:bidi="ar-JO"/>
        </w:rPr>
        <w:t>is close to</w:t>
      </w:r>
      <w:r w:rsidRPr="009D69EF">
        <w:rPr>
          <w:rFonts w:ascii="Times New Roman" w:hAnsi="Times New Roman" w:cs="Times New Roman"/>
          <w:sz w:val="24"/>
          <w:szCs w:val="24"/>
          <w:lang w:bidi="ar-JO"/>
        </w:rPr>
        <w:t xml:space="preserve"> 800. More than 70 percent of Gaza schools operate on a double shift basis because the Government </w:t>
      </w:r>
      <w:r w:rsidR="001E0DAE">
        <w:rPr>
          <w:rFonts w:ascii="Times New Roman" w:hAnsi="Times New Roman" w:cs="Times New Roman"/>
          <w:sz w:val="24"/>
          <w:szCs w:val="24"/>
          <w:lang w:bidi="ar-JO"/>
        </w:rPr>
        <w:t xml:space="preserve">of </w:t>
      </w:r>
      <w:r w:rsidR="001E0DAE" w:rsidRPr="009D69EF">
        <w:rPr>
          <w:rFonts w:ascii="Times New Roman" w:hAnsi="Times New Roman" w:cs="Times New Roman"/>
          <w:sz w:val="24"/>
          <w:szCs w:val="24"/>
          <w:lang w:bidi="ar-JO"/>
        </w:rPr>
        <w:t xml:space="preserve">National Consensus </w:t>
      </w:r>
      <w:r w:rsidRPr="009D69EF">
        <w:rPr>
          <w:rFonts w:ascii="Times New Roman" w:hAnsi="Times New Roman" w:cs="Times New Roman"/>
          <w:sz w:val="24"/>
          <w:szCs w:val="24"/>
          <w:lang w:bidi="ar-JO"/>
        </w:rPr>
        <w:t xml:space="preserve">has refused to employ teachers in the Gaza Strip for the third </w:t>
      </w:r>
      <w:r w:rsidR="0025456C" w:rsidRPr="009D69EF">
        <w:rPr>
          <w:rFonts w:ascii="Times New Roman" w:hAnsi="Times New Roman" w:cs="Times New Roman"/>
          <w:sz w:val="24"/>
          <w:szCs w:val="24"/>
          <w:lang w:bidi="ar-JO"/>
        </w:rPr>
        <w:t xml:space="preserve">year in a row. A crisis has been caused by short operating expenses </w:t>
      </w:r>
      <w:r w:rsidR="001E0DAE">
        <w:rPr>
          <w:rFonts w:ascii="Times New Roman" w:hAnsi="Times New Roman" w:cs="Times New Roman"/>
          <w:sz w:val="24"/>
          <w:szCs w:val="24"/>
          <w:lang w:bidi="ar-JO"/>
        </w:rPr>
        <w:t xml:space="preserve">earmarked to </w:t>
      </w:r>
      <w:r w:rsidR="0025456C" w:rsidRPr="009D69EF">
        <w:rPr>
          <w:rFonts w:ascii="Times New Roman" w:hAnsi="Times New Roman" w:cs="Times New Roman"/>
          <w:sz w:val="24"/>
          <w:szCs w:val="24"/>
          <w:lang w:bidi="ar-JO"/>
        </w:rPr>
        <w:t xml:space="preserve">government schools because the government has </w:t>
      </w:r>
      <w:r w:rsidR="001E0DAE">
        <w:rPr>
          <w:rFonts w:ascii="Times New Roman" w:hAnsi="Times New Roman" w:cs="Times New Roman"/>
          <w:sz w:val="24"/>
          <w:szCs w:val="24"/>
          <w:lang w:bidi="ar-JO"/>
        </w:rPr>
        <w:t xml:space="preserve">failed to </w:t>
      </w:r>
      <w:r w:rsidR="0025456C" w:rsidRPr="009D69EF">
        <w:rPr>
          <w:rFonts w:ascii="Times New Roman" w:hAnsi="Times New Roman" w:cs="Times New Roman"/>
          <w:sz w:val="24"/>
          <w:szCs w:val="24"/>
          <w:lang w:bidi="ar-JO"/>
        </w:rPr>
        <w:t>transfer these amounts to the Gaza-based offices of the Ministry of Education and Higher Education</w:t>
      </w:r>
      <w:r w:rsidR="00FC0C2A">
        <w:rPr>
          <w:rFonts w:ascii="Times New Roman" w:hAnsi="Times New Roman" w:cs="Times New Roman"/>
          <w:sz w:val="24"/>
          <w:szCs w:val="24"/>
          <w:lang w:bidi="ar-JO"/>
        </w:rPr>
        <w:t xml:space="preserve"> (MoEHE)</w:t>
      </w:r>
      <w:r w:rsidR="0025456C" w:rsidRPr="009D69EF">
        <w:rPr>
          <w:rFonts w:ascii="Times New Roman" w:hAnsi="Times New Roman" w:cs="Times New Roman"/>
          <w:sz w:val="24"/>
          <w:szCs w:val="24"/>
          <w:lang w:bidi="ar-JO"/>
        </w:rPr>
        <w:t xml:space="preserve">. As a result, schools had to cover relevant operating expenses by income generated </w:t>
      </w:r>
      <w:r w:rsidR="001E0DAE">
        <w:rPr>
          <w:rFonts w:ascii="Times New Roman" w:hAnsi="Times New Roman" w:cs="Times New Roman"/>
          <w:sz w:val="24"/>
          <w:szCs w:val="24"/>
          <w:lang w:bidi="ar-JO"/>
        </w:rPr>
        <w:t xml:space="preserve">from </w:t>
      </w:r>
      <w:r w:rsidR="0025456C" w:rsidRPr="009D69EF">
        <w:rPr>
          <w:rFonts w:ascii="Times New Roman" w:hAnsi="Times New Roman" w:cs="Times New Roman"/>
          <w:sz w:val="24"/>
          <w:szCs w:val="24"/>
          <w:lang w:bidi="ar-JO"/>
        </w:rPr>
        <w:t>school cafeteria</w:t>
      </w:r>
      <w:r w:rsidR="003F0AC0">
        <w:rPr>
          <w:rFonts w:ascii="Times New Roman" w:hAnsi="Times New Roman" w:cs="Times New Roman"/>
          <w:sz w:val="24"/>
          <w:szCs w:val="24"/>
          <w:lang w:bidi="ar-JO"/>
        </w:rPr>
        <w:t>s, tuition fees, and some donation</w:t>
      </w:r>
      <w:r w:rsidR="0025456C" w:rsidRPr="009D69EF">
        <w:rPr>
          <w:rFonts w:ascii="Times New Roman" w:hAnsi="Times New Roman" w:cs="Times New Roman"/>
          <w:sz w:val="24"/>
          <w:szCs w:val="24"/>
          <w:lang w:bidi="ar-JO"/>
        </w:rPr>
        <w:t xml:space="preserve">s. This income meets </w:t>
      </w:r>
      <w:r w:rsidR="00FC0C2A">
        <w:rPr>
          <w:rFonts w:ascii="Times New Roman" w:hAnsi="Times New Roman" w:cs="Times New Roman"/>
          <w:sz w:val="24"/>
          <w:szCs w:val="24"/>
          <w:lang w:bidi="ar-JO"/>
        </w:rPr>
        <w:t xml:space="preserve">the </w:t>
      </w:r>
      <w:r w:rsidR="0025456C" w:rsidRPr="009D69EF">
        <w:rPr>
          <w:rFonts w:ascii="Times New Roman" w:hAnsi="Times New Roman" w:cs="Times New Roman"/>
          <w:sz w:val="24"/>
          <w:szCs w:val="24"/>
          <w:lang w:bidi="ar-JO"/>
        </w:rPr>
        <w:t xml:space="preserve">minimum needs of government schools. Cash donations of approximately NIS 1 million were received from students. In 2016, the Gaza-based government supported the education budget with NIS 136,000. </w:t>
      </w:r>
    </w:p>
    <w:p w:rsidR="00A15513" w:rsidRPr="009D69EF" w:rsidRDefault="00A15513" w:rsidP="00A15513">
      <w:pPr>
        <w:pStyle w:val="ListParagraph"/>
        <w:ind w:left="-90" w:right="-810"/>
        <w:jc w:val="both"/>
        <w:rPr>
          <w:rFonts w:ascii="Times New Roman" w:hAnsi="Times New Roman" w:cs="Times New Roman"/>
          <w:sz w:val="24"/>
          <w:szCs w:val="24"/>
          <w:lang w:bidi="ar-JO"/>
        </w:rPr>
      </w:pPr>
    </w:p>
    <w:p w:rsidR="00E53B2D" w:rsidRPr="009D69EF" w:rsidRDefault="00334F8C" w:rsidP="00A15513">
      <w:pPr>
        <w:pStyle w:val="ListParagraph"/>
        <w:numPr>
          <w:ilvl w:val="0"/>
          <w:numId w:val="5"/>
        </w:num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Government kindergartens continue to be at bottom low, only comprising 1.3 percent of all kindergartens. This inadequa</w:t>
      </w:r>
      <w:r w:rsidR="00FC0C2A">
        <w:rPr>
          <w:rFonts w:ascii="Times New Roman" w:hAnsi="Times New Roman" w:cs="Times New Roman"/>
          <w:sz w:val="24"/>
          <w:szCs w:val="24"/>
          <w:lang w:bidi="ar-JO"/>
        </w:rPr>
        <w:t xml:space="preserve">te number of kindergartens of the MoEHE </w:t>
      </w:r>
      <w:r w:rsidRPr="009D69EF">
        <w:rPr>
          <w:rFonts w:ascii="Times New Roman" w:hAnsi="Times New Roman" w:cs="Times New Roman"/>
          <w:sz w:val="24"/>
          <w:szCs w:val="24"/>
          <w:lang w:bidi="ar-JO"/>
        </w:rPr>
        <w:t xml:space="preserve">is in conflict with the principles of availability and </w:t>
      </w:r>
      <w:r w:rsidR="00565367" w:rsidRPr="00565367">
        <w:rPr>
          <w:rFonts w:ascii="Times New Roman" w:hAnsi="Times New Roman" w:cs="Times New Roman"/>
          <w:sz w:val="24"/>
          <w:szCs w:val="24"/>
          <w:lang w:bidi="ar-JO"/>
        </w:rPr>
        <w:t>accessibility</w:t>
      </w:r>
      <w:r w:rsidRPr="009D69EF">
        <w:rPr>
          <w:rFonts w:ascii="Times New Roman" w:hAnsi="Times New Roman" w:cs="Times New Roman"/>
          <w:sz w:val="24"/>
          <w:szCs w:val="24"/>
          <w:lang w:bidi="ar-JO"/>
        </w:rPr>
        <w:t xml:space="preserve">. The State should seek to increase the number of government kindergartens in line with an educational programme, which suits this category </w:t>
      </w:r>
      <w:r w:rsidR="00565367">
        <w:rPr>
          <w:rFonts w:ascii="Times New Roman" w:hAnsi="Times New Roman" w:cs="Times New Roman"/>
          <w:sz w:val="24"/>
          <w:szCs w:val="24"/>
          <w:lang w:bidi="ar-JO"/>
        </w:rPr>
        <w:t xml:space="preserve">of children </w:t>
      </w:r>
      <w:r w:rsidRPr="009D69EF">
        <w:rPr>
          <w:rFonts w:ascii="Times New Roman" w:hAnsi="Times New Roman" w:cs="Times New Roman"/>
          <w:sz w:val="24"/>
          <w:szCs w:val="24"/>
          <w:lang w:bidi="ar-JO"/>
        </w:rPr>
        <w:t xml:space="preserve">both in form and content. </w:t>
      </w:r>
      <w:r w:rsidR="00565367">
        <w:rPr>
          <w:rFonts w:ascii="Times New Roman" w:hAnsi="Times New Roman" w:cs="Times New Roman"/>
          <w:sz w:val="24"/>
          <w:szCs w:val="24"/>
          <w:lang w:bidi="ar-JO"/>
        </w:rPr>
        <w:t xml:space="preserve">The programme </w:t>
      </w:r>
      <w:r w:rsidRPr="009D69EF">
        <w:rPr>
          <w:rFonts w:ascii="Times New Roman" w:hAnsi="Times New Roman" w:cs="Times New Roman"/>
          <w:sz w:val="24"/>
          <w:szCs w:val="24"/>
          <w:lang w:bidi="ar-JO"/>
        </w:rPr>
        <w:t xml:space="preserve">should be culturally appropriate, fulfilling required criteria to achieve goals of the education process. Acceptability is a key component of the education system. </w:t>
      </w:r>
      <w:r w:rsidR="0025456C" w:rsidRPr="009D69EF">
        <w:rPr>
          <w:rFonts w:ascii="Times New Roman" w:hAnsi="Times New Roman" w:cs="Times New Roman"/>
          <w:sz w:val="24"/>
          <w:szCs w:val="24"/>
          <w:lang w:bidi="ar-JO"/>
        </w:rPr>
        <w:t xml:space="preserve"> </w:t>
      </w:r>
    </w:p>
    <w:p w:rsidR="00334F8C" w:rsidRPr="009D69EF" w:rsidRDefault="00334F8C"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Special protection measures</w:t>
      </w:r>
      <w:r w:rsidR="00FD6D4F" w:rsidRPr="009D69EF">
        <w:rPr>
          <w:rFonts w:ascii="Times New Roman" w:hAnsi="Times New Roman" w:cs="Times New Roman"/>
          <w:b/>
          <w:bCs/>
          <w:sz w:val="24"/>
          <w:szCs w:val="24"/>
          <w:lang w:bidi="ar-JO"/>
        </w:rPr>
        <w:t xml:space="preserve"> </w:t>
      </w:r>
    </w:p>
    <w:p w:rsidR="00FD6D4F" w:rsidRPr="009D69EF" w:rsidRDefault="00FD6D4F"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Child labour </w:t>
      </w:r>
    </w:p>
    <w:p w:rsidR="00FD6D4F" w:rsidRDefault="00FD6D4F" w:rsidP="00A15513">
      <w:pPr>
        <w:pStyle w:val="ListParagraph"/>
        <w:numPr>
          <w:ilvl w:val="0"/>
          <w:numId w:val="7"/>
        </w:num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In 2017, employed children in the age group of 10-17 years comprised 3.4 percent, including 4.6 percent in the West Bank and 1.7 percent in the Gaza Strip. Having reported to the MoL, the ICHR unveiled poor government policies and measures to reduce child labour </w:t>
      </w:r>
      <w:r w:rsidR="002027D8">
        <w:rPr>
          <w:rFonts w:ascii="Times New Roman" w:hAnsi="Times New Roman" w:cs="Times New Roman"/>
          <w:sz w:val="24"/>
          <w:szCs w:val="24"/>
          <w:lang w:bidi="ar-JO"/>
        </w:rPr>
        <w:t xml:space="preserve">and </w:t>
      </w:r>
      <w:r w:rsidRPr="009D69EF">
        <w:rPr>
          <w:rFonts w:ascii="Times New Roman" w:hAnsi="Times New Roman" w:cs="Times New Roman"/>
          <w:sz w:val="24"/>
          <w:szCs w:val="24"/>
          <w:lang w:bidi="ar-JO"/>
        </w:rPr>
        <w:t>eliminat</w:t>
      </w:r>
      <w:r w:rsidR="002027D8">
        <w:rPr>
          <w:rFonts w:ascii="Times New Roman" w:hAnsi="Times New Roman" w:cs="Times New Roman"/>
          <w:sz w:val="24"/>
          <w:szCs w:val="24"/>
          <w:lang w:bidi="ar-JO"/>
        </w:rPr>
        <w:t>e</w:t>
      </w:r>
      <w:r w:rsidRPr="009D69EF">
        <w:rPr>
          <w:rFonts w:ascii="Times New Roman" w:hAnsi="Times New Roman" w:cs="Times New Roman"/>
          <w:sz w:val="24"/>
          <w:szCs w:val="24"/>
          <w:lang w:bidi="ar-JO"/>
        </w:rPr>
        <w:t xml:space="preserve"> child employment in the 10-15 age group. According to the provisions of Article 93</w:t>
      </w:r>
      <w:r w:rsidR="002027D8">
        <w:rPr>
          <w:rFonts w:ascii="Times New Roman" w:hAnsi="Times New Roman" w:cs="Times New Roman"/>
          <w:sz w:val="24"/>
          <w:szCs w:val="24"/>
          <w:lang w:bidi="ar-JO"/>
        </w:rPr>
        <w:t xml:space="preserve"> of the </w:t>
      </w:r>
      <w:r w:rsidR="000F61DF" w:rsidRPr="009D69EF">
        <w:rPr>
          <w:rFonts w:ascii="Times New Roman" w:hAnsi="Times New Roman" w:cs="Times New Roman"/>
          <w:sz w:val="24"/>
          <w:szCs w:val="24"/>
          <w:lang w:bidi="ar-JO"/>
        </w:rPr>
        <w:t xml:space="preserve">Palestinian </w:t>
      </w:r>
      <w:r w:rsidR="002027D8">
        <w:rPr>
          <w:rFonts w:ascii="Times New Roman" w:hAnsi="Times New Roman" w:cs="Times New Roman"/>
          <w:sz w:val="24"/>
          <w:szCs w:val="24"/>
          <w:lang w:bidi="ar-JO"/>
        </w:rPr>
        <w:t>Labour Law</w:t>
      </w:r>
      <w:r w:rsidRPr="009D69EF">
        <w:rPr>
          <w:rFonts w:ascii="Times New Roman" w:hAnsi="Times New Roman" w:cs="Times New Roman"/>
          <w:sz w:val="24"/>
          <w:szCs w:val="24"/>
          <w:lang w:bidi="ar-JO"/>
        </w:rPr>
        <w:t xml:space="preserve">, it is prohibited to employ children before they attain 15 years of age. </w:t>
      </w:r>
      <w:r w:rsidR="00820887" w:rsidRPr="009D69EF">
        <w:rPr>
          <w:rFonts w:ascii="Times New Roman" w:hAnsi="Times New Roman" w:cs="Times New Roman"/>
          <w:sz w:val="24"/>
          <w:szCs w:val="24"/>
          <w:lang w:bidi="ar-JO"/>
        </w:rPr>
        <w:t>The Decision of the Minister of Labour No. 1 of 2004 prohibits the employment of children in danger</w:t>
      </w:r>
      <w:r w:rsidR="0037696A" w:rsidRPr="009D69EF">
        <w:rPr>
          <w:rFonts w:ascii="Times New Roman" w:hAnsi="Times New Roman" w:cs="Times New Roman"/>
          <w:sz w:val="24"/>
          <w:szCs w:val="24"/>
          <w:lang w:bidi="ar-JO"/>
        </w:rPr>
        <w:t>ous work, hazardous industries or labour that is harmful to health. However</w:t>
      </w:r>
      <w:r w:rsidR="002027D8">
        <w:rPr>
          <w:rFonts w:ascii="Times New Roman" w:hAnsi="Times New Roman" w:cs="Times New Roman"/>
          <w:sz w:val="24"/>
          <w:szCs w:val="24"/>
          <w:lang w:bidi="ar-JO"/>
        </w:rPr>
        <w:t>,</w:t>
      </w:r>
      <w:r w:rsidR="0037696A" w:rsidRPr="009D69EF">
        <w:rPr>
          <w:rFonts w:ascii="Times New Roman" w:hAnsi="Times New Roman" w:cs="Times New Roman"/>
          <w:sz w:val="24"/>
          <w:szCs w:val="24"/>
          <w:lang w:bidi="ar-JO"/>
        </w:rPr>
        <w:t xml:space="preserve"> this prohibition only applies to children in 15-18 age group. The decision provides for compliance with the obligation not to expose children to dangerous vocations unsuited to their age. </w:t>
      </w:r>
    </w:p>
    <w:p w:rsidR="00A15513" w:rsidRPr="009D69EF" w:rsidRDefault="00A15513" w:rsidP="00A15513">
      <w:pPr>
        <w:pStyle w:val="ListParagraph"/>
        <w:ind w:left="-90" w:right="-810"/>
        <w:jc w:val="both"/>
        <w:rPr>
          <w:rFonts w:ascii="Times New Roman" w:hAnsi="Times New Roman" w:cs="Times New Roman"/>
          <w:sz w:val="24"/>
          <w:szCs w:val="24"/>
          <w:lang w:bidi="ar-JO"/>
        </w:rPr>
      </w:pPr>
    </w:p>
    <w:p w:rsidR="00A15513" w:rsidRDefault="0037696A" w:rsidP="00A15513">
      <w:pPr>
        <w:pStyle w:val="ListParagraph"/>
        <w:numPr>
          <w:ilvl w:val="0"/>
          <w:numId w:val="7"/>
        </w:num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Many children are employed in both simple and complex occupations, which </w:t>
      </w:r>
      <w:r w:rsidR="00051E9E" w:rsidRPr="009D69EF">
        <w:rPr>
          <w:rFonts w:ascii="Times New Roman" w:hAnsi="Times New Roman" w:cs="Times New Roman"/>
          <w:sz w:val="24"/>
          <w:szCs w:val="24"/>
          <w:lang w:bidi="ar-JO"/>
        </w:rPr>
        <w:t>are inappropriate for their age</w:t>
      </w:r>
      <w:r w:rsidR="00F63689" w:rsidRPr="009D69EF">
        <w:rPr>
          <w:rFonts w:ascii="Times New Roman" w:hAnsi="Times New Roman" w:cs="Times New Roman"/>
          <w:sz w:val="24"/>
          <w:szCs w:val="24"/>
          <w:lang w:bidi="ar-JO"/>
        </w:rPr>
        <w:t xml:space="preserve">. Some children work to provide for their family needs. Child labour is associated with the poor economic situation in the occupied Palestinian territory. It </w:t>
      </w:r>
      <w:r w:rsidR="000F61DF">
        <w:rPr>
          <w:rFonts w:ascii="Times New Roman" w:hAnsi="Times New Roman" w:cs="Times New Roman"/>
          <w:sz w:val="24"/>
          <w:szCs w:val="24"/>
          <w:lang w:bidi="ar-JO"/>
        </w:rPr>
        <w:t xml:space="preserve">is a </w:t>
      </w:r>
      <w:r w:rsidR="00F63689" w:rsidRPr="009D69EF">
        <w:rPr>
          <w:rFonts w:ascii="Times New Roman" w:hAnsi="Times New Roman" w:cs="Times New Roman"/>
          <w:sz w:val="24"/>
          <w:szCs w:val="24"/>
          <w:lang w:bidi="ar-JO"/>
        </w:rPr>
        <w:t>cause</w:t>
      </w:r>
      <w:r w:rsidR="000F61DF">
        <w:rPr>
          <w:rFonts w:ascii="Times New Roman" w:hAnsi="Times New Roman" w:cs="Times New Roman"/>
          <w:sz w:val="24"/>
          <w:szCs w:val="24"/>
          <w:lang w:bidi="ar-JO"/>
        </w:rPr>
        <w:t xml:space="preserve"> of</w:t>
      </w:r>
      <w:r w:rsidR="00F63689" w:rsidRPr="009D69EF">
        <w:rPr>
          <w:rFonts w:ascii="Times New Roman" w:hAnsi="Times New Roman" w:cs="Times New Roman"/>
          <w:sz w:val="24"/>
          <w:szCs w:val="24"/>
          <w:lang w:bidi="ar-JO"/>
        </w:rPr>
        <w:t xml:space="preserve"> school dropouts and impacts </w:t>
      </w:r>
      <w:r w:rsidR="000F61DF">
        <w:rPr>
          <w:rFonts w:ascii="Times New Roman" w:hAnsi="Times New Roman" w:cs="Times New Roman"/>
          <w:sz w:val="24"/>
          <w:szCs w:val="24"/>
          <w:lang w:bidi="ar-JO"/>
        </w:rPr>
        <w:t xml:space="preserve">the </w:t>
      </w:r>
      <w:r w:rsidR="00F63689" w:rsidRPr="009D69EF">
        <w:rPr>
          <w:rFonts w:ascii="Times New Roman" w:hAnsi="Times New Roman" w:cs="Times New Roman"/>
          <w:sz w:val="24"/>
          <w:szCs w:val="24"/>
          <w:lang w:bidi="ar-JO"/>
        </w:rPr>
        <w:t xml:space="preserve">opportunity </w:t>
      </w:r>
      <w:r w:rsidR="000F61DF">
        <w:rPr>
          <w:rFonts w:ascii="Times New Roman" w:hAnsi="Times New Roman" w:cs="Times New Roman"/>
          <w:sz w:val="24"/>
          <w:szCs w:val="24"/>
          <w:lang w:bidi="ar-JO"/>
        </w:rPr>
        <w:t xml:space="preserve">available </w:t>
      </w:r>
      <w:r w:rsidR="00F63689" w:rsidRPr="009D69EF">
        <w:rPr>
          <w:rFonts w:ascii="Times New Roman" w:hAnsi="Times New Roman" w:cs="Times New Roman"/>
          <w:sz w:val="24"/>
          <w:szCs w:val="24"/>
          <w:lang w:bidi="ar-JO"/>
        </w:rPr>
        <w:t xml:space="preserve">for children to pursue their education and enjoy the fundamental rights enshrined in international conventions. </w:t>
      </w:r>
      <w:r w:rsidR="000F61DF">
        <w:rPr>
          <w:rFonts w:ascii="Times New Roman" w:hAnsi="Times New Roman" w:cs="Times New Roman"/>
          <w:sz w:val="24"/>
          <w:szCs w:val="24"/>
          <w:lang w:bidi="ar-JO"/>
        </w:rPr>
        <w:t>A</w:t>
      </w:r>
      <w:r w:rsidR="00F63689" w:rsidRPr="009D69EF">
        <w:rPr>
          <w:rFonts w:ascii="Times New Roman" w:hAnsi="Times New Roman" w:cs="Times New Roman"/>
          <w:sz w:val="24"/>
          <w:szCs w:val="24"/>
          <w:lang w:bidi="ar-JO"/>
        </w:rPr>
        <w:t xml:space="preserve"> serious commitment </w:t>
      </w:r>
      <w:r w:rsidR="000F61DF">
        <w:rPr>
          <w:rFonts w:ascii="Times New Roman" w:hAnsi="Times New Roman" w:cs="Times New Roman"/>
          <w:sz w:val="24"/>
          <w:szCs w:val="24"/>
          <w:lang w:bidi="ar-JO"/>
        </w:rPr>
        <w:t xml:space="preserve">is </w:t>
      </w:r>
      <w:r w:rsidR="000F61DF" w:rsidRPr="009D69EF">
        <w:rPr>
          <w:rFonts w:ascii="Times New Roman" w:hAnsi="Times New Roman" w:cs="Times New Roman"/>
          <w:sz w:val="24"/>
          <w:szCs w:val="24"/>
          <w:lang w:bidi="ar-JO"/>
        </w:rPr>
        <w:t>require</w:t>
      </w:r>
      <w:r w:rsidR="000F61DF">
        <w:rPr>
          <w:rFonts w:ascii="Times New Roman" w:hAnsi="Times New Roman" w:cs="Times New Roman"/>
          <w:sz w:val="24"/>
          <w:szCs w:val="24"/>
          <w:lang w:bidi="ar-JO"/>
        </w:rPr>
        <w:t>d</w:t>
      </w:r>
      <w:r w:rsidR="000F61DF" w:rsidRPr="009D69EF">
        <w:rPr>
          <w:rFonts w:ascii="Times New Roman" w:hAnsi="Times New Roman" w:cs="Times New Roman"/>
          <w:sz w:val="24"/>
          <w:szCs w:val="24"/>
          <w:lang w:bidi="ar-JO"/>
        </w:rPr>
        <w:t xml:space="preserve"> </w:t>
      </w:r>
      <w:r w:rsidR="00F63689" w:rsidRPr="009D69EF">
        <w:rPr>
          <w:rFonts w:ascii="Times New Roman" w:hAnsi="Times New Roman" w:cs="Times New Roman"/>
          <w:sz w:val="24"/>
          <w:szCs w:val="24"/>
          <w:lang w:bidi="ar-JO"/>
        </w:rPr>
        <w:t xml:space="preserve">to address this phenomenon. Legal controls prescribed by Article 93 of the </w:t>
      </w:r>
      <w:r w:rsidR="000F61DF">
        <w:rPr>
          <w:rFonts w:ascii="Times New Roman" w:hAnsi="Times New Roman" w:cs="Times New Roman"/>
          <w:sz w:val="24"/>
          <w:szCs w:val="24"/>
          <w:lang w:bidi="ar-JO"/>
        </w:rPr>
        <w:t xml:space="preserve">Palestinian </w:t>
      </w:r>
      <w:r w:rsidR="00F63689" w:rsidRPr="009D69EF">
        <w:rPr>
          <w:rFonts w:ascii="Times New Roman" w:hAnsi="Times New Roman" w:cs="Times New Roman"/>
          <w:sz w:val="24"/>
          <w:szCs w:val="24"/>
          <w:lang w:bidi="ar-JO"/>
        </w:rPr>
        <w:t xml:space="preserve">Labour Law and Article 14 of the Amended Palestinian Child Law need to be enforced. </w:t>
      </w:r>
    </w:p>
    <w:p w:rsidR="00A15513" w:rsidRDefault="00A15513" w:rsidP="00A15513">
      <w:pPr>
        <w:pStyle w:val="ListParagraph"/>
        <w:ind w:left="-90" w:right="-810"/>
        <w:jc w:val="both"/>
        <w:rPr>
          <w:rFonts w:ascii="Times New Roman" w:hAnsi="Times New Roman" w:cs="Times New Roman"/>
          <w:sz w:val="24"/>
          <w:szCs w:val="24"/>
          <w:lang w:bidi="ar-JO"/>
        </w:rPr>
      </w:pPr>
    </w:p>
    <w:p w:rsidR="00FD6D4F" w:rsidRPr="009D69EF" w:rsidRDefault="006F03C1" w:rsidP="00A15513">
      <w:pPr>
        <w:pStyle w:val="ListParagraph"/>
        <w:numPr>
          <w:ilvl w:val="0"/>
          <w:numId w:val="7"/>
        </w:numPr>
        <w:ind w:left="-90" w:right="-810"/>
        <w:jc w:val="both"/>
        <w:rPr>
          <w:rFonts w:ascii="Times New Roman" w:hAnsi="Times New Roman" w:cs="Times New Roman"/>
          <w:sz w:val="24"/>
          <w:szCs w:val="24"/>
          <w:lang w:bidi="ar-JO"/>
        </w:rPr>
      </w:pPr>
      <w:r w:rsidRPr="009D69EF">
        <w:rPr>
          <w:rFonts w:ascii="Times New Roman" w:hAnsi="Times New Roman" w:cs="Times New Roman"/>
          <w:sz w:val="24"/>
          <w:szCs w:val="24"/>
          <w:lang w:bidi="ar-JO"/>
        </w:rPr>
        <w:t xml:space="preserve">The initial report </w:t>
      </w:r>
      <w:r w:rsidR="000F61DF">
        <w:rPr>
          <w:rFonts w:ascii="Times New Roman" w:hAnsi="Times New Roman" w:cs="Times New Roman"/>
          <w:sz w:val="24"/>
          <w:szCs w:val="24"/>
          <w:lang w:bidi="ar-JO"/>
        </w:rPr>
        <w:t xml:space="preserve">submitted by the State of Palestine to the CRC </w:t>
      </w:r>
      <w:r w:rsidRPr="009D69EF">
        <w:rPr>
          <w:rFonts w:ascii="Times New Roman" w:hAnsi="Times New Roman" w:cs="Times New Roman"/>
          <w:sz w:val="24"/>
          <w:szCs w:val="24"/>
          <w:lang w:bidi="ar-JO"/>
        </w:rPr>
        <w:t xml:space="preserve">makes reference to the National Committee on Child Labour. Established by Decision No. 80 of 2013, this committee does not play any role, however. It remains purely theoretical and does not technically exist. </w:t>
      </w:r>
    </w:p>
    <w:p w:rsidR="00A15513" w:rsidRDefault="006F03C1"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Children in conflict with the law </w:t>
      </w:r>
    </w:p>
    <w:p w:rsidR="00A15513" w:rsidRDefault="006F03C1"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The initial report of the State of Palestine does not </w:t>
      </w:r>
      <w:r w:rsidR="000F61DF">
        <w:rPr>
          <w:rFonts w:ascii="Times New Roman" w:hAnsi="Times New Roman" w:cs="Times New Roman"/>
          <w:sz w:val="24"/>
          <w:szCs w:val="24"/>
          <w:lang w:bidi="ar-JO"/>
        </w:rPr>
        <w:t>provide an account of the</w:t>
      </w:r>
      <w:r w:rsidRPr="009D69EF">
        <w:rPr>
          <w:rFonts w:ascii="Times New Roman" w:hAnsi="Times New Roman" w:cs="Times New Roman"/>
          <w:sz w:val="24"/>
          <w:szCs w:val="24"/>
          <w:lang w:bidi="ar-JO"/>
        </w:rPr>
        <w:t xml:space="preserve"> abuses of children in conflict with the law. Para</w:t>
      </w:r>
      <w:r w:rsidR="000F61DF">
        <w:rPr>
          <w:rFonts w:ascii="Times New Roman" w:hAnsi="Times New Roman" w:cs="Times New Roman"/>
          <w:sz w:val="24"/>
          <w:szCs w:val="24"/>
          <w:lang w:bidi="ar-JO"/>
        </w:rPr>
        <w:t>graph</w:t>
      </w:r>
      <w:r w:rsidRPr="009D69EF">
        <w:rPr>
          <w:rFonts w:ascii="Times New Roman" w:hAnsi="Times New Roman" w:cs="Times New Roman"/>
          <w:sz w:val="24"/>
          <w:szCs w:val="24"/>
          <w:lang w:bidi="ar-JO"/>
        </w:rPr>
        <w:t xml:space="preserve"> 448 </w:t>
      </w:r>
      <w:r w:rsidR="000F61DF">
        <w:rPr>
          <w:rFonts w:ascii="Times New Roman" w:hAnsi="Times New Roman" w:cs="Times New Roman"/>
          <w:sz w:val="24"/>
          <w:szCs w:val="24"/>
          <w:lang w:bidi="ar-JO"/>
        </w:rPr>
        <w:t xml:space="preserve">of the report </w:t>
      </w:r>
      <w:r w:rsidRPr="009D69EF">
        <w:rPr>
          <w:rFonts w:ascii="Times New Roman" w:hAnsi="Times New Roman" w:cs="Times New Roman"/>
          <w:sz w:val="24"/>
          <w:szCs w:val="24"/>
          <w:lang w:bidi="ar-JO"/>
        </w:rPr>
        <w:t xml:space="preserve">only shows how children charged with legal violations </w:t>
      </w:r>
      <w:r w:rsidR="009E747A" w:rsidRPr="009D69EF">
        <w:rPr>
          <w:rFonts w:ascii="Times New Roman" w:hAnsi="Times New Roman" w:cs="Times New Roman"/>
          <w:sz w:val="24"/>
          <w:szCs w:val="24"/>
          <w:lang w:bidi="ar-JO"/>
        </w:rPr>
        <w:t>are</w:t>
      </w:r>
      <w:r w:rsidRPr="009D69EF">
        <w:rPr>
          <w:rFonts w:ascii="Times New Roman" w:hAnsi="Times New Roman" w:cs="Times New Roman"/>
          <w:sz w:val="24"/>
          <w:szCs w:val="24"/>
          <w:lang w:bidi="ar-JO"/>
        </w:rPr>
        <w:t xml:space="preserve"> arrested </w:t>
      </w:r>
      <w:r w:rsidR="009E747A" w:rsidRPr="009D69EF">
        <w:rPr>
          <w:rFonts w:ascii="Times New Roman" w:hAnsi="Times New Roman" w:cs="Times New Roman"/>
          <w:sz w:val="24"/>
          <w:szCs w:val="24"/>
          <w:lang w:bidi="ar-JO"/>
        </w:rPr>
        <w:t xml:space="preserve">using methods </w:t>
      </w:r>
      <w:r w:rsidR="00425987">
        <w:rPr>
          <w:rFonts w:ascii="Times New Roman" w:hAnsi="Times New Roman" w:cs="Times New Roman"/>
          <w:sz w:val="24"/>
          <w:szCs w:val="24"/>
          <w:lang w:bidi="ar-JO"/>
        </w:rPr>
        <w:t xml:space="preserve">that are </w:t>
      </w:r>
      <w:r w:rsidR="00425987" w:rsidRPr="009D69EF">
        <w:rPr>
          <w:rFonts w:ascii="Times New Roman" w:hAnsi="Times New Roman" w:cs="Times New Roman"/>
          <w:sz w:val="24"/>
          <w:szCs w:val="24"/>
          <w:lang w:bidi="ar-JO"/>
        </w:rPr>
        <w:t xml:space="preserve">different </w:t>
      </w:r>
      <w:r w:rsidR="009E747A" w:rsidRPr="009D69EF">
        <w:rPr>
          <w:rFonts w:ascii="Times New Roman" w:hAnsi="Times New Roman" w:cs="Times New Roman"/>
          <w:sz w:val="24"/>
          <w:szCs w:val="24"/>
          <w:lang w:bidi="ar-JO"/>
        </w:rPr>
        <w:t>from those applicable to adult</w:t>
      </w:r>
      <w:r w:rsidR="00425987">
        <w:rPr>
          <w:rFonts w:ascii="Times New Roman" w:hAnsi="Times New Roman" w:cs="Times New Roman"/>
          <w:sz w:val="24"/>
          <w:szCs w:val="24"/>
          <w:lang w:bidi="ar-JO"/>
        </w:rPr>
        <w:t xml:space="preserve"> persons</w:t>
      </w:r>
      <w:r w:rsidR="009E747A" w:rsidRPr="009D69EF">
        <w:rPr>
          <w:rFonts w:ascii="Times New Roman" w:hAnsi="Times New Roman" w:cs="Times New Roman"/>
          <w:sz w:val="24"/>
          <w:szCs w:val="24"/>
          <w:lang w:bidi="ar-JO"/>
        </w:rPr>
        <w:t xml:space="preserve">. Between 2015 and 2018, the ICHR monitored 192 violations of fair trial guarantees, including disrespect of the rights of inmates and arbitrary detention. The ICHR also documented 362 violations of children’s right to physical safety, including </w:t>
      </w:r>
      <w:r w:rsidR="0002526E">
        <w:rPr>
          <w:rFonts w:ascii="Times New Roman" w:hAnsi="Times New Roman" w:cs="Times New Roman"/>
          <w:sz w:val="24"/>
          <w:szCs w:val="24"/>
          <w:lang w:bidi="ar-JO"/>
        </w:rPr>
        <w:t xml:space="preserve">from </w:t>
      </w:r>
      <w:r w:rsidR="009E747A" w:rsidRPr="009D69EF">
        <w:rPr>
          <w:rFonts w:ascii="Times New Roman" w:hAnsi="Times New Roman" w:cs="Times New Roman"/>
          <w:sz w:val="24"/>
          <w:szCs w:val="24"/>
          <w:lang w:bidi="ar-JO"/>
        </w:rPr>
        <w:t xml:space="preserve">physical or moral assault, torture and threats during detention, </w:t>
      </w:r>
      <w:r w:rsidR="00425987">
        <w:rPr>
          <w:rFonts w:ascii="Times New Roman" w:hAnsi="Times New Roman" w:cs="Times New Roman"/>
          <w:sz w:val="24"/>
          <w:szCs w:val="24"/>
          <w:lang w:bidi="ar-JO"/>
        </w:rPr>
        <w:t xml:space="preserve">and </w:t>
      </w:r>
      <w:r w:rsidR="009E747A" w:rsidRPr="009D69EF">
        <w:rPr>
          <w:rFonts w:ascii="Times New Roman" w:hAnsi="Times New Roman" w:cs="Times New Roman"/>
          <w:sz w:val="24"/>
          <w:szCs w:val="24"/>
          <w:lang w:bidi="ar-JO"/>
        </w:rPr>
        <w:t xml:space="preserve">cruel, inhuman and degrading treatment. </w:t>
      </w:r>
      <w:r w:rsidR="00425987">
        <w:rPr>
          <w:rFonts w:ascii="Times New Roman" w:hAnsi="Times New Roman" w:cs="Times New Roman"/>
          <w:sz w:val="24"/>
          <w:szCs w:val="24"/>
          <w:lang w:bidi="ar-JO"/>
        </w:rPr>
        <w:t>In addition, t</w:t>
      </w:r>
      <w:r w:rsidR="009E747A" w:rsidRPr="009D69EF">
        <w:rPr>
          <w:rFonts w:ascii="Times New Roman" w:hAnsi="Times New Roman" w:cs="Times New Roman"/>
          <w:sz w:val="24"/>
          <w:szCs w:val="24"/>
          <w:lang w:bidi="ar-JO"/>
        </w:rPr>
        <w:t xml:space="preserve">he report fails to mention any government measures or </w:t>
      </w:r>
      <w:r w:rsidR="00425987">
        <w:rPr>
          <w:rFonts w:ascii="Times New Roman" w:hAnsi="Times New Roman" w:cs="Times New Roman"/>
          <w:sz w:val="24"/>
          <w:szCs w:val="24"/>
          <w:lang w:bidi="ar-JO"/>
        </w:rPr>
        <w:t>actions</w:t>
      </w:r>
      <w:r w:rsidR="009E747A" w:rsidRPr="009D69EF">
        <w:rPr>
          <w:rFonts w:ascii="Times New Roman" w:hAnsi="Times New Roman" w:cs="Times New Roman"/>
          <w:sz w:val="24"/>
          <w:szCs w:val="24"/>
          <w:lang w:bidi="ar-JO"/>
        </w:rPr>
        <w:t xml:space="preserve"> to hold persons responsible for reported violations to account. </w:t>
      </w:r>
    </w:p>
    <w:p w:rsidR="00A15513" w:rsidRDefault="009E747A"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b/>
          <w:bCs/>
          <w:sz w:val="24"/>
          <w:szCs w:val="24"/>
          <w:lang w:bidi="ar-JO"/>
        </w:rPr>
        <w:t xml:space="preserve">Children’s complaints </w:t>
      </w:r>
    </w:p>
    <w:p w:rsidR="006F03C1" w:rsidRPr="00A15513" w:rsidRDefault="009E747A" w:rsidP="00A15513">
      <w:pPr>
        <w:ind w:left="-450" w:right="-810"/>
        <w:jc w:val="both"/>
        <w:rPr>
          <w:rFonts w:ascii="Times New Roman" w:hAnsi="Times New Roman" w:cs="Times New Roman"/>
          <w:b/>
          <w:bCs/>
          <w:sz w:val="24"/>
          <w:szCs w:val="24"/>
          <w:lang w:bidi="ar-JO"/>
        </w:rPr>
      </w:pPr>
      <w:r w:rsidRPr="009D69EF">
        <w:rPr>
          <w:rFonts w:ascii="Times New Roman" w:hAnsi="Times New Roman" w:cs="Times New Roman"/>
          <w:sz w:val="24"/>
          <w:szCs w:val="24"/>
          <w:lang w:bidi="ar-JO"/>
        </w:rPr>
        <w:t xml:space="preserve">The initial report submitted by the State of Palestine </w:t>
      </w:r>
      <w:r w:rsidR="00425987">
        <w:rPr>
          <w:rFonts w:ascii="Times New Roman" w:hAnsi="Times New Roman" w:cs="Times New Roman"/>
          <w:sz w:val="24"/>
          <w:szCs w:val="24"/>
          <w:lang w:bidi="ar-JO"/>
        </w:rPr>
        <w:t xml:space="preserve">to the CRC </w:t>
      </w:r>
      <w:r w:rsidRPr="009D69EF">
        <w:rPr>
          <w:rFonts w:ascii="Times New Roman" w:hAnsi="Times New Roman" w:cs="Times New Roman"/>
          <w:sz w:val="24"/>
          <w:szCs w:val="24"/>
          <w:lang w:bidi="ar-JO"/>
        </w:rPr>
        <w:t xml:space="preserve">does not </w:t>
      </w:r>
      <w:r w:rsidR="00425987">
        <w:rPr>
          <w:rFonts w:ascii="Times New Roman" w:hAnsi="Times New Roman" w:cs="Times New Roman"/>
          <w:sz w:val="24"/>
          <w:szCs w:val="24"/>
          <w:lang w:bidi="ar-JO"/>
        </w:rPr>
        <w:t xml:space="preserve">make reference to </w:t>
      </w:r>
      <w:r w:rsidRPr="009D69EF">
        <w:rPr>
          <w:rFonts w:ascii="Times New Roman" w:hAnsi="Times New Roman" w:cs="Times New Roman"/>
          <w:sz w:val="24"/>
          <w:szCs w:val="24"/>
          <w:lang w:bidi="ar-JO"/>
        </w:rPr>
        <w:t xml:space="preserve">violations against children. </w:t>
      </w:r>
      <w:r w:rsidR="00425987" w:rsidRPr="00425987">
        <w:rPr>
          <w:rFonts w:ascii="Times New Roman" w:hAnsi="Times New Roman" w:cs="Times New Roman"/>
          <w:sz w:val="24"/>
          <w:szCs w:val="24"/>
          <w:lang w:bidi="ar-JO"/>
        </w:rPr>
        <w:t xml:space="preserve">There </w:t>
      </w:r>
      <w:r w:rsidR="00425987">
        <w:rPr>
          <w:rFonts w:ascii="Times New Roman" w:hAnsi="Times New Roman" w:cs="Times New Roman"/>
          <w:sz w:val="24"/>
          <w:szCs w:val="24"/>
          <w:lang w:bidi="ar-JO"/>
        </w:rPr>
        <w:t>i</w:t>
      </w:r>
      <w:r w:rsidR="00425987" w:rsidRPr="00425987">
        <w:rPr>
          <w:rFonts w:ascii="Times New Roman" w:hAnsi="Times New Roman" w:cs="Times New Roman"/>
          <w:sz w:val="24"/>
          <w:szCs w:val="24"/>
          <w:lang w:bidi="ar-JO"/>
        </w:rPr>
        <w:t xml:space="preserve">s no mention in </w:t>
      </w:r>
      <w:r w:rsidR="00425987">
        <w:rPr>
          <w:rFonts w:ascii="Times New Roman" w:hAnsi="Times New Roman" w:cs="Times New Roman"/>
          <w:sz w:val="24"/>
          <w:szCs w:val="24"/>
          <w:lang w:bidi="ar-JO"/>
        </w:rPr>
        <w:t xml:space="preserve">the report to </w:t>
      </w:r>
      <w:r w:rsidRPr="009D69EF">
        <w:rPr>
          <w:rFonts w:ascii="Times New Roman" w:hAnsi="Times New Roman" w:cs="Times New Roman"/>
          <w:sz w:val="24"/>
          <w:szCs w:val="24"/>
          <w:lang w:bidi="ar-JO"/>
        </w:rPr>
        <w:t xml:space="preserve">the patterns of complaints the ICHR received between 2015 and 2018. During this period, </w:t>
      </w:r>
      <w:r w:rsidR="00E65340" w:rsidRPr="009D69EF">
        <w:rPr>
          <w:rFonts w:ascii="Times New Roman" w:hAnsi="Times New Roman" w:cs="Times New Roman"/>
          <w:sz w:val="24"/>
          <w:szCs w:val="24"/>
          <w:lang w:bidi="ar-JO"/>
        </w:rPr>
        <w:t>864</w:t>
      </w:r>
      <w:r w:rsidRPr="009D69EF">
        <w:rPr>
          <w:rFonts w:ascii="Times New Roman" w:hAnsi="Times New Roman" w:cs="Times New Roman"/>
          <w:sz w:val="24"/>
          <w:szCs w:val="24"/>
          <w:lang w:bidi="ar-JO"/>
        </w:rPr>
        <w:t xml:space="preserve"> complaints </w:t>
      </w:r>
      <w:r w:rsidR="00653C85">
        <w:rPr>
          <w:rFonts w:ascii="Times New Roman" w:hAnsi="Times New Roman" w:cs="Times New Roman"/>
          <w:sz w:val="24"/>
          <w:szCs w:val="24"/>
          <w:lang w:bidi="ar-JO"/>
        </w:rPr>
        <w:t>pertaining to</w:t>
      </w:r>
      <w:r w:rsidRPr="009D69EF">
        <w:rPr>
          <w:rFonts w:ascii="Times New Roman" w:hAnsi="Times New Roman" w:cs="Times New Roman"/>
          <w:sz w:val="24"/>
          <w:szCs w:val="24"/>
          <w:lang w:bidi="ar-JO"/>
        </w:rPr>
        <w:t xml:space="preserve"> children’s rights were filed to the ICHR, including 260 in 2015, 230 in 2016, </w:t>
      </w:r>
      <w:r w:rsidR="00E65340" w:rsidRPr="009D69EF">
        <w:rPr>
          <w:rFonts w:ascii="Times New Roman" w:hAnsi="Times New Roman" w:cs="Times New Roman"/>
          <w:sz w:val="24"/>
          <w:szCs w:val="24"/>
          <w:lang w:bidi="ar-JO"/>
        </w:rPr>
        <w:t>and 204</w:t>
      </w:r>
      <w:r w:rsidRPr="009D69EF">
        <w:rPr>
          <w:rFonts w:ascii="Times New Roman" w:hAnsi="Times New Roman" w:cs="Times New Roman"/>
          <w:sz w:val="24"/>
          <w:szCs w:val="24"/>
          <w:lang w:bidi="ar-JO"/>
        </w:rPr>
        <w:t xml:space="preserve"> in 2017, and 152 in 2018. </w:t>
      </w:r>
      <w:r w:rsidR="004014B1" w:rsidRPr="009D69EF">
        <w:rPr>
          <w:rFonts w:ascii="Times New Roman" w:hAnsi="Times New Roman" w:cs="Times New Roman"/>
          <w:sz w:val="24"/>
          <w:szCs w:val="24"/>
          <w:lang w:bidi="ar-JO"/>
        </w:rPr>
        <w:t xml:space="preserve">These complaints revolved around the following patterns of </w:t>
      </w:r>
      <w:r w:rsidR="00653C85">
        <w:rPr>
          <w:rFonts w:ascii="Times New Roman" w:hAnsi="Times New Roman" w:cs="Times New Roman"/>
          <w:sz w:val="24"/>
          <w:szCs w:val="24"/>
          <w:lang w:bidi="ar-JO"/>
        </w:rPr>
        <w:t>violations</w:t>
      </w:r>
      <w:r w:rsidR="004014B1" w:rsidRPr="009D69EF">
        <w:rPr>
          <w:rFonts w:ascii="Times New Roman" w:hAnsi="Times New Roman" w:cs="Times New Roman"/>
          <w:sz w:val="24"/>
          <w:szCs w:val="24"/>
          <w:lang w:bidi="ar-JO"/>
        </w:rPr>
        <w:t xml:space="preserve">: right to </w:t>
      </w:r>
      <w:r w:rsidR="00E65340" w:rsidRPr="009D69EF">
        <w:rPr>
          <w:rFonts w:ascii="Times New Roman" w:hAnsi="Times New Roman" w:cs="Times New Roman"/>
          <w:sz w:val="24"/>
          <w:szCs w:val="24"/>
          <w:lang w:bidi="ar-JO"/>
        </w:rPr>
        <w:t>childcare</w:t>
      </w:r>
      <w:r w:rsidR="004014B1" w:rsidRPr="009D69EF">
        <w:rPr>
          <w:rFonts w:ascii="Times New Roman" w:hAnsi="Times New Roman" w:cs="Times New Roman"/>
          <w:sz w:val="24"/>
          <w:szCs w:val="24"/>
          <w:lang w:bidi="ar-JO"/>
        </w:rPr>
        <w:t xml:space="preserve">, protection from violence and abuse outside the family, and protection of children in conflict with the law. Protection involves fair trial guarantees, provision of shelters and care centres, right to physical safety, including </w:t>
      </w:r>
      <w:r w:rsidR="0002526E">
        <w:rPr>
          <w:rFonts w:ascii="Times New Roman" w:hAnsi="Times New Roman" w:cs="Times New Roman"/>
          <w:sz w:val="24"/>
          <w:szCs w:val="24"/>
          <w:lang w:bidi="ar-JO"/>
        </w:rPr>
        <w:t xml:space="preserve">from </w:t>
      </w:r>
      <w:r w:rsidR="004014B1" w:rsidRPr="009D69EF">
        <w:rPr>
          <w:rFonts w:ascii="Times New Roman" w:hAnsi="Times New Roman" w:cs="Times New Roman"/>
          <w:sz w:val="24"/>
          <w:szCs w:val="24"/>
          <w:lang w:bidi="ar-JO"/>
        </w:rPr>
        <w:t xml:space="preserve">physical or moral assault, torture and threats during detention, </w:t>
      </w:r>
      <w:r w:rsidR="0002526E">
        <w:rPr>
          <w:rFonts w:ascii="Times New Roman" w:hAnsi="Times New Roman" w:cs="Times New Roman"/>
          <w:sz w:val="24"/>
          <w:szCs w:val="24"/>
          <w:lang w:bidi="ar-JO"/>
        </w:rPr>
        <w:t xml:space="preserve">and </w:t>
      </w:r>
      <w:r w:rsidR="004014B1" w:rsidRPr="009D69EF">
        <w:rPr>
          <w:rFonts w:ascii="Times New Roman" w:hAnsi="Times New Roman" w:cs="Times New Roman"/>
          <w:sz w:val="24"/>
          <w:szCs w:val="24"/>
          <w:lang w:bidi="ar-JO"/>
        </w:rPr>
        <w:t xml:space="preserve">cruel, inhuman and degrading treatment. Additionally, the initial report does not present </w:t>
      </w:r>
      <w:r w:rsidR="00C629C8">
        <w:rPr>
          <w:rFonts w:ascii="Times New Roman" w:hAnsi="Times New Roman" w:cs="Times New Roman"/>
          <w:sz w:val="24"/>
          <w:szCs w:val="24"/>
          <w:lang w:bidi="ar-JO"/>
        </w:rPr>
        <w:t xml:space="preserve">the </w:t>
      </w:r>
      <w:r w:rsidR="004014B1" w:rsidRPr="009D69EF">
        <w:rPr>
          <w:rFonts w:ascii="Times New Roman" w:hAnsi="Times New Roman" w:cs="Times New Roman"/>
          <w:sz w:val="24"/>
          <w:szCs w:val="24"/>
          <w:lang w:bidi="ar-JO"/>
        </w:rPr>
        <w:t>measures and approaches to put</w:t>
      </w:r>
      <w:r w:rsidR="00C629C8">
        <w:rPr>
          <w:rFonts w:ascii="Times New Roman" w:hAnsi="Times New Roman" w:cs="Times New Roman"/>
          <w:sz w:val="24"/>
          <w:szCs w:val="24"/>
          <w:lang w:bidi="ar-JO"/>
        </w:rPr>
        <w:t>ting</w:t>
      </w:r>
      <w:r w:rsidR="004014B1" w:rsidRPr="009D69EF">
        <w:rPr>
          <w:rFonts w:ascii="Times New Roman" w:hAnsi="Times New Roman" w:cs="Times New Roman"/>
          <w:sz w:val="24"/>
          <w:szCs w:val="24"/>
          <w:lang w:bidi="ar-JO"/>
        </w:rPr>
        <w:t xml:space="preserve"> an end to these violations. In the context of commitment to accountability standards enshrined in the Convention, the report should have laid out the </w:t>
      </w:r>
      <w:r w:rsidR="00C629C8">
        <w:rPr>
          <w:rFonts w:ascii="Times New Roman" w:hAnsi="Times New Roman" w:cs="Times New Roman"/>
          <w:sz w:val="24"/>
          <w:szCs w:val="24"/>
          <w:lang w:bidi="ar-JO"/>
        </w:rPr>
        <w:t>actions</w:t>
      </w:r>
      <w:r w:rsidR="004014B1" w:rsidRPr="009D69EF">
        <w:rPr>
          <w:rFonts w:ascii="Times New Roman" w:hAnsi="Times New Roman" w:cs="Times New Roman"/>
          <w:sz w:val="24"/>
          <w:szCs w:val="24"/>
          <w:lang w:bidi="ar-JO"/>
        </w:rPr>
        <w:t xml:space="preserve"> implemented to hold persons who </w:t>
      </w:r>
      <w:r w:rsidR="00B077FF">
        <w:rPr>
          <w:rFonts w:ascii="Times New Roman" w:hAnsi="Times New Roman" w:cs="Times New Roman"/>
          <w:sz w:val="24"/>
          <w:szCs w:val="24"/>
          <w:lang w:bidi="ar-JO"/>
        </w:rPr>
        <w:t xml:space="preserve">abused </w:t>
      </w:r>
      <w:r w:rsidR="004014B1" w:rsidRPr="009D69EF">
        <w:rPr>
          <w:rFonts w:ascii="Times New Roman" w:hAnsi="Times New Roman" w:cs="Times New Roman"/>
          <w:sz w:val="24"/>
          <w:szCs w:val="24"/>
          <w:lang w:bidi="ar-JO"/>
        </w:rPr>
        <w:t xml:space="preserve">children’s rights to account. </w:t>
      </w:r>
    </w:p>
    <w:sectPr w:rsidR="006F03C1" w:rsidRPr="00A15513" w:rsidSect="00FF0ACD">
      <w:footerReference w:type="default" r:id="rId9"/>
      <w:pgSz w:w="12240" w:h="15840"/>
      <w:pgMar w:top="108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A7" w:rsidRDefault="00E36DA7" w:rsidP="00E65340">
      <w:pPr>
        <w:spacing w:after="0" w:line="240" w:lineRule="auto"/>
      </w:pPr>
      <w:r>
        <w:separator/>
      </w:r>
    </w:p>
  </w:endnote>
  <w:endnote w:type="continuationSeparator" w:id="0">
    <w:p w:rsidR="00E36DA7" w:rsidRDefault="00E36DA7" w:rsidP="00E6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51056"/>
      <w:docPartObj>
        <w:docPartGallery w:val="Page Numbers (Bottom of Page)"/>
        <w:docPartUnique/>
      </w:docPartObj>
    </w:sdtPr>
    <w:sdtEndPr>
      <w:rPr>
        <w:noProof/>
      </w:rPr>
    </w:sdtEndPr>
    <w:sdtContent>
      <w:p w:rsidR="00E65340" w:rsidRDefault="00E65340">
        <w:pPr>
          <w:pStyle w:val="Footer"/>
          <w:jc w:val="center"/>
        </w:pPr>
        <w:r>
          <w:fldChar w:fldCharType="begin"/>
        </w:r>
        <w:r>
          <w:instrText xml:space="preserve"> PAGE   \* MERGEFORMAT </w:instrText>
        </w:r>
        <w:r>
          <w:fldChar w:fldCharType="separate"/>
        </w:r>
        <w:r w:rsidR="009B36D1">
          <w:rPr>
            <w:noProof/>
          </w:rPr>
          <w:t>1</w:t>
        </w:r>
        <w:r>
          <w:rPr>
            <w:noProof/>
          </w:rPr>
          <w:fldChar w:fldCharType="end"/>
        </w:r>
      </w:p>
    </w:sdtContent>
  </w:sdt>
  <w:p w:rsidR="00E65340" w:rsidRDefault="00E6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A7" w:rsidRDefault="00E36DA7" w:rsidP="00E65340">
      <w:pPr>
        <w:spacing w:after="0" w:line="240" w:lineRule="auto"/>
      </w:pPr>
      <w:r>
        <w:separator/>
      </w:r>
    </w:p>
  </w:footnote>
  <w:footnote w:type="continuationSeparator" w:id="0">
    <w:p w:rsidR="00E36DA7" w:rsidRDefault="00E36DA7" w:rsidP="00E65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F90"/>
    <w:multiLevelType w:val="hybridMultilevel"/>
    <w:tmpl w:val="455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51E08"/>
    <w:multiLevelType w:val="hybridMultilevel"/>
    <w:tmpl w:val="840C5582"/>
    <w:lvl w:ilvl="0" w:tplc="DAB28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811E0"/>
    <w:multiLevelType w:val="hybridMultilevel"/>
    <w:tmpl w:val="DCAE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B2789"/>
    <w:multiLevelType w:val="hybridMultilevel"/>
    <w:tmpl w:val="78F0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D609A"/>
    <w:multiLevelType w:val="hybridMultilevel"/>
    <w:tmpl w:val="AE2A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91BBA"/>
    <w:multiLevelType w:val="hybridMultilevel"/>
    <w:tmpl w:val="D1E0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119A1"/>
    <w:multiLevelType w:val="hybridMultilevel"/>
    <w:tmpl w:val="8804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54"/>
    <w:rsid w:val="0002526E"/>
    <w:rsid w:val="00051E9E"/>
    <w:rsid w:val="00061B1D"/>
    <w:rsid w:val="00061CAC"/>
    <w:rsid w:val="0006550D"/>
    <w:rsid w:val="00085EE6"/>
    <w:rsid w:val="00094F1C"/>
    <w:rsid w:val="000B10D7"/>
    <w:rsid w:val="000C34D9"/>
    <w:rsid w:val="000C6A8C"/>
    <w:rsid w:val="000D59B3"/>
    <w:rsid w:val="000F5B7B"/>
    <w:rsid w:val="000F61DF"/>
    <w:rsid w:val="001322FB"/>
    <w:rsid w:val="00134E00"/>
    <w:rsid w:val="00151181"/>
    <w:rsid w:val="001544D0"/>
    <w:rsid w:val="00184112"/>
    <w:rsid w:val="001E0DAE"/>
    <w:rsid w:val="001F49F0"/>
    <w:rsid w:val="002027D8"/>
    <w:rsid w:val="00210743"/>
    <w:rsid w:val="00221A54"/>
    <w:rsid w:val="002251A5"/>
    <w:rsid w:val="002255DB"/>
    <w:rsid w:val="00252C0A"/>
    <w:rsid w:val="0025456C"/>
    <w:rsid w:val="00262127"/>
    <w:rsid w:val="00287976"/>
    <w:rsid w:val="002D76B6"/>
    <w:rsid w:val="002E0D9E"/>
    <w:rsid w:val="002E352C"/>
    <w:rsid w:val="003001BE"/>
    <w:rsid w:val="00334F8C"/>
    <w:rsid w:val="00337ABD"/>
    <w:rsid w:val="00363B1C"/>
    <w:rsid w:val="0037696A"/>
    <w:rsid w:val="0038348D"/>
    <w:rsid w:val="003A1A67"/>
    <w:rsid w:val="003F0AC0"/>
    <w:rsid w:val="004014B1"/>
    <w:rsid w:val="00404473"/>
    <w:rsid w:val="00421542"/>
    <w:rsid w:val="00422F54"/>
    <w:rsid w:val="00425987"/>
    <w:rsid w:val="00427839"/>
    <w:rsid w:val="0044031D"/>
    <w:rsid w:val="00442E15"/>
    <w:rsid w:val="00445C44"/>
    <w:rsid w:val="004726C1"/>
    <w:rsid w:val="004776C6"/>
    <w:rsid w:val="004D0BBC"/>
    <w:rsid w:val="004D142E"/>
    <w:rsid w:val="00515348"/>
    <w:rsid w:val="00516585"/>
    <w:rsid w:val="00536DF8"/>
    <w:rsid w:val="00565367"/>
    <w:rsid w:val="005763D5"/>
    <w:rsid w:val="005D2A15"/>
    <w:rsid w:val="005F348F"/>
    <w:rsid w:val="00602D74"/>
    <w:rsid w:val="00604800"/>
    <w:rsid w:val="00605CAB"/>
    <w:rsid w:val="00653C85"/>
    <w:rsid w:val="00667F88"/>
    <w:rsid w:val="00671BFD"/>
    <w:rsid w:val="006874F4"/>
    <w:rsid w:val="006B1553"/>
    <w:rsid w:val="006B188B"/>
    <w:rsid w:val="006F03C1"/>
    <w:rsid w:val="006F64FA"/>
    <w:rsid w:val="0070321F"/>
    <w:rsid w:val="00766375"/>
    <w:rsid w:val="00777A39"/>
    <w:rsid w:val="00785500"/>
    <w:rsid w:val="007B144E"/>
    <w:rsid w:val="007B19AF"/>
    <w:rsid w:val="007C655E"/>
    <w:rsid w:val="00820887"/>
    <w:rsid w:val="008331E7"/>
    <w:rsid w:val="008A3C74"/>
    <w:rsid w:val="008C0529"/>
    <w:rsid w:val="008E2542"/>
    <w:rsid w:val="008E668B"/>
    <w:rsid w:val="0090259D"/>
    <w:rsid w:val="00921C64"/>
    <w:rsid w:val="00927118"/>
    <w:rsid w:val="00930CC6"/>
    <w:rsid w:val="00945B0B"/>
    <w:rsid w:val="009572B7"/>
    <w:rsid w:val="00973C31"/>
    <w:rsid w:val="009B0D3D"/>
    <w:rsid w:val="009B11FB"/>
    <w:rsid w:val="009B36D1"/>
    <w:rsid w:val="009D4B2C"/>
    <w:rsid w:val="009D6233"/>
    <w:rsid w:val="009D69EF"/>
    <w:rsid w:val="009E747A"/>
    <w:rsid w:val="009F34EF"/>
    <w:rsid w:val="009F78B5"/>
    <w:rsid w:val="00A15513"/>
    <w:rsid w:val="00A91078"/>
    <w:rsid w:val="00AA6349"/>
    <w:rsid w:val="00AC6D41"/>
    <w:rsid w:val="00B077FF"/>
    <w:rsid w:val="00B431A2"/>
    <w:rsid w:val="00B7096B"/>
    <w:rsid w:val="00B7238D"/>
    <w:rsid w:val="00B72630"/>
    <w:rsid w:val="00BC3D37"/>
    <w:rsid w:val="00BD4AAF"/>
    <w:rsid w:val="00C4238E"/>
    <w:rsid w:val="00C55774"/>
    <w:rsid w:val="00C629C8"/>
    <w:rsid w:val="00C66CA2"/>
    <w:rsid w:val="00C81C51"/>
    <w:rsid w:val="00CA1F6E"/>
    <w:rsid w:val="00D1393A"/>
    <w:rsid w:val="00D163CB"/>
    <w:rsid w:val="00D50ABD"/>
    <w:rsid w:val="00D53331"/>
    <w:rsid w:val="00D62557"/>
    <w:rsid w:val="00D7638B"/>
    <w:rsid w:val="00D83398"/>
    <w:rsid w:val="00DE424A"/>
    <w:rsid w:val="00DE4717"/>
    <w:rsid w:val="00E164F1"/>
    <w:rsid w:val="00E36DA7"/>
    <w:rsid w:val="00E409DD"/>
    <w:rsid w:val="00E53B2D"/>
    <w:rsid w:val="00E625A3"/>
    <w:rsid w:val="00E65340"/>
    <w:rsid w:val="00EA1744"/>
    <w:rsid w:val="00EB71A3"/>
    <w:rsid w:val="00EF4B10"/>
    <w:rsid w:val="00F021B1"/>
    <w:rsid w:val="00F20E23"/>
    <w:rsid w:val="00F63689"/>
    <w:rsid w:val="00FA2218"/>
    <w:rsid w:val="00FB6F2E"/>
    <w:rsid w:val="00FC0C2A"/>
    <w:rsid w:val="00FD6912"/>
    <w:rsid w:val="00FD6D4F"/>
    <w:rsid w:val="00FF0822"/>
    <w:rsid w:val="00FF0ACD"/>
    <w:rsid w:val="00FF1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1BA6D-FAE5-45FB-AEA8-5614A4B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B1"/>
    <w:pPr>
      <w:ind w:left="720"/>
      <w:contextualSpacing/>
    </w:pPr>
  </w:style>
  <w:style w:type="paragraph" w:styleId="Header">
    <w:name w:val="header"/>
    <w:basedOn w:val="Normal"/>
    <w:link w:val="HeaderChar"/>
    <w:uiPriority w:val="99"/>
    <w:unhideWhenUsed/>
    <w:rsid w:val="00E6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40"/>
    <w:rPr>
      <w:lang w:val="en-GB"/>
    </w:rPr>
  </w:style>
  <w:style w:type="paragraph" w:styleId="Footer">
    <w:name w:val="footer"/>
    <w:basedOn w:val="Normal"/>
    <w:link w:val="FooterChar"/>
    <w:uiPriority w:val="99"/>
    <w:unhideWhenUsed/>
    <w:rsid w:val="00E6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40"/>
    <w:rPr>
      <w:lang w:val="en-GB"/>
    </w:rPr>
  </w:style>
  <w:style w:type="table" w:styleId="TableGrid">
    <w:name w:val="Table Grid"/>
    <w:basedOn w:val="TableNormal"/>
    <w:uiPriority w:val="39"/>
    <w:rsid w:val="00FD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C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2807">
      <w:bodyDiv w:val="1"/>
      <w:marLeft w:val="0"/>
      <w:marRight w:val="0"/>
      <w:marTop w:val="0"/>
      <w:marBottom w:val="0"/>
      <w:divBdr>
        <w:top w:val="none" w:sz="0" w:space="0" w:color="auto"/>
        <w:left w:val="none" w:sz="0" w:space="0" w:color="auto"/>
        <w:bottom w:val="none" w:sz="0" w:space="0" w:color="auto"/>
        <w:right w:val="none" w:sz="0" w:space="0" w:color="auto"/>
      </w:divBdr>
    </w:div>
    <w:div w:id="791243269">
      <w:bodyDiv w:val="1"/>
      <w:marLeft w:val="0"/>
      <w:marRight w:val="0"/>
      <w:marTop w:val="0"/>
      <w:marBottom w:val="0"/>
      <w:divBdr>
        <w:top w:val="none" w:sz="0" w:space="0" w:color="auto"/>
        <w:left w:val="none" w:sz="0" w:space="0" w:color="auto"/>
        <w:bottom w:val="none" w:sz="0" w:space="0" w:color="auto"/>
        <w:right w:val="none" w:sz="0" w:space="0" w:color="auto"/>
      </w:divBdr>
    </w:div>
    <w:div w:id="21143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D06.CAEA082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B9430-D74B-4916-BBA5-AA7FFFF6D2F6}"/>
</file>

<file path=customXml/itemProps2.xml><?xml version="1.0" encoding="utf-8"?>
<ds:datastoreItem xmlns:ds="http://schemas.openxmlformats.org/officeDocument/2006/customXml" ds:itemID="{D2B22BD2-77E5-4957-B2E6-410440EAFC11}"/>
</file>

<file path=customXml/itemProps3.xml><?xml version="1.0" encoding="utf-8"?>
<ds:datastoreItem xmlns:ds="http://schemas.openxmlformats.org/officeDocument/2006/customXml" ds:itemID="{151E2B11-BACE-4480-B2F2-832AA8C62F77}"/>
</file>

<file path=docProps/app.xml><?xml version="1.0" encoding="utf-8"?>
<Properties xmlns="http://schemas.openxmlformats.org/officeDocument/2006/extended-properties" xmlns:vt="http://schemas.openxmlformats.org/officeDocument/2006/docPropsVTypes">
  <Template>Normal.dotm</Template>
  <TotalTime>3</TotalTime>
  <Pages>10</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Yaseen Al-Sayyed</dc:creator>
  <cp:keywords/>
  <dc:description/>
  <cp:lastModifiedBy>BOIT James</cp:lastModifiedBy>
  <cp:revision>2</cp:revision>
  <dcterms:created xsi:type="dcterms:W3CDTF">2019-05-07T08:19:00Z</dcterms:created>
  <dcterms:modified xsi:type="dcterms:W3CDTF">2019-05-07T08:19:00Z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