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4541"/>
        <w:gridCol w:w="4315"/>
      </w:tblGrid>
      <w:tr w:rsidR="00C23A9F" w:rsidRPr="00F249ED" w14:paraId="157CC491" w14:textId="77777777" w:rsidTr="00B027EC">
        <w:tc>
          <w:tcPr>
            <w:tcW w:w="4541" w:type="dxa"/>
          </w:tcPr>
          <w:p w14:paraId="687947E4" w14:textId="77777777" w:rsidR="00C23A9F" w:rsidRPr="00F249ED" w:rsidRDefault="00C23A9F">
            <w:pPr>
              <w:rPr>
                <w:rFonts w:ascii="Times New Roman" w:hAnsi="Times New Roman" w:cs="Times New Roman"/>
              </w:rPr>
            </w:pPr>
            <w:r w:rsidRPr="00F249ED">
              <w:rPr>
                <w:rFonts w:ascii="Times New Roman" w:hAnsi="Times New Roman" w:cs="Times New Roman"/>
                <w:noProof/>
              </w:rPr>
              <w:drawing>
                <wp:anchor distT="0" distB="0" distL="114300" distR="114300" simplePos="0" relativeHeight="251659264" behindDoc="0" locked="0" layoutInCell="1" allowOverlap="1" wp14:anchorId="3084B97F" wp14:editId="6ECD0FEE">
                  <wp:simplePos x="0" y="0"/>
                  <wp:positionH relativeFrom="column">
                    <wp:posOffset>114300</wp:posOffset>
                  </wp:positionH>
                  <wp:positionV relativeFrom="paragraph">
                    <wp:posOffset>107950</wp:posOffset>
                  </wp:positionV>
                  <wp:extent cx="1257300" cy="676910"/>
                  <wp:effectExtent l="0" t="0" r="12700" b="8890"/>
                  <wp:wrapTight wrapText="bothSides">
                    <wp:wrapPolygon edited="0">
                      <wp:start x="0" y="0"/>
                      <wp:lineTo x="0" y="21073"/>
                      <wp:lineTo x="21382" y="21073"/>
                      <wp:lineTo x="21382" y="0"/>
                      <wp:lineTo x="0" y="0"/>
                    </wp:wrapPolygon>
                  </wp:wrapTight>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257300" cy="676910"/>
                          </a:xfrm>
                          <a:prstGeom prst="rect">
                            <a:avLst/>
                          </a:prstGeom>
                          <a:ln/>
                        </pic:spPr>
                      </pic:pic>
                    </a:graphicData>
                  </a:graphic>
                  <wp14:sizeRelH relativeFrom="page">
                    <wp14:pctWidth>0</wp14:pctWidth>
                  </wp14:sizeRelH>
                  <wp14:sizeRelV relativeFrom="page">
                    <wp14:pctHeight>0</wp14:pctHeight>
                  </wp14:sizeRelV>
                </wp:anchor>
              </w:drawing>
            </w:r>
            <w:r w:rsidRPr="00F249ED">
              <w:rPr>
                <w:rFonts w:ascii="Times New Roman" w:hAnsi="Times New Roman" w:cs="Times New Roman"/>
                <w:noProof/>
              </w:rPr>
              <w:drawing>
                <wp:anchor distT="0" distB="0" distL="114300" distR="114300" simplePos="0" relativeHeight="251658240" behindDoc="0" locked="0" layoutInCell="1" allowOverlap="1" wp14:anchorId="4BE912A6" wp14:editId="477D4771">
                  <wp:simplePos x="0" y="0"/>
                  <wp:positionH relativeFrom="margin">
                    <wp:posOffset>1485900</wp:posOffset>
                  </wp:positionH>
                  <wp:positionV relativeFrom="margin">
                    <wp:posOffset>-6350</wp:posOffset>
                  </wp:positionV>
                  <wp:extent cx="898525" cy="887095"/>
                  <wp:effectExtent l="0" t="0" r="0" b="1905"/>
                  <wp:wrapTight wrapText="bothSides">
                    <wp:wrapPolygon edited="0">
                      <wp:start x="0" y="0"/>
                      <wp:lineTo x="0" y="21028"/>
                      <wp:lineTo x="20760" y="21028"/>
                      <wp:lineTo x="207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JA_english_med.jpg"/>
                          <pic:cNvPicPr/>
                        </pic:nvPicPr>
                        <pic:blipFill>
                          <a:blip r:embed="rId8">
                            <a:extLst>
                              <a:ext uri="{28A0092B-C50C-407E-A947-70E740481C1C}">
                                <a14:useLocalDpi xmlns:a14="http://schemas.microsoft.com/office/drawing/2010/main" val="0"/>
                              </a:ext>
                            </a:extLst>
                          </a:blip>
                          <a:stretch>
                            <a:fillRect/>
                          </a:stretch>
                        </pic:blipFill>
                        <pic:spPr>
                          <a:xfrm>
                            <a:off x="0" y="0"/>
                            <a:ext cx="898525" cy="887095"/>
                          </a:xfrm>
                          <a:prstGeom prst="rect">
                            <a:avLst/>
                          </a:prstGeom>
                        </pic:spPr>
                      </pic:pic>
                    </a:graphicData>
                  </a:graphic>
                </wp:anchor>
              </w:drawing>
            </w:r>
          </w:p>
          <w:p w14:paraId="0FC7DE0F" w14:textId="77777777" w:rsidR="00C23A9F" w:rsidRPr="00F249ED" w:rsidRDefault="00C23A9F">
            <w:pPr>
              <w:rPr>
                <w:rFonts w:ascii="Times New Roman" w:hAnsi="Times New Roman" w:cs="Times New Roman"/>
              </w:rPr>
            </w:pPr>
          </w:p>
          <w:p w14:paraId="019E8BF7" w14:textId="77777777" w:rsidR="00C23A9F" w:rsidRPr="00F249ED" w:rsidRDefault="00C23A9F">
            <w:pPr>
              <w:rPr>
                <w:rFonts w:ascii="Times New Roman" w:hAnsi="Times New Roman" w:cs="Times New Roman"/>
              </w:rPr>
            </w:pPr>
          </w:p>
        </w:tc>
        <w:tc>
          <w:tcPr>
            <w:tcW w:w="4315" w:type="dxa"/>
          </w:tcPr>
          <w:p w14:paraId="11A66546" w14:textId="1ABAD6BB" w:rsidR="007F465D" w:rsidRPr="007F465D" w:rsidRDefault="007F465D" w:rsidP="007F465D">
            <w:pPr>
              <w:rPr>
                <w:rFonts w:ascii="Times New Roman" w:hAnsi="Times New Roman" w:cs="Times New Roman"/>
                <w:b/>
              </w:rPr>
            </w:pPr>
            <w:r w:rsidRPr="007F465D">
              <w:rPr>
                <w:rFonts w:ascii="Times New Roman" w:hAnsi="Times New Roman" w:cs="Times New Roman"/>
                <w:b/>
              </w:rPr>
              <w:t>CRC June Pre-Sessional Working Group</w:t>
            </w:r>
            <w:r w:rsidR="00773F2C">
              <w:rPr>
                <w:rFonts w:ascii="Times New Roman" w:hAnsi="Times New Roman" w:cs="Times New Roman"/>
                <w:b/>
              </w:rPr>
              <w:t xml:space="preserve"> (83</w:t>
            </w:r>
            <w:r w:rsidR="00773F2C" w:rsidRPr="00773F2C">
              <w:rPr>
                <w:rFonts w:ascii="Times New Roman" w:hAnsi="Times New Roman" w:cs="Times New Roman"/>
                <w:b/>
                <w:vertAlign w:val="superscript"/>
              </w:rPr>
              <w:t>rd</w:t>
            </w:r>
            <w:r w:rsidR="00773F2C">
              <w:rPr>
                <w:rFonts w:ascii="Times New Roman" w:hAnsi="Times New Roman" w:cs="Times New Roman"/>
                <w:b/>
              </w:rPr>
              <w:t xml:space="preserve"> Session)</w:t>
            </w:r>
          </w:p>
          <w:p w14:paraId="667F08DF" w14:textId="2D7206B1" w:rsidR="00C23A9F" w:rsidRPr="00F249ED" w:rsidRDefault="00C23A9F">
            <w:pPr>
              <w:rPr>
                <w:rFonts w:ascii="Times New Roman" w:hAnsi="Times New Roman" w:cs="Times New Roman"/>
              </w:rPr>
            </w:pPr>
            <w:r w:rsidRPr="00F249ED">
              <w:rPr>
                <w:rFonts w:ascii="Times New Roman" w:hAnsi="Times New Roman" w:cs="Times New Roman"/>
              </w:rPr>
              <w:t>Country name:</w:t>
            </w:r>
            <w:r w:rsidR="007F465D">
              <w:rPr>
                <w:rFonts w:ascii="Times New Roman" w:hAnsi="Times New Roman" w:cs="Times New Roman"/>
              </w:rPr>
              <w:t xml:space="preserve"> </w:t>
            </w:r>
            <w:r w:rsidR="00626D9F">
              <w:rPr>
                <w:rFonts w:ascii="Times New Roman" w:hAnsi="Times New Roman" w:cs="Times New Roman"/>
              </w:rPr>
              <w:t>Belarus</w:t>
            </w:r>
          </w:p>
          <w:p w14:paraId="3284389E" w14:textId="77777777" w:rsidR="00C23A9F" w:rsidRPr="00F249ED" w:rsidRDefault="00C23A9F">
            <w:pPr>
              <w:rPr>
                <w:rFonts w:ascii="Times New Roman" w:hAnsi="Times New Roman" w:cs="Times New Roman"/>
              </w:rPr>
            </w:pPr>
          </w:p>
        </w:tc>
      </w:tr>
      <w:tr w:rsidR="00187935" w:rsidRPr="00F249ED" w14:paraId="6FF3C477" w14:textId="77777777" w:rsidTr="0095046B">
        <w:tc>
          <w:tcPr>
            <w:tcW w:w="8856" w:type="dxa"/>
            <w:gridSpan w:val="2"/>
          </w:tcPr>
          <w:p w14:paraId="28217203" w14:textId="77777777" w:rsidR="00EA577A" w:rsidRPr="00F249ED" w:rsidRDefault="00EA577A" w:rsidP="00EA577A">
            <w:pPr>
              <w:jc w:val="both"/>
              <w:rPr>
                <w:rFonts w:ascii="Times New Roman" w:eastAsia="Times New Roman" w:hAnsi="Times New Roman" w:cs="Times New Roman"/>
                <w:color w:val="222222"/>
                <w:shd w:val="clear" w:color="auto" w:fill="FFFFFF"/>
              </w:rPr>
            </w:pPr>
          </w:p>
          <w:p w14:paraId="261FA89F" w14:textId="77777777" w:rsidR="00EA577A" w:rsidRPr="00F249ED" w:rsidRDefault="00EA577A" w:rsidP="00EA577A">
            <w:pPr>
              <w:jc w:val="center"/>
              <w:rPr>
                <w:rFonts w:ascii="Times New Roman" w:eastAsia="Times New Roman" w:hAnsi="Times New Roman" w:cs="Times New Roman"/>
                <w:b/>
                <w:color w:val="222222"/>
                <w:shd w:val="clear" w:color="auto" w:fill="FFFFFF"/>
              </w:rPr>
            </w:pPr>
            <w:r w:rsidRPr="00F249ED">
              <w:rPr>
                <w:rFonts w:ascii="Times New Roman" w:eastAsia="Times New Roman" w:hAnsi="Times New Roman" w:cs="Times New Roman"/>
                <w:b/>
                <w:color w:val="222222"/>
                <w:shd w:val="clear" w:color="auto" w:fill="FFFFFF"/>
              </w:rPr>
              <w:t>Appropriate p</w:t>
            </w:r>
            <w:r>
              <w:rPr>
                <w:rFonts w:ascii="Times New Roman" w:eastAsia="Times New Roman" w:hAnsi="Times New Roman" w:cs="Times New Roman"/>
                <w:b/>
                <w:color w:val="222222"/>
                <w:shd w:val="clear" w:color="auto" w:fill="FFFFFF"/>
              </w:rPr>
              <w:t>re</w:t>
            </w:r>
            <w:r w:rsidRPr="00F249ED">
              <w:rPr>
                <w:rFonts w:ascii="Times New Roman" w:eastAsia="Times New Roman" w:hAnsi="Times New Roman" w:cs="Times New Roman"/>
                <w:b/>
                <w:color w:val="222222"/>
                <w:shd w:val="clear" w:color="auto" w:fill="FFFFFF"/>
              </w:rPr>
              <w:t>trial detention times for children</w:t>
            </w:r>
          </w:p>
          <w:p w14:paraId="279492D6" w14:textId="77777777" w:rsidR="00EA577A" w:rsidRPr="00F249ED" w:rsidRDefault="00EA577A" w:rsidP="00EA577A">
            <w:pPr>
              <w:jc w:val="both"/>
              <w:rPr>
                <w:rFonts w:ascii="Times New Roman" w:eastAsia="Times New Roman" w:hAnsi="Times New Roman" w:cs="Times New Roman"/>
                <w:color w:val="222222"/>
                <w:shd w:val="clear" w:color="auto" w:fill="FFFFFF"/>
              </w:rPr>
            </w:pPr>
          </w:p>
          <w:p w14:paraId="09D1E2A1" w14:textId="77777777" w:rsidR="00EA577A" w:rsidRPr="00F249ED" w:rsidRDefault="00EA577A" w:rsidP="00EA577A">
            <w:pPr>
              <w:jc w:val="both"/>
              <w:rPr>
                <w:rFonts w:ascii="Times New Roman" w:eastAsia="Times New Roman" w:hAnsi="Times New Roman" w:cs="Times New Roman"/>
                <w:color w:val="222222"/>
                <w:shd w:val="clear" w:color="auto" w:fill="FFFFFF"/>
              </w:rPr>
            </w:pPr>
            <w:r w:rsidRPr="00F249ED">
              <w:rPr>
                <w:rFonts w:ascii="Times New Roman" w:eastAsia="Times New Roman" w:hAnsi="Times New Roman" w:cs="Times New Roman"/>
                <w:color w:val="222222"/>
                <w:shd w:val="clear" w:color="auto" w:fill="FFFFFF"/>
              </w:rPr>
              <w:t>Cluster of rights:</w:t>
            </w:r>
          </w:p>
          <w:p w14:paraId="53EFE785" w14:textId="77777777" w:rsidR="00EA577A" w:rsidRDefault="00EA577A" w:rsidP="00EA577A">
            <w:pPr>
              <w:pStyle w:val="NormalWeb"/>
              <w:spacing w:before="0" w:beforeAutospacing="0" w:after="0" w:afterAutospacing="0"/>
              <w:jc w:val="both"/>
              <w:rPr>
                <w:color w:val="222222"/>
                <w:shd w:val="clear" w:color="auto" w:fill="FFFFFF"/>
              </w:rPr>
            </w:pPr>
          </w:p>
          <w:p w14:paraId="3591B986" w14:textId="77777777" w:rsidR="00EA577A" w:rsidRDefault="00EA577A" w:rsidP="00EA577A">
            <w:pPr>
              <w:pStyle w:val="NormalWeb"/>
              <w:spacing w:before="0" w:beforeAutospacing="0" w:after="0" w:afterAutospacing="0"/>
              <w:jc w:val="both"/>
              <w:rPr>
                <w:color w:val="222222"/>
                <w:shd w:val="clear" w:color="auto" w:fill="FFFFFF"/>
              </w:rPr>
            </w:pPr>
            <w:r>
              <w:rPr>
                <w:color w:val="222222"/>
                <w:shd w:val="clear" w:color="auto" w:fill="FFFFFF"/>
              </w:rPr>
              <w:t>Right to lawful deprivation of liberty</w:t>
            </w:r>
          </w:p>
          <w:p w14:paraId="32872C36" w14:textId="77777777" w:rsidR="00EA577A" w:rsidRDefault="00EA577A" w:rsidP="00EA577A">
            <w:pPr>
              <w:pStyle w:val="NormalWeb"/>
              <w:spacing w:before="0" w:beforeAutospacing="0" w:after="0" w:afterAutospacing="0"/>
              <w:jc w:val="both"/>
              <w:rPr>
                <w:color w:val="222222"/>
                <w:shd w:val="clear" w:color="auto" w:fill="FFFFFF"/>
              </w:rPr>
            </w:pPr>
            <w:r>
              <w:rPr>
                <w:color w:val="222222"/>
                <w:shd w:val="clear" w:color="auto" w:fill="FFFFFF"/>
              </w:rPr>
              <w:t>Right to speedy trial and brevity of pretrial detention</w:t>
            </w:r>
          </w:p>
          <w:p w14:paraId="06B7E7FE" w14:textId="77777777" w:rsidR="00EA577A" w:rsidRPr="00F249ED" w:rsidRDefault="00EA577A" w:rsidP="00EA577A">
            <w:pPr>
              <w:pStyle w:val="NormalWeb"/>
              <w:spacing w:before="0" w:beforeAutospacing="0" w:after="0" w:afterAutospacing="0"/>
              <w:jc w:val="both"/>
              <w:rPr>
                <w:color w:val="222222"/>
                <w:shd w:val="clear" w:color="auto" w:fill="FFFFFF"/>
              </w:rPr>
            </w:pPr>
            <w:r w:rsidRPr="00F249ED">
              <w:rPr>
                <w:color w:val="222222"/>
                <w:shd w:val="clear" w:color="auto" w:fill="FFFFFF"/>
              </w:rPr>
              <w:t xml:space="preserve">Convention on the Rights of the Child Article 37(b </w:t>
            </w:r>
          </w:p>
          <w:p w14:paraId="584B9C9E" w14:textId="77777777" w:rsidR="00EA577A" w:rsidRPr="00F249ED" w:rsidRDefault="00EA577A" w:rsidP="00EA577A">
            <w:pPr>
              <w:pStyle w:val="NormalWeb"/>
              <w:spacing w:before="0" w:beforeAutospacing="0" w:after="0" w:afterAutospacing="0"/>
              <w:jc w:val="both"/>
              <w:rPr>
                <w:color w:val="222222"/>
                <w:shd w:val="clear" w:color="auto" w:fill="FFFFFF"/>
              </w:rPr>
            </w:pPr>
            <w:r w:rsidRPr="00F249ED">
              <w:rPr>
                <w:color w:val="222222"/>
                <w:shd w:val="clear" w:color="auto" w:fill="FFFFFF"/>
              </w:rPr>
              <w:t>Convention Against Torture Article 2</w:t>
            </w:r>
          </w:p>
          <w:p w14:paraId="67C42CB7" w14:textId="77777777" w:rsidR="00EA577A" w:rsidRDefault="00EA577A" w:rsidP="00EA577A">
            <w:pPr>
              <w:jc w:val="both"/>
              <w:rPr>
                <w:rFonts w:ascii="Times New Roman" w:eastAsia="Times New Roman" w:hAnsi="Times New Roman" w:cs="Times New Roman"/>
                <w:color w:val="222222"/>
                <w:shd w:val="clear" w:color="auto" w:fill="FFFFFF"/>
              </w:rPr>
            </w:pPr>
          </w:p>
          <w:p w14:paraId="6BF46815" w14:textId="77777777" w:rsidR="00EA577A" w:rsidRPr="00F249ED" w:rsidRDefault="00EA577A" w:rsidP="00EA577A">
            <w:pPr>
              <w:jc w:val="both"/>
              <w:rPr>
                <w:rFonts w:ascii="Times New Roman" w:eastAsia="Times New Roman" w:hAnsi="Times New Roman" w:cs="Times New Roman"/>
                <w:color w:val="222222"/>
                <w:shd w:val="clear" w:color="auto" w:fill="FFFFFF"/>
              </w:rPr>
            </w:pPr>
            <w:r w:rsidRPr="00F249ED">
              <w:rPr>
                <w:rFonts w:ascii="Times New Roman" w:eastAsia="Times New Roman" w:hAnsi="Times New Roman" w:cs="Times New Roman"/>
                <w:color w:val="222222"/>
                <w:shd w:val="clear" w:color="auto" w:fill="FFFFFF"/>
              </w:rPr>
              <w:t>Areas of concern:</w:t>
            </w:r>
          </w:p>
          <w:p w14:paraId="1A49D449" w14:textId="77777777" w:rsidR="00EA577A" w:rsidRPr="00F249ED" w:rsidRDefault="00EA577A" w:rsidP="00EA577A">
            <w:pPr>
              <w:jc w:val="both"/>
              <w:rPr>
                <w:rFonts w:ascii="Times New Roman" w:eastAsia="Times New Roman" w:hAnsi="Times New Roman" w:cs="Times New Roman"/>
                <w:color w:val="222222"/>
                <w:shd w:val="clear" w:color="auto" w:fill="FFFFFF"/>
              </w:rPr>
            </w:pPr>
          </w:p>
          <w:p w14:paraId="1D61A24E" w14:textId="77777777" w:rsidR="00EA577A" w:rsidRPr="00F249ED" w:rsidRDefault="00EA577A" w:rsidP="00EA577A">
            <w:pPr>
              <w:jc w:val="both"/>
              <w:rPr>
                <w:rFonts w:ascii="Times New Roman" w:hAnsi="Times New Roman" w:cs="Times New Roman"/>
              </w:rPr>
            </w:pPr>
            <w:r w:rsidRPr="00F249ED">
              <w:rPr>
                <w:rFonts w:ascii="Times New Roman" w:hAnsi="Times New Roman" w:cs="Times New Roman"/>
              </w:rPr>
              <w:t>International law strictly limits the circumstances in which children can be placed in detention while awaiting trial or while under investigation pre-charge. Pretrial detention should only be used in exceptional circumstances, where it is necessary to ensure the child’s appearance at the court proceedings, or where the child is an immediate danger to himself/herself or others.</w:t>
            </w:r>
            <w:r w:rsidRPr="00F249ED">
              <w:rPr>
                <w:rFonts w:ascii="Times New Roman" w:hAnsi="Times New Roman" w:cs="Times New Roman"/>
                <w:vertAlign w:val="superscript"/>
              </w:rPr>
              <w:footnoteReference w:id="1"/>
            </w:r>
            <w:r w:rsidRPr="00F249ED">
              <w:rPr>
                <w:rFonts w:ascii="Times New Roman" w:hAnsi="Times New Roman" w:cs="Times New Roman"/>
              </w:rPr>
              <w:t xml:space="preserve"> Pretrial detention is only permitted as a measure of last resort and for “</w:t>
            </w:r>
            <w:r w:rsidRPr="00F249ED">
              <w:rPr>
                <w:rFonts w:ascii="Times New Roman" w:hAnsi="Times New Roman" w:cs="Times New Roman"/>
                <w:i/>
              </w:rPr>
              <w:t>the shortest appropriate period of time</w:t>
            </w:r>
            <w:r w:rsidRPr="00F249ED">
              <w:rPr>
                <w:rFonts w:ascii="Times New Roman" w:hAnsi="Times New Roman" w:cs="Times New Roman"/>
              </w:rPr>
              <w:t>.”</w:t>
            </w:r>
            <w:bookmarkStart w:id="0" w:name="_Ref509599856"/>
            <w:r w:rsidRPr="00F249ED">
              <w:rPr>
                <w:rFonts w:ascii="Times New Roman" w:hAnsi="Times New Roman" w:cs="Times New Roman"/>
                <w:vertAlign w:val="superscript"/>
              </w:rPr>
              <w:footnoteReference w:id="2"/>
            </w:r>
            <w:bookmarkEnd w:id="0"/>
            <w:r w:rsidRPr="00F249ED">
              <w:rPr>
                <w:rFonts w:ascii="Times New Roman" w:hAnsi="Times New Roman" w:cs="Times New Roman"/>
              </w:rPr>
              <w:t> However, there is no clarity around what is meant by an “</w:t>
            </w:r>
            <w:r w:rsidRPr="00F249ED">
              <w:rPr>
                <w:rFonts w:ascii="Times New Roman" w:hAnsi="Times New Roman" w:cs="Times New Roman"/>
                <w:i/>
              </w:rPr>
              <w:t>appropriate period of time</w:t>
            </w:r>
            <w:r w:rsidRPr="00F249ED">
              <w:rPr>
                <w:rFonts w:ascii="Times New Roman" w:hAnsi="Times New Roman" w:cs="Times New Roman"/>
              </w:rPr>
              <w:t>.” The Committee on the Rights of the Child, in General Comment 10, recommended that children who are detained should be formally charged within 30 days and once charged, that a final decision should be made by the court within six months.</w:t>
            </w:r>
            <w:bookmarkStart w:id="1" w:name="_Ref511739094"/>
            <w:r w:rsidRPr="00F249ED">
              <w:rPr>
                <w:rStyle w:val="FootnoteReference"/>
                <w:rFonts w:ascii="Times New Roman" w:hAnsi="Times New Roman" w:cs="Times New Roman"/>
              </w:rPr>
              <w:footnoteReference w:id="3"/>
            </w:r>
            <w:bookmarkEnd w:id="1"/>
            <w:r w:rsidRPr="00F249ED">
              <w:rPr>
                <w:rFonts w:ascii="Times New Roman" w:hAnsi="Times New Roman" w:cs="Times New Roman"/>
              </w:rPr>
              <w:t xml:space="preserve"> The Committee additionally recommended that any such detention should be reviewed regularly by a competent body</w:t>
            </w:r>
            <w:r w:rsidRPr="00F249ED">
              <w:rPr>
                <w:rStyle w:val="FootnoteReference"/>
                <w:rFonts w:ascii="Times New Roman" w:hAnsi="Times New Roman" w:cs="Times New Roman"/>
              </w:rPr>
              <w:footnoteReference w:id="4"/>
            </w:r>
            <w:r w:rsidRPr="00F249ED">
              <w:rPr>
                <w:rFonts w:ascii="Times New Roman" w:hAnsi="Times New Roman" w:cs="Times New Roman"/>
              </w:rPr>
              <w:t xml:space="preserve"> These recommendations can and should be strengthened.</w:t>
            </w:r>
          </w:p>
          <w:p w14:paraId="459C3D23" w14:textId="77777777" w:rsidR="00EA577A" w:rsidRPr="00F249ED" w:rsidRDefault="00EA577A" w:rsidP="00EA577A">
            <w:pPr>
              <w:jc w:val="both"/>
              <w:rPr>
                <w:rFonts w:ascii="Times New Roman" w:hAnsi="Times New Roman" w:cs="Times New Roman"/>
              </w:rPr>
            </w:pPr>
          </w:p>
          <w:p w14:paraId="15E24767" w14:textId="77777777" w:rsidR="00EA577A" w:rsidRPr="00F249ED" w:rsidRDefault="00EA577A" w:rsidP="00EA577A">
            <w:pPr>
              <w:jc w:val="both"/>
              <w:rPr>
                <w:rFonts w:ascii="Times New Roman" w:hAnsi="Times New Roman" w:cs="Times New Roman"/>
              </w:rPr>
            </w:pPr>
            <w:r w:rsidRPr="00F249ED">
              <w:rPr>
                <w:rFonts w:ascii="Times New Roman" w:hAnsi="Times New Roman" w:cs="Times New Roman"/>
              </w:rPr>
              <w:t>Defendants in pretrial detention are more likely to be abused, mistreated and tortured,</w:t>
            </w:r>
            <w:bookmarkStart w:id="2" w:name="_Ref509596657"/>
            <w:r w:rsidRPr="00F249ED">
              <w:rPr>
                <w:rFonts w:ascii="Times New Roman" w:hAnsi="Times New Roman" w:cs="Times New Roman"/>
                <w:vertAlign w:val="superscript"/>
              </w:rPr>
              <w:footnoteReference w:id="5"/>
            </w:r>
            <w:bookmarkEnd w:id="2"/>
            <w:r w:rsidRPr="00F249ED">
              <w:rPr>
                <w:rFonts w:ascii="Times New Roman" w:hAnsi="Times New Roman" w:cs="Times New Roman"/>
              </w:rPr>
              <w:t xml:space="preserve"> and children are particularly vulnerable. In many countries, the lack of adequate facilities, food and sanitation, insufficient access to education and training, and compromised contact with family and friends makes even short periods of time in pretrial detention traumatic for children. Detention has been shown to significantly increase the risk of depression, suicide, school drop-out, and drug use among children.</w:t>
            </w:r>
            <w:bookmarkStart w:id="3" w:name="_Ref509598336"/>
            <w:r w:rsidRPr="00F249ED">
              <w:rPr>
                <w:rFonts w:ascii="Times New Roman" w:hAnsi="Times New Roman" w:cs="Times New Roman"/>
                <w:vertAlign w:val="superscript"/>
              </w:rPr>
              <w:footnoteReference w:id="6"/>
            </w:r>
            <w:bookmarkEnd w:id="3"/>
            <w:r w:rsidRPr="00F249ED">
              <w:rPr>
                <w:rFonts w:ascii="Times New Roman" w:hAnsi="Times New Roman" w:cs="Times New Roman"/>
              </w:rPr>
              <w:t xml:space="preserve"> Unfortunately, in many countries the </w:t>
            </w:r>
            <w:r w:rsidRPr="00F249ED">
              <w:rPr>
                <w:rFonts w:ascii="Times New Roman" w:hAnsi="Times New Roman" w:cs="Times New Roman"/>
              </w:rPr>
              <w:lastRenderedPageBreak/>
              <w:t>majority of children in detention are awaiting trial and may spend months or years behind bars before having their cases resolved. Even in jurisdictions that have successfully implemented alternatives to detention, children still spend months or years in pretrial detention, often longer than any sentence they might receive on conviction. It is reportedly common for children to receive conditional release or diversion after months of pretrial detention</w:t>
            </w:r>
            <w:r w:rsidRPr="00F249ED">
              <w:rPr>
                <w:rFonts w:ascii="Times New Roman" w:hAnsi="Times New Roman" w:cs="Times New Roman"/>
                <w:vertAlign w:val="superscript"/>
              </w:rPr>
              <w:footnoteReference w:id="7"/>
            </w:r>
            <w:r w:rsidRPr="00F249ED">
              <w:rPr>
                <w:rFonts w:ascii="Times New Roman" w:hAnsi="Times New Roman" w:cs="Times New Roman"/>
              </w:rPr>
              <w:t>. This means that the most significant time spent deprived of liberty is while awaiting trial, when children are ostensibly presumed innocent.</w:t>
            </w:r>
          </w:p>
          <w:p w14:paraId="24D9EC2C" w14:textId="77777777" w:rsidR="00EA577A" w:rsidRPr="00F249ED" w:rsidRDefault="00EA577A" w:rsidP="00EA577A">
            <w:pPr>
              <w:jc w:val="both"/>
              <w:rPr>
                <w:rFonts w:ascii="Times New Roman" w:hAnsi="Times New Roman" w:cs="Times New Roman"/>
              </w:rPr>
            </w:pPr>
          </w:p>
          <w:p w14:paraId="57461ED6" w14:textId="77777777" w:rsidR="00EA577A" w:rsidRPr="00F249ED" w:rsidRDefault="00EA577A" w:rsidP="00EA577A">
            <w:pPr>
              <w:jc w:val="both"/>
              <w:rPr>
                <w:rFonts w:ascii="Times New Roman" w:hAnsi="Times New Roman" w:cs="Times New Roman"/>
              </w:rPr>
            </w:pPr>
            <w:r>
              <w:rPr>
                <w:rFonts w:ascii="Times New Roman" w:hAnsi="Times New Roman" w:cs="Times New Roman"/>
              </w:rPr>
              <w:t xml:space="preserve">The 2018 report “Children in Pretrial Detention: Promoting Stronger International Time Limits” is the first study of how long countries allow children to be detained awaiting trial. Looking at the legal limits in 118 countries, the report found that 26% of countries have no time limit and 40% of countries allow exceptions to their time limit, risking indefinite detention. However, the length of time that children actually spend in detention awaiting trial is data that countries have not be collecting or reporting. </w:t>
            </w:r>
          </w:p>
          <w:p w14:paraId="3819E331" w14:textId="77777777" w:rsidR="00EA577A" w:rsidRPr="00F249ED" w:rsidRDefault="00EA577A" w:rsidP="00EA577A">
            <w:pPr>
              <w:jc w:val="both"/>
              <w:rPr>
                <w:rFonts w:ascii="Times New Roman" w:hAnsi="Times New Roman" w:cs="Times New Roman"/>
              </w:rPr>
            </w:pPr>
          </w:p>
          <w:p w14:paraId="542D9469" w14:textId="77777777" w:rsidR="00EA577A" w:rsidRPr="00F249ED" w:rsidRDefault="00EA577A" w:rsidP="00EA577A">
            <w:pPr>
              <w:jc w:val="both"/>
              <w:rPr>
                <w:rFonts w:ascii="Times New Roman" w:hAnsi="Times New Roman" w:cs="Times New Roman"/>
              </w:rPr>
            </w:pPr>
          </w:p>
          <w:p w14:paraId="73A3502A" w14:textId="77777777" w:rsidR="00EA577A" w:rsidRPr="00F249ED" w:rsidRDefault="00EA577A" w:rsidP="00EA577A">
            <w:pPr>
              <w:jc w:val="both"/>
              <w:rPr>
                <w:rFonts w:ascii="Times New Roman" w:hAnsi="Times New Roman" w:cs="Times New Roman"/>
              </w:rPr>
            </w:pPr>
            <w:r w:rsidRPr="00F249ED">
              <w:rPr>
                <w:rFonts w:ascii="Times New Roman" w:hAnsi="Times New Roman" w:cs="Times New Roman"/>
              </w:rPr>
              <w:t xml:space="preserve">The </w:t>
            </w:r>
            <w:r w:rsidRPr="00F249ED">
              <w:rPr>
                <w:rFonts w:ascii="Times New Roman" w:hAnsi="Times New Roman" w:cs="Times New Roman"/>
                <w:i/>
              </w:rPr>
              <w:t>Children in Pretrial Detention: Promoting Stronger International Time Limits</w:t>
            </w:r>
            <w:r w:rsidRPr="00F249ED">
              <w:rPr>
                <w:rFonts w:ascii="Times New Roman" w:hAnsi="Times New Roman" w:cs="Times New Roman"/>
              </w:rPr>
              <w:t xml:space="preserve"> report </w:t>
            </w:r>
            <w:r>
              <w:rPr>
                <w:rFonts w:ascii="Times New Roman" w:hAnsi="Times New Roman" w:cs="Times New Roman"/>
              </w:rPr>
              <w:t xml:space="preserve">serves as a baseline for the Committee to expand on country practices regarding times of pretrial detention of children. </w:t>
            </w:r>
          </w:p>
          <w:p w14:paraId="5B475B29" w14:textId="77777777" w:rsidR="00EA577A" w:rsidRPr="00F249ED" w:rsidRDefault="00EA577A" w:rsidP="00EA577A">
            <w:pPr>
              <w:jc w:val="both"/>
              <w:rPr>
                <w:rFonts w:ascii="Times New Roman" w:eastAsia="Times New Roman" w:hAnsi="Times New Roman" w:cs="Times New Roman"/>
                <w:color w:val="222222"/>
                <w:shd w:val="clear" w:color="auto" w:fill="FFFFFF"/>
              </w:rPr>
            </w:pPr>
            <w:r w:rsidRPr="00F249ED">
              <w:rPr>
                <w:rFonts w:ascii="Times New Roman" w:hAnsi="Times New Roman" w:cs="Times New Roman"/>
              </w:rPr>
              <w:br w:type="page"/>
            </w:r>
            <w:bookmarkStart w:id="4" w:name="_4g83oi30h3up" w:colFirst="0" w:colLast="0"/>
            <w:bookmarkEnd w:id="4"/>
          </w:p>
          <w:p w14:paraId="5B811021" w14:textId="77777777" w:rsidR="00EA577A" w:rsidRPr="00F249ED" w:rsidRDefault="00EA577A" w:rsidP="00EA577A">
            <w:pPr>
              <w:jc w:val="both"/>
              <w:rPr>
                <w:rFonts w:ascii="Times New Roman" w:eastAsia="Times New Roman" w:hAnsi="Times New Roman" w:cs="Times New Roman"/>
                <w:color w:val="222222"/>
                <w:shd w:val="clear" w:color="auto" w:fill="FFFFFF"/>
              </w:rPr>
            </w:pPr>
            <w:r w:rsidRPr="00F249ED">
              <w:rPr>
                <w:rFonts w:ascii="Times New Roman" w:eastAsia="Times New Roman" w:hAnsi="Times New Roman" w:cs="Times New Roman"/>
                <w:color w:val="222222"/>
                <w:shd w:val="clear" w:color="auto" w:fill="FFFFFF"/>
              </w:rPr>
              <w:t>Methodology:</w:t>
            </w:r>
          </w:p>
          <w:p w14:paraId="0154B2D6" w14:textId="77777777" w:rsidR="00EA577A" w:rsidRPr="00F249ED" w:rsidRDefault="00EA577A" w:rsidP="00EA577A">
            <w:pPr>
              <w:jc w:val="both"/>
              <w:rPr>
                <w:rFonts w:ascii="Times New Roman" w:eastAsia="Times New Roman" w:hAnsi="Times New Roman" w:cs="Times New Roman"/>
                <w:color w:val="222222"/>
                <w:shd w:val="clear" w:color="auto" w:fill="FFFFFF"/>
              </w:rPr>
            </w:pPr>
          </w:p>
          <w:p w14:paraId="295D5DFC" w14:textId="77777777" w:rsidR="00EA577A" w:rsidRPr="00F249ED" w:rsidRDefault="00EA577A" w:rsidP="00EA577A">
            <w:pPr>
              <w:jc w:val="both"/>
              <w:rPr>
                <w:rFonts w:ascii="Times New Roman" w:eastAsia="Times New Roman" w:hAnsi="Times New Roman" w:cs="Times New Roman"/>
                <w:color w:val="222222"/>
                <w:shd w:val="clear" w:color="auto" w:fill="FFFFFF"/>
              </w:rPr>
            </w:pPr>
            <w:r w:rsidRPr="00F249ED">
              <w:rPr>
                <w:rFonts w:ascii="Times New Roman" w:eastAsia="Times New Roman" w:hAnsi="Times New Roman" w:cs="Times New Roman"/>
                <w:color w:val="222222"/>
                <w:shd w:val="clear" w:color="auto" w:fill="FFFFFF"/>
              </w:rPr>
              <w:t>This alternative report is based on</w:t>
            </w:r>
            <w:r>
              <w:rPr>
                <w:rFonts w:ascii="Times New Roman" w:eastAsia="Times New Roman" w:hAnsi="Times New Roman" w:cs="Times New Roman"/>
                <w:color w:val="222222"/>
                <w:shd w:val="clear" w:color="auto" w:fill="FFFFFF"/>
              </w:rPr>
              <w:t xml:space="preserve"> the</w:t>
            </w:r>
            <w:r w:rsidRPr="00F249ED">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i/>
                <w:color w:val="222222"/>
                <w:shd w:val="clear" w:color="auto" w:fill="FFFFFF"/>
              </w:rPr>
              <w:t xml:space="preserve">Children in Pretrial Detention </w:t>
            </w:r>
            <w:r>
              <w:rPr>
                <w:rFonts w:ascii="Times New Roman" w:eastAsia="Times New Roman" w:hAnsi="Times New Roman" w:cs="Times New Roman"/>
                <w:color w:val="222222"/>
                <w:shd w:val="clear" w:color="auto" w:fill="FFFFFF"/>
              </w:rPr>
              <w:t>report on pre</w:t>
            </w:r>
            <w:r w:rsidRPr="00F249ED">
              <w:rPr>
                <w:rFonts w:ascii="Times New Roman" w:eastAsia="Times New Roman" w:hAnsi="Times New Roman" w:cs="Times New Roman"/>
                <w:color w:val="222222"/>
                <w:shd w:val="clear" w:color="auto" w:fill="FFFFFF"/>
              </w:rPr>
              <w:t>trial detention times of 119 CRC State parties.</w:t>
            </w:r>
            <w:r>
              <w:rPr>
                <w:rStyle w:val="FootnoteReference"/>
                <w:rFonts w:ascii="Times New Roman" w:eastAsia="Times New Roman" w:hAnsi="Times New Roman" w:cs="Times New Roman"/>
                <w:color w:val="222222"/>
                <w:shd w:val="clear" w:color="auto" w:fill="FFFFFF"/>
              </w:rPr>
              <w:footnoteReference w:id="8"/>
            </w:r>
            <w:r w:rsidRPr="00F249ED">
              <w:rPr>
                <w:rFonts w:ascii="Times New Roman" w:eastAsia="Times New Roman" w:hAnsi="Times New Roman" w:cs="Times New Roman"/>
                <w:color w:val="222222"/>
                <w:shd w:val="clear" w:color="auto" w:fill="FFFFFF"/>
              </w:rPr>
              <w:t xml:space="preserve"> Such report was conducted by reviewing the respective current statutes or court rules in force at the time that the data was collected. </w:t>
            </w:r>
          </w:p>
          <w:p w14:paraId="7DEB66C2" w14:textId="77777777" w:rsidR="00EA577A" w:rsidRPr="00F249ED" w:rsidRDefault="00EA577A" w:rsidP="00EA577A">
            <w:pPr>
              <w:jc w:val="both"/>
              <w:rPr>
                <w:rFonts w:ascii="Times New Roman" w:eastAsia="Times New Roman" w:hAnsi="Times New Roman" w:cs="Times New Roman"/>
                <w:color w:val="222222"/>
                <w:shd w:val="clear" w:color="auto" w:fill="FFFFFF"/>
              </w:rPr>
            </w:pPr>
            <w:r w:rsidRPr="00F249ED">
              <w:rPr>
                <w:rFonts w:ascii="Times New Roman" w:eastAsia="Times New Roman" w:hAnsi="Times New Roman" w:cs="Times New Roman"/>
                <w:color w:val="222222"/>
                <w:shd w:val="clear" w:color="auto" w:fill="FFFFFF"/>
              </w:rPr>
              <w:t>In defining the statutory time period of pretrial detention, when possible, the report applied the statutory maximum for pretrial detention based on the time allowed in detention from arrest until a sentence was established. However, varying jurisdictions defined pretrial detention</w:t>
            </w:r>
            <w:r w:rsidRPr="00F249ED" w:rsidDel="002B3A25">
              <w:rPr>
                <w:rFonts w:ascii="Times New Roman" w:eastAsia="Times New Roman" w:hAnsi="Times New Roman" w:cs="Times New Roman"/>
                <w:color w:val="222222"/>
                <w:shd w:val="clear" w:color="auto" w:fill="FFFFFF"/>
              </w:rPr>
              <w:t xml:space="preserve"> </w:t>
            </w:r>
            <w:r w:rsidRPr="00F249ED">
              <w:rPr>
                <w:rFonts w:ascii="Times New Roman" w:eastAsia="Times New Roman" w:hAnsi="Times New Roman" w:cs="Times New Roman"/>
                <w:color w:val="222222"/>
                <w:shd w:val="clear" w:color="auto" w:fill="FFFFFF"/>
              </w:rPr>
              <w:t xml:space="preserve">differently or set limits based on alternative procedural milestones. Where the statute did not provide a length of days or it was unclear, the number of days was based on the national law’s definition of pretrial detention. </w:t>
            </w:r>
          </w:p>
          <w:p w14:paraId="4AD2207E" w14:textId="77777777" w:rsidR="00EA577A" w:rsidRPr="00F249ED" w:rsidRDefault="00EA577A" w:rsidP="00EA577A">
            <w:pPr>
              <w:jc w:val="both"/>
              <w:rPr>
                <w:rFonts w:ascii="Times New Roman" w:eastAsia="Times New Roman" w:hAnsi="Times New Roman" w:cs="Times New Roman"/>
                <w:color w:val="222222"/>
                <w:shd w:val="clear" w:color="auto" w:fill="FFFFFF"/>
              </w:rPr>
            </w:pPr>
          </w:p>
          <w:p w14:paraId="24691FC0" w14:textId="7A355551" w:rsidR="00187935" w:rsidRPr="00F249ED" w:rsidRDefault="00EA577A" w:rsidP="00EA577A">
            <w:pPr>
              <w:jc w:val="both"/>
              <w:rPr>
                <w:rFonts w:ascii="Times New Roman" w:eastAsia="Times New Roman" w:hAnsi="Times New Roman" w:cs="Times New Roman"/>
                <w:color w:val="222222"/>
                <w:shd w:val="clear" w:color="auto" w:fill="FFFFFF"/>
              </w:rPr>
            </w:pPr>
            <w:r w:rsidRPr="00F249ED">
              <w:rPr>
                <w:rFonts w:ascii="Times New Roman" w:hAnsi="Times New Roman" w:cs="Times New Roman"/>
              </w:rPr>
              <w:t xml:space="preserve">Most jurisdictions did not indicate any time limit for children in pretrial detention pending appeals. For the sake of uniformity, only limits based on pretrial detention before the first adjudication were used. State practices are unclear when a case is appealed, and the child is in pretrial detention, such as if the clock is suspended or if the time limit still applies. </w:t>
            </w:r>
          </w:p>
        </w:tc>
      </w:tr>
    </w:tbl>
    <w:p w14:paraId="7EC040D9" w14:textId="5819E882" w:rsidR="00EA577A" w:rsidRDefault="00EA577A">
      <w:pPr>
        <w:rPr>
          <w:rFonts w:ascii="Times New Roman" w:hAnsi="Times New Roman" w:cs="Times New Roman"/>
        </w:rPr>
      </w:pPr>
    </w:p>
    <w:p w14:paraId="74F99E30" w14:textId="77777777" w:rsidR="00EA577A" w:rsidRDefault="00EA577A">
      <w:pPr>
        <w:rPr>
          <w:rFonts w:ascii="Times New Roman" w:hAnsi="Times New Roman" w:cs="Times New Roman"/>
        </w:rPr>
      </w:pPr>
      <w:r>
        <w:rPr>
          <w:rFonts w:ascii="Times New Roman" w:hAnsi="Times New Roman" w:cs="Times New Roman"/>
        </w:rPr>
        <w:br w:type="page"/>
      </w:r>
    </w:p>
    <w:p w14:paraId="51B36BBF" w14:textId="6F7B4BB9" w:rsidR="00AA22CB" w:rsidRDefault="00AA22CB">
      <w:pPr>
        <w:rPr>
          <w:rFonts w:ascii="Times New Roman" w:hAnsi="Times New Roman" w:cs="Times New Roman"/>
        </w:rPr>
      </w:pPr>
    </w:p>
    <w:p w14:paraId="6814E108" w14:textId="2960F524" w:rsidR="00AA22CB" w:rsidRPr="00AA22CB" w:rsidRDefault="004A3045" w:rsidP="00AA22CB">
      <w:pPr>
        <w:jc w:val="center"/>
        <w:rPr>
          <w:rFonts w:ascii="Times New Roman" w:hAnsi="Times New Roman" w:cs="Times New Roman"/>
          <w:b/>
        </w:rPr>
      </w:pPr>
      <w:r>
        <w:rPr>
          <w:rFonts w:ascii="Times New Roman" w:hAnsi="Times New Roman" w:cs="Times New Roman"/>
          <w:b/>
        </w:rPr>
        <w:t>Belarus</w:t>
      </w:r>
    </w:p>
    <w:p w14:paraId="61CAF52A" w14:textId="77777777" w:rsidR="00AA22CB" w:rsidRDefault="00AA22CB">
      <w:pPr>
        <w:rPr>
          <w:rFonts w:ascii="Times New Roman" w:hAnsi="Times New Roman" w:cs="Times New Roman"/>
        </w:rPr>
      </w:pPr>
    </w:p>
    <w:tbl>
      <w:tblPr>
        <w:tblStyle w:val="TableGrid"/>
        <w:tblW w:w="8856" w:type="dxa"/>
        <w:tblLayout w:type="fixed"/>
        <w:tblLook w:val="04A0" w:firstRow="1" w:lastRow="0" w:firstColumn="1" w:lastColumn="0" w:noHBand="0" w:noVBand="1"/>
      </w:tblPr>
      <w:tblGrid>
        <w:gridCol w:w="2141"/>
        <w:gridCol w:w="6715"/>
      </w:tblGrid>
      <w:tr w:rsidR="00AA22CB" w:rsidRPr="00F249ED" w14:paraId="75EBC69E" w14:textId="77777777" w:rsidTr="00F97A30">
        <w:tc>
          <w:tcPr>
            <w:tcW w:w="8856" w:type="dxa"/>
            <w:gridSpan w:val="2"/>
          </w:tcPr>
          <w:p w14:paraId="30B39F1C" w14:textId="5EB0FA38" w:rsidR="00AA22CB" w:rsidRPr="009E4689" w:rsidRDefault="004A3045" w:rsidP="00F97A30">
            <w:pPr>
              <w:jc w:val="both"/>
              <w:rPr>
                <w:rFonts w:ascii="Times New Roman" w:hAnsi="Times New Roman" w:cs="Times New Roman"/>
              </w:rPr>
            </w:pPr>
            <w:r>
              <w:rPr>
                <w:rFonts w:ascii="Times New Roman" w:hAnsi="Times New Roman" w:cs="Times New Roman"/>
              </w:rPr>
              <w:t xml:space="preserve">Belarus lacks a </w:t>
            </w:r>
            <w:r w:rsidR="00EA577A">
              <w:rPr>
                <w:rFonts w:ascii="Times New Roman" w:hAnsi="Times New Roman" w:cs="Times New Roman"/>
              </w:rPr>
              <w:t>comprehensive</w:t>
            </w:r>
            <w:r>
              <w:rPr>
                <w:rFonts w:ascii="Times New Roman" w:hAnsi="Times New Roman" w:cs="Times New Roman"/>
              </w:rPr>
              <w:t xml:space="preserve"> children justice system. However, the Criminal Procedure Code</w:t>
            </w:r>
            <w:r w:rsidR="00E3512D">
              <w:rPr>
                <w:rFonts w:ascii="Times New Roman" w:hAnsi="Times New Roman" w:cs="Times New Roman"/>
              </w:rPr>
              <w:t xml:space="preserve"> considers a</w:t>
            </w:r>
            <w:r>
              <w:rPr>
                <w:rFonts w:ascii="Times New Roman" w:hAnsi="Times New Roman" w:cs="Times New Roman"/>
              </w:rPr>
              <w:t xml:space="preserve"> Generally applicable Pretrial detention with no limit or extension established. </w:t>
            </w:r>
          </w:p>
        </w:tc>
      </w:tr>
      <w:tr w:rsidR="00AA22CB" w:rsidRPr="00F650CC" w14:paraId="2F9E47C4" w14:textId="77777777" w:rsidTr="00F97A30">
        <w:tc>
          <w:tcPr>
            <w:tcW w:w="2141" w:type="dxa"/>
          </w:tcPr>
          <w:p w14:paraId="712F863E" w14:textId="77777777" w:rsidR="00AA22CB" w:rsidRPr="00F650CC" w:rsidRDefault="00AA22CB" w:rsidP="00650F1F">
            <w:pPr>
              <w:rPr>
                <w:rFonts w:ascii="Times New Roman" w:hAnsi="Times New Roman" w:cs="Times New Roman"/>
              </w:rPr>
            </w:pPr>
            <w:r w:rsidRPr="00F650CC">
              <w:rPr>
                <w:rFonts w:ascii="Times New Roman" w:hAnsi="Times New Roman" w:cs="Times New Roman"/>
              </w:rPr>
              <w:t>Statute Citation</w:t>
            </w:r>
          </w:p>
        </w:tc>
        <w:tc>
          <w:tcPr>
            <w:tcW w:w="6715" w:type="dxa"/>
          </w:tcPr>
          <w:p w14:paraId="7EB03982" w14:textId="71573E42" w:rsidR="00626D9F" w:rsidRPr="00F650CC" w:rsidRDefault="00626D9F" w:rsidP="00626D9F">
            <w:pPr>
              <w:rPr>
                <w:rFonts w:ascii="Times New Roman" w:hAnsi="Times New Roman" w:cs="Times New Roman"/>
              </w:rPr>
            </w:pPr>
            <w:r w:rsidRPr="00F650CC">
              <w:rPr>
                <w:rFonts w:ascii="Times New Roman" w:hAnsi="Times New Roman" w:cs="Times New Roman"/>
              </w:rPr>
              <w:t>Bel</w:t>
            </w:r>
            <w:r w:rsidR="00F650CC">
              <w:rPr>
                <w:rFonts w:ascii="Times New Roman" w:hAnsi="Times New Roman" w:cs="Times New Roman"/>
              </w:rPr>
              <w:t>a</w:t>
            </w:r>
            <w:r w:rsidRPr="00F650CC">
              <w:rPr>
                <w:rFonts w:ascii="Times New Roman" w:hAnsi="Times New Roman" w:cs="Times New Roman"/>
              </w:rPr>
              <w:t xml:space="preserve">rus Criminal Procedure Code (Translated from Russian) CHAPTER 13 MEASURES OF CROSSING </w:t>
            </w:r>
          </w:p>
          <w:p w14:paraId="5A973E37" w14:textId="77777777" w:rsidR="00626D9F" w:rsidRPr="00F650CC" w:rsidRDefault="00626D9F" w:rsidP="00626D9F">
            <w:pPr>
              <w:rPr>
                <w:rFonts w:ascii="Times New Roman" w:hAnsi="Times New Roman" w:cs="Times New Roman"/>
              </w:rPr>
            </w:pPr>
          </w:p>
          <w:p w14:paraId="60560C73" w14:textId="77777777" w:rsidR="00626D9F" w:rsidRPr="00F650CC" w:rsidRDefault="00626D9F" w:rsidP="00626D9F">
            <w:pPr>
              <w:rPr>
                <w:rFonts w:ascii="Times New Roman" w:hAnsi="Times New Roman" w:cs="Times New Roman"/>
              </w:rPr>
            </w:pPr>
            <w:r w:rsidRPr="00F650CC">
              <w:rPr>
                <w:rFonts w:ascii="Times New Roman" w:hAnsi="Times New Roman" w:cs="Times New Roman"/>
              </w:rPr>
              <w:t>Article 116. Concept and types of preventive measures 2. The following are measures of restraint:</w:t>
            </w:r>
          </w:p>
          <w:p w14:paraId="4CEF82A4" w14:textId="77777777" w:rsidR="00626D9F" w:rsidRPr="00F650CC" w:rsidRDefault="00626D9F" w:rsidP="00626D9F">
            <w:pPr>
              <w:rPr>
                <w:rFonts w:ascii="Times New Roman" w:hAnsi="Times New Roman" w:cs="Times New Roman"/>
              </w:rPr>
            </w:pPr>
            <w:r w:rsidRPr="00F650CC">
              <w:rPr>
                <w:rFonts w:ascii="Times New Roman" w:hAnsi="Times New Roman" w:cs="Times New Roman"/>
              </w:rPr>
              <w:t>1) a written undertaking not to leave and proper conduct;</w:t>
            </w:r>
          </w:p>
          <w:p w14:paraId="2AB6D75A" w14:textId="77777777" w:rsidR="00626D9F" w:rsidRPr="00F650CC" w:rsidRDefault="00626D9F" w:rsidP="00626D9F">
            <w:pPr>
              <w:rPr>
                <w:rFonts w:ascii="Times New Roman" w:hAnsi="Times New Roman" w:cs="Times New Roman"/>
              </w:rPr>
            </w:pPr>
            <w:r w:rsidRPr="00F650CC">
              <w:rPr>
                <w:rFonts w:ascii="Times New Roman" w:hAnsi="Times New Roman" w:cs="Times New Roman"/>
              </w:rPr>
              <w:t xml:space="preserve">2) personal guarantee; </w:t>
            </w:r>
          </w:p>
          <w:p w14:paraId="495C21FD" w14:textId="77777777" w:rsidR="00626D9F" w:rsidRPr="00F650CC" w:rsidRDefault="00626D9F" w:rsidP="00626D9F">
            <w:pPr>
              <w:rPr>
                <w:rFonts w:ascii="Times New Roman" w:hAnsi="Times New Roman" w:cs="Times New Roman"/>
              </w:rPr>
            </w:pPr>
            <w:r w:rsidRPr="00F650CC">
              <w:rPr>
                <w:rFonts w:ascii="Times New Roman" w:hAnsi="Times New Roman" w:cs="Times New Roman"/>
              </w:rPr>
              <w:t xml:space="preserve">3) the transfer of a person for whom the status of a serviceman applies, under the supervision of the command of the military unit </w:t>
            </w:r>
          </w:p>
          <w:p w14:paraId="417EC016" w14:textId="77777777" w:rsidR="00626D9F" w:rsidRPr="00F650CC" w:rsidRDefault="00626D9F" w:rsidP="00626D9F">
            <w:pPr>
              <w:rPr>
                <w:rFonts w:ascii="Times New Roman" w:hAnsi="Times New Roman" w:cs="Times New Roman"/>
              </w:rPr>
            </w:pPr>
            <w:r w:rsidRPr="00F650CC">
              <w:rPr>
                <w:rFonts w:ascii="Times New Roman" w:hAnsi="Times New Roman" w:cs="Times New Roman"/>
              </w:rPr>
              <w:t xml:space="preserve">4) return of the minor to supervision; </w:t>
            </w:r>
          </w:p>
          <w:p w14:paraId="16E0E1A3" w14:textId="77777777" w:rsidR="00626D9F" w:rsidRPr="00F650CC" w:rsidRDefault="00626D9F" w:rsidP="00626D9F">
            <w:pPr>
              <w:rPr>
                <w:rFonts w:ascii="Times New Roman" w:hAnsi="Times New Roman" w:cs="Times New Roman"/>
              </w:rPr>
            </w:pPr>
            <w:r w:rsidRPr="00F650CC">
              <w:rPr>
                <w:rFonts w:ascii="Times New Roman" w:hAnsi="Times New Roman" w:cs="Times New Roman"/>
              </w:rPr>
              <w:t xml:space="preserve">5) pledge; </w:t>
            </w:r>
          </w:p>
          <w:p w14:paraId="59F4343A" w14:textId="77777777" w:rsidR="00626D9F" w:rsidRPr="00F650CC" w:rsidRDefault="00626D9F" w:rsidP="00626D9F">
            <w:pPr>
              <w:rPr>
                <w:rFonts w:ascii="Times New Roman" w:hAnsi="Times New Roman" w:cs="Times New Roman"/>
              </w:rPr>
            </w:pPr>
            <w:r w:rsidRPr="00F650CC">
              <w:rPr>
                <w:rFonts w:ascii="Times New Roman" w:hAnsi="Times New Roman" w:cs="Times New Roman"/>
              </w:rPr>
              <w:t xml:space="preserve">6) house arrest; </w:t>
            </w:r>
          </w:p>
          <w:p w14:paraId="2EBE956D" w14:textId="08846805" w:rsidR="00626D9F" w:rsidRPr="00F650CC" w:rsidRDefault="00626D9F" w:rsidP="00626D9F">
            <w:pPr>
              <w:rPr>
                <w:rFonts w:ascii="Times New Roman" w:hAnsi="Times New Roman" w:cs="Times New Roman"/>
              </w:rPr>
            </w:pPr>
            <w:r w:rsidRPr="00F650CC">
              <w:rPr>
                <w:rFonts w:ascii="Times New Roman" w:hAnsi="Times New Roman" w:cs="Times New Roman"/>
              </w:rPr>
              <w:t xml:space="preserve">7) Detention in custody. </w:t>
            </w:r>
          </w:p>
          <w:p w14:paraId="42E24AF7" w14:textId="77777777" w:rsidR="00AA22CB" w:rsidRDefault="00AA22CB" w:rsidP="00650F1F">
            <w:pPr>
              <w:rPr>
                <w:rFonts w:ascii="Times New Roman" w:hAnsi="Times New Roman" w:cs="Times New Roman"/>
              </w:rPr>
            </w:pPr>
          </w:p>
          <w:p w14:paraId="7E62CBB4" w14:textId="3F42058E" w:rsidR="00F650CC" w:rsidRPr="00F650CC" w:rsidRDefault="00C673DF" w:rsidP="00F650CC">
            <w:pPr>
              <w:rPr>
                <w:rFonts w:ascii="Times New Roman" w:hAnsi="Times New Roman" w:cs="Times New Roman"/>
              </w:rPr>
            </w:pPr>
            <w:bookmarkStart w:id="5" w:name="_GoBack"/>
            <w:proofErr w:type="spellStart"/>
            <w:r w:rsidRPr="00C673DF">
              <w:rPr>
                <w:rFonts w:ascii="Times New Roman" w:hAnsi="Times New Roman" w:cs="Times New Roman"/>
                <w:bCs/>
              </w:rPr>
              <w:t>Уголовно-процессуальный</w:t>
            </w:r>
            <w:proofErr w:type="spellEnd"/>
            <w:r w:rsidRPr="00C673DF">
              <w:rPr>
                <w:rFonts w:ascii="Times New Roman" w:hAnsi="Times New Roman" w:cs="Times New Roman"/>
                <w:bCs/>
              </w:rPr>
              <w:t xml:space="preserve"> </w:t>
            </w:r>
            <w:proofErr w:type="spellStart"/>
            <w:r w:rsidRPr="00C673DF">
              <w:rPr>
                <w:rFonts w:ascii="Times New Roman" w:hAnsi="Times New Roman" w:cs="Times New Roman"/>
                <w:bCs/>
              </w:rPr>
              <w:t>кодекс</w:t>
            </w:r>
            <w:proofErr w:type="spellEnd"/>
            <w:r w:rsidRPr="00C673DF">
              <w:rPr>
                <w:rFonts w:ascii="Times New Roman" w:hAnsi="Times New Roman" w:cs="Times New Roman"/>
                <w:bCs/>
              </w:rPr>
              <w:t xml:space="preserve"> </w:t>
            </w:r>
            <w:proofErr w:type="spellStart"/>
            <w:r w:rsidRPr="00C673DF">
              <w:rPr>
                <w:rFonts w:ascii="Times New Roman" w:hAnsi="Times New Roman" w:cs="Times New Roman"/>
                <w:bCs/>
              </w:rPr>
              <w:t>Республики</w:t>
            </w:r>
            <w:proofErr w:type="spellEnd"/>
            <w:r w:rsidRPr="00C673DF">
              <w:rPr>
                <w:rFonts w:ascii="Times New Roman" w:hAnsi="Times New Roman" w:cs="Times New Roman"/>
                <w:bCs/>
              </w:rPr>
              <w:t xml:space="preserve"> </w:t>
            </w:r>
            <w:proofErr w:type="spellStart"/>
            <w:r w:rsidRPr="00C673DF">
              <w:rPr>
                <w:rFonts w:ascii="Times New Roman" w:hAnsi="Times New Roman" w:cs="Times New Roman"/>
                <w:bCs/>
              </w:rPr>
              <w:t>Беларусь</w:t>
            </w:r>
            <w:proofErr w:type="spellEnd"/>
            <w:r w:rsidRPr="00C673DF">
              <w:rPr>
                <w:rFonts w:ascii="Times New Roman" w:hAnsi="Times New Roman" w:cs="Times New Roman"/>
                <w:bCs/>
              </w:rPr>
              <w:t xml:space="preserve"> </w:t>
            </w:r>
            <w:r>
              <w:rPr>
                <w:rFonts w:ascii="Times New Roman" w:hAnsi="Times New Roman" w:cs="Times New Roman"/>
                <w:bCs/>
              </w:rPr>
              <w:t>[</w:t>
            </w:r>
            <w:r w:rsidR="00F650CC" w:rsidRPr="00613B00">
              <w:rPr>
                <w:rFonts w:ascii="Times New Roman" w:hAnsi="Times New Roman" w:cs="Times New Roman"/>
                <w:bCs/>
              </w:rPr>
              <w:t>Criminal Procedure Code of the Republic of Belarus</w:t>
            </w:r>
            <w:r>
              <w:rPr>
                <w:rFonts w:ascii="Times New Roman" w:hAnsi="Times New Roman" w:cs="Times New Roman"/>
                <w:bCs/>
              </w:rPr>
              <w:t>]</w:t>
            </w:r>
            <w:r w:rsidRPr="00C673DF">
              <w:rPr>
                <w:rFonts w:ascii="Times New Roman" w:hAnsi="Times New Roman" w:cs="Times New Roman"/>
                <w:bCs/>
              </w:rPr>
              <w:t xml:space="preserve"> </w:t>
            </w:r>
            <w:r>
              <w:rPr>
                <w:rFonts w:ascii="Times New Roman" w:hAnsi="Times New Roman" w:cs="Times New Roman"/>
                <w:bCs/>
              </w:rPr>
              <w:t>No. 295-3</w:t>
            </w:r>
            <w:r w:rsidRPr="00C673DF">
              <w:rPr>
                <w:rFonts w:ascii="Times New Roman" w:hAnsi="Times New Roman" w:cs="Times New Roman"/>
                <w:bCs/>
              </w:rPr>
              <w:t xml:space="preserve"> </w:t>
            </w:r>
            <w:r w:rsidR="00F650CC" w:rsidRPr="00613B00">
              <w:rPr>
                <w:rFonts w:ascii="Times New Roman" w:hAnsi="Times New Roman" w:cs="Times New Roman"/>
                <w:bCs/>
              </w:rPr>
              <w:t>June</w:t>
            </w:r>
            <w:r>
              <w:rPr>
                <w:rFonts w:ascii="Times New Roman" w:hAnsi="Times New Roman" w:cs="Times New Roman"/>
                <w:bCs/>
              </w:rPr>
              <w:t xml:space="preserve"> 16</w:t>
            </w:r>
            <w:r w:rsidR="00D33643">
              <w:rPr>
                <w:rFonts w:ascii="Times New Roman" w:hAnsi="Times New Roman" w:cs="Times New Roman"/>
                <w:bCs/>
              </w:rPr>
              <w:t>,</w:t>
            </w:r>
            <w:r w:rsidR="00F650CC" w:rsidRPr="00613B00">
              <w:rPr>
                <w:rFonts w:ascii="Times New Roman" w:hAnsi="Times New Roman" w:cs="Times New Roman"/>
                <w:bCs/>
              </w:rPr>
              <w:t xml:space="preserve"> 1999</w:t>
            </w:r>
            <w:r w:rsidRPr="00C673DF">
              <w:rPr>
                <w:rFonts w:ascii="Times New Roman" w:hAnsi="Times New Roman" w:cs="Times New Roman"/>
                <w:bCs/>
              </w:rPr>
              <w:t xml:space="preserve">, </w:t>
            </w:r>
            <w:r w:rsidR="00F650CC" w:rsidRPr="00F650CC">
              <w:rPr>
                <w:rFonts w:ascii="Times New Roman" w:hAnsi="Times New Roman" w:cs="Times New Roman"/>
              </w:rPr>
              <w:t xml:space="preserve">https://sherloc.unodc.org/res/cld/document/blr/1999/criminal_procedure_code_of_the_republic_of_belarus_ru_html/Belarus_Criminal_Procedure_Code_RU.pdf </w:t>
            </w:r>
            <w:bookmarkEnd w:id="5"/>
          </w:p>
          <w:p w14:paraId="473DF9A0" w14:textId="21BB6FD9" w:rsidR="00F650CC" w:rsidRPr="00F650CC" w:rsidRDefault="00F650CC" w:rsidP="00650F1F">
            <w:pPr>
              <w:rPr>
                <w:rFonts w:ascii="Times New Roman" w:hAnsi="Times New Roman" w:cs="Times New Roman"/>
              </w:rPr>
            </w:pPr>
          </w:p>
        </w:tc>
      </w:tr>
      <w:tr w:rsidR="00AA22CB" w:rsidRPr="00F650CC" w14:paraId="70159D2D" w14:textId="77777777" w:rsidTr="00F97A30">
        <w:tc>
          <w:tcPr>
            <w:tcW w:w="2141" w:type="dxa"/>
          </w:tcPr>
          <w:p w14:paraId="6633FF78" w14:textId="4E534598" w:rsidR="00AA22CB" w:rsidRPr="00F650CC" w:rsidRDefault="00AA22CB" w:rsidP="00650F1F">
            <w:pPr>
              <w:rPr>
                <w:rFonts w:ascii="Times New Roman" w:hAnsi="Times New Roman" w:cs="Times New Roman"/>
              </w:rPr>
            </w:pPr>
            <w:r w:rsidRPr="00F650CC">
              <w:rPr>
                <w:rFonts w:ascii="Times New Roman" w:hAnsi="Times New Roman" w:cs="Times New Roman"/>
              </w:rPr>
              <w:t>Recommended changes to statutory limit according to international law:</w:t>
            </w:r>
          </w:p>
        </w:tc>
        <w:tc>
          <w:tcPr>
            <w:tcW w:w="6715" w:type="dxa"/>
          </w:tcPr>
          <w:p w14:paraId="3AE4C859" w14:textId="07AB8C84" w:rsidR="004A3045" w:rsidRPr="00F650CC" w:rsidRDefault="00307A19" w:rsidP="00F97A30">
            <w:pPr>
              <w:pStyle w:val="ListParagraph"/>
              <w:numPr>
                <w:ilvl w:val="0"/>
                <w:numId w:val="2"/>
              </w:numPr>
              <w:rPr>
                <w:rFonts w:ascii="Times New Roman" w:hAnsi="Times New Roman" w:cs="Times New Roman"/>
                <w:sz w:val="24"/>
                <w:szCs w:val="24"/>
                <w:lang w:val="en-US"/>
              </w:rPr>
            </w:pPr>
            <w:r w:rsidRPr="00F650CC">
              <w:rPr>
                <w:rFonts w:ascii="Times New Roman" w:hAnsi="Times New Roman" w:cs="Times New Roman"/>
                <w:sz w:val="24"/>
                <w:szCs w:val="24"/>
                <w:lang w:val="en-US"/>
              </w:rPr>
              <w:t xml:space="preserve">JJAI recommends that alternative disciplinary or rehabilitative measures be exhausted before resorting to pretrial detention. </w:t>
            </w:r>
          </w:p>
          <w:p w14:paraId="5939222A" w14:textId="733E2D8F" w:rsidR="004A3045" w:rsidRPr="00F650CC" w:rsidRDefault="00307A19" w:rsidP="00F97A30">
            <w:pPr>
              <w:pStyle w:val="ListParagraph"/>
              <w:numPr>
                <w:ilvl w:val="0"/>
                <w:numId w:val="2"/>
              </w:numPr>
              <w:rPr>
                <w:rFonts w:ascii="Times New Roman" w:hAnsi="Times New Roman" w:cs="Times New Roman"/>
                <w:sz w:val="24"/>
                <w:szCs w:val="24"/>
                <w:lang w:val="en-US"/>
              </w:rPr>
            </w:pPr>
            <w:r w:rsidRPr="00F650CC">
              <w:rPr>
                <w:rFonts w:ascii="Times New Roman" w:hAnsi="Times New Roman" w:cs="Times New Roman"/>
                <w:sz w:val="24"/>
                <w:szCs w:val="24"/>
                <w:lang w:val="en-US"/>
              </w:rPr>
              <w:t xml:space="preserve">JJAI also recommends </w:t>
            </w:r>
            <w:r w:rsidR="004A3045" w:rsidRPr="00F650CC">
              <w:rPr>
                <w:rFonts w:ascii="Times New Roman" w:hAnsi="Times New Roman" w:cs="Times New Roman"/>
                <w:sz w:val="24"/>
                <w:szCs w:val="24"/>
                <w:lang w:val="en-US"/>
              </w:rPr>
              <w:t xml:space="preserve">establishing </w:t>
            </w:r>
            <w:r w:rsidRPr="00F650CC">
              <w:rPr>
                <w:rFonts w:ascii="Times New Roman" w:hAnsi="Times New Roman" w:cs="Times New Roman"/>
                <w:sz w:val="24"/>
                <w:szCs w:val="24"/>
                <w:lang w:val="en-US"/>
              </w:rPr>
              <w:t xml:space="preserve">a 30-day maximum for children detained while awaiting trial. </w:t>
            </w:r>
          </w:p>
          <w:p w14:paraId="4C320E6A" w14:textId="77777777" w:rsidR="004A3045" w:rsidRPr="00F650CC" w:rsidRDefault="00307A19" w:rsidP="00F97A30">
            <w:pPr>
              <w:pStyle w:val="ListParagraph"/>
              <w:numPr>
                <w:ilvl w:val="0"/>
                <w:numId w:val="2"/>
              </w:numPr>
              <w:rPr>
                <w:rFonts w:ascii="Times New Roman" w:hAnsi="Times New Roman" w:cs="Times New Roman"/>
                <w:sz w:val="24"/>
                <w:szCs w:val="24"/>
                <w:lang w:val="en-US"/>
              </w:rPr>
            </w:pPr>
            <w:r w:rsidRPr="00F650CC">
              <w:rPr>
                <w:rFonts w:ascii="Times New Roman" w:hAnsi="Times New Roman" w:cs="Times New Roman"/>
                <w:sz w:val="24"/>
                <w:szCs w:val="24"/>
                <w:lang w:val="en-US"/>
              </w:rPr>
              <w:t xml:space="preserve">The pretrial detention should only be allowed to be extended once by a judge for up to 30 more days based upon the procedural needs of the case. </w:t>
            </w:r>
          </w:p>
          <w:p w14:paraId="05ED401E" w14:textId="77777777" w:rsidR="004A3045" w:rsidRPr="00F650CC" w:rsidRDefault="00307A19" w:rsidP="00F97A30">
            <w:pPr>
              <w:pStyle w:val="ListParagraph"/>
              <w:numPr>
                <w:ilvl w:val="0"/>
                <w:numId w:val="2"/>
              </w:numPr>
              <w:rPr>
                <w:rFonts w:ascii="Times New Roman" w:hAnsi="Times New Roman" w:cs="Times New Roman"/>
                <w:sz w:val="24"/>
                <w:szCs w:val="24"/>
                <w:lang w:val="en-US"/>
              </w:rPr>
            </w:pPr>
            <w:r w:rsidRPr="00F650CC">
              <w:rPr>
                <w:rFonts w:ascii="Times New Roman" w:hAnsi="Times New Roman" w:cs="Times New Roman"/>
                <w:sz w:val="24"/>
                <w:szCs w:val="24"/>
                <w:lang w:val="en-US"/>
              </w:rPr>
              <w:t xml:space="preserve">Pretrial detention should start at the moment of the initial detention and end at the moment that the court establishes a final sentence. </w:t>
            </w:r>
          </w:p>
          <w:p w14:paraId="73DC938E" w14:textId="5DFB1F51" w:rsidR="00AA22CB" w:rsidRPr="00613B00" w:rsidRDefault="00307A19" w:rsidP="00F97A30">
            <w:pPr>
              <w:pStyle w:val="ListParagraph"/>
              <w:numPr>
                <w:ilvl w:val="0"/>
                <w:numId w:val="2"/>
              </w:numPr>
              <w:rPr>
                <w:rFonts w:ascii="Times New Roman" w:hAnsi="Times New Roman" w:cs="Times New Roman"/>
              </w:rPr>
            </w:pPr>
            <w:r w:rsidRPr="00F650CC">
              <w:rPr>
                <w:rFonts w:ascii="Times New Roman" w:hAnsi="Times New Roman" w:cs="Times New Roman"/>
                <w:sz w:val="24"/>
                <w:szCs w:val="24"/>
                <w:lang w:val="en-US"/>
              </w:rPr>
              <w:t>Children who are in detention for the statutory maximum number of days should be placed in supervised release immediately and not re-detained for the same offense.</w:t>
            </w:r>
          </w:p>
        </w:tc>
      </w:tr>
      <w:tr w:rsidR="00AA22CB" w:rsidRPr="00F650CC" w14:paraId="789AB5C3" w14:textId="77777777" w:rsidTr="00F97A30">
        <w:tc>
          <w:tcPr>
            <w:tcW w:w="2141" w:type="dxa"/>
          </w:tcPr>
          <w:p w14:paraId="083BCB73" w14:textId="77777777" w:rsidR="00AA22CB" w:rsidRPr="00F650CC" w:rsidRDefault="00AA22CB" w:rsidP="00650F1F">
            <w:pPr>
              <w:rPr>
                <w:rFonts w:ascii="Times New Roman" w:hAnsi="Times New Roman" w:cs="Times New Roman"/>
              </w:rPr>
            </w:pPr>
            <w:r w:rsidRPr="00F650CC">
              <w:rPr>
                <w:rFonts w:ascii="Times New Roman" w:hAnsi="Times New Roman" w:cs="Times New Roman"/>
              </w:rPr>
              <w:t>Additional Information on the country</w:t>
            </w:r>
          </w:p>
        </w:tc>
        <w:tc>
          <w:tcPr>
            <w:tcW w:w="6715" w:type="dxa"/>
          </w:tcPr>
          <w:p w14:paraId="19011698" w14:textId="68F5E223" w:rsidR="00626D9F" w:rsidRPr="00F650CC" w:rsidRDefault="00626D9F" w:rsidP="00626D9F">
            <w:pPr>
              <w:pStyle w:val="ListParagraph"/>
              <w:numPr>
                <w:ilvl w:val="0"/>
                <w:numId w:val="2"/>
              </w:numPr>
              <w:rPr>
                <w:rFonts w:ascii="Times New Roman" w:hAnsi="Times New Roman" w:cs="Times New Roman"/>
                <w:sz w:val="24"/>
                <w:szCs w:val="24"/>
                <w:lang w:val="en-US"/>
              </w:rPr>
            </w:pPr>
            <w:r w:rsidRPr="00F650CC">
              <w:rPr>
                <w:rFonts w:ascii="Times New Roman" w:hAnsi="Times New Roman" w:cs="Times New Roman"/>
                <w:sz w:val="24"/>
                <w:szCs w:val="24"/>
                <w:lang w:val="en-US"/>
              </w:rPr>
              <w:t>The minimum age of criminal responsibility is 14 years for specifically named offenses in the Penal Code, and 16 years generally.</w:t>
            </w:r>
          </w:p>
          <w:p w14:paraId="78F8B73E" w14:textId="0D448724" w:rsidR="00626D9F" w:rsidRPr="00F650CC" w:rsidRDefault="00626D9F" w:rsidP="00626D9F">
            <w:pPr>
              <w:pStyle w:val="ListParagraph"/>
              <w:numPr>
                <w:ilvl w:val="0"/>
                <w:numId w:val="2"/>
              </w:numPr>
              <w:rPr>
                <w:rFonts w:ascii="Times New Roman" w:hAnsi="Times New Roman" w:cs="Times New Roman"/>
                <w:sz w:val="24"/>
                <w:szCs w:val="24"/>
                <w:lang w:val="en-US"/>
              </w:rPr>
            </w:pPr>
            <w:r w:rsidRPr="00F650CC">
              <w:rPr>
                <w:rFonts w:ascii="Times New Roman" w:hAnsi="Times New Roman" w:cs="Times New Roman"/>
                <w:sz w:val="24"/>
                <w:szCs w:val="24"/>
                <w:lang w:val="en-US"/>
              </w:rPr>
              <w:t>Belarus lacks a comprehensive juvenile justice system.</w:t>
            </w:r>
          </w:p>
        </w:tc>
      </w:tr>
      <w:tr w:rsidR="00AA22CB" w:rsidRPr="00F650CC" w14:paraId="71B074E7" w14:textId="77777777" w:rsidTr="00F97A30">
        <w:tc>
          <w:tcPr>
            <w:tcW w:w="2141" w:type="dxa"/>
          </w:tcPr>
          <w:p w14:paraId="623BFDF0" w14:textId="00C625E6" w:rsidR="00AA22CB" w:rsidRPr="00F650CC" w:rsidRDefault="00AA22CB" w:rsidP="00650F1F">
            <w:pPr>
              <w:rPr>
                <w:rFonts w:ascii="Times New Roman" w:hAnsi="Times New Roman" w:cs="Times New Roman"/>
              </w:rPr>
            </w:pPr>
            <w:r w:rsidRPr="00F650CC">
              <w:rPr>
                <w:rFonts w:ascii="Times New Roman" w:hAnsi="Times New Roman" w:cs="Times New Roman"/>
              </w:rPr>
              <w:lastRenderedPageBreak/>
              <w:t>Questions for the state party related to child pretrial detention time limits:</w:t>
            </w:r>
          </w:p>
        </w:tc>
        <w:tc>
          <w:tcPr>
            <w:tcW w:w="6715" w:type="dxa"/>
          </w:tcPr>
          <w:p w14:paraId="6A0B60B2" w14:textId="60ED18CB" w:rsidR="00AA22CB" w:rsidRPr="00F650CC" w:rsidRDefault="00AA22CB" w:rsidP="00650F1F">
            <w:pPr>
              <w:pStyle w:val="ListParagraph"/>
              <w:numPr>
                <w:ilvl w:val="1"/>
                <w:numId w:val="1"/>
              </w:numPr>
              <w:pBdr>
                <w:top w:val="nil"/>
                <w:left w:val="nil"/>
                <w:bottom w:val="nil"/>
                <w:right w:val="nil"/>
                <w:between w:val="nil"/>
              </w:pBdr>
              <w:jc w:val="both"/>
              <w:rPr>
                <w:rFonts w:ascii="Times New Roman" w:hAnsi="Times New Roman" w:cs="Times New Roman"/>
                <w:sz w:val="24"/>
                <w:szCs w:val="24"/>
                <w:lang w:val="en-US"/>
              </w:rPr>
            </w:pPr>
            <w:r w:rsidRPr="00F650CC">
              <w:rPr>
                <w:rFonts w:ascii="Times New Roman" w:hAnsi="Times New Roman" w:cs="Times New Roman"/>
                <w:sz w:val="24"/>
                <w:szCs w:val="24"/>
                <w:lang w:val="en-US"/>
              </w:rPr>
              <w:t>Data on the average time children actually spend in pretrial detention.</w:t>
            </w:r>
          </w:p>
          <w:p w14:paraId="02DD06CE" w14:textId="5C3D93A9" w:rsidR="00E3512D" w:rsidRPr="00F650CC" w:rsidRDefault="00E3512D" w:rsidP="00650F1F">
            <w:pPr>
              <w:pStyle w:val="ListParagraph"/>
              <w:numPr>
                <w:ilvl w:val="1"/>
                <w:numId w:val="1"/>
              </w:numPr>
              <w:pBdr>
                <w:top w:val="nil"/>
                <w:left w:val="nil"/>
                <w:bottom w:val="nil"/>
                <w:right w:val="nil"/>
                <w:between w:val="nil"/>
              </w:pBdr>
              <w:jc w:val="both"/>
              <w:rPr>
                <w:rFonts w:ascii="Times New Roman" w:hAnsi="Times New Roman" w:cs="Times New Roman"/>
                <w:sz w:val="24"/>
                <w:szCs w:val="24"/>
                <w:lang w:val="en-US"/>
              </w:rPr>
            </w:pPr>
            <w:r w:rsidRPr="00F650CC">
              <w:rPr>
                <w:rFonts w:ascii="Times New Roman" w:hAnsi="Times New Roman" w:cs="Times New Roman"/>
                <w:sz w:val="24"/>
                <w:szCs w:val="24"/>
                <w:lang w:val="en-US"/>
              </w:rPr>
              <w:t>Data on children detained with adults.</w:t>
            </w:r>
          </w:p>
          <w:p w14:paraId="51896A40" w14:textId="77777777" w:rsidR="00AA22CB" w:rsidRPr="00F650CC" w:rsidRDefault="00AA22CB" w:rsidP="00650F1F">
            <w:pPr>
              <w:pStyle w:val="ListParagraph"/>
              <w:numPr>
                <w:ilvl w:val="1"/>
                <w:numId w:val="1"/>
              </w:numPr>
              <w:pBdr>
                <w:top w:val="nil"/>
                <w:left w:val="nil"/>
                <w:bottom w:val="nil"/>
                <w:right w:val="nil"/>
                <w:between w:val="nil"/>
              </w:pBdr>
              <w:jc w:val="both"/>
              <w:rPr>
                <w:rFonts w:ascii="Times New Roman" w:hAnsi="Times New Roman" w:cs="Times New Roman"/>
                <w:sz w:val="24"/>
                <w:szCs w:val="24"/>
                <w:lang w:val="en-US"/>
              </w:rPr>
            </w:pPr>
            <w:r w:rsidRPr="00F650CC">
              <w:rPr>
                <w:rFonts w:ascii="Times New Roman" w:hAnsi="Times New Roman" w:cs="Times New Roman"/>
                <w:sz w:val="24"/>
                <w:szCs w:val="24"/>
                <w:lang w:val="en-US"/>
              </w:rPr>
              <w:t>Data on the number of children who spend longer than the maximum time in pretrial detention.</w:t>
            </w:r>
          </w:p>
          <w:p w14:paraId="1FBDEE12" w14:textId="77777777" w:rsidR="00AA22CB" w:rsidRPr="00F650CC" w:rsidRDefault="00AA22CB" w:rsidP="00650F1F">
            <w:pPr>
              <w:pStyle w:val="ListParagraph"/>
              <w:numPr>
                <w:ilvl w:val="1"/>
                <w:numId w:val="1"/>
              </w:numPr>
              <w:pBdr>
                <w:top w:val="nil"/>
                <w:left w:val="nil"/>
                <w:bottom w:val="nil"/>
                <w:right w:val="nil"/>
                <w:between w:val="nil"/>
              </w:pBdr>
              <w:jc w:val="both"/>
              <w:rPr>
                <w:rFonts w:ascii="Times New Roman" w:hAnsi="Times New Roman" w:cs="Times New Roman"/>
                <w:sz w:val="24"/>
                <w:szCs w:val="24"/>
                <w:lang w:val="en-US"/>
              </w:rPr>
            </w:pPr>
            <w:r w:rsidRPr="00F650CC">
              <w:rPr>
                <w:rFonts w:ascii="Times New Roman" w:hAnsi="Times New Roman" w:cs="Times New Roman"/>
                <w:sz w:val="24"/>
                <w:szCs w:val="24"/>
                <w:lang w:val="en-US"/>
              </w:rPr>
              <w:t>Data on duration of pretrial detention as it varies by race, gender, religion or other relevant characteristics.</w:t>
            </w:r>
          </w:p>
          <w:p w14:paraId="5462F3B1" w14:textId="24CFBB58" w:rsidR="00AA22CB" w:rsidRPr="00F650CC" w:rsidRDefault="00AA22CB" w:rsidP="00650F1F">
            <w:pPr>
              <w:pStyle w:val="ListParagraph"/>
              <w:numPr>
                <w:ilvl w:val="1"/>
                <w:numId w:val="1"/>
              </w:numPr>
              <w:pBdr>
                <w:top w:val="nil"/>
                <w:left w:val="nil"/>
                <w:bottom w:val="nil"/>
                <w:right w:val="nil"/>
                <w:between w:val="nil"/>
              </w:pBdr>
              <w:jc w:val="both"/>
              <w:rPr>
                <w:rFonts w:ascii="Times New Roman" w:hAnsi="Times New Roman" w:cs="Times New Roman"/>
                <w:sz w:val="24"/>
                <w:szCs w:val="24"/>
                <w:lang w:val="en-US"/>
              </w:rPr>
            </w:pPr>
            <w:r w:rsidRPr="00F650CC">
              <w:rPr>
                <w:rFonts w:ascii="Times New Roman" w:hAnsi="Times New Roman" w:cs="Times New Roman"/>
                <w:sz w:val="24"/>
                <w:szCs w:val="24"/>
                <w:lang w:val="en-US"/>
              </w:rPr>
              <w:t>Data on efforts to reduce</w:t>
            </w:r>
            <w:r w:rsidR="00E3512D" w:rsidRPr="00F650CC">
              <w:rPr>
                <w:rFonts w:ascii="Times New Roman" w:hAnsi="Times New Roman" w:cs="Times New Roman"/>
                <w:sz w:val="24"/>
                <w:szCs w:val="24"/>
                <w:lang w:val="en-US"/>
              </w:rPr>
              <w:t xml:space="preserve">/establish </w:t>
            </w:r>
            <w:r w:rsidRPr="00F650CC">
              <w:rPr>
                <w:rFonts w:ascii="Times New Roman" w:hAnsi="Times New Roman" w:cs="Times New Roman"/>
                <w:sz w:val="24"/>
                <w:szCs w:val="24"/>
                <w:lang w:val="en-US"/>
              </w:rPr>
              <w:t>the length of pretrial detention and expedite cases.</w:t>
            </w:r>
          </w:p>
          <w:p w14:paraId="732BAE41" w14:textId="77777777" w:rsidR="00AA22CB" w:rsidRPr="00F650CC" w:rsidRDefault="00AA22CB" w:rsidP="00650F1F">
            <w:pPr>
              <w:pStyle w:val="ListParagraph"/>
              <w:numPr>
                <w:ilvl w:val="1"/>
                <w:numId w:val="1"/>
              </w:numPr>
              <w:pBdr>
                <w:top w:val="nil"/>
                <w:left w:val="nil"/>
                <w:bottom w:val="nil"/>
                <w:right w:val="nil"/>
                <w:between w:val="nil"/>
              </w:pBdr>
              <w:jc w:val="both"/>
              <w:rPr>
                <w:rFonts w:ascii="Times New Roman" w:hAnsi="Times New Roman" w:cs="Times New Roman"/>
                <w:sz w:val="24"/>
                <w:szCs w:val="24"/>
                <w:lang w:val="en-US"/>
              </w:rPr>
            </w:pPr>
            <w:r w:rsidRPr="00F650CC">
              <w:rPr>
                <w:rFonts w:ascii="Times New Roman" w:hAnsi="Times New Roman" w:cs="Times New Roman"/>
                <w:sz w:val="24"/>
                <w:szCs w:val="24"/>
                <w:lang w:val="en-US"/>
              </w:rPr>
              <w:t>Information on how appeals and other challenges affect duration of pretrial detention.</w:t>
            </w:r>
          </w:p>
          <w:p w14:paraId="6DC8F576" w14:textId="77777777" w:rsidR="00AA22CB" w:rsidRPr="00F650CC" w:rsidRDefault="00AA22CB" w:rsidP="00650F1F">
            <w:pPr>
              <w:pStyle w:val="ListParagraph"/>
              <w:numPr>
                <w:ilvl w:val="1"/>
                <w:numId w:val="1"/>
              </w:numPr>
              <w:pBdr>
                <w:top w:val="nil"/>
                <w:left w:val="nil"/>
                <w:bottom w:val="nil"/>
                <w:right w:val="nil"/>
                <w:between w:val="nil"/>
              </w:pBdr>
              <w:jc w:val="both"/>
              <w:rPr>
                <w:rFonts w:ascii="Times New Roman" w:hAnsi="Times New Roman" w:cs="Times New Roman"/>
                <w:sz w:val="24"/>
                <w:szCs w:val="24"/>
                <w:lang w:val="en-US"/>
              </w:rPr>
            </w:pPr>
            <w:r w:rsidRPr="00F650CC">
              <w:rPr>
                <w:rFonts w:ascii="Times New Roman" w:hAnsi="Times New Roman" w:cs="Times New Roman"/>
                <w:sz w:val="24"/>
                <w:szCs w:val="24"/>
                <w:lang w:val="en-US"/>
              </w:rPr>
              <w:t>Information on standards related to initial court appearance, determination of legality of initial detention, and judicial control over detention of children.</w:t>
            </w:r>
          </w:p>
          <w:p w14:paraId="517DA7D4" w14:textId="77777777" w:rsidR="00AA22CB" w:rsidRPr="00F650CC" w:rsidRDefault="00AA22CB" w:rsidP="00650F1F">
            <w:pPr>
              <w:pStyle w:val="ListParagraph"/>
              <w:numPr>
                <w:ilvl w:val="1"/>
                <w:numId w:val="1"/>
              </w:numPr>
              <w:pBdr>
                <w:top w:val="nil"/>
                <w:left w:val="nil"/>
                <w:bottom w:val="nil"/>
                <w:right w:val="nil"/>
                <w:between w:val="nil"/>
              </w:pBdr>
              <w:jc w:val="both"/>
              <w:rPr>
                <w:rFonts w:ascii="Times New Roman" w:hAnsi="Times New Roman" w:cs="Times New Roman"/>
                <w:sz w:val="24"/>
                <w:szCs w:val="24"/>
                <w:lang w:val="en-US"/>
              </w:rPr>
            </w:pPr>
            <w:r w:rsidRPr="00F650CC">
              <w:rPr>
                <w:rFonts w:ascii="Times New Roman" w:hAnsi="Times New Roman" w:cs="Times New Roman"/>
                <w:sz w:val="24"/>
                <w:szCs w:val="24"/>
                <w:lang w:val="en-US"/>
              </w:rPr>
              <w:t>Data on oversight and children’s access to legal counsel within pretrial detention.</w:t>
            </w:r>
          </w:p>
          <w:p w14:paraId="5C9C4283" w14:textId="77777777" w:rsidR="00AA22CB" w:rsidRPr="00F650CC" w:rsidRDefault="00AA22CB" w:rsidP="00650F1F">
            <w:pPr>
              <w:rPr>
                <w:rFonts w:ascii="Times New Roman" w:hAnsi="Times New Roman" w:cs="Times New Roman"/>
              </w:rPr>
            </w:pPr>
          </w:p>
        </w:tc>
      </w:tr>
      <w:tr w:rsidR="00AA22CB" w:rsidRPr="00F249ED" w14:paraId="6543F5CF" w14:textId="77777777" w:rsidTr="00F97A30">
        <w:tc>
          <w:tcPr>
            <w:tcW w:w="2141" w:type="dxa"/>
          </w:tcPr>
          <w:p w14:paraId="1981AF8A" w14:textId="77777777" w:rsidR="00AA22CB" w:rsidRPr="00F650CC" w:rsidRDefault="00AA22CB" w:rsidP="00650F1F">
            <w:pPr>
              <w:rPr>
                <w:rFonts w:ascii="Times New Roman" w:hAnsi="Times New Roman" w:cs="Times New Roman"/>
              </w:rPr>
            </w:pPr>
            <w:r w:rsidRPr="00F650CC">
              <w:rPr>
                <w:rFonts w:ascii="Times New Roman" w:hAnsi="Times New Roman" w:cs="Times New Roman"/>
              </w:rPr>
              <w:t>Link to Global Study</w:t>
            </w:r>
          </w:p>
        </w:tc>
        <w:tc>
          <w:tcPr>
            <w:tcW w:w="6715" w:type="dxa"/>
          </w:tcPr>
          <w:p w14:paraId="1F381115" w14:textId="77777777" w:rsidR="00AA22CB" w:rsidRDefault="008A3737" w:rsidP="00650F1F">
            <w:pPr>
              <w:shd w:val="clear" w:color="auto" w:fill="FFFFFF"/>
              <w:rPr>
                <w:rFonts w:ascii="Arial" w:hAnsi="Arial" w:cs="Arial"/>
                <w:color w:val="222222"/>
              </w:rPr>
            </w:pPr>
            <w:hyperlink r:id="rId9" w:tgtFrame="_blank" w:history="1">
              <w:r w:rsidR="00AA22CB" w:rsidRPr="00F650CC">
                <w:rPr>
                  <w:rFonts w:ascii="Arial" w:hAnsi="Arial" w:cs="Arial"/>
                  <w:color w:val="1155CC"/>
                  <w:u w:val="single"/>
                </w:rPr>
                <w:br/>
              </w:r>
              <w:r w:rsidR="00AA22CB" w:rsidRPr="00F650CC">
                <w:rPr>
                  <w:rStyle w:val="Hyperlink"/>
                  <w:rFonts w:ascii="Arial" w:hAnsi="Arial" w:cs="Arial"/>
                  <w:color w:val="1155CC"/>
                </w:rPr>
                <w:t>https://jjimexico.org/ptd-report/</w:t>
              </w:r>
            </w:hyperlink>
          </w:p>
          <w:p w14:paraId="44F42533" w14:textId="77777777" w:rsidR="00AA22CB" w:rsidRPr="00F249ED" w:rsidRDefault="00AA22CB" w:rsidP="00650F1F">
            <w:pPr>
              <w:rPr>
                <w:rFonts w:ascii="Times New Roman" w:hAnsi="Times New Roman" w:cs="Times New Roman"/>
              </w:rPr>
            </w:pPr>
          </w:p>
        </w:tc>
      </w:tr>
    </w:tbl>
    <w:p w14:paraId="7B39EFB2" w14:textId="77777777" w:rsidR="00AA22CB" w:rsidRPr="00F249ED" w:rsidRDefault="00AA22CB" w:rsidP="00AA22CB">
      <w:pPr>
        <w:rPr>
          <w:rFonts w:ascii="Times New Roman" w:hAnsi="Times New Roman" w:cs="Times New Roman"/>
        </w:rPr>
      </w:pPr>
    </w:p>
    <w:p w14:paraId="113143CC" w14:textId="2A02B011" w:rsidR="00AA22CB" w:rsidRDefault="00AA22CB">
      <w:pPr>
        <w:rPr>
          <w:rFonts w:ascii="Times New Roman" w:hAnsi="Times New Roman" w:cs="Times New Roman"/>
        </w:rPr>
      </w:pPr>
    </w:p>
    <w:p w14:paraId="4429568A" w14:textId="00E9C839" w:rsidR="00AA22CB" w:rsidRDefault="00AA22CB">
      <w:pPr>
        <w:rPr>
          <w:rFonts w:ascii="Times New Roman" w:hAnsi="Times New Roman" w:cs="Times New Roman"/>
        </w:rPr>
      </w:pPr>
    </w:p>
    <w:p w14:paraId="23B2EF40" w14:textId="22913B1A" w:rsidR="00AA22CB" w:rsidRDefault="00AA22CB">
      <w:pPr>
        <w:rPr>
          <w:rFonts w:ascii="Times New Roman" w:hAnsi="Times New Roman" w:cs="Times New Roman"/>
        </w:rPr>
      </w:pPr>
    </w:p>
    <w:p w14:paraId="3895130C" w14:textId="77777777" w:rsidR="00AA22CB" w:rsidRPr="00F249ED" w:rsidRDefault="00AA22CB">
      <w:pPr>
        <w:rPr>
          <w:rFonts w:ascii="Times New Roman" w:hAnsi="Times New Roman" w:cs="Times New Roman"/>
        </w:rPr>
      </w:pPr>
    </w:p>
    <w:sectPr w:rsidR="00AA22CB" w:rsidRPr="00F249ED" w:rsidSect="005220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AECF2" w14:textId="77777777" w:rsidR="00FD0853" w:rsidRDefault="00FD0853" w:rsidP="000A296B">
      <w:r>
        <w:separator/>
      </w:r>
    </w:p>
  </w:endnote>
  <w:endnote w:type="continuationSeparator" w:id="0">
    <w:p w14:paraId="0581C387" w14:textId="77777777" w:rsidR="00FD0853" w:rsidRDefault="00FD0853" w:rsidP="000A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A7F9B" w14:textId="77777777" w:rsidR="00FD0853" w:rsidRDefault="00FD0853" w:rsidP="000A296B">
      <w:r>
        <w:separator/>
      </w:r>
    </w:p>
  </w:footnote>
  <w:footnote w:type="continuationSeparator" w:id="0">
    <w:p w14:paraId="6EC45D32" w14:textId="77777777" w:rsidR="00FD0853" w:rsidRDefault="00FD0853" w:rsidP="000A296B">
      <w:r>
        <w:continuationSeparator/>
      </w:r>
    </w:p>
  </w:footnote>
  <w:footnote w:id="1">
    <w:p w14:paraId="6B16F291" w14:textId="77777777" w:rsidR="00EA577A" w:rsidRPr="00251BCE" w:rsidRDefault="00EA577A" w:rsidP="00EA577A">
      <w:pPr>
        <w:rPr>
          <w:rFonts w:eastAsia="Calibri"/>
          <w:sz w:val="20"/>
          <w:szCs w:val="20"/>
        </w:rPr>
      </w:pPr>
      <w:r w:rsidRPr="00C828DE">
        <w:rPr>
          <w:sz w:val="20"/>
          <w:szCs w:val="20"/>
          <w:vertAlign w:val="superscript"/>
        </w:rPr>
        <w:footnoteRef/>
      </w:r>
      <w:r w:rsidRPr="00C828DE">
        <w:rPr>
          <w:rFonts w:eastAsia="Calibri"/>
          <w:sz w:val="20"/>
          <w:szCs w:val="20"/>
        </w:rPr>
        <w:t xml:space="preserve"> </w:t>
      </w:r>
      <w:r w:rsidRPr="00253B3B">
        <w:rPr>
          <w:rFonts w:eastAsia="Calibri"/>
          <w:sz w:val="20"/>
          <w:szCs w:val="20"/>
        </w:rPr>
        <w:t xml:space="preserve">Patrick Webb &amp; William Allen </w:t>
      </w:r>
      <w:proofErr w:type="spellStart"/>
      <w:r w:rsidRPr="00253B3B">
        <w:rPr>
          <w:rFonts w:eastAsia="Calibri"/>
          <w:sz w:val="20"/>
          <w:szCs w:val="20"/>
        </w:rPr>
        <w:t>Kritsonis</w:t>
      </w:r>
      <w:proofErr w:type="spellEnd"/>
      <w:r w:rsidRPr="00253B3B">
        <w:rPr>
          <w:rFonts w:eastAsia="Calibri"/>
          <w:sz w:val="20"/>
          <w:szCs w:val="20"/>
        </w:rPr>
        <w:t xml:space="preserve">, </w:t>
      </w:r>
      <w:r w:rsidRPr="003D0A00">
        <w:rPr>
          <w:rFonts w:eastAsia="Calibri"/>
          <w:i/>
          <w:sz w:val="20"/>
          <w:szCs w:val="20"/>
        </w:rPr>
        <w:t>Controlling those Kids: Social Control and the Use of Pretrial Detention among Youth in the United States of America: National Implications</w:t>
      </w:r>
      <w:r w:rsidRPr="00253B3B">
        <w:rPr>
          <w:rFonts w:eastAsia="Calibri"/>
          <w:sz w:val="20"/>
          <w:szCs w:val="20"/>
        </w:rPr>
        <w:t xml:space="preserve">, </w:t>
      </w:r>
      <w:r>
        <w:rPr>
          <w:rFonts w:eastAsia="Calibri"/>
          <w:smallCaps/>
          <w:sz w:val="20"/>
          <w:szCs w:val="20"/>
        </w:rPr>
        <w:t xml:space="preserve">ERIC </w:t>
      </w:r>
      <w:r w:rsidRPr="00253B3B">
        <w:rPr>
          <w:rFonts w:eastAsia="Calibri"/>
          <w:sz w:val="20"/>
          <w:szCs w:val="20"/>
        </w:rPr>
        <w:t>(Oct. 2006), https://eric.ed.gov/?id=ED493565.</w:t>
      </w:r>
      <w:r w:rsidRPr="00253B3B" w:rsidDel="00253B3B">
        <w:rPr>
          <w:rFonts w:eastAsia="Calibri"/>
          <w:sz w:val="20"/>
          <w:szCs w:val="20"/>
        </w:rPr>
        <w:t xml:space="preserve"> </w:t>
      </w:r>
    </w:p>
  </w:footnote>
  <w:footnote w:id="2">
    <w:p w14:paraId="6A64A57A" w14:textId="77777777" w:rsidR="00EA577A" w:rsidRPr="00D96CED" w:rsidRDefault="00EA577A" w:rsidP="00EA577A">
      <w:pPr>
        <w:rPr>
          <w:rFonts w:eastAsia="Calibri"/>
          <w:sz w:val="20"/>
          <w:szCs w:val="20"/>
        </w:rPr>
      </w:pPr>
      <w:r w:rsidRPr="00D96CED">
        <w:rPr>
          <w:sz w:val="20"/>
          <w:szCs w:val="20"/>
          <w:vertAlign w:val="superscript"/>
        </w:rPr>
        <w:footnoteRef/>
      </w:r>
      <w:r w:rsidRPr="00D96CED">
        <w:rPr>
          <w:rFonts w:eastAsia="Calibri"/>
          <w:sz w:val="20"/>
          <w:szCs w:val="20"/>
        </w:rPr>
        <w:t xml:space="preserve"> </w:t>
      </w:r>
      <w:r w:rsidRPr="00B83369">
        <w:rPr>
          <w:sz w:val="20"/>
          <w:szCs w:val="20"/>
        </w:rPr>
        <w:t>G.A. Res. 44/25, Convention on the Rights of the Child, art. 37(b) (Nov. 20, 1989) [hereinafter CRC].</w:t>
      </w:r>
    </w:p>
  </w:footnote>
  <w:footnote w:id="3">
    <w:p w14:paraId="322D1C74" w14:textId="77777777" w:rsidR="00EA577A" w:rsidRDefault="00EA577A" w:rsidP="00EA577A">
      <w:pPr>
        <w:pStyle w:val="FootnoteText"/>
        <w:jc w:val="left"/>
      </w:pPr>
      <w:r>
        <w:rPr>
          <w:rStyle w:val="FootnoteReference"/>
        </w:rPr>
        <w:footnoteRef/>
      </w:r>
      <w:r>
        <w:t xml:space="preserve"> Comm. on the Rights of the Child, </w:t>
      </w:r>
      <w:r w:rsidRPr="00D47D44">
        <w:rPr>
          <w:bCs/>
        </w:rPr>
        <w:t>General Comment 10: Children's Rights in Juvenile Justice</w:t>
      </w:r>
      <w:r>
        <w:t>, § 80, U.N. Doc. CRC/C/GC/10 (Apr. 25, 2007) [hereinafter CRC General Comment 10].</w:t>
      </w:r>
    </w:p>
  </w:footnote>
  <w:footnote w:id="4">
    <w:p w14:paraId="07A94D89" w14:textId="77777777" w:rsidR="00EA577A" w:rsidRPr="00764FDC" w:rsidRDefault="00EA577A" w:rsidP="00EA577A">
      <w:pPr>
        <w:pStyle w:val="FootnoteText"/>
      </w:pPr>
      <w:r>
        <w:rPr>
          <w:rStyle w:val="FootnoteReference"/>
        </w:rPr>
        <w:footnoteRef/>
      </w:r>
      <w:r>
        <w:t xml:space="preserve"> </w:t>
      </w:r>
      <w:r>
        <w:rPr>
          <w:i/>
        </w:rPr>
        <w:t xml:space="preserve">Id. </w:t>
      </w:r>
      <w:r>
        <w:t>¶ 83 (specifying that regular review is “preferably every two weeks”).</w:t>
      </w:r>
    </w:p>
  </w:footnote>
  <w:footnote w:id="5">
    <w:p w14:paraId="05102783" w14:textId="77777777" w:rsidR="00EA577A" w:rsidRPr="00D96CED" w:rsidRDefault="00EA577A" w:rsidP="00EA577A">
      <w:pPr>
        <w:rPr>
          <w:rFonts w:eastAsia="Calibri"/>
          <w:sz w:val="20"/>
          <w:szCs w:val="20"/>
        </w:rPr>
      </w:pPr>
      <w:r w:rsidRPr="00D96CED">
        <w:rPr>
          <w:sz w:val="20"/>
          <w:szCs w:val="20"/>
          <w:vertAlign w:val="superscript"/>
        </w:rPr>
        <w:footnoteRef/>
      </w:r>
      <w:r w:rsidRPr="00D96CED">
        <w:rPr>
          <w:rFonts w:eastAsia="Calibri"/>
          <w:sz w:val="20"/>
          <w:szCs w:val="20"/>
        </w:rPr>
        <w:t xml:space="preserve"> </w:t>
      </w:r>
      <w:r w:rsidRPr="00B83369">
        <w:rPr>
          <w:sz w:val="20"/>
          <w:szCs w:val="20"/>
        </w:rPr>
        <w:t xml:space="preserve">Moritz </w:t>
      </w:r>
      <w:proofErr w:type="spellStart"/>
      <w:r w:rsidRPr="00B83369">
        <w:rPr>
          <w:sz w:val="20"/>
          <w:szCs w:val="20"/>
        </w:rPr>
        <w:t>Birk</w:t>
      </w:r>
      <w:proofErr w:type="spellEnd"/>
      <w:r w:rsidRPr="00B83369">
        <w:rPr>
          <w:sz w:val="20"/>
          <w:szCs w:val="20"/>
        </w:rPr>
        <w:t xml:space="preserve"> et. al., </w:t>
      </w:r>
      <w:r w:rsidRPr="00D96CED">
        <w:rPr>
          <w:rFonts w:eastAsia="Calibri"/>
          <w:i/>
          <w:sz w:val="20"/>
          <w:szCs w:val="20"/>
        </w:rPr>
        <w:t>Pretrial Detention and Torture: Why Pretrial Detainees Face the Greatest Risk</w:t>
      </w:r>
      <w:r w:rsidRPr="00D96CED">
        <w:rPr>
          <w:rFonts w:eastAsia="Calibri"/>
          <w:sz w:val="20"/>
          <w:szCs w:val="20"/>
        </w:rPr>
        <w:t xml:space="preserve">, </w:t>
      </w:r>
      <w:r>
        <w:rPr>
          <w:rFonts w:eastAsia="Calibri"/>
          <w:sz w:val="20"/>
          <w:szCs w:val="20"/>
        </w:rPr>
        <w:t xml:space="preserve">27, </w:t>
      </w:r>
      <w:r>
        <w:rPr>
          <w:rFonts w:eastAsia="Calibri"/>
          <w:smallCaps/>
          <w:sz w:val="20"/>
          <w:szCs w:val="20"/>
        </w:rPr>
        <w:t>Open Soc’</w:t>
      </w:r>
      <w:r w:rsidRPr="00D96CED">
        <w:rPr>
          <w:rFonts w:eastAsia="Calibri"/>
          <w:smallCaps/>
          <w:sz w:val="20"/>
          <w:szCs w:val="20"/>
        </w:rPr>
        <w:t>y Found</w:t>
      </w:r>
      <w:r w:rsidRPr="00C828DE">
        <w:rPr>
          <w:rFonts w:eastAsia="Calibri"/>
          <w:sz w:val="20"/>
          <w:szCs w:val="20"/>
        </w:rPr>
        <w:t>. (2011))</w:t>
      </w:r>
      <w:r>
        <w:rPr>
          <w:rFonts w:eastAsia="Calibri"/>
          <w:sz w:val="20"/>
          <w:szCs w:val="20"/>
        </w:rPr>
        <w:t xml:space="preserve">, </w:t>
      </w:r>
      <w:hyperlink r:id="rId1" w:history="1">
        <w:r w:rsidRPr="00D96CED">
          <w:rPr>
            <w:rStyle w:val="Hyperlink"/>
            <w:rFonts w:eastAsia="Calibri"/>
            <w:sz w:val="20"/>
            <w:szCs w:val="20"/>
          </w:rPr>
          <w:t>https://www.opensocietyfoundations.org/sites/default/files/pretrial-detention-and-torture-06222011.pdf</w:t>
        </w:r>
      </w:hyperlink>
      <w:r w:rsidRPr="00D96CED">
        <w:rPr>
          <w:rFonts w:eastAsia="Calibri"/>
          <w:sz w:val="20"/>
          <w:szCs w:val="20"/>
        </w:rPr>
        <w:t xml:space="preserve">. </w:t>
      </w:r>
    </w:p>
  </w:footnote>
  <w:footnote w:id="6">
    <w:p w14:paraId="57C87C8B" w14:textId="77777777" w:rsidR="00EA577A" w:rsidRPr="00D96CED" w:rsidRDefault="00EA577A" w:rsidP="00EA577A">
      <w:pPr>
        <w:rPr>
          <w:rFonts w:eastAsia="Calibri"/>
          <w:sz w:val="20"/>
          <w:szCs w:val="20"/>
        </w:rPr>
      </w:pPr>
      <w:r w:rsidRPr="00D96CED">
        <w:rPr>
          <w:sz w:val="20"/>
          <w:szCs w:val="20"/>
          <w:vertAlign w:val="superscript"/>
        </w:rPr>
        <w:footnoteRef/>
      </w:r>
      <w:r w:rsidRPr="00D96CED">
        <w:rPr>
          <w:rFonts w:eastAsia="Calibri"/>
          <w:sz w:val="20"/>
          <w:szCs w:val="20"/>
        </w:rPr>
        <w:t xml:space="preserve"> Barry Holman &amp; Jason </w:t>
      </w:r>
      <w:proofErr w:type="spellStart"/>
      <w:r w:rsidRPr="00D96CED">
        <w:rPr>
          <w:rFonts w:eastAsia="Calibri"/>
          <w:sz w:val="20"/>
          <w:szCs w:val="20"/>
        </w:rPr>
        <w:t>Ziedenber</w:t>
      </w:r>
      <w:r>
        <w:rPr>
          <w:rFonts w:eastAsia="Calibri"/>
          <w:sz w:val="20"/>
          <w:szCs w:val="20"/>
        </w:rPr>
        <w:t>g</w:t>
      </w:r>
      <w:proofErr w:type="spellEnd"/>
      <w:r w:rsidRPr="00D96CED">
        <w:rPr>
          <w:rFonts w:eastAsia="Calibri"/>
          <w:sz w:val="20"/>
          <w:szCs w:val="20"/>
        </w:rPr>
        <w:t xml:space="preserve">. </w:t>
      </w:r>
      <w:r w:rsidRPr="00D96CED">
        <w:rPr>
          <w:rFonts w:eastAsia="Calibri"/>
          <w:i/>
          <w:sz w:val="20"/>
          <w:szCs w:val="20"/>
        </w:rPr>
        <w:t>The Dangers of Detention: The Impact of Incarcerating Youth in Detention and Other Secure Facilities</w:t>
      </w:r>
      <w:r w:rsidRPr="00D96CED">
        <w:rPr>
          <w:rFonts w:eastAsia="Calibri"/>
          <w:sz w:val="20"/>
          <w:szCs w:val="20"/>
        </w:rPr>
        <w:t xml:space="preserve">, </w:t>
      </w:r>
      <w:r>
        <w:rPr>
          <w:rFonts w:eastAsia="Calibri"/>
          <w:sz w:val="20"/>
          <w:szCs w:val="20"/>
        </w:rPr>
        <w:t xml:space="preserve">3–10, </w:t>
      </w:r>
      <w:r w:rsidRPr="00B0537C">
        <w:rPr>
          <w:rFonts w:eastAsia="Calibri"/>
          <w:smallCaps/>
          <w:sz w:val="20"/>
          <w:szCs w:val="20"/>
        </w:rPr>
        <w:t>Just</w:t>
      </w:r>
      <w:r>
        <w:rPr>
          <w:rFonts w:eastAsia="Calibri"/>
          <w:smallCaps/>
          <w:sz w:val="20"/>
          <w:szCs w:val="20"/>
        </w:rPr>
        <w:t>.</w:t>
      </w:r>
      <w:r w:rsidRPr="00B0537C">
        <w:rPr>
          <w:rFonts w:eastAsia="Calibri"/>
          <w:smallCaps/>
          <w:sz w:val="20"/>
          <w:szCs w:val="20"/>
        </w:rPr>
        <w:t xml:space="preserve"> </w:t>
      </w:r>
      <w:proofErr w:type="spellStart"/>
      <w:r w:rsidRPr="00B0537C">
        <w:rPr>
          <w:rFonts w:eastAsia="Calibri"/>
          <w:smallCaps/>
          <w:sz w:val="20"/>
          <w:szCs w:val="20"/>
        </w:rPr>
        <w:t>Pol</w:t>
      </w:r>
      <w:r>
        <w:rPr>
          <w:rFonts w:eastAsia="Calibri"/>
          <w:smallCaps/>
          <w:sz w:val="20"/>
          <w:szCs w:val="20"/>
        </w:rPr>
        <w:t>’</w:t>
      </w:r>
      <w:r w:rsidRPr="00B0537C">
        <w:rPr>
          <w:rFonts w:eastAsia="Calibri"/>
          <w:smallCaps/>
          <w:sz w:val="20"/>
          <w:szCs w:val="20"/>
        </w:rPr>
        <w:t>y</w:t>
      </w:r>
      <w:proofErr w:type="spellEnd"/>
      <w:r w:rsidRPr="00B0537C">
        <w:rPr>
          <w:rFonts w:eastAsia="Calibri"/>
          <w:smallCaps/>
          <w:sz w:val="20"/>
          <w:szCs w:val="20"/>
        </w:rPr>
        <w:t xml:space="preserve"> Inst</w:t>
      </w:r>
      <w:r>
        <w:rPr>
          <w:rFonts w:eastAsia="Calibri"/>
          <w:smallCaps/>
          <w:sz w:val="20"/>
          <w:szCs w:val="20"/>
        </w:rPr>
        <w:t>.</w:t>
      </w:r>
      <w:r w:rsidRPr="00D96CED">
        <w:rPr>
          <w:rFonts w:eastAsia="Calibri"/>
          <w:sz w:val="20"/>
          <w:szCs w:val="20"/>
        </w:rPr>
        <w:t xml:space="preserve"> (Nov. 28, 2006)</w:t>
      </w:r>
      <w:r>
        <w:rPr>
          <w:rFonts w:eastAsia="Calibri"/>
          <w:sz w:val="20"/>
          <w:szCs w:val="20"/>
        </w:rPr>
        <w:t xml:space="preserve">, </w:t>
      </w:r>
      <w:hyperlink r:id="rId2" w:history="1">
        <w:r w:rsidRPr="00933000">
          <w:rPr>
            <w:rStyle w:val="Hyperlink"/>
            <w:rFonts w:eastAsia="Calibri"/>
            <w:sz w:val="20"/>
            <w:szCs w:val="20"/>
          </w:rPr>
          <w:t>http://www.justicepolicy.org/images/upload/06-11_rep_dangersofdetention_jj.pdf</w:t>
        </w:r>
      </w:hyperlink>
      <w:r>
        <w:rPr>
          <w:rFonts w:eastAsia="Calibri"/>
          <w:sz w:val="20"/>
          <w:szCs w:val="20"/>
        </w:rPr>
        <w:t xml:space="preserve">. </w:t>
      </w:r>
    </w:p>
  </w:footnote>
  <w:footnote w:id="7">
    <w:p w14:paraId="415EC3ED" w14:textId="77777777" w:rsidR="00EA577A" w:rsidRPr="005F3659" w:rsidRDefault="00EA577A" w:rsidP="00EA577A">
      <w:pPr>
        <w:rPr>
          <w:rFonts w:eastAsia="Calibri"/>
          <w:sz w:val="20"/>
          <w:lang w:val="es-MX"/>
        </w:rPr>
      </w:pPr>
      <w:r w:rsidRPr="00D96CED">
        <w:rPr>
          <w:sz w:val="20"/>
          <w:szCs w:val="20"/>
          <w:vertAlign w:val="superscript"/>
        </w:rPr>
        <w:footnoteRef/>
      </w:r>
      <w:r w:rsidRPr="009C3BC5">
        <w:rPr>
          <w:rFonts w:eastAsia="Calibri"/>
          <w:sz w:val="20"/>
          <w:szCs w:val="20"/>
          <w:lang w:val="es-MX"/>
        </w:rPr>
        <w:t xml:space="preserve"> </w:t>
      </w:r>
      <w:r w:rsidRPr="009C3BC5">
        <w:rPr>
          <w:rFonts w:eastAsia="Calibri"/>
          <w:i/>
          <w:sz w:val="20"/>
          <w:szCs w:val="20"/>
          <w:lang w:val="es-MX"/>
        </w:rPr>
        <w:t>E.g.</w:t>
      </w:r>
      <w:r w:rsidRPr="009C3BC5">
        <w:rPr>
          <w:rFonts w:eastAsia="Calibri"/>
          <w:sz w:val="20"/>
          <w:szCs w:val="20"/>
          <w:lang w:val="es-MX"/>
        </w:rPr>
        <w:t xml:space="preserve">, </w:t>
      </w:r>
      <w:r w:rsidRPr="003D0A00">
        <w:rPr>
          <w:i/>
          <w:sz w:val="20"/>
          <w:szCs w:val="20"/>
          <w:lang w:val="es-MX"/>
        </w:rPr>
        <w:t xml:space="preserve">Diagnóstico del Sistema de Justicia Para Adolescentes del Estado de Chihuahua: </w:t>
      </w:r>
      <w:r>
        <w:rPr>
          <w:i/>
          <w:sz w:val="20"/>
          <w:szCs w:val="20"/>
          <w:lang w:val="es-MX"/>
        </w:rPr>
        <w:t>“</w:t>
      </w:r>
      <w:r w:rsidRPr="003D0A00">
        <w:rPr>
          <w:i/>
          <w:sz w:val="20"/>
          <w:szCs w:val="20"/>
          <w:lang w:val="es-MX"/>
        </w:rPr>
        <w:t>Buenas Prácticas para las Alternativas a la Detención</w:t>
      </w:r>
      <w:r>
        <w:rPr>
          <w:i/>
          <w:sz w:val="20"/>
          <w:szCs w:val="20"/>
          <w:lang w:val="es-MX"/>
        </w:rPr>
        <w:t>”</w:t>
      </w:r>
      <w:r w:rsidRPr="00423E44">
        <w:rPr>
          <w:sz w:val="20"/>
          <w:szCs w:val="20"/>
          <w:lang w:val="es-MX"/>
        </w:rPr>
        <w:t xml:space="preserve">, </w:t>
      </w:r>
      <w:r>
        <w:rPr>
          <w:sz w:val="20"/>
          <w:szCs w:val="20"/>
          <w:lang w:val="es-MX"/>
        </w:rPr>
        <w:t>8–10</w:t>
      </w:r>
      <w:r w:rsidRPr="003D0A00">
        <w:rPr>
          <w:sz w:val="20"/>
          <w:szCs w:val="20"/>
          <w:lang w:val="es-MX"/>
        </w:rPr>
        <w:t xml:space="preserve">, </w:t>
      </w:r>
      <w:r w:rsidRPr="003D0A00">
        <w:rPr>
          <w:smallCaps/>
          <w:sz w:val="20"/>
          <w:szCs w:val="20"/>
          <w:lang w:val="es-MX"/>
        </w:rPr>
        <w:t>Justicia Juvenil Int’l</w:t>
      </w:r>
      <w:r w:rsidRPr="00423E44">
        <w:rPr>
          <w:sz w:val="20"/>
          <w:szCs w:val="20"/>
          <w:lang w:val="es-MX"/>
        </w:rPr>
        <w:t xml:space="preserve"> (Sept. 2017)</w:t>
      </w:r>
      <w:r>
        <w:rPr>
          <w:sz w:val="20"/>
          <w:szCs w:val="20"/>
          <w:lang w:val="es-MX"/>
        </w:rPr>
        <w:t xml:space="preserve"> </w:t>
      </w:r>
      <w:r w:rsidRPr="003D0A00">
        <w:rPr>
          <w:sz w:val="20"/>
          <w:szCs w:val="20"/>
          <w:lang w:val="es-MX"/>
        </w:rPr>
        <w:t>https://jjimexico.org/projects/chihuahua</w:t>
      </w:r>
      <w:r w:rsidRPr="003D0A00">
        <w:rPr>
          <w:color w:val="FF0000"/>
          <w:sz w:val="20"/>
          <w:szCs w:val="20"/>
          <w:lang w:val="es-MX"/>
        </w:rPr>
        <w:t xml:space="preserve"> </w:t>
      </w:r>
      <w:r w:rsidRPr="003D0A00">
        <w:rPr>
          <w:sz w:val="20"/>
          <w:szCs w:val="20"/>
          <w:lang w:val="es-MX"/>
        </w:rPr>
        <w:t xml:space="preserve">[hereinafter </w:t>
      </w:r>
      <w:r w:rsidRPr="003D0A00">
        <w:rPr>
          <w:i/>
          <w:sz w:val="20"/>
          <w:szCs w:val="20"/>
          <w:lang w:val="es-MX"/>
        </w:rPr>
        <w:t>Diagnóstico 2017</w:t>
      </w:r>
      <w:r w:rsidRPr="00965283">
        <w:rPr>
          <w:sz w:val="20"/>
          <w:szCs w:val="20"/>
          <w:lang w:val="es-MX"/>
        </w:rPr>
        <w:t>]</w:t>
      </w:r>
      <w:r>
        <w:rPr>
          <w:sz w:val="20"/>
          <w:szCs w:val="20"/>
          <w:lang w:val="es-MX"/>
        </w:rPr>
        <w:t>.</w:t>
      </w:r>
    </w:p>
  </w:footnote>
  <w:footnote w:id="8">
    <w:p w14:paraId="6B8F365C" w14:textId="77777777" w:rsidR="00EA577A" w:rsidRPr="00BA721A" w:rsidRDefault="00EA577A" w:rsidP="00EA577A">
      <w:pPr>
        <w:pStyle w:val="FootnoteText"/>
      </w:pPr>
      <w:r>
        <w:rPr>
          <w:rStyle w:val="FootnoteReference"/>
        </w:rPr>
        <w:footnoteRef/>
      </w:r>
      <w:r>
        <w:rPr>
          <w:rStyle w:val="FootnoteReference"/>
        </w:rPr>
        <w:footnoteRef/>
      </w:r>
      <w:r>
        <w:rPr>
          <w:rStyle w:val="FootnoteReference"/>
        </w:rPr>
        <w:footnoteRef/>
      </w:r>
      <w:r>
        <w:t xml:space="preserve"> </w:t>
      </w:r>
      <w:r w:rsidRPr="00FF2B5D">
        <w:t xml:space="preserve">Additional methodological information available in </w:t>
      </w:r>
      <w:r>
        <w:rPr>
          <w:i/>
        </w:rPr>
        <w:t xml:space="preserve">Children in Pretrial Detention: Promoting Stronger International Time Limits, </w:t>
      </w:r>
      <w:proofErr w:type="spellStart"/>
      <w:r>
        <w:t>i</w:t>
      </w:r>
      <w:proofErr w:type="spellEnd"/>
      <w:r>
        <w:t xml:space="preserve">, May, 2018 (available at </w:t>
      </w:r>
      <w:proofErr w:type="gramStart"/>
      <w:r>
        <w:t>https:jjimexico.org</w:t>
      </w:r>
      <w:proofErr w:type="gramEnd"/>
      <w:r>
        <w:t>/ptd-report/)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03767"/>
    <w:multiLevelType w:val="hybridMultilevel"/>
    <w:tmpl w:val="6180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86E4B"/>
    <w:multiLevelType w:val="hybridMultilevel"/>
    <w:tmpl w:val="E15AE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911F32"/>
    <w:multiLevelType w:val="hybridMultilevel"/>
    <w:tmpl w:val="87684882"/>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9F"/>
    <w:rsid w:val="000070B9"/>
    <w:rsid w:val="000902F3"/>
    <w:rsid w:val="00090ADD"/>
    <w:rsid w:val="000A296B"/>
    <w:rsid w:val="00187935"/>
    <w:rsid w:val="00195F22"/>
    <w:rsid w:val="002978CF"/>
    <w:rsid w:val="00307A19"/>
    <w:rsid w:val="00312FED"/>
    <w:rsid w:val="00473A3B"/>
    <w:rsid w:val="004A3045"/>
    <w:rsid w:val="00522026"/>
    <w:rsid w:val="00537903"/>
    <w:rsid w:val="005C5E02"/>
    <w:rsid w:val="00613979"/>
    <w:rsid w:val="00613B00"/>
    <w:rsid w:val="00626D9F"/>
    <w:rsid w:val="007641BC"/>
    <w:rsid w:val="00773F2C"/>
    <w:rsid w:val="007E2BFD"/>
    <w:rsid w:val="007E67BD"/>
    <w:rsid w:val="007F384B"/>
    <w:rsid w:val="007F465D"/>
    <w:rsid w:val="00817E06"/>
    <w:rsid w:val="008A3737"/>
    <w:rsid w:val="0090460C"/>
    <w:rsid w:val="009A7B2B"/>
    <w:rsid w:val="009E4689"/>
    <w:rsid w:val="00A029FD"/>
    <w:rsid w:val="00A81EC4"/>
    <w:rsid w:val="00A87A53"/>
    <w:rsid w:val="00AA22CB"/>
    <w:rsid w:val="00B027EC"/>
    <w:rsid w:val="00B574D3"/>
    <w:rsid w:val="00BA1DBB"/>
    <w:rsid w:val="00BD5708"/>
    <w:rsid w:val="00C23A9F"/>
    <w:rsid w:val="00C32FDE"/>
    <w:rsid w:val="00C673DF"/>
    <w:rsid w:val="00CF2E23"/>
    <w:rsid w:val="00D33643"/>
    <w:rsid w:val="00D53093"/>
    <w:rsid w:val="00DB615B"/>
    <w:rsid w:val="00DE4012"/>
    <w:rsid w:val="00E3512D"/>
    <w:rsid w:val="00EA577A"/>
    <w:rsid w:val="00EC0F3F"/>
    <w:rsid w:val="00EF56C3"/>
    <w:rsid w:val="00F17FF3"/>
    <w:rsid w:val="00F249ED"/>
    <w:rsid w:val="00F650CC"/>
    <w:rsid w:val="00F97A30"/>
    <w:rsid w:val="00FB7D38"/>
    <w:rsid w:val="00FC7E94"/>
    <w:rsid w:val="00FD0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33921C"/>
  <w14:defaultImageDpi w14:val="300"/>
  <w15:docId w15:val="{F12DF4DD-5C33-C842-8793-9F797EE8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3A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3A9F"/>
    <w:rPr>
      <w:rFonts w:ascii="Lucida Grande" w:hAnsi="Lucida Grande" w:cs="Lucida Grande"/>
      <w:sz w:val="18"/>
      <w:szCs w:val="18"/>
    </w:rPr>
  </w:style>
  <w:style w:type="paragraph" w:styleId="ListParagraph">
    <w:name w:val="List Paragraph"/>
    <w:basedOn w:val="Normal"/>
    <w:uiPriority w:val="34"/>
    <w:qFormat/>
    <w:rsid w:val="007641BC"/>
    <w:pPr>
      <w:spacing w:after="160" w:line="259" w:lineRule="auto"/>
      <w:ind w:left="720"/>
      <w:contextualSpacing/>
    </w:pPr>
    <w:rPr>
      <w:rFonts w:eastAsiaTheme="minorHAnsi"/>
      <w:sz w:val="22"/>
      <w:szCs w:val="22"/>
      <w:lang w:val="es-MX"/>
    </w:rPr>
  </w:style>
  <w:style w:type="character" w:styleId="CommentReference">
    <w:name w:val="annotation reference"/>
    <w:basedOn w:val="DefaultParagraphFont"/>
    <w:uiPriority w:val="99"/>
    <w:semiHidden/>
    <w:unhideWhenUsed/>
    <w:rsid w:val="0090460C"/>
    <w:rPr>
      <w:sz w:val="18"/>
      <w:szCs w:val="18"/>
    </w:rPr>
  </w:style>
  <w:style w:type="paragraph" w:styleId="CommentText">
    <w:name w:val="annotation text"/>
    <w:basedOn w:val="Normal"/>
    <w:link w:val="CommentTextChar"/>
    <w:uiPriority w:val="99"/>
    <w:semiHidden/>
    <w:unhideWhenUsed/>
    <w:rsid w:val="0090460C"/>
  </w:style>
  <w:style w:type="character" w:customStyle="1" w:styleId="CommentTextChar">
    <w:name w:val="Comment Text Char"/>
    <w:basedOn w:val="DefaultParagraphFont"/>
    <w:link w:val="CommentText"/>
    <w:uiPriority w:val="99"/>
    <w:semiHidden/>
    <w:rsid w:val="0090460C"/>
  </w:style>
  <w:style w:type="paragraph" w:styleId="CommentSubject">
    <w:name w:val="annotation subject"/>
    <w:basedOn w:val="CommentText"/>
    <w:next w:val="CommentText"/>
    <w:link w:val="CommentSubjectChar"/>
    <w:uiPriority w:val="99"/>
    <w:semiHidden/>
    <w:unhideWhenUsed/>
    <w:rsid w:val="0090460C"/>
    <w:rPr>
      <w:b/>
      <w:bCs/>
      <w:sz w:val="20"/>
      <w:szCs w:val="20"/>
    </w:rPr>
  </w:style>
  <w:style w:type="character" w:customStyle="1" w:styleId="CommentSubjectChar">
    <w:name w:val="Comment Subject Char"/>
    <w:basedOn w:val="CommentTextChar"/>
    <w:link w:val="CommentSubject"/>
    <w:uiPriority w:val="99"/>
    <w:semiHidden/>
    <w:rsid w:val="0090460C"/>
    <w:rPr>
      <w:b/>
      <w:bCs/>
      <w:sz w:val="20"/>
      <w:szCs w:val="20"/>
    </w:rPr>
  </w:style>
  <w:style w:type="paragraph" w:styleId="NormalWeb">
    <w:name w:val="Normal (Web)"/>
    <w:basedOn w:val="Normal"/>
    <w:uiPriority w:val="99"/>
    <w:unhideWhenUsed/>
    <w:rsid w:val="00312FED"/>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0A296B"/>
    <w:pPr>
      <w:pBdr>
        <w:top w:val="nil"/>
        <w:left w:val="nil"/>
        <w:bottom w:val="nil"/>
        <w:right w:val="nil"/>
        <w:between w:val="nil"/>
      </w:pBdr>
      <w:jc w:val="both"/>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rsid w:val="000A296B"/>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unhideWhenUsed/>
    <w:rsid w:val="000A296B"/>
    <w:rPr>
      <w:vertAlign w:val="superscript"/>
    </w:rPr>
  </w:style>
  <w:style w:type="character" w:styleId="Hyperlink">
    <w:name w:val="Hyperlink"/>
    <w:basedOn w:val="DefaultParagraphFont"/>
    <w:uiPriority w:val="99"/>
    <w:unhideWhenUsed/>
    <w:rsid w:val="00F249ED"/>
    <w:rPr>
      <w:color w:val="auto"/>
      <w:u w:val="single"/>
    </w:rPr>
  </w:style>
  <w:style w:type="paragraph" w:styleId="Revision">
    <w:name w:val="Revision"/>
    <w:hidden/>
    <w:uiPriority w:val="99"/>
    <w:semiHidden/>
    <w:rsid w:val="00AA2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89677">
      <w:bodyDiv w:val="1"/>
      <w:marLeft w:val="0"/>
      <w:marRight w:val="0"/>
      <w:marTop w:val="0"/>
      <w:marBottom w:val="0"/>
      <w:divBdr>
        <w:top w:val="none" w:sz="0" w:space="0" w:color="auto"/>
        <w:left w:val="none" w:sz="0" w:space="0" w:color="auto"/>
        <w:bottom w:val="none" w:sz="0" w:space="0" w:color="auto"/>
        <w:right w:val="none" w:sz="0" w:space="0" w:color="auto"/>
      </w:divBdr>
    </w:div>
    <w:div w:id="1123041480">
      <w:bodyDiv w:val="1"/>
      <w:marLeft w:val="0"/>
      <w:marRight w:val="0"/>
      <w:marTop w:val="0"/>
      <w:marBottom w:val="0"/>
      <w:divBdr>
        <w:top w:val="none" w:sz="0" w:space="0" w:color="auto"/>
        <w:left w:val="none" w:sz="0" w:space="0" w:color="auto"/>
        <w:bottom w:val="none" w:sz="0" w:space="0" w:color="auto"/>
        <w:right w:val="none" w:sz="0" w:space="0" w:color="auto"/>
      </w:divBdr>
      <w:divsChild>
        <w:div w:id="1627270549">
          <w:marLeft w:val="0"/>
          <w:marRight w:val="0"/>
          <w:marTop w:val="0"/>
          <w:marBottom w:val="0"/>
          <w:divBdr>
            <w:top w:val="none" w:sz="0" w:space="0" w:color="auto"/>
            <w:left w:val="none" w:sz="0" w:space="0" w:color="auto"/>
            <w:bottom w:val="none" w:sz="0" w:space="0" w:color="auto"/>
            <w:right w:val="none" w:sz="0" w:space="0" w:color="auto"/>
          </w:divBdr>
        </w:div>
      </w:divsChild>
    </w:div>
    <w:div w:id="1226724216">
      <w:bodyDiv w:val="1"/>
      <w:marLeft w:val="0"/>
      <w:marRight w:val="0"/>
      <w:marTop w:val="0"/>
      <w:marBottom w:val="0"/>
      <w:divBdr>
        <w:top w:val="none" w:sz="0" w:space="0" w:color="auto"/>
        <w:left w:val="none" w:sz="0" w:space="0" w:color="auto"/>
        <w:bottom w:val="none" w:sz="0" w:space="0" w:color="auto"/>
        <w:right w:val="none" w:sz="0" w:space="0" w:color="auto"/>
      </w:divBdr>
      <w:divsChild>
        <w:div w:id="241839933">
          <w:marLeft w:val="0"/>
          <w:marRight w:val="0"/>
          <w:marTop w:val="0"/>
          <w:marBottom w:val="0"/>
          <w:divBdr>
            <w:top w:val="none" w:sz="0" w:space="0" w:color="auto"/>
            <w:left w:val="none" w:sz="0" w:space="0" w:color="auto"/>
            <w:bottom w:val="none" w:sz="0" w:space="0" w:color="auto"/>
            <w:right w:val="none" w:sz="0" w:space="0" w:color="auto"/>
          </w:divBdr>
          <w:divsChild>
            <w:div w:id="1617374485">
              <w:marLeft w:val="0"/>
              <w:marRight w:val="0"/>
              <w:marTop w:val="0"/>
              <w:marBottom w:val="0"/>
              <w:divBdr>
                <w:top w:val="none" w:sz="0" w:space="0" w:color="auto"/>
                <w:left w:val="none" w:sz="0" w:space="0" w:color="auto"/>
                <w:bottom w:val="none" w:sz="0" w:space="0" w:color="auto"/>
                <w:right w:val="none" w:sz="0" w:space="0" w:color="auto"/>
              </w:divBdr>
              <w:divsChild>
                <w:div w:id="12639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256468">
      <w:bodyDiv w:val="1"/>
      <w:marLeft w:val="0"/>
      <w:marRight w:val="0"/>
      <w:marTop w:val="0"/>
      <w:marBottom w:val="0"/>
      <w:divBdr>
        <w:top w:val="none" w:sz="0" w:space="0" w:color="auto"/>
        <w:left w:val="none" w:sz="0" w:space="0" w:color="auto"/>
        <w:bottom w:val="none" w:sz="0" w:space="0" w:color="auto"/>
        <w:right w:val="none" w:sz="0" w:space="0" w:color="auto"/>
      </w:divBdr>
    </w:div>
    <w:div w:id="1331560830">
      <w:bodyDiv w:val="1"/>
      <w:marLeft w:val="0"/>
      <w:marRight w:val="0"/>
      <w:marTop w:val="0"/>
      <w:marBottom w:val="0"/>
      <w:divBdr>
        <w:top w:val="none" w:sz="0" w:space="0" w:color="auto"/>
        <w:left w:val="none" w:sz="0" w:space="0" w:color="auto"/>
        <w:bottom w:val="none" w:sz="0" w:space="0" w:color="auto"/>
        <w:right w:val="none" w:sz="0" w:space="0" w:color="auto"/>
      </w:divBdr>
    </w:div>
    <w:div w:id="1674071018">
      <w:bodyDiv w:val="1"/>
      <w:marLeft w:val="0"/>
      <w:marRight w:val="0"/>
      <w:marTop w:val="0"/>
      <w:marBottom w:val="0"/>
      <w:divBdr>
        <w:top w:val="none" w:sz="0" w:space="0" w:color="auto"/>
        <w:left w:val="none" w:sz="0" w:space="0" w:color="auto"/>
        <w:bottom w:val="none" w:sz="0" w:space="0" w:color="auto"/>
        <w:right w:val="none" w:sz="0" w:space="0" w:color="auto"/>
      </w:divBdr>
    </w:div>
    <w:div w:id="1814056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jimexico.org/ptd-report/"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justicepolicy.org/images/upload/06-11_rep_dangersofdetention_jj.pdf" TargetMode="External"/><Relationship Id="rId1" Type="http://schemas.openxmlformats.org/officeDocument/2006/relationships/hyperlink" Target="https://www.opensocietyfoundations.org/sites/default/files/pretrial-detention-and-torture-0622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c16696aa584c7baf6644b32c58072d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146DE-F9DF-48D1-8018-54A8B1269804}"/>
</file>

<file path=customXml/itemProps2.xml><?xml version="1.0" encoding="utf-8"?>
<ds:datastoreItem xmlns:ds="http://schemas.openxmlformats.org/officeDocument/2006/customXml" ds:itemID="{3DE1DD5F-9972-49BF-85B5-9DCA11612D6B}"/>
</file>

<file path=customXml/itemProps3.xml><?xml version="1.0" encoding="utf-8"?>
<ds:datastoreItem xmlns:ds="http://schemas.openxmlformats.org/officeDocument/2006/customXml" ds:itemID="{02F1E566-8361-4331-A330-280132006F2C}"/>
</file>

<file path=docProps/app.xml><?xml version="1.0" encoding="utf-8"?>
<Properties xmlns="http://schemas.openxmlformats.org/officeDocument/2006/extended-properties" xmlns:vt="http://schemas.openxmlformats.org/officeDocument/2006/docPropsVTypes">
  <Template>Normal.dotm</Template>
  <TotalTime>1</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ITESM</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Sarahi Garcia</dc:creator>
  <cp:keywords/>
  <dc:description/>
  <cp:lastModifiedBy>sarahi@jjimexico.org</cp:lastModifiedBy>
  <cp:revision>2</cp:revision>
  <dcterms:created xsi:type="dcterms:W3CDTF">2019-02-28T19:13:00Z</dcterms:created>
  <dcterms:modified xsi:type="dcterms:W3CDTF">2019-02-28T19:13:00Z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0x0101007F18AF28EAB6004E88A60F194B4BE5E0</vt:lpwstr>
  </property>
</Properties>
</file>