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E71C4C" w14:paraId="45D940E5" w14:textId="77777777" w:rsidTr="0040017C">
        <w:trPr>
          <w:trHeight w:val="851"/>
        </w:trPr>
        <w:tc>
          <w:tcPr>
            <w:tcW w:w="1259" w:type="dxa"/>
            <w:tcBorders>
              <w:top w:val="nil"/>
              <w:left w:val="nil"/>
              <w:bottom w:val="single" w:sz="4" w:space="0" w:color="auto"/>
              <w:right w:val="nil"/>
            </w:tcBorders>
          </w:tcPr>
          <w:p w14:paraId="3C4181E5" w14:textId="77777777" w:rsidR="00E52109" w:rsidRPr="00F7632A" w:rsidRDefault="00E52109" w:rsidP="0040017C">
            <w:pPr>
              <w:pStyle w:val="HMG"/>
              <w:rPr>
                <w:b w:val="0"/>
                <w:sz w:val="20"/>
                <w:lang w:val="en-US"/>
              </w:rPr>
            </w:pPr>
          </w:p>
        </w:tc>
        <w:tc>
          <w:tcPr>
            <w:tcW w:w="2236" w:type="dxa"/>
            <w:tcBorders>
              <w:top w:val="nil"/>
              <w:left w:val="nil"/>
              <w:bottom w:val="single" w:sz="4" w:space="0" w:color="auto"/>
              <w:right w:val="nil"/>
            </w:tcBorders>
            <w:vAlign w:val="bottom"/>
          </w:tcPr>
          <w:p w14:paraId="3820F3A7" w14:textId="5FDA970C" w:rsidR="00E52109" w:rsidRPr="00E71C4C" w:rsidRDefault="00E52109" w:rsidP="0040017C">
            <w:pPr>
              <w:spacing w:after="80" w:line="300" w:lineRule="exact"/>
              <w:rPr>
                <w:sz w:val="20"/>
                <w:szCs w:val="20"/>
                <w:lang w:val="en-US"/>
              </w:rPr>
            </w:pPr>
          </w:p>
        </w:tc>
        <w:tc>
          <w:tcPr>
            <w:tcW w:w="6144" w:type="dxa"/>
            <w:gridSpan w:val="2"/>
            <w:tcBorders>
              <w:top w:val="nil"/>
              <w:left w:val="nil"/>
              <w:bottom w:val="single" w:sz="4" w:space="0" w:color="auto"/>
              <w:right w:val="nil"/>
            </w:tcBorders>
            <w:vAlign w:val="bottom"/>
          </w:tcPr>
          <w:p w14:paraId="63300FC1" w14:textId="0AA14C2B" w:rsidR="00E52109" w:rsidRPr="00E71C4C" w:rsidRDefault="000B463E" w:rsidP="00140ECF">
            <w:pPr>
              <w:spacing w:after="20"/>
              <w:jc w:val="right"/>
              <w:rPr>
                <w:sz w:val="20"/>
                <w:szCs w:val="20"/>
                <w:lang w:val="en-US"/>
              </w:rPr>
            </w:pPr>
            <w:r w:rsidRPr="00E71C4C">
              <w:rPr>
                <w:sz w:val="20"/>
                <w:szCs w:val="20"/>
                <w:lang w:val="en-US"/>
              </w:rPr>
              <w:t>A</w:t>
            </w:r>
            <w:r w:rsidR="00942624" w:rsidRPr="00E71C4C">
              <w:rPr>
                <w:sz w:val="20"/>
                <w:szCs w:val="20"/>
                <w:lang w:val="en-US"/>
              </w:rPr>
              <w:t>/HRC/42/</w:t>
            </w:r>
            <w:r w:rsidR="00140ECF">
              <w:rPr>
                <w:sz w:val="20"/>
                <w:szCs w:val="20"/>
                <w:lang w:val="en-US"/>
              </w:rPr>
              <w:t>42</w:t>
            </w:r>
            <w:r w:rsidRPr="00E71C4C">
              <w:rPr>
                <w:sz w:val="20"/>
                <w:szCs w:val="20"/>
                <w:lang w:val="en-US"/>
              </w:rPr>
              <w:t>/Add.</w:t>
            </w:r>
            <w:r w:rsidR="00F32806" w:rsidRPr="00E71C4C">
              <w:rPr>
                <w:sz w:val="20"/>
                <w:szCs w:val="20"/>
                <w:lang w:val="en-US"/>
              </w:rPr>
              <w:t>2</w:t>
            </w:r>
          </w:p>
        </w:tc>
      </w:tr>
      <w:tr w:rsidR="00E52109" w:rsidRPr="00E71C4C" w14:paraId="466B5FAD" w14:textId="77777777" w:rsidTr="0040017C">
        <w:trPr>
          <w:trHeight w:val="2835"/>
        </w:trPr>
        <w:tc>
          <w:tcPr>
            <w:tcW w:w="1259" w:type="dxa"/>
            <w:tcBorders>
              <w:top w:val="single" w:sz="4" w:space="0" w:color="auto"/>
              <w:left w:val="nil"/>
              <w:bottom w:val="single" w:sz="12" w:space="0" w:color="auto"/>
              <w:right w:val="nil"/>
            </w:tcBorders>
          </w:tcPr>
          <w:p w14:paraId="3A9B6C9B" w14:textId="02604268" w:rsidR="00E52109" w:rsidRPr="00E71C4C" w:rsidRDefault="00E52109" w:rsidP="0040017C">
            <w:pPr>
              <w:spacing w:before="120"/>
              <w:jc w:val="center"/>
              <w:rPr>
                <w:sz w:val="20"/>
                <w:szCs w:val="20"/>
                <w:lang w:val="en-US"/>
              </w:rPr>
            </w:pPr>
          </w:p>
        </w:tc>
        <w:tc>
          <w:tcPr>
            <w:tcW w:w="5450" w:type="dxa"/>
            <w:gridSpan w:val="2"/>
            <w:tcBorders>
              <w:top w:val="single" w:sz="4" w:space="0" w:color="auto"/>
              <w:left w:val="nil"/>
              <w:bottom w:val="single" w:sz="12" w:space="0" w:color="auto"/>
              <w:right w:val="nil"/>
            </w:tcBorders>
          </w:tcPr>
          <w:p w14:paraId="77A240DC" w14:textId="1DE704EA" w:rsidR="00E52109" w:rsidRPr="00FB4C83" w:rsidRDefault="00A6779E" w:rsidP="0040017C">
            <w:pPr>
              <w:spacing w:before="120" w:line="420" w:lineRule="exact"/>
              <w:rPr>
                <w:b/>
                <w:sz w:val="40"/>
                <w:szCs w:val="40"/>
                <w:lang w:val="en-US"/>
              </w:rPr>
            </w:pPr>
            <w:r>
              <w:rPr>
                <w:b/>
                <w:sz w:val="40"/>
                <w:szCs w:val="40"/>
                <w:lang w:val="en-US"/>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269F2DDC" w14:textId="77777777" w:rsidR="00E52109" w:rsidRPr="00E71C4C" w:rsidRDefault="000B463E" w:rsidP="000B463E">
            <w:pPr>
              <w:spacing w:before="240"/>
              <w:rPr>
                <w:sz w:val="20"/>
                <w:szCs w:val="20"/>
                <w:lang w:val="en-US"/>
              </w:rPr>
            </w:pPr>
            <w:r w:rsidRPr="00E71C4C">
              <w:rPr>
                <w:sz w:val="20"/>
                <w:szCs w:val="20"/>
                <w:lang w:val="en-US"/>
              </w:rPr>
              <w:t>Distr.: General</w:t>
            </w:r>
          </w:p>
          <w:p w14:paraId="43AF272A" w14:textId="37DDA934" w:rsidR="000B463E" w:rsidRPr="00E71C4C" w:rsidRDefault="00140ECF" w:rsidP="000B463E">
            <w:pPr>
              <w:rPr>
                <w:sz w:val="20"/>
                <w:szCs w:val="20"/>
                <w:lang w:val="en-US"/>
              </w:rPr>
            </w:pPr>
            <w:r>
              <w:rPr>
                <w:sz w:val="20"/>
                <w:szCs w:val="20"/>
                <w:lang w:val="en-US"/>
              </w:rPr>
              <w:t>2</w:t>
            </w:r>
            <w:r w:rsidR="00037A18">
              <w:rPr>
                <w:sz w:val="20"/>
                <w:szCs w:val="20"/>
                <w:lang w:val="en-US"/>
              </w:rPr>
              <w:t>6</w:t>
            </w:r>
            <w:r w:rsidR="000B463E" w:rsidRPr="00E71C4C">
              <w:rPr>
                <w:sz w:val="20"/>
                <w:szCs w:val="20"/>
                <w:lang w:val="en-US"/>
              </w:rPr>
              <w:t xml:space="preserve"> July 201</w:t>
            </w:r>
            <w:r w:rsidR="00942624" w:rsidRPr="00E71C4C">
              <w:rPr>
                <w:sz w:val="20"/>
                <w:szCs w:val="20"/>
                <w:lang w:val="en-US"/>
              </w:rPr>
              <w:t>9</w:t>
            </w:r>
          </w:p>
          <w:p w14:paraId="317E52B8" w14:textId="77777777" w:rsidR="000B463E" w:rsidRPr="00E71C4C" w:rsidRDefault="000B463E" w:rsidP="000B463E">
            <w:pPr>
              <w:rPr>
                <w:sz w:val="20"/>
                <w:szCs w:val="20"/>
                <w:lang w:val="en-US"/>
              </w:rPr>
            </w:pPr>
          </w:p>
          <w:p w14:paraId="56383C3A" w14:textId="77777777" w:rsidR="000B463E" w:rsidRPr="00E71C4C" w:rsidRDefault="000B463E" w:rsidP="000B463E">
            <w:pPr>
              <w:rPr>
                <w:sz w:val="20"/>
                <w:szCs w:val="20"/>
                <w:lang w:val="en-US"/>
              </w:rPr>
            </w:pPr>
            <w:r w:rsidRPr="00E71C4C">
              <w:rPr>
                <w:sz w:val="20"/>
                <w:szCs w:val="20"/>
                <w:lang w:val="en-US"/>
              </w:rPr>
              <w:t>Original: English</w:t>
            </w:r>
          </w:p>
        </w:tc>
      </w:tr>
    </w:tbl>
    <w:p w14:paraId="20424B30" w14:textId="77777777" w:rsidR="000B463E" w:rsidRPr="00E71C4C" w:rsidRDefault="000B463E">
      <w:pPr>
        <w:spacing w:before="120"/>
        <w:rPr>
          <w:b/>
          <w:sz w:val="20"/>
          <w:szCs w:val="20"/>
          <w:lang w:val="en-US"/>
        </w:rPr>
      </w:pPr>
      <w:r w:rsidRPr="00E71C4C">
        <w:rPr>
          <w:b/>
          <w:sz w:val="20"/>
          <w:szCs w:val="20"/>
          <w:lang w:val="en-US"/>
        </w:rPr>
        <w:t>Human Rights Council</w:t>
      </w:r>
    </w:p>
    <w:p w14:paraId="2A4B3406" w14:textId="16E34389" w:rsidR="000B463E" w:rsidRDefault="00942624" w:rsidP="008C700F">
      <w:pPr>
        <w:rPr>
          <w:b/>
          <w:sz w:val="20"/>
          <w:szCs w:val="20"/>
          <w:lang w:val="en-US"/>
        </w:rPr>
      </w:pPr>
      <w:r w:rsidRPr="00E71C4C">
        <w:rPr>
          <w:b/>
          <w:sz w:val="20"/>
          <w:szCs w:val="20"/>
          <w:lang w:val="en-US"/>
        </w:rPr>
        <w:t>Forty</w:t>
      </w:r>
      <w:r w:rsidR="008C700F" w:rsidRPr="00E71C4C">
        <w:rPr>
          <w:b/>
          <w:sz w:val="20"/>
          <w:szCs w:val="20"/>
          <w:lang w:val="en-US"/>
        </w:rPr>
        <w:t>-</w:t>
      </w:r>
      <w:r w:rsidRPr="00E71C4C">
        <w:rPr>
          <w:b/>
          <w:sz w:val="20"/>
          <w:szCs w:val="20"/>
          <w:lang w:val="en-US"/>
        </w:rPr>
        <w:t>second</w:t>
      </w:r>
      <w:r w:rsidR="000B463E" w:rsidRPr="00E71C4C">
        <w:rPr>
          <w:b/>
          <w:sz w:val="20"/>
          <w:szCs w:val="20"/>
          <w:lang w:val="en-US"/>
        </w:rPr>
        <w:t xml:space="preserve"> session</w:t>
      </w:r>
    </w:p>
    <w:p w14:paraId="225B71DD" w14:textId="1EB1EF62" w:rsidR="00FB4C83" w:rsidRPr="00D47D39" w:rsidRDefault="00037A18" w:rsidP="00FB4C83">
      <w:pPr>
        <w:pStyle w:val="HTMLPreformatted"/>
        <w:suppressAutoHyphens w:val="0"/>
        <w:kinsoku/>
        <w:overflowPunct/>
        <w:autoSpaceDE/>
        <w:autoSpaceDN/>
        <w:adjustRightInd/>
        <w:snapToGrid/>
        <w:rPr>
          <w:rFonts w:ascii="Times New Roman" w:eastAsia="SimSun" w:hAnsi="Times New Roman"/>
          <w:lang w:val="en-US" w:eastAsia="en-GB"/>
        </w:rPr>
      </w:pPr>
      <w:r>
        <w:rPr>
          <w:rFonts w:ascii="Times New Roman" w:eastAsia="SimSun" w:hAnsi="Times New Roman"/>
          <w:lang w:val="en-US" w:eastAsia="en-GB"/>
        </w:rPr>
        <w:t>9–</w:t>
      </w:r>
      <w:r w:rsidR="00FB4C83" w:rsidRPr="00D47D39">
        <w:rPr>
          <w:rFonts w:ascii="Times New Roman" w:eastAsia="SimSun" w:hAnsi="Times New Roman"/>
          <w:lang w:val="en-US" w:eastAsia="en-GB"/>
        </w:rPr>
        <w:t>27 September 2019</w:t>
      </w:r>
    </w:p>
    <w:p w14:paraId="7F107017" w14:textId="77777777" w:rsidR="000B463E" w:rsidRPr="00FB4C83" w:rsidRDefault="000B463E" w:rsidP="000B463E">
      <w:pPr>
        <w:rPr>
          <w:sz w:val="20"/>
          <w:szCs w:val="20"/>
          <w:lang w:val="en-US"/>
        </w:rPr>
      </w:pPr>
      <w:r w:rsidRPr="00FB4C83">
        <w:rPr>
          <w:sz w:val="20"/>
          <w:szCs w:val="20"/>
          <w:lang w:val="en-US"/>
        </w:rPr>
        <w:t>Agenda item 3</w:t>
      </w:r>
    </w:p>
    <w:p w14:paraId="34A91AC4" w14:textId="77777777" w:rsidR="000B463E" w:rsidRPr="00E71C4C" w:rsidRDefault="000B463E" w:rsidP="000B463E">
      <w:pPr>
        <w:rPr>
          <w:b/>
          <w:sz w:val="20"/>
          <w:szCs w:val="20"/>
          <w:lang w:val="en-US"/>
        </w:rPr>
      </w:pPr>
      <w:r w:rsidRPr="00E71C4C">
        <w:rPr>
          <w:b/>
          <w:sz w:val="20"/>
          <w:szCs w:val="20"/>
          <w:lang w:val="en-US"/>
        </w:rPr>
        <w:t xml:space="preserve">Promotion and protection of all human rights, civil, </w:t>
      </w:r>
    </w:p>
    <w:p w14:paraId="5674A725" w14:textId="77777777" w:rsidR="000B463E" w:rsidRPr="00E71C4C" w:rsidRDefault="000B463E" w:rsidP="000B463E">
      <w:pPr>
        <w:rPr>
          <w:b/>
          <w:sz w:val="20"/>
          <w:szCs w:val="20"/>
          <w:lang w:val="en-US"/>
        </w:rPr>
      </w:pPr>
      <w:r w:rsidRPr="00E71C4C">
        <w:rPr>
          <w:b/>
          <w:sz w:val="20"/>
          <w:szCs w:val="20"/>
          <w:lang w:val="en-US"/>
        </w:rPr>
        <w:t>political, economic, social and cultural rights,</w:t>
      </w:r>
    </w:p>
    <w:p w14:paraId="543D1D64" w14:textId="77777777" w:rsidR="000B463E" w:rsidRPr="00E71C4C" w:rsidRDefault="000B463E" w:rsidP="000B463E">
      <w:pPr>
        <w:rPr>
          <w:b/>
          <w:sz w:val="20"/>
          <w:szCs w:val="20"/>
          <w:lang w:val="en-US"/>
        </w:rPr>
      </w:pPr>
      <w:r w:rsidRPr="00E71C4C">
        <w:rPr>
          <w:b/>
          <w:sz w:val="20"/>
          <w:szCs w:val="20"/>
          <w:lang w:val="en-US"/>
        </w:rPr>
        <w:t>including the right to development</w:t>
      </w:r>
    </w:p>
    <w:p w14:paraId="2F205CEA" w14:textId="33225F9E" w:rsidR="001D4E83" w:rsidRPr="00037A18" w:rsidRDefault="00037A18" w:rsidP="00037A18">
      <w:pPr>
        <w:pStyle w:val="HChG"/>
        <w:rPr>
          <w:b w:val="0"/>
          <w:sz w:val="20"/>
          <w:lang w:val="en-US"/>
        </w:rPr>
      </w:pPr>
      <w:bookmarkStart w:id="1" w:name="_Toc483985728"/>
      <w:r>
        <w:tab/>
      </w:r>
      <w:r>
        <w:tab/>
      </w:r>
      <w:r w:rsidR="001D4E83" w:rsidRPr="00037A18">
        <w:t>Visit to Austria</w:t>
      </w:r>
      <w:r w:rsidR="00FB4C83" w:rsidRPr="00037A18">
        <w:rPr>
          <w:rStyle w:val="FootnoteReference"/>
          <w:b w:val="0"/>
          <w:bCs/>
          <w:sz w:val="20"/>
          <w:vertAlign w:val="baseline"/>
        </w:rPr>
        <w:footnoteReference w:customMarkFollows="1" w:id="2"/>
        <w:t>*</w:t>
      </w:r>
      <w:r w:rsidRPr="00037A18">
        <w:rPr>
          <w:b w:val="0"/>
          <w:bCs/>
          <w:sz w:val="20"/>
          <w:vertAlign w:val="superscript"/>
        </w:rPr>
        <w:t>,</w:t>
      </w:r>
      <w:r w:rsidR="001D4E83" w:rsidRPr="00037A18">
        <w:rPr>
          <w:b w:val="0"/>
          <w:lang w:val="en-US"/>
        </w:rPr>
        <w:t xml:space="preserve"> </w:t>
      </w:r>
      <w:r w:rsidRPr="00037A18">
        <w:rPr>
          <w:rStyle w:val="FootnoteReference"/>
          <w:b w:val="0"/>
          <w:sz w:val="20"/>
          <w:vertAlign w:val="baseline"/>
          <w:lang w:val="en-US"/>
        </w:rPr>
        <w:footnoteReference w:customMarkFollows="1" w:id="3"/>
        <w:t>**</w:t>
      </w:r>
    </w:p>
    <w:bookmarkEnd w:id="1"/>
    <w:p w14:paraId="479D7532" w14:textId="22028B32" w:rsidR="008C700F" w:rsidRPr="00037A18" w:rsidRDefault="00C34F4A" w:rsidP="00037A18">
      <w:pPr>
        <w:pStyle w:val="H1G"/>
      </w:pPr>
      <w:r w:rsidRPr="00E71C4C">
        <w:tab/>
      </w:r>
      <w:r w:rsidR="00037A18">
        <w:tab/>
      </w:r>
      <w:r w:rsidR="00037A18">
        <w:tab/>
      </w:r>
      <w:r w:rsidR="00847312" w:rsidRPr="00037A18">
        <w:t>Report of the Working Group on the use of mercenarie</w:t>
      </w:r>
      <w:r w:rsidR="001D4E83" w:rsidRPr="00037A18">
        <w:t xml:space="preserve">s as a means of violating human rights and impeding </w:t>
      </w:r>
      <w:r w:rsidR="00847312" w:rsidRPr="00037A18">
        <w:t xml:space="preserve">the exercise of the right of peoples to self-determination </w:t>
      </w:r>
    </w:p>
    <w:tbl>
      <w:tblPr>
        <w:tblStyle w:val="TableGrid"/>
        <w:tblW w:w="9816" w:type="dxa"/>
        <w:jc w:val="center"/>
        <w:tblLook w:val="05E0" w:firstRow="1" w:lastRow="1" w:firstColumn="1" w:lastColumn="1" w:noHBand="0" w:noVBand="1"/>
      </w:tblPr>
      <w:tblGrid>
        <w:gridCol w:w="9816"/>
      </w:tblGrid>
      <w:tr w:rsidR="008E42DE" w:rsidRPr="00E71C4C" w14:paraId="65EEFC89" w14:textId="77777777" w:rsidTr="00B920AB">
        <w:trPr>
          <w:trHeight w:val="634"/>
          <w:jc w:val="center"/>
        </w:trPr>
        <w:tc>
          <w:tcPr>
            <w:tcW w:w="9816" w:type="dxa"/>
            <w:tcBorders>
              <w:bottom w:val="nil"/>
            </w:tcBorders>
          </w:tcPr>
          <w:p w14:paraId="40C1CD55" w14:textId="28C157A1" w:rsidR="00B920AB" w:rsidRPr="00FB4C83" w:rsidRDefault="008C700F" w:rsidP="008F71A9">
            <w:pPr>
              <w:tabs>
                <w:tab w:val="left" w:pos="255"/>
              </w:tabs>
              <w:suppressAutoHyphens w:val="0"/>
              <w:spacing w:before="240" w:after="120"/>
            </w:pPr>
            <w:r w:rsidRPr="00E71C4C">
              <w:rPr>
                <w:sz w:val="20"/>
              </w:rPr>
              <w:tab/>
            </w:r>
            <w:r w:rsidR="00B920AB" w:rsidRPr="00E71C4C">
              <w:rPr>
                <w:sz w:val="20"/>
                <w:szCs w:val="20"/>
              </w:rPr>
              <w:tab/>
            </w:r>
            <w:r w:rsidR="00B920AB" w:rsidRPr="00FB4C83">
              <w:rPr>
                <w:i/>
              </w:rPr>
              <w:t>Summary</w:t>
            </w:r>
          </w:p>
        </w:tc>
      </w:tr>
      <w:tr w:rsidR="008E42DE" w:rsidRPr="00E71C4C" w14:paraId="60781649" w14:textId="77777777" w:rsidTr="00B920AB">
        <w:trPr>
          <w:trHeight w:val="3261"/>
          <w:jc w:val="center"/>
        </w:trPr>
        <w:tc>
          <w:tcPr>
            <w:tcW w:w="9816" w:type="dxa"/>
            <w:tcBorders>
              <w:top w:val="nil"/>
              <w:bottom w:val="nil"/>
            </w:tcBorders>
            <w:shd w:val="clear" w:color="auto" w:fill="auto"/>
          </w:tcPr>
          <w:p w14:paraId="6900D855" w14:textId="3D02D685" w:rsidR="00F32806" w:rsidRPr="00E71C4C" w:rsidRDefault="006B1108" w:rsidP="00037A18">
            <w:pPr>
              <w:pStyle w:val="SingleTxtG"/>
            </w:pPr>
            <w:r w:rsidRPr="00E71C4C">
              <w:rPr>
                <w:lang w:eastAsia="zh-CN"/>
              </w:rPr>
              <w:t xml:space="preserve"> </w:t>
            </w:r>
            <w:r w:rsidR="00B920AB" w:rsidRPr="00E71C4C">
              <w:rPr>
                <w:lang w:eastAsia="zh-CN"/>
              </w:rPr>
              <w:tab/>
            </w:r>
            <w:r w:rsidR="008561E9" w:rsidRPr="00E71C4C">
              <w:t xml:space="preserve">The Working Group on the use of mercenaries as a means of violating human rights and impeding the exercise of the right of people’s to self-determination visited </w:t>
            </w:r>
            <w:r w:rsidR="00F32806" w:rsidRPr="00E71C4C">
              <w:t xml:space="preserve">Austria </w:t>
            </w:r>
            <w:r w:rsidR="008561E9" w:rsidRPr="00E71C4C">
              <w:t xml:space="preserve">from the </w:t>
            </w:r>
            <w:r w:rsidR="00F32806" w:rsidRPr="00E71C4C">
              <w:t>21 to 29 June 2018</w:t>
            </w:r>
            <w:r w:rsidR="008561E9" w:rsidRPr="00E71C4C">
              <w:t>.</w:t>
            </w:r>
            <w:r w:rsidR="00F32806" w:rsidRPr="00E71C4C">
              <w:rPr>
                <w:rStyle w:val="Heading5Char"/>
              </w:rPr>
              <w:t xml:space="preserve"> </w:t>
            </w:r>
            <w:r w:rsidR="00B44449" w:rsidRPr="00E71C4C">
              <w:rPr>
                <w:rStyle w:val="Heading5Char"/>
              </w:rPr>
              <w:t>Pursuant to its mandate, the Working Group’s visit focused on</w:t>
            </w:r>
            <w:r w:rsidR="00EC5FE3">
              <w:rPr>
                <w:rStyle w:val="Heading5Char"/>
              </w:rPr>
              <w:t xml:space="preserve"> the phenomenon of</w:t>
            </w:r>
            <w:r w:rsidR="00B44449" w:rsidRPr="00E71C4C">
              <w:rPr>
                <w:rStyle w:val="Heading5Char"/>
              </w:rPr>
              <w:t xml:space="preserve"> foreign fighters as mercenary related actors and the private security industry in the country. </w:t>
            </w:r>
            <w:r w:rsidR="00F32806" w:rsidRPr="00E71C4C">
              <w:t xml:space="preserve">The Working Group noted that Austria was one of the countries with the highest </w:t>
            </w:r>
            <w:r w:rsidR="00B44449" w:rsidRPr="00E71C4C">
              <w:t xml:space="preserve">numbers per population in Europe </w:t>
            </w:r>
            <w:r w:rsidR="00407AF1">
              <w:t>whose</w:t>
            </w:r>
            <w:r w:rsidR="00B44449" w:rsidRPr="00E71C4C">
              <w:t xml:space="preserve"> citizens </w:t>
            </w:r>
            <w:r w:rsidR="00407AF1">
              <w:t xml:space="preserve">travelled to major conflict zones abroad </w:t>
            </w:r>
            <w:r w:rsidR="00B44449" w:rsidRPr="00E71C4C">
              <w:t xml:space="preserve">  between 2014 and 2015. </w:t>
            </w:r>
            <w:r w:rsidR="00F32806" w:rsidRPr="00E71C4C">
              <w:t xml:space="preserve">The report thus addresses the motivational factors that </w:t>
            </w:r>
            <w:r w:rsidR="00B44449" w:rsidRPr="00E71C4C">
              <w:t>prompt</w:t>
            </w:r>
            <w:r w:rsidR="00226AAA">
              <w:t>ed</w:t>
            </w:r>
            <w:r w:rsidR="00F32806" w:rsidRPr="00E71C4C">
              <w:t xml:space="preserve"> individuals to travel </w:t>
            </w:r>
            <w:r w:rsidR="00407AF1">
              <w:t>to</w:t>
            </w:r>
            <w:r w:rsidR="00F32806" w:rsidRPr="00E71C4C">
              <w:t xml:space="preserve"> conflict</w:t>
            </w:r>
            <w:r w:rsidR="00B44449" w:rsidRPr="00E71C4C">
              <w:t>s</w:t>
            </w:r>
            <w:r w:rsidR="00F32806" w:rsidRPr="00E71C4C">
              <w:t xml:space="preserve"> such as Iraq and Syria. With regard</w:t>
            </w:r>
            <w:r w:rsidR="00226AAA">
              <w:t xml:space="preserve"> to private security companies</w:t>
            </w:r>
            <w:r w:rsidR="00407AF1">
              <w:t>,</w:t>
            </w:r>
            <w:r w:rsidR="00226AAA">
              <w:t xml:space="preserve"> th</w:t>
            </w:r>
            <w:r w:rsidR="002F56B8" w:rsidRPr="00E71C4C">
              <w:t>e report focuses</w:t>
            </w:r>
            <w:r w:rsidR="002C670E" w:rsidRPr="00E71C4C">
              <w:t xml:space="preserve"> on an immigration related centr</w:t>
            </w:r>
            <w:r w:rsidR="00EB72A4">
              <w:t>e</w:t>
            </w:r>
            <w:r w:rsidR="002F56B8" w:rsidRPr="00E71C4C">
              <w:t xml:space="preserve"> operated by a multi-nat</w:t>
            </w:r>
            <w:r w:rsidR="002C670E" w:rsidRPr="00E71C4C">
              <w:t xml:space="preserve">ional private security company </w:t>
            </w:r>
            <w:r w:rsidR="002D3B91">
              <w:t xml:space="preserve">in Vordernberg </w:t>
            </w:r>
            <w:r w:rsidR="00226AAA">
              <w:t xml:space="preserve">and the general </w:t>
            </w:r>
            <w:r w:rsidR="00407AF1">
              <w:t>framework regulating the</w:t>
            </w:r>
            <w:r w:rsidR="00226AAA">
              <w:t xml:space="preserve"> </w:t>
            </w:r>
            <w:r w:rsidR="00E0656E">
              <w:t xml:space="preserve">private security </w:t>
            </w:r>
            <w:r w:rsidR="00226AAA">
              <w:t>industry</w:t>
            </w:r>
            <w:r w:rsidR="002F56B8" w:rsidRPr="00E71C4C">
              <w:t>. T</w:t>
            </w:r>
            <w:r w:rsidR="008F71A9" w:rsidRPr="00E71C4C">
              <w:t>h</w:t>
            </w:r>
            <w:r w:rsidR="002F56B8" w:rsidRPr="00E71C4C">
              <w:t xml:space="preserve">e Working </w:t>
            </w:r>
            <w:r w:rsidR="00F32806" w:rsidRPr="00E71C4C">
              <w:t xml:space="preserve">Group makes recommendations to address </w:t>
            </w:r>
            <w:r w:rsidR="00226AAA">
              <w:t>both</w:t>
            </w:r>
            <w:r w:rsidR="00F32806" w:rsidRPr="00E71C4C">
              <w:t xml:space="preserve"> foreign fighters and private security companies. </w:t>
            </w:r>
          </w:p>
        </w:tc>
      </w:tr>
      <w:tr w:rsidR="008E42DE" w:rsidRPr="00E71C4C" w14:paraId="40BF12ED" w14:textId="77777777" w:rsidTr="00B920AB">
        <w:trPr>
          <w:trHeight w:val="286"/>
          <w:jc w:val="center"/>
        </w:trPr>
        <w:tc>
          <w:tcPr>
            <w:tcW w:w="9816" w:type="dxa"/>
            <w:tcBorders>
              <w:top w:val="nil"/>
            </w:tcBorders>
          </w:tcPr>
          <w:p w14:paraId="12C8E9D4" w14:textId="77777777" w:rsidR="00B920AB" w:rsidRPr="00E71C4C" w:rsidRDefault="00B920AB" w:rsidP="008F71A9">
            <w:pPr>
              <w:suppressAutoHyphens w:val="0"/>
              <w:rPr>
                <w:sz w:val="20"/>
                <w:szCs w:val="20"/>
              </w:rPr>
            </w:pPr>
          </w:p>
        </w:tc>
      </w:tr>
    </w:tbl>
    <w:p w14:paraId="0C668F52" w14:textId="77777777" w:rsidR="00B920AB" w:rsidRPr="00E71C4C" w:rsidRDefault="00B920AB" w:rsidP="00B920AB">
      <w:pPr>
        <w:rPr>
          <w:sz w:val="20"/>
          <w:szCs w:val="20"/>
          <w:lang w:eastAsia="en-US"/>
        </w:rPr>
      </w:pPr>
    </w:p>
    <w:p w14:paraId="562B1969" w14:textId="0A135DCB" w:rsidR="009214BB" w:rsidRDefault="009214BB" w:rsidP="009214BB">
      <w:pPr>
        <w:pStyle w:val="HChG"/>
      </w:pPr>
      <w:r>
        <w:lastRenderedPageBreak/>
        <w:t>A</w:t>
      </w:r>
      <w:r w:rsidRPr="00A95A84">
        <w:t>nnex</w:t>
      </w:r>
    </w:p>
    <w:p w14:paraId="3E75217B" w14:textId="53D58DE5" w:rsidR="009C626D" w:rsidRPr="00E71C4C" w:rsidRDefault="009214BB" w:rsidP="009214BB">
      <w:pPr>
        <w:pStyle w:val="H1G"/>
      </w:pPr>
      <w:r>
        <w:tab/>
      </w:r>
      <w:r>
        <w:tab/>
      </w:r>
      <w:r w:rsidR="009C626D" w:rsidRPr="00E71C4C">
        <w:t xml:space="preserve">Report of the Working Group on the use of mercenaries as a means of violating human rights and impeding the exercise of the right of peoples to self-determination on its mission to the </w:t>
      </w:r>
      <w:r w:rsidR="00F32806" w:rsidRPr="00E71C4C">
        <w:t>Austria</w:t>
      </w:r>
    </w:p>
    <w:p w14:paraId="049A90D0" w14:textId="7E5058E6" w:rsidR="00F87B1F" w:rsidRPr="00E71C4C" w:rsidRDefault="00F87B1F" w:rsidP="009214BB">
      <w:pPr>
        <w:pStyle w:val="HChG"/>
        <w:rPr>
          <w:b w:val="0"/>
          <w:lang w:val="en-US"/>
        </w:rPr>
      </w:pPr>
      <w:r w:rsidRPr="00E71C4C">
        <w:rPr>
          <w:lang w:val="en-US"/>
        </w:rPr>
        <w:tab/>
      </w:r>
      <w:bookmarkStart w:id="2" w:name="_Toc483985731"/>
      <w:r w:rsidRPr="00E71C4C">
        <w:rPr>
          <w:lang w:val="en-US"/>
        </w:rPr>
        <w:t>I.</w:t>
      </w:r>
      <w:r w:rsidRPr="00E71C4C">
        <w:rPr>
          <w:lang w:val="en-US"/>
        </w:rPr>
        <w:tab/>
      </w:r>
      <w:r w:rsidRPr="009214BB">
        <w:t>Introduction</w:t>
      </w:r>
      <w:bookmarkEnd w:id="2"/>
    </w:p>
    <w:p w14:paraId="291EE9FA" w14:textId="406C70C2" w:rsidR="00CD2468" w:rsidRPr="00E71C4C" w:rsidRDefault="009214BB" w:rsidP="009214BB">
      <w:pPr>
        <w:pStyle w:val="SingleTxtG"/>
      </w:pPr>
      <w:r>
        <w:t>1.</w:t>
      </w:r>
      <w:r>
        <w:tab/>
      </w:r>
      <w:r w:rsidR="00CD2468" w:rsidRPr="00E71C4C">
        <w:t xml:space="preserve">The Working Group on the use of mercenaries as a means of violating human rights and impeding the exercise of the right of peoples to self-determination visited </w:t>
      </w:r>
      <w:r w:rsidR="00F32806" w:rsidRPr="00E71C4C">
        <w:t>Austria</w:t>
      </w:r>
      <w:r w:rsidR="00CD2468" w:rsidRPr="00E71C4C">
        <w:t xml:space="preserve"> from </w:t>
      </w:r>
      <w:r w:rsidR="00F32806" w:rsidRPr="00E71C4C">
        <w:t xml:space="preserve"> 21 to 29 June 2018</w:t>
      </w:r>
      <w:r w:rsidR="00CD2468" w:rsidRPr="00E71C4C">
        <w:t xml:space="preserve"> at the </w:t>
      </w:r>
      <w:r w:rsidR="00CD2468" w:rsidRPr="009214BB">
        <w:t>invitation</w:t>
      </w:r>
      <w:r w:rsidR="00CD2468" w:rsidRPr="00E71C4C">
        <w:t xml:space="preserve"> of the Government. The delegation comprised two members of the Working Group, </w:t>
      </w:r>
      <w:r w:rsidR="00F32806" w:rsidRPr="00E71C4C">
        <w:t>Gabor Rona, Chairperson-Rapporteur</w:t>
      </w:r>
      <w:r w:rsidR="00CD2468" w:rsidRPr="00E71C4C">
        <w:t xml:space="preserve"> and Saeed Mokbil. They were accompanied by staff of the Office of the High Commissioner for Human Rights. </w:t>
      </w:r>
    </w:p>
    <w:p w14:paraId="2202EB06" w14:textId="6343CF14" w:rsidR="00CD2468" w:rsidRPr="00E71C4C" w:rsidRDefault="009214BB" w:rsidP="009214BB">
      <w:pPr>
        <w:pStyle w:val="SingleTxtG"/>
      </w:pPr>
      <w:r>
        <w:t>2.</w:t>
      </w:r>
      <w:r>
        <w:tab/>
      </w:r>
      <w:r w:rsidR="00CD2468" w:rsidRPr="00E71C4C">
        <w:t xml:space="preserve">In accordance with Commission on Human Rights resolution 2005/2 and Human Rights Council resolution 33/4, the Working Group is mandated to study and identify sources, causes, </w:t>
      </w:r>
      <w:r w:rsidR="00CD2468" w:rsidRPr="009214BB">
        <w:t>manifestations</w:t>
      </w:r>
      <w:r w:rsidR="00CD2468" w:rsidRPr="00E71C4C">
        <w:t xml:space="preserve"> and trends with regard to mercenaries and mercenary-related activities, and their impact on human rights, particularly the right to self-determination. The Working Group is also mandated to monitor the </w:t>
      </w:r>
      <w:r w:rsidR="00407AF1">
        <w:t xml:space="preserve">human rights impact of the </w:t>
      </w:r>
      <w:r w:rsidR="00CD2468" w:rsidRPr="00E71C4C">
        <w:t>activities of private military and security companies</w:t>
      </w:r>
      <w:r w:rsidR="00407AF1">
        <w:t>.</w:t>
      </w:r>
    </w:p>
    <w:p w14:paraId="6544CF34" w14:textId="1F403B9D" w:rsidR="002F56B8" w:rsidRPr="00E71C4C" w:rsidRDefault="009214BB" w:rsidP="00185011">
      <w:pPr>
        <w:pStyle w:val="SingleTxtG"/>
      </w:pPr>
      <w:r>
        <w:t>3.</w:t>
      </w:r>
      <w:r>
        <w:tab/>
      </w:r>
      <w:r w:rsidR="00CD2468" w:rsidRPr="00E71C4C">
        <w:t xml:space="preserve">Since 2014, the Working Group has explored the linkages between the phenomenon of foreign fighters and mercenaries, and their impact on human rights. The Working Group undertook visits to several countries where these phenomena were assessed and has since issued reports where foreign fighters were identified as mercenary-related actors, </w:t>
      </w:r>
      <w:r w:rsidR="00407AF1">
        <w:t xml:space="preserve">particularly </w:t>
      </w:r>
      <w:r w:rsidR="002C670E" w:rsidRPr="00E71C4C">
        <w:t xml:space="preserve">when motivated </w:t>
      </w:r>
      <w:r w:rsidR="00226AAA">
        <w:t>to engage in armed conflict</w:t>
      </w:r>
      <w:r w:rsidR="00CD2468" w:rsidRPr="00E71C4C">
        <w:t xml:space="preserve"> for financial or material gain. </w:t>
      </w:r>
    </w:p>
    <w:p w14:paraId="584F7424" w14:textId="1AC62075" w:rsidR="002F56B8" w:rsidRPr="009214BB" w:rsidRDefault="009214BB" w:rsidP="009214BB">
      <w:pPr>
        <w:pStyle w:val="SingleTxtG"/>
      </w:pPr>
      <w:r>
        <w:rPr>
          <w:rStyle w:val="normaltextrun1"/>
          <w:lang w:val="en-US"/>
        </w:rPr>
        <w:t>4.</w:t>
      </w:r>
      <w:r>
        <w:rPr>
          <w:rStyle w:val="normaltextrun1"/>
          <w:lang w:val="en-US"/>
        </w:rPr>
        <w:tab/>
      </w:r>
      <w:r w:rsidR="00226AAA">
        <w:rPr>
          <w:rStyle w:val="normaltextrun1"/>
          <w:lang w:val="en-US"/>
        </w:rPr>
        <w:t>In connection with the Working Group’s mandate, Human Rights Council r</w:t>
      </w:r>
      <w:r w:rsidR="00403430">
        <w:t>esolution</w:t>
      </w:r>
      <w:r w:rsidR="002F56B8" w:rsidRPr="009214BB">
        <w:t xml:space="preserve"> 33/4 emphasised its utmost concern about the impact of the activities of private military and security companies operating in privatised prisons and immigration-related detention facilities and their impact on human rights. In 2017, the Working Group presented a report to the General Assembly (A/72/286) which </w:t>
      </w:r>
      <w:r w:rsidR="006D5021" w:rsidRPr="009214BB">
        <w:t>assessed</w:t>
      </w:r>
      <w:r w:rsidR="002F56B8" w:rsidRPr="009214BB">
        <w:t xml:space="preserve"> the use of private military and security companies in places of deprivation of liberty and the impact of </w:t>
      </w:r>
      <w:r w:rsidR="00407AF1">
        <w:t>on the human rights of</w:t>
      </w:r>
      <w:r w:rsidR="002F56B8" w:rsidRPr="009214BB">
        <w:t xml:space="preserve"> those deprived of their liberty</w:t>
      </w:r>
      <w:r w:rsidR="006D5021" w:rsidRPr="009214BB">
        <w:t xml:space="preserve">. </w:t>
      </w:r>
    </w:p>
    <w:p w14:paraId="54FCB1F2" w14:textId="7A40BA03" w:rsidR="002F56B8" w:rsidRPr="009214BB" w:rsidRDefault="009214BB" w:rsidP="009214BB">
      <w:pPr>
        <w:pStyle w:val="SingleTxtG"/>
      </w:pPr>
      <w:r>
        <w:rPr>
          <w:rStyle w:val="normaltextrun1"/>
          <w:lang w:val="en-US"/>
        </w:rPr>
        <w:t>5.</w:t>
      </w:r>
      <w:r>
        <w:rPr>
          <w:rStyle w:val="normaltextrun1"/>
          <w:lang w:val="en-US"/>
        </w:rPr>
        <w:tab/>
      </w:r>
      <w:r w:rsidR="00407AF1">
        <w:t>During the</w:t>
      </w:r>
      <w:r w:rsidR="002F56B8" w:rsidRPr="009214BB">
        <w:t xml:space="preserve"> visit, the Working Group held meetings in the provinces of Vienna, Lower Austria, and Styria, namely in the towns of Garsten, Leoben and Vordernberg. It met with representatives of the Federal Government including the Ministry of Europe, </w:t>
      </w:r>
      <w:r w:rsidR="00A277E2">
        <w:t>Integration and Foreign Affairs; Ministry of the Interior;</w:t>
      </w:r>
      <w:r w:rsidR="002F56B8" w:rsidRPr="009214BB">
        <w:t xml:space="preserve"> Ministry for Constitutional Affairs, Reforms, Deregulation and Justice</w:t>
      </w:r>
      <w:r w:rsidR="00A277E2">
        <w:t>;</w:t>
      </w:r>
      <w:r w:rsidR="002F56B8" w:rsidRPr="009214BB">
        <w:t xml:space="preserve"> Ministry of Defence, Ministry for Digital and Economic Affairs, Federal Chancellery</w:t>
      </w:r>
      <w:r w:rsidR="00A277E2">
        <w:t>;</w:t>
      </w:r>
      <w:r w:rsidR="002F56B8" w:rsidRPr="009214BB">
        <w:t xml:space="preserve"> Depart</w:t>
      </w:r>
      <w:r w:rsidR="009D34C0">
        <w:t>ment for Families and Youth</w:t>
      </w:r>
      <w:r w:rsidR="00A277E2">
        <w:t>;</w:t>
      </w:r>
      <w:r w:rsidR="009D34C0">
        <w:t> </w:t>
      </w:r>
      <w:r w:rsidR="002F56B8" w:rsidRPr="009214BB">
        <w:t xml:space="preserve">and also with members of Parliament. It also met with representatives from the Ombudsman’s office. The delegation </w:t>
      </w:r>
      <w:r w:rsidR="00226AAA">
        <w:t>also met</w:t>
      </w:r>
      <w:r w:rsidR="002F56B8" w:rsidRPr="009214BB">
        <w:t xml:space="preserve"> with prisoners at Garsten Prison and detainees at the Vordernberg immigration detention facility, as well as with representatives of civil society organizations, academics and </w:t>
      </w:r>
      <w:r w:rsidR="00407AF1">
        <w:t>youths</w:t>
      </w:r>
      <w:r w:rsidR="00226AAA">
        <w:t xml:space="preserve"> who were undergoing programmes focused on</w:t>
      </w:r>
      <w:r w:rsidR="002F56B8" w:rsidRPr="009214BB">
        <w:t xml:space="preserve"> de</w:t>
      </w:r>
      <w:r w:rsidR="00226AAA">
        <w:t>-</w:t>
      </w:r>
      <w:r w:rsidR="002F56B8" w:rsidRPr="009214BB">
        <w:t>radicalisation.   </w:t>
      </w:r>
    </w:p>
    <w:p w14:paraId="31E7CDAA" w14:textId="44323B09" w:rsidR="002F56B8" w:rsidRPr="00E71C4C" w:rsidRDefault="009214BB" w:rsidP="009214BB">
      <w:pPr>
        <w:pStyle w:val="SingleTxtG"/>
        <w:rPr>
          <w:rStyle w:val="eop"/>
          <w:lang w:val="en-US"/>
        </w:rPr>
      </w:pPr>
      <w:r>
        <w:rPr>
          <w:rStyle w:val="normaltextrun1"/>
          <w:lang w:val="en-US"/>
        </w:rPr>
        <w:t>6.</w:t>
      </w:r>
      <w:r>
        <w:rPr>
          <w:rStyle w:val="normaltextrun1"/>
          <w:lang w:val="en-US"/>
        </w:rPr>
        <w:tab/>
      </w:r>
      <w:r w:rsidR="002F56B8" w:rsidRPr="00E71C4C">
        <w:rPr>
          <w:rStyle w:val="normaltextrun1"/>
          <w:lang w:val="en-US"/>
        </w:rPr>
        <w:t>The Working Group would like to thank the Government of Austria for its co-operation in facilitating the visit</w:t>
      </w:r>
      <w:r w:rsidR="00D11D28">
        <w:rPr>
          <w:rStyle w:val="normaltextrun1"/>
          <w:lang w:val="en-US"/>
        </w:rPr>
        <w:t xml:space="preserve"> and for the factual comments shared on the draft report</w:t>
      </w:r>
      <w:r w:rsidR="002F56B8" w:rsidRPr="00E71C4C">
        <w:rPr>
          <w:rStyle w:val="normaltextrun1"/>
          <w:lang w:val="en-US"/>
        </w:rPr>
        <w:t xml:space="preserve">. The delegation was able to hold open and frank discussions with the all the State representatives it met. The Working Group also warmly thanks all the non-government interlocutors who availed their time to meet and hold discussions with the delegation. The </w:t>
      </w:r>
      <w:r w:rsidR="00226AAA">
        <w:rPr>
          <w:rStyle w:val="normaltextrun1"/>
          <w:lang w:val="en-US"/>
        </w:rPr>
        <w:t xml:space="preserve">Working </w:t>
      </w:r>
      <w:r w:rsidR="002F56B8" w:rsidRPr="00E71C4C">
        <w:rPr>
          <w:rStyle w:val="normaltextrun1"/>
          <w:lang w:val="en-US"/>
        </w:rPr>
        <w:t>Group also appreciates the support and assistance it received from the United Nations Information Centr</w:t>
      </w:r>
      <w:r w:rsidR="00EB72A4">
        <w:rPr>
          <w:rStyle w:val="normaltextrun1"/>
          <w:lang w:val="en-US"/>
        </w:rPr>
        <w:t>e</w:t>
      </w:r>
      <w:r w:rsidR="002F56B8" w:rsidRPr="00E71C4C">
        <w:rPr>
          <w:rStyle w:val="normaltextrun1"/>
          <w:lang w:val="en-US"/>
        </w:rPr>
        <w:t xml:space="preserve"> in Vienna.</w:t>
      </w:r>
      <w:r w:rsidR="002F56B8" w:rsidRPr="00E71C4C">
        <w:rPr>
          <w:rStyle w:val="eop"/>
          <w:lang w:val="en-US"/>
        </w:rPr>
        <w:t> </w:t>
      </w:r>
    </w:p>
    <w:p w14:paraId="49FE6646" w14:textId="5A8DE8E1" w:rsidR="00CD2468" w:rsidRPr="009214BB" w:rsidRDefault="00E71C4C" w:rsidP="009214BB">
      <w:pPr>
        <w:pStyle w:val="H1G"/>
      </w:pPr>
      <w:r w:rsidRPr="009214BB">
        <w:tab/>
      </w:r>
      <w:r w:rsidR="00F5247C">
        <w:t>A</w:t>
      </w:r>
      <w:r w:rsidR="009214BB" w:rsidRPr="009214BB">
        <w:t>.</w:t>
      </w:r>
      <w:r w:rsidR="009214BB" w:rsidRPr="009214BB">
        <w:tab/>
      </w:r>
      <w:r w:rsidR="00CD2468" w:rsidRPr="009214BB">
        <w:t xml:space="preserve">Definition and Scope </w:t>
      </w:r>
    </w:p>
    <w:p w14:paraId="796977D0" w14:textId="3FF7C777" w:rsidR="009700F6" w:rsidRPr="009214BB" w:rsidRDefault="00540BB6" w:rsidP="009214BB">
      <w:pPr>
        <w:pStyle w:val="SingleTxtG"/>
      </w:pPr>
      <w:r>
        <w:t>7</w:t>
      </w:r>
      <w:r w:rsidR="009214BB">
        <w:t>.</w:t>
      </w:r>
      <w:r w:rsidR="009214BB">
        <w:tab/>
      </w:r>
      <w:r w:rsidR="00CD2468" w:rsidRPr="009214BB">
        <w:t xml:space="preserve">A “mercenary” is defined in international law as someone who is specially recruited locally or abroad in order to fight in an armed conflict. A mercenary is motivated essentially to take part in hostilities by a desire for private gain, or is promised, by or on behalf of a party </w:t>
      </w:r>
      <w:r w:rsidR="00CD2468" w:rsidRPr="009214BB">
        <w:lastRenderedPageBreak/>
        <w:t xml:space="preserve">to the conflict, material compensation substantially in excess of that promise or paid to combatants of similar rank and functions in the armed forces of that party. He or she is neither a national of a party to the conflict, nor a resident of the territory controlled by a party to the conflict; is not a member of the armed forces of a party to the conflict, and has not been sent by a State, which is not a party to the conflict, on official duty as a member of its armed forces. </w:t>
      </w:r>
    </w:p>
    <w:p w14:paraId="0FCF3508" w14:textId="19959FDF" w:rsidR="002F56B8" w:rsidRPr="009214BB" w:rsidRDefault="00540BB6" w:rsidP="009214BB">
      <w:pPr>
        <w:pStyle w:val="SingleTxtG"/>
      </w:pPr>
      <w:r>
        <w:t>8</w:t>
      </w:r>
      <w:r w:rsidR="009214BB">
        <w:t>.</w:t>
      </w:r>
      <w:r w:rsidR="009214BB">
        <w:tab/>
      </w:r>
      <w:r w:rsidR="00CD2468" w:rsidRPr="009214BB">
        <w:t>There is no international legal definition, for foreign fighters, or a specific legal regime governing them. The Working Group</w:t>
      </w:r>
      <w:r w:rsidR="00CD2468" w:rsidRPr="009D34C0">
        <w:rPr>
          <w:rStyle w:val="FootnoteReference"/>
          <w:sz w:val="16"/>
          <w:szCs w:val="16"/>
          <w:vertAlign w:val="baseline"/>
        </w:rPr>
        <w:footnoteReference w:id="4"/>
      </w:r>
      <w:r w:rsidR="00CD2468" w:rsidRPr="009214BB">
        <w:t xml:space="preserve"> noted that foreign fighters are generally understood to be individuals who leave their country of origin or habitual residence to engage in violence as part of an insurgency or non-State armed group in an armed conflict. </w:t>
      </w:r>
    </w:p>
    <w:p w14:paraId="4334BF60" w14:textId="7AEC231D" w:rsidR="009700F6" w:rsidRPr="009214BB" w:rsidRDefault="00540BB6" w:rsidP="009214BB">
      <w:pPr>
        <w:pStyle w:val="SingleTxtG"/>
      </w:pPr>
      <w:r>
        <w:t>9</w:t>
      </w:r>
      <w:r w:rsidR="005B1BAB">
        <w:t>.</w:t>
      </w:r>
      <w:r w:rsidR="005B1BAB">
        <w:tab/>
      </w:r>
      <w:r w:rsidR="009700F6" w:rsidRPr="009214BB">
        <w:t>Both mercenaries and foreign fighters are external actors who intervene in an armed conflict. Mercenaries are neither nationals of a party to the conflict nor residents of a territory controlled by a party to the conflict. Similarly, foreign fighters, while they may or may not be nationals of a party to the conflict, do not reside in the State affected by the conflict and have travelled from abroad to join the insurgency. Both mercenaries and foreign fighters may be recruited abroad or locally.</w:t>
      </w:r>
      <w:r w:rsidR="009700F6" w:rsidRPr="003C35BF">
        <w:rPr>
          <w:rStyle w:val="FootnoteReference"/>
          <w:sz w:val="20"/>
        </w:rPr>
        <w:footnoteReference w:id="5"/>
      </w:r>
      <w:r w:rsidR="009700F6" w:rsidRPr="003C35BF">
        <w:rPr>
          <w:vertAlign w:val="superscript"/>
        </w:rPr>
        <w:t xml:space="preserve"> </w:t>
      </w:r>
    </w:p>
    <w:p w14:paraId="599E8C15" w14:textId="5DF5CEB4" w:rsidR="009700F6" w:rsidRPr="009214BB" w:rsidRDefault="00540BB6" w:rsidP="009214BB">
      <w:pPr>
        <w:pStyle w:val="SingleTxtG"/>
      </w:pPr>
      <w:r>
        <w:t>10</w:t>
      </w:r>
      <w:r w:rsidR="005B1BAB">
        <w:t>.</w:t>
      </w:r>
      <w:r w:rsidR="005B1BAB">
        <w:tab/>
      </w:r>
      <w:r w:rsidR="009700F6" w:rsidRPr="009214BB">
        <w:t xml:space="preserve">The right to self-determination, in its contemporary manifestation, encompasses political struggles for greater democracy and human rights. This right is referred to in Article 1 (2) of the Charter of the United Nations, as a fundamental principle necessary for the achievement of universal peace. The Human Rights Committee recognizes the right to self-determination as an essential condition for the effective guarantee and observance of individual human rights, and for the promotion and strengthening of those rights. This right is also broadly understood as the right of peoples to determine their own political and economic system, including by participatory political processes. </w:t>
      </w:r>
    </w:p>
    <w:p w14:paraId="1589F46E" w14:textId="373B8C74" w:rsidR="00CD2468" w:rsidRPr="009214BB" w:rsidRDefault="00540BB6" w:rsidP="009214BB">
      <w:pPr>
        <w:pStyle w:val="SingleTxtG"/>
      </w:pPr>
      <w:r w:rsidRPr="00256412">
        <w:t>11</w:t>
      </w:r>
      <w:r w:rsidR="005B1BAB" w:rsidRPr="00256412">
        <w:t>.</w:t>
      </w:r>
      <w:r w:rsidR="005B1BAB">
        <w:tab/>
      </w:r>
      <w:r w:rsidR="00CD2468" w:rsidRPr="009214BB">
        <w:t xml:space="preserve">The Working Group defines a private military and/or security company as </w:t>
      </w:r>
      <w:r w:rsidR="00152EB5">
        <w:t>an</w:t>
      </w:r>
      <w:r w:rsidR="00CD2468" w:rsidRPr="009214BB">
        <w:t xml:space="preserve"> entity that provides, on a compensatory basis, military and/or security services by physical </w:t>
      </w:r>
      <w:r w:rsidR="003C35BF">
        <w:tab/>
      </w:r>
      <w:r w:rsidR="00CD2468" w:rsidRPr="009214BB">
        <w:t xml:space="preserve">persons and/or legal entities. </w:t>
      </w:r>
    </w:p>
    <w:p w14:paraId="6872ED0F" w14:textId="63F4EC54" w:rsidR="00CD2468" w:rsidRPr="009E61CD" w:rsidRDefault="00E71C4C" w:rsidP="009E61CD">
      <w:pPr>
        <w:pStyle w:val="H1G"/>
      </w:pPr>
      <w:r w:rsidRPr="009E61CD">
        <w:tab/>
      </w:r>
      <w:r w:rsidR="00F5247C">
        <w:t>B</w:t>
      </w:r>
      <w:r w:rsidR="009E61CD">
        <w:t>.</w:t>
      </w:r>
      <w:r w:rsidR="009E61CD">
        <w:tab/>
      </w:r>
      <w:r w:rsidR="006D5021" w:rsidRPr="009E61CD">
        <w:t xml:space="preserve">Background </w:t>
      </w:r>
      <w:r w:rsidR="002F56B8" w:rsidRPr="009E61CD">
        <w:t xml:space="preserve"> </w:t>
      </w:r>
    </w:p>
    <w:p w14:paraId="356E25D5" w14:textId="63338001" w:rsidR="006D5021" w:rsidRPr="009E61CD" w:rsidRDefault="00256412" w:rsidP="009E61CD">
      <w:pPr>
        <w:pStyle w:val="SingleTxtG"/>
      </w:pPr>
      <w:r>
        <w:t>12</w:t>
      </w:r>
      <w:r w:rsidR="009E61CD">
        <w:t>.</w:t>
      </w:r>
      <w:r w:rsidR="009E61CD">
        <w:tab/>
      </w:r>
      <w:r w:rsidR="002F56B8" w:rsidRPr="009E61CD">
        <w:t>Austria is a parliamentary representative democracy with a population of approximately 8.7 million inhabitants. The capital and largest city</w:t>
      </w:r>
      <w:r w:rsidR="009D34C0">
        <w:t xml:space="preserve"> Vienna has a</w:t>
      </w:r>
      <w:r w:rsidR="002F56B8" w:rsidRPr="009E61CD">
        <w:t xml:space="preserve"> population </w:t>
      </w:r>
      <w:r w:rsidR="009D34C0">
        <w:t>exceeding 1.8 million</w:t>
      </w:r>
      <w:r w:rsidR="002F56B8" w:rsidRPr="009E61CD">
        <w:t xml:space="preserve">. </w:t>
      </w:r>
      <w:r w:rsidR="003639EC">
        <w:t>According to the Human Development Index, Austria</w:t>
      </w:r>
      <w:r w:rsidR="002F56B8" w:rsidRPr="009E61CD">
        <w:t xml:space="preserve"> has </w:t>
      </w:r>
      <w:r w:rsidR="003639EC">
        <w:t xml:space="preserve">a </w:t>
      </w:r>
      <w:r w:rsidR="002F56B8" w:rsidRPr="009E61CD">
        <w:t>high standard of li</w:t>
      </w:r>
      <w:r w:rsidR="006D5021" w:rsidRPr="009E61CD">
        <w:t xml:space="preserve">ving </w:t>
      </w:r>
      <w:r w:rsidR="00407AF1">
        <w:t>and</w:t>
      </w:r>
      <w:r w:rsidR="00447F33" w:rsidRPr="009E61CD">
        <w:t xml:space="preserve"> was ranked</w:t>
      </w:r>
      <w:r w:rsidR="00407AF1">
        <w:t xml:space="preserve"> in 2018</w:t>
      </w:r>
      <w:r w:rsidR="00447F33" w:rsidRPr="009E61CD">
        <w:t xml:space="preserve"> </w:t>
      </w:r>
      <w:r w:rsidR="006D5021" w:rsidRPr="009E61CD">
        <w:t>at</w:t>
      </w:r>
      <w:r w:rsidR="00407AF1">
        <w:t xml:space="preserve"> number</w:t>
      </w:r>
      <w:r w:rsidR="006D5021" w:rsidRPr="009E61CD">
        <w:t xml:space="preserve"> 20 out of 189 countries and territories</w:t>
      </w:r>
      <w:r w:rsidR="00447F33" w:rsidRPr="009E61CD">
        <w:t xml:space="preserve"> </w:t>
      </w:r>
      <w:r w:rsidR="002F56B8" w:rsidRPr="009E61CD">
        <w:t xml:space="preserve">in the world </w:t>
      </w:r>
      <w:r w:rsidR="003639EC">
        <w:t>within the</w:t>
      </w:r>
      <w:r w:rsidR="006D5021" w:rsidRPr="009E61CD">
        <w:t xml:space="preserve"> human development category.</w:t>
      </w:r>
      <w:r w:rsidR="006D5021" w:rsidRPr="003C35BF">
        <w:rPr>
          <w:rStyle w:val="FootnoteReference"/>
          <w:sz w:val="20"/>
        </w:rPr>
        <w:footnoteReference w:id="6"/>
      </w:r>
      <w:r w:rsidR="002F56B8" w:rsidRPr="009E61CD">
        <w:t xml:space="preserve">  </w:t>
      </w:r>
      <w:r w:rsidR="006D5021" w:rsidRPr="009E61CD">
        <w:t>Austria</w:t>
      </w:r>
      <w:r w:rsidR="002F56B8" w:rsidRPr="009E61CD">
        <w:t xml:space="preserve"> has been a member of the United Nations since 1955,</w:t>
      </w:r>
      <w:r w:rsidR="00447F33" w:rsidRPr="009E61CD">
        <w:t xml:space="preserve"> and</w:t>
      </w:r>
      <w:r w:rsidR="002F56B8" w:rsidRPr="009E61CD">
        <w:t xml:space="preserve"> joined the European Union in 1995. </w:t>
      </w:r>
    </w:p>
    <w:p w14:paraId="3AEB2AD5" w14:textId="3BEA1B8D" w:rsidR="000F006C" w:rsidRPr="009E61CD" w:rsidRDefault="009E61CD" w:rsidP="009E61CD">
      <w:pPr>
        <w:pStyle w:val="SingleTxtG"/>
      </w:pPr>
      <w:r>
        <w:t>1</w:t>
      </w:r>
      <w:r w:rsidR="00256412">
        <w:t>3</w:t>
      </w:r>
      <w:r>
        <w:t>.</w:t>
      </w:r>
      <w:r>
        <w:tab/>
      </w:r>
      <w:r w:rsidR="002F56B8" w:rsidRPr="009E61CD">
        <w:t>As a federal republic, Austria is comprised of nine independent federal states or provinces: Burgenland, Carinthia, Lower Austria, Upper Austria, Salzburg, Styria, Tyrol, Vorarlberg and Vienna.</w:t>
      </w:r>
      <w:r w:rsidR="002F56B8" w:rsidRPr="003C35BF">
        <w:rPr>
          <w:rStyle w:val="FootnoteReference"/>
          <w:sz w:val="20"/>
        </w:rPr>
        <w:footnoteReference w:id="7"/>
      </w:r>
      <w:r w:rsidR="006D5021" w:rsidRPr="009E61CD">
        <w:t xml:space="preserve"> Its </w:t>
      </w:r>
      <w:r w:rsidR="00447F33" w:rsidRPr="009E61CD">
        <w:t xml:space="preserve">official languages </w:t>
      </w:r>
      <w:r w:rsidR="006D5021" w:rsidRPr="009E61CD">
        <w:t>include German (88.6%), Croatian</w:t>
      </w:r>
      <w:r w:rsidR="00704819">
        <w:t>,</w:t>
      </w:r>
      <w:r w:rsidR="006D5021" w:rsidRPr="009E61CD">
        <w:t xml:space="preserve"> and others including a small</w:t>
      </w:r>
      <w:r w:rsidR="00351A5A" w:rsidRPr="009E61CD">
        <w:t>er</w:t>
      </w:r>
      <w:r w:rsidR="006D5021" w:rsidRPr="009E61CD">
        <w:t xml:space="preserve"> percentage who speak Slovene and Hungarian.  </w:t>
      </w:r>
      <w:r w:rsidR="00715DA8">
        <w:t xml:space="preserve">According to recent studies, </w:t>
      </w:r>
      <w:r w:rsidR="00A277E2">
        <w:t>an estimated</w:t>
      </w:r>
      <w:r w:rsidR="000F006C" w:rsidRPr="009E61CD">
        <w:t xml:space="preserve"> </w:t>
      </w:r>
      <w:r w:rsidR="00715DA8">
        <w:t>64</w:t>
      </w:r>
      <w:r w:rsidR="000F006C" w:rsidRPr="009E61CD">
        <w:t xml:space="preserve">% </w:t>
      </w:r>
      <w:r w:rsidR="00A277E2">
        <w:t>of Austrians were</w:t>
      </w:r>
      <w:r w:rsidR="000F006C" w:rsidRPr="009E61CD">
        <w:t xml:space="preserve"> Roman Catholic, </w:t>
      </w:r>
      <w:r w:rsidR="00715DA8">
        <w:t>5</w:t>
      </w:r>
      <w:r w:rsidR="00A277E2">
        <w:t xml:space="preserve">% were </w:t>
      </w:r>
      <w:r w:rsidR="000F006C" w:rsidRPr="009E61CD">
        <w:t>Protestant</w:t>
      </w:r>
      <w:r w:rsidR="00A277E2">
        <w:t>,</w:t>
      </w:r>
      <w:r w:rsidR="000F006C" w:rsidRPr="009E61CD">
        <w:t xml:space="preserve"> w</w:t>
      </w:r>
      <w:r w:rsidR="00A277E2">
        <w:t xml:space="preserve">hile </w:t>
      </w:r>
      <w:r w:rsidR="000F006C" w:rsidRPr="009E61CD">
        <w:t xml:space="preserve"> </w:t>
      </w:r>
      <w:r w:rsidR="00715DA8">
        <w:t>8</w:t>
      </w:r>
      <w:r w:rsidR="00A277E2">
        <w:t xml:space="preserve">% were </w:t>
      </w:r>
      <w:r w:rsidR="000F006C" w:rsidRPr="009E61CD">
        <w:t>Muslims</w:t>
      </w:r>
      <w:r w:rsidR="00A277E2">
        <w:t>.</w:t>
      </w:r>
    </w:p>
    <w:p w14:paraId="2A406908" w14:textId="6BC411C6" w:rsidR="001536E5" w:rsidRPr="009E61CD" w:rsidRDefault="00256412" w:rsidP="009E61CD">
      <w:pPr>
        <w:pStyle w:val="SingleTxtG"/>
      </w:pPr>
      <w:r>
        <w:t>14</w:t>
      </w:r>
      <w:r w:rsidR="001F2A50">
        <w:t xml:space="preserve">. </w:t>
      </w:r>
      <w:r w:rsidR="001F2A50">
        <w:tab/>
        <w:t>Migration to Austria ha</w:t>
      </w:r>
      <w:r w:rsidR="00333062">
        <w:t xml:space="preserve">s resulted in </w:t>
      </w:r>
      <w:r w:rsidR="00407AF1">
        <w:t xml:space="preserve">a diverse and </w:t>
      </w:r>
      <w:r w:rsidR="00333062">
        <w:t>multi-ethnic</w:t>
      </w:r>
      <w:r w:rsidR="00407AF1">
        <w:t xml:space="preserve"> </w:t>
      </w:r>
      <w:r w:rsidR="00333062">
        <w:t>population. The conflicts in countries such as Iraq and Syria in recent years, have also resulted in an influx of individuals seeking asylum or passing through to other countries in the region for the same purpose. I</w:t>
      </w:r>
      <w:r w:rsidR="00A277E2">
        <w:t xml:space="preserve">n 2016, </w:t>
      </w:r>
      <w:r w:rsidR="00F927C8" w:rsidRPr="009E61CD">
        <w:t>some 1.</w:t>
      </w:r>
      <w:r w:rsidR="007D138B">
        <w:t>9</w:t>
      </w:r>
      <w:r w:rsidR="00F927C8" w:rsidRPr="009E61CD">
        <w:t xml:space="preserve"> million people with foreign background </w:t>
      </w:r>
      <w:r w:rsidR="007D138B">
        <w:t xml:space="preserve">(both parents born abroad) </w:t>
      </w:r>
      <w:r w:rsidR="00F927C8" w:rsidRPr="009E61CD">
        <w:t xml:space="preserve">were living in Austria. A large majority of these </w:t>
      </w:r>
      <w:r w:rsidR="003639EC">
        <w:t>individuals</w:t>
      </w:r>
      <w:r w:rsidR="00F927C8" w:rsidRPr="009E61CD">
        <w:t xml:space="preserve"> were born abroad while around 480,000 </w:t>
      </w:r>
      <w:r w:rsidR="002D3B91">
        <w:t xml:space="preserve">were born in Austria and </w:t>
      </w:r>
      <w:r w:rsidR="00F927C8" w:rsidRPr="009E61CD">
        <w:t>were descendants of foreign-born parents</w:t>
      </w:r>
      <w:r w:rsidR="002D3B91">
        <w:t xml:space="preserve">, and who </w:t>
      </w:r>
      <w:r w:rsidR="002D3B91">
        <w:lastRenderedPageBreak/>
        <w:t xml:space="preserve">were often referred to </w:t>
      </w:r>
      <w:r w:rsidR="003639EC">
        <w:t>as “second generation</w:t>
      </w:r>
      <w:r w:rsidR="00F927C8" w:rsidRPr="009E61CD">
        <w:t>”</w:t>
      </w:r>
      <w:r w:rsidR="003639EC">
        <w:t xml:space="preserve"> </w:t>
      </w:r>
      <w:r w:rsidR="007D138B">
        <w:t>immigrants</w:t>
      </w:r>
      <w:r w:rsidR="003639EC">
        <w:t>.</w:t>
      </w:r>
      <w:r w:rsidR="000F006C" w:rsidRPr="003C35BF">
        <w:rPr>
          <w:rStyle w:val="FootnoteReference"/>
          <w:sz w:val="20"/>
        </w:rPr>
        <w:footnoteReference w:id="8"/>
      </w:r>
      <w:r w:rsidR="00333062">
        <w:t xml:space="preserve"> Vienna remains the prime destination for international migration to Austria and many migrants </w:t>
      </w:r>
      <w:r w:rsidR="001401C8">
        <w:t>have settled mostly in the e</w:t>
      </w:r>
      <w:r w:rsidR="00333062">
        <w:t>ast</w:t>
      </w:r>
      <w:r w:rsidR="000A1361">
        <w:t xml:space="preserve">ern part of the country in close proximity to the capital. </w:t>
      </w:r>
      <w:r w:rsidR="00333062">
        <w:t xml:space="preserve"> </w:t>
      </w:r>
    </w:p>
    <w:p w14:paraId="42404265" w14:textId="196E1F1B" w:rsidR="00540BB6" w:rsidRDefault="009E61CD" w:rsidP="000822B1">
      <w:pPr>
        <w:pStyle w:val="SingleTxtG"/>
      </w:pPr>
      <w:r>
        <w:t>1</w:t>
      </w:r>
      <w:r w:rsidR="00256412">
        <w:t>5</w:t>
      </w:r>
      <w:r>
        <w:t>.</w:t>
      </w:r>
      <w:r>
        <w:tab/>
      </w:r>
      <w:r w:rsidR="002D2EC4">
        <w:t>Between 2011 and 2016, Europe experienced a</w:t>
      </w:r>
      <w:r w:rsidR="00B973AF" w:rsidRPr="009E61CD">
        <w:t>n increasing number of t</w:t>
      </w:r>
      <w:r w:rsidR="00540BB6">
        <w:t>heir nationals travelling to conflicts such as those in Iraq and Syri</w:t>
      </w:r>
      <w:r w:rsidR="002D2EC4">
        <w:t>a. During this period</w:t>
      </w:r>
      <w:r w:rsidR="000822B1">
        <w:t xml:space="preserve"> an estimated 42,000 foreign fighters from over 120 countries joined armed conflicts abroad, </w:t>
      </w:r>
      <w:r w:rsidR="002D2EC4">
        <w:t xml:space="preserve">and </w:t>
      </w:r>
      <w:r w:rsidR="000822B1">
        <w:t>around 5000 w</w:t>
      </w:r>
      <w:r w:rsidR="001401C8">
        <w:t>ere estimated to come from the Europe</w:t>
      </w:r>
      <w:r w:rsidR="000822B1">
        <w:t>.</w:t>
      </w:r>
      <w:r w:rsidR="000822B1">
        <w:rPr>
          <w:rStyle w:val="FootnoteReference"/>
        </w:rPr>
        <w:footnoteReference w:id="9"/>
      </w:r>
      <w:r w:rsidR="000822B1">
        <w:t xml:space="preserve"> </w:t>
      </w:r>
      <w:r w:rsidR="000F006C" w:rsidRPr="009E61CD">
        <w:t xml:space="preserve">  </w:t>
      </w:r>
    </w:p>
    <w:p w14:paraId="4236FAF6" w14:textId="3F5908E1" w:rsidR="00900F19" w:rsidRPr="009E61CD" w:rsidRDefault="00256412" w:rsidP="000822B1">
      <w:pPr>
        <w:pStyle w:val="SingleTxtG"/>
      </w:pPr>
      <w:r w:rsidRPr="00256412">
        <w:t>16</w:t>
      </w:r>
      <w:r w:rsidR="00540BB6" w:rsidRPr="00256412">
        <w:t>.</w:t>
      </w:r>
      <w:r w:rsidR="00540BB6">
        <w:tab/>
        <w:t>From</w:t>
      </w:r>
      <w:r w:rsidR="00900F19" w:rsidRPr="009E61CD">
        <w:t xml:space="preserve"> 2014 and 2015, Austria was reported as having one of </w:t>
      </w:r>
      <w:r w:rsidR="00540BB6">
        <w:t xml:space="preserve">the </w:t>
      </w:r>
      <w:r w:rsidR="00900F19" w:rsidRPr="009E61CD">
        <w:t>highest per capita rates in the European Union of foreign fighters tra</w:t>
      </w:r>
      <w:r w:rsidR="00A277E2">
        <w:t>velling to major conflict zones</w:t>
      </w:r>
      <w:r w:rsidR="00900F19" w:rsidRPr="009E61CD">
        <w:t xml:space="preserve">. </w:t>
      </w:r>
      <w:r w:rsidR="00540BB6">
        <w:t>A</w:t>
      </w:r>
      <w:r w:rsidR="00900F19" w:rsidRPr="009E61CD">
        <w:t xml:space="preserve">n estimated 317 individuals tried to go to join groups such as Da’esh and Al-Nusra. Around 60 </w:t>
      </w:r>
      <w:r w:rsidR="00540BB6">
        <w:t xml:space="preserve">individuals </w:t>
      </w:r>
      <w:r w:rsidR="00900F19" w:rsidRPr="009E61CD">
        <w:t>were intercepted attempting to travel there, many of whom were tried and convicted under</w:t>
      </w:r>
      <w:r w:rsidR="000A1361">
        <w:t xml:space="preserve"> Austria’s</w:t>
      </w:r>
      <w:r w:rsidR="00900F19" w:rsidRPr="009E61CD">
        <w:t xml:space="preserve"> anti-terrorism laws</w:t>
      </w:r>
      <w:r w:rsidR="00A277E2">
        <w:t>. About 93 we</w:t>
      </w:r>
      <w:r w:rsidR="00900F19" w:rsidRPr="009E61CD">
        <w:t xml:space="preserve">re known to have returned from the conflict zones, but there are no definitive statistics on numbers </w:t>
      </w:r>
      <w:r w:rsidR="00540BB6">
        <w:t>for those who were</w:t>
      </w:r>
      <w:r w:rsidR="00900F19" w:rsidRPr="009E61CD">
        <w:t xml:space="preserve"> killed</w:t>
      </w:r>
      <w:r w:rsidR="00540BB6">
        <w:t xml:space="preserve"> in conflict</w:t>
      </w:r>
      <w:r w:rsidR="00900F19" w:rsidRPr="009E61CD">
        <w:t xml:space="preserve">. </w:t>
      </w:r>
    </w:p>
    <w:p w14:paraId="21F86C9E" w14:textId="067F1B28" w:rsidR="00CD2468" w:rsidRPr="009E61CD" w:rsidRDefault="00E71C4C" w:rsidP="009E61CD">
      <w:pPr>
        <w:pStyle w:val="H1G"/>
      </w:pPr>
      <w:r w:rsidRPr="009E61CD">
        <w:tab/>
      </w:r>
      <w:r w:rsidR="00F5247C">
        <w:t>C</w:t>
      </w:r>
      <w:r w:rsidR="009E61CD" w:rsidRPr="009E61CD">
        <w:t>.</w:t>
      </w:r>
      <w:r w:rsidR="009E61CD" w:rsidRPr="009E61CD">
        <w:tab/>
      </w:r>
      <w:r w:rsidR="003B4AFB" w:rsidRPr="009E61CD">
        <w:t>L</w:t>
      </w:r>
      <w:r w:rsidR="001008C8" w:rsidRPr="009E61CD">
        <w:t>egal and Institutional Frameworks</w:t>
      </w:r>
    </w:p>
    <w:p w14:paraId="483EB640" w14:textId="55E41D77" w:rsidR="00F322EF" w:rsidRDefault="00F322EF" w:rsidP="009E61CD">
      <w:pPr>
        <w:pStyle w:val="SingleTxtG"/>
      </w:pPr>
      <w:r w:rsidRPr="009E61CD">
        <w:tab/>
      </w:r>
      <w:r w:rsidR="00256412">
        <w:t>17</w:t>
      </w:r>
      <w:r w:rsidR="009E61CD">
        <w:t>.</w:t>
      </w:r>
      <w:r w:rsidR="009E61CD">
        <w:tab/>
      </w:r>
      <w:r w:rsidRPr="009E61CD">
        <w:t>Austria has ratified many of the</w:t>
      </w:r>
      <w:r w:rsidR="00540BB6">
        <w:t xml:space="preserve"> international</w:t>
      </w:r>
      <w:r w:rsidRPr="009E61CD">
        <w:t xml:space="preserve"> human righ</w:t>
      </w:r>
      <w:r w:rsidR="00AB6005">
        <w:t>ts</w:t>
      </w:r>
      <w:r w:rsidR="00540BB6">
        <w:t xml:space="preserve"> c</w:t>
      </w:r>
      <w:r w:rsidR="00AB6005">
        <w:t xml:space="preserve">onventions </w:t>
      </w:r>
      <w:r w:rsidR="00666E6C">
        <w:t>including the Convention on the Rights of the Child, Convention on the Elimination of Discrimination Against Wo</w:t>
      </w:r>
      <w:r w:rsidR="00AB6005">
        <w:t>men</w:t>
      </w:r>
      <w:r w:rsidR="00540BB6">
        <w:t>,</w:t>
      </w:r>
      <w:r w:rsidR="00AB6005">
        <w:t xml:space="preserve"> Convention against t</w:t>
      </w:r>
      <w:r w:rsidR="00666E6C">
        <w:t>orture and other cruel, inhuman or degrading treatment or punishment, Convention on refugees and stateless perso</w:t>
      </w:r>
      <w:r w:rsidR="00226AAA">
        <w:t>ns</w:t>
      </w:r>
      <w:r w:rsidR="000A1361">
        <w:t xml:space="preserve">, </w:t>
      </w:r>
      <w:r w:rsidR="00226AAA">
        <w:t>the Geneva</w:t>
      </w:r>
      <w:r w:rsidR="00666E6C">
        <w:t xml:space="preserve"> Conventions of 12 August 1949 and</w:t>
      </w:r>
      <w:r w:rsidR="00540BB6">
        <w:t xml:space="preserve"> the</w:t>
      </w:r>
      <w:r w:rsidR="00666E6C">
        <w:t xml:space="preserve"> Additional Protocols in which </w:t>
      </w:r>
      <w:r w:rsidR="00540BB6">
        <w:t xml:space="preserve">a mercenary </w:t>
      </w:r>
      <w:r w:rsidR="00666E6C">
        <w:t>is</w:t>
      </w:r>
      <w:r w:rsidR="00540BB6">
        <w:t xml:space="preserve"> also</w:t>
      </w:r>
      <w:r w:rsidR="00666E6C">
        <w:t xml:space="preserve"> defined.</w:t>
      </w:r>
      <w:r w:rsidR="00666E6C">
        <w:rPr>
          <w:rStyle w:val="FootnoteReference"/>
        </w:rPr>
        <w:footnoteReference w:id="10"/>
      </w:r>
      <w:r w:rsidR="00666E6C">
        <w:t xml:space="preserve"> Austria has yet to ratify the </w:t>
      </w:r>
      <w:r w:rsidR="00540BB6">
        <w:t>International Convention against the recruitment, use, financing and training of mercenaries</w:t>
      </w:r>
      <w:r w:rsidR="000A1361">
        <w:t xml:space="preserve"> and</w:t>
      </w:r>
      <w:r w:rsidR="00987AC3">
        <w:t xml:space="preserve"> the International Convention on the protection of the rights of all migrant workers and members of their families</w:t>
      </w:r>
      <w:r w:rsidR="000A1361">
        <w:t xml:space="preserve">. </w:t>
      </w:r>
    </w:p>
    <w:p w14:paraId="1CE2173F" w14:textId="1F3D23E4" w:rsidR="00E24A5D" w:rsidRDefault="00256412" w:rsidP="009E61CD">
      <w:pPr>
        <w:pStyle w:val="SingleTxtG"/>
      </w:pPr>
      <w:r>
        <w:t>18</w:t>
      </w:r>
      <w:r w:rsidR="003F00ED">
        <w:t xml:space="preserve">. </w:t>
      </w:r>
      <w:r w:rsidR="003F00ED">
        <w:tab/>
        <w:t>The Working Group noted that most individuals who were reported to be travelling to participate in armed conflicts abroad were charged and convicted mostly under Section 278 of the Penal Code</w:t>
      </w:r>
      <w:r w:rsidR="0066698B">
        <w:t>, known as the antiterrorist legislation</w:t>
      </w:r>
      <w:r w:rsidR="003F00ED">
        <w:t xml:space="preserve">. </w:t>
      </w:r>
      <w:r w:rsidR="003F00ED" w:rsidRPr="009E61CD">
        <w:t>The participation in a criminal organization as defined in Section 278a of the Penal Code constitutes a criminal offence</w:t>
      </w:r>
      <w:r w:rsidR="003F00ED">
        <w:t xml:space="preserve"> while</w:t>
      </w:r>
      <w:r w:rsidR="003F00ED" w:rsidRPr="009E61CD">
        <w:t xml:space="preserve"> </w:t>
      </w:r>
      <w:r w:rsidR="003F00ED">
        <w:t>S</w:t>
      </w:r>
      <w:r w:rsidR="003F00ED" w:rsidRPr="009E61CD">
        <w:t>ection 278b criminalizes the leading of and the participation in a terrorist group. For the purpose of further defining the meaning of "participation" the law stipulates this to apply to anybody who inter alia supports a (criminal) group by providing information or assets or in any other way</w:t>
      </w:r>
      <w:r w:rsidR="001401C8">
        <w:t>,</w:t>
      </w:r>
      <w:r w:rsidR="003F00ED" w:rsidRPr="009E61CD">
        <w:t xml:space="preserve"> which promotes the group or its criminal acts. Section 279 criminalises the recruitment of members for armed associations and the financing of armed associations punishable by imprisonment of up to three years</w:t>
      </w:r>
      <w:r w:rsidR="003F00ED">
        <w:t xml:space="preserve">. </w:t>
      </w:r>
    </w:p>
    <w:p w14:paraId="35466432" w14:textId="27E013BC" w:rsidR="00E872BB" w:rsidRPr="009E61CD" w:rsidRDefault="00256412" w:rsidP="00256412">
      <w:pPr>
        <w:pStyle w:val="SingleTxtG"/>
      </w:pPr>
      <w:r>
        <w:t>19.</w:t>
      </w:r>
      <w:r>
        <w:tab/>
      </w:r>
      <w:r w:rsidR="003F00ED">
        <w:t xml:space="preserve">The Working Group </w:t>
      </w:r>
      <w:r w:rsidR="00221FD6">
        <w:t xml:space="preserve">also </w:t>
      </w:r>
      <w:r w:rsidR="003F00ED">
        <w:t>noted that offences related to those who travelled to engage in conflict due to financial incentives or those that could possibly fall under what is deemed a mercenary-related actor, could also be charged under Section 278 in Austria.  Further, s</w:t>
      </w:r>
      <w:r w:rsidR="003F00ED" w:rsidRPr="009E61CD">
        <w:t xml:space="preserve">upport for criminal organisations acting outside </w:t>
      </w:r>
      <w:r w:rsidR="00FB03B6">
        <w:t>the country is punishable</w:t>
      </w:r>
      <w:r w:rsidR="003F00ED" w:rsidRPr="009E61CD">
        <w:t>, if the supportive act has been effected in Austrian territory. The recruitment of members for a criminal organisation can be considered as a supportive act.</w:t>
      </w:r>
    </w:p>
    <w:p w14:paraId="7D62F362" w14:textId="219C5550" w:rsidR="00E24A5D" w:rsidRPr="009E61CD" w:rsidRDefault="00256412" w:rsidP="00E24A5D">
      <w:pPr>
        <w:pStyle w:val="SingleTxtG"/>
      </w:pPr>
      <w:r>
        <w:t>20</w:t>
      </w:r>
      <w:r w:rsidR="009E61CD">
        <w:t>.</w:t>
      </w:r>
      <w:r w:rsidR="009E61CD">
        <w:tab/>
      </w:r>
      <w:r w:rsidR="00E24A5D">
        <w:t>Aust</w:t>
      </w:r>
      <w:r w:rsidR="0066698B">
        <w:t>ria has s</w:t>
      </w:r>
      <w:r w:rsidR="00E24A5D" w:rsidRPr="009E61CD">
        <w:t>pecific regulations</w:t>
      </w:r>
      <w:r w:rsidR="0066698B">
        <w:t xml:space="preserve"> to</w:t>
      </w:r>
      <w:r w:rsidR="00E24A5D" w:rsidRPr="009E61CD">
        <w:t xml:space="preserve"> prohibit the use and distribution of symbols attributable to </w:t>
      </w:r>
      <w:r w:rsidR="00FB03B6">
        <w:t>Da’esh (ISIS)</w:t>
      </w:r>
      <w:r w:rsidR="00E24A5D" w:rsidRPr="009E61CD">
        <w:t xml:space="preserve"> or Al-Qaeda. Regulations further allow border authorities to prevent minors from leaving Austria upon suspicion </w:t>
      </w:r>
      <w:r w:rsidR="00FB03B6">
        <w:t xml:space="preserve">that </w:t>
      </w:r>
      <w:r w:rsidR="00065A50">
        <w:t>they</w:t>
      </w:r>
      <w:r w:rsidR="00E24A5D" w:rsidRPr="009E61CD">
        <w:t xml:space="preserve"> will participate in fighting activities abroad. Authorities are allowed to withdraw citizenship from an Austrian dual national who voluntarily and actively participates in fighting in an armed conflict.</w:t>
      </w:r>
      <w:r w:rsidR="00E24A5D">
        <w:t xml:space="preserve"> </w:t>
      </w:r>
      <w:r w:rsidR="00E24A5D" w:rsidRPr="009E61CD">
        <w:t>Austria's Office for State Protection and Counterterrorism (BVT), the key counterterrorism agency within the Ministry of the Interior,</w:t>
      </w:r>
      <w:r w:rsidR="00E24A5D">
        <w:t xml:space="preserve"> has </w:t>
      </w:r>
      <w:r w:rsidR="00E24A5D" w:rsidRPr="009E61CD">
        <w:t>reported ongoing</w:t>
      </w:r>
      <w:r w:rsidR="00E24A5D">
        <w:t xml:space="preserve"> efforts to address</w:t>
      </w:r>
      <w:r w:rsidR="00E24A5D" w:rsidRPr="009E61CD">
        <w:t xml:space="preserve"> radicalization to </w:t>
      </w:r>
      <w:r w:rsidR="00E24A5D">
        <w:t xml:space="preserve">violence by extremist groups, including those </w:t>
      </w:r>
      <w:r w:rsidR="000A1361">
        <w:t xml:space="preserve">they identify as </w:t>
      </w:r>
      <w:r w:rsidR="00E24A5D" w:rsidRPr="009E61CD">
        <w:t>Islamist extremist groups.</w:t>
      </w:r>
    </w:p>
    <w:p w14:paraId="3200E319" w14:textId="03C7FDFB" w:rsidR="00FA4BFB" w:rsidRPr="009E61CD" w:rsidRDefault="00256412" w:rsidP="00256412">
      <w:pPr>
        <w:pStyle w:val="SingleTxtG"/>
      </w:pPr>
      <w:r>
        <w:t>21.</w:t>
      </w:r>
      <w:r>
        <w:tab/>
      </w:r>
      <w:r w:rsidR="00FB03B6">
        <w:t>In response to foreign fighters, l</w:t>
      </w:r>
      <w:r w:rsidR="00690126" w:rsidRPr="009E61CD">
        <w:t xml:space="preserve">aw enforcement agencies focused on intelligence gathering and investigations, while integration officials engaged in public outreach to prevent </w:t>
      </w:r>
      <w:r w:rsidR="00690126" w:rsidRPr="009E61CD">
        <w:lastRenderedPageBreak/>
        <w:t>radicalization to violence.</w:t>
      </w:r>
      <w:r w:rsidR="00690126">
        <w:t xml:space="preserve"> In 2017, a number of legislation was approved on the use of </w:t>
      </w:r>
      <w:r w:rsidR="00A151FF">
        <w:t>stringent surveillance measures</w:t>
      </w:r>
      <w:r w:rsidR="00FB03B6">
        <w:t>,</w:t>
      </w:r>
      <w:r w:rsidR="00A151FF">
        <w:t xml:space="preserve"> </w:t>
      </w:r>
      <w:r w:rsidR="002F22C0">
        <w:t xml:space="preserve">which grants far-reaching surveillance powers to the government’s security agencies. The measures </w:t>
      </w:r>
      <w:r w:rsidR="00A151FF">
        <w:t>raised concerns relating to the implications on</w:t>
      </w:r>
      <w:r w:rsidR="00E000D3">
        <w:t>, inter alia,</w:t>
      </w:r>
      <w:r w:rsidR="00A151FF">
        <w:t xml:space="preserve"> the right to assembly, right to freedom of expre</w:t>
      </w:r>
      <w:r w:rsidR="00E24A5D">
        <w:t xml:space="preserve">ssion and the right to privacy. </w:t>
      </w:r>
    </w:p>
    <w:p w14:paraId="69B7FE22" w14:textId="6C9A544F" w:rsidR="00B669A8" w:rsidRDefault="009E61CD" w:rsidP="00B669A8">
      <w:pPr>
        <w:pStyle w:val="SingleTxtG"/>
      </w:pPr>
      <w:r>
        <w:t>2</w:t>
      </w:r>
      <w:r w:rsidR="00256412">
        <w:t>2</w:t>
      </w:r>
      <w:r>
        <w:t>.</w:t>
      </w:r>
      <w:r>
        <w:tab/>
      </w:r>
      <w:r w:rsidR="005930A6" w:rsidRPr="006D24EF">
        <w:t>Austria supports the work of the UN Security Council, in particular of the Counter-Terrorism Committee (CTC) and the Taliban/Al-Qaeda Sanctions Committee</w:t>
      </w:r>
      <w:r w:rsidR="005930A6">
        <w:t xml:space="preserve"> and has</w:t>
      </w:r>
      <w:r w:rsidR="005930A6" w:rsidRPr="006D24EF">
        <w:t xml:space="preserve"> financially contributed to, and thus enabled the start of, a Global Programme against Terrorism by the UN Office on Drugs and Crime. </w:t>
      </w:r>
      <w:r w:rsidR="00B669A8">
        <w:t>A</w:t>
      </w:r>
      <w:r w:rsidR="00B669A8" w:rsidRPr="009E61CD">
        <w:t>ustria has taken a</w:t>
      </w:r>
      <w:r w:rsidR="00B669A8">
        <w:t>n</w:t>
      </w:r>
      <w:r w:rsidR="00B669A8" w:rsidRPr="009E61CD">
        <w:t xml:space="preserve"> </w:t>
      </w:r>
      <w:r w:rsidR="00B669A8">
        <w:t xml:space="preserve">active </w:t>
      </w:r>
      <w:r w:rsidR="00B669A8" w:rsidRPr="009E61CD">
        <w:t>approach to implement</w:t>
      </w:r>
      <w:r w:rsidR="00B669A8">
        <w:t>ing</w:t>
      </w:r>
      <w:r w:rsidR="00B669A8" w:rsidRPr="009E61CD">
        <w:t xml:space="preserve"> UN Security Council resolutions 2178 (2014) to counter foreign terrorist fighters, and 2199 (2015) to counter </w:t>
      </w:r>
      <w:r w:rsidR="00FB03B6">
        <w:t>Da’esh/</w:t>
      </w:r>
      <w:r w:rsidR="00B669A8" w:rsidRPr="009E61CD">
        <w:t>ISIS, a</w:t>
      </w:r>
      <w:r w:rsidR="00B669A8">
        <w:t xml:space="preserve">nd has taken steps to incorporate </w:t>
      </w:r>
      <w:r w:rsidR="00B669A8" w:rsidRPr="009E61CD">
        <w:t>Global Counterterrorism Forum</w:t>
      </w:r>
      <w:r w:rsidR="00B669A8">
        <w:t>’s</w:t>
      </w:r>
      <w:r w:rsidR="00B669A8" w:rsidRPr="009E61CD">
        <w:t xml:space="preserve"> good practices on foreign terrorist fighters.</w:t>
      </w:r>
      <w:r w:rsidR="00B669A8">
        <w:rPr>
          <w:rStyle w:val="FootnoteReference"/>
        </w:rPr>
        <w:footnoteReference w:id="11"/>
      </w:r>
      <w:r w:rsidR="00B669A8" w:rsidRPr="00E24A5D">
        <w:t xml:space="preserve"> </w:t>
      </w:r>
      <w:r w:rsidR="005930A6">
        <w:t xml:space="preserve">It </w:t>
      </w:r>
      <w:r w:rsidR="00B669A8" w:rsidRPr="009E61CD">
        <w:t>is</w:t>
      </w:r>
      <w:r w:rsidR="005930A6">
        <w:t xml:space="preserve"> also</w:t>
      </w:r>
      <w:r w:rsidR="00B669A8" w:rsidRPr="009E61CD">
        <w:t xml:space="preserve"> a member of the Global Coalition to Defeat ISIS, and a member of the Defeat-ISIS Working Groups on Foreign Terrorist Fighters and Stabilization.</w:t>
      </w:r>
    </w:p>
    <w:p w14:paraId="76AC4770" w14:textId="5A77DF46" w:rsidR="005930A6" w:rsidRPr="009E61CD" w:rsidRDefault="00FB03B6" w:rsidP="00B669A8">
      <w:pPr>
        <w:pStyle w:val="SingleTxtG"/>
      </w:pPr>
      <w:r>
        <w:t>23.</w:t>
      </w:r>
      <w:r>
        <w:tab/>
      </w:r>
      <w:r w:rsidR="005930A6">
        <w:t xml:space="preserve">Austria is </w:t>
      </w:r>
      <w:r>
        <w:t xml:space="preserve">also </w:t>
      </w:r>
      <w:r w:rsidR="005930A6">
        <w:t>a p</w:t>
      </w:r>
      <w:r w:rsidR="005930A6" w:rsidRPr="006D24EF">
        <w:t xml:space="preserve">arty to several bi- and multilateral treaties in the field of mutual legal assistance in criminal matters </w:t>
      </w:r>
      <w:r w:rsidR="005930A6">
        <w:t xml:space="preserve">and extradition, including the </w:t>
      </w:r>
      <w:r w:rsidR="005930A6" w:rsidRPr="006D24EF">
        <w:t>European Convention on Mutual Assistance in Criminal matters and its Additional Protocol</w:t>
      </w:r>
      <w:r w:rsidR="00E000D3">
        <w:t xml:space="preserve"> and</w:t>
      </w:r>
      <w:r w:rsidR="005930A6" w:rsidRPr="006D24EF">
        <w:t xml:space="preserve"> the European Convention on Extradition and its Second Additional Protocol</w:t>
      </w:r>
      <w:r w:rsidR="00E000D3">
        <w:t>.</w:t>
      </w:r>
      <w:r w:rsidR="005930A6">
        <w:t xml:space="preserve"> </w:t>
      </w:r>
    </w:p>
    <w:p w14:paraId="703F87F8" w14:textId="3312FA20" w:rsidR="003F00ED" w:rsidRDefault="00065A50" w:rsidP="003F00ED">
      <w:pPr>
        <w:pStyle w:val="SingleTxtG"/>
      </w:pPr>
      <w:r>
        <w:t>24</w:t>
      </w:r>
      <w:r w:rsidR="00FA4BFB">
        <w:t>.</w:t>
      </w:r>
      <w:r w:rsidR="00FA4BFB">
        <w:tab/>
      </w:r>
      <w:r w:rsidR="00F322EF" w:rsidRPr="009E61CD">
        <w:t>At the time of the visit, the W</w:t>
      </w:r>
      <w:r w:rsidR="00157AE2">
        <w:t>orking Group was informed of</w:t>
      </w:r>
      <w:r w:rsidR="00F322EF" w:rsidRPr="009E61CD">
        <w:t xml:space="preserve"> a</w:t>
      </w:r>
      <w:r w:rsidR="00157AE2">
        <w:t xml:space="preserve"> draft</w:t>
      </w:r>
      <w:r w:rsidR="00F322EF" w:rsidRPr="009E61CD">
        <w:t xml:space="preserve"> national strategy on de</w:t>
      </w:r>
      <w:r w:rsidR="00690126">
        <w:t>-</w:t>
      </w:r>
      <w:r w:rsidR="00F322EF" w:rsidRPr="009E61CD">
        <w:t>radicalization and prevention of violent extremism</w:t>
      </w:r>
      <w:r w:rsidR="00B669A8">
        <w:t>,</w:t>
      </w:r>
      <w:r w:rsidR="003F00ED">
        <w:t xml:space="preserve"> which had yet to be adopted. </w:t>
      </w:r>
      <w:r w:rsidR="00157AE2">
        <w:t>The Working Group</w:t>
      </w:r>
      <w:r w:rsidR="003F00ED">
        <w:t xml:space="preserve"> noted the critical need to ensure the valuable contributions of civil society organizations and community groups </w:t>
      </w:r>
      <w:r w:rsidR="00FB03B6">
        <w:t xml:space="preserve">to the </w:t>
      </w:r>
      <w:r w:rsidR="003F00ED">
        <w:t xml:space="preserve">content of this plan, </w:t>
      </w:r>
      <w:r>
        <w:t xml:space="preserve">to ensure that </w:t>
      </w:r>
      <w:r w:rsidR="0079266A">
        <w:t xml:space="preserve">it </w:t>
      </w:r>
      <w:r>
        <w:t>will</w:t>
      </w:r>
      <w:r w:rsidR="00FC4C21">
        <w:t xml:space="preserve"> not </w:t>
      </w:r>
      <w:r>
        <w:t>wholly focus</w:t>
      </w:r>
      <w:r w:rsidR="00FC4C21">
        <w:t xml:space="preserve"> on security and law enforcement measures but</w:t>
      </w:r>
      <w:r>
        <w:t xml:space="preserve"> </w:t>
      </w:r>
      <w:r w:rsidR="0079266A">
        <w:t>will</w:t>
      </w:r>
      <w:r w:rsidR="00FC4C21">
        <w:t xml:space="preserve"> also </w:t>
      </w:r>
      <w:r>
        <w:t>cover</w:t>
      </w:r>
      <w:r w:rsidR="00FC4C21">
        <w:t xml:space="preserve"> the multi-dimensional areas that </w:t>
      </w:r>
      <w:r>
        <w:t>violen</w:t>
      </w:r>
      <w:r w:rsidR="0079266A">
        <w:t>t extremism and radicalisation are linked to</w:t>
      </w:r>
      <w:r w:rsidR="00FB03B6">
        <w:t xml:space="preserve">.  </w:t>
      </w:r>
      <w:r w:rsidR="00157AE2">
        <w:t xml:space="preserve">As such, the National Network for Prevention and Countering Violent Extremism and Deradicalisation </w:t>
      </w:r>
      <w:r w:rsidR="00FC4C21">
        <w:t xml:space="preserve">(BNED) </w:t>
      </w:r>
      <w:r w:rsidR="00157AE2">
        <w:t>founded by the Federal Ministry of Interior in 2017 and involving a</w:t>
      </w:r>
      <w:r w:rsidR="00FC4C21">
        <w:t xml:space="preserve">round 70 experts from </w:t>
      </w:r>
      <w:r w:rsidR="000D039C">
        <w:t>multi-sectors in</w:t>
      </w:r>
      <w:r w:rsidR="00FC4C21">
        <w:t xml:space="preserve"> society</w:t>
      </w:r>
      <w:r w:rsidR="00353691">
        <w:t>, including health</w:t>
      </w:r>
      <w:r w:rsidR="00FC4C21">
        <w:t>,</w:t>
      </w:r>
      <w:r w:rsidR="00353691">
        <w:t xml:space="preserve"> education and media,</w:t>
      </w:r>
      <w:r w:rsidR="00157AE2">
        <w:t xml:space="preserve"> </w:t>
      </w:r>
      <w:r w:rsidR="0079266A">
        <w:t xml:space="preserve">can significantly assist with the programmes on deradicalisation and countering violent extremism. </w:t>
      </w:r>
    </w:p>
    <w:p w14:paraId="37669CEB" w14:textId="204E249E" w:rsidR="00690126" w:rsidRDefault="00256412" w:rsidP="003F00ED">
      <w:pPr>
        <w:pStyle w:val="SingleTxtG"/>
      </w:pPr>
      <w:r>
        <w:t>2</w:t>
      </w:r>
      <w:r w:rsidR="00065A50">
        <w:t>5</w:t>
      </w:r>
      <w:r w:rsidR="003F00ED">
        <w:t>.</w:t>
      </w:r>
      <w:r w:rsidR="003F00ED">
        <w:tab/>
        <w:t>Austria has a</w:t>
      </w:r>
      <w:r w:rsidR="0079266A">
        <w:t>n Ombudsman B</w:t>
      </w:r>
      <w:r w:rsidR="00690126">
        <w:t>oard as a national human rights institution and recommendations made in the country’s Universal P</w:t>
      </w:r>
      <w:r w:rsidR="00FB03B6">
        <w:t>eriodic Review in 2015</w:t>
      </w:r>
      <w:r w:rsidR="00DB5AA2">
        <w:rPr>
          <w:rStyle w:val="FootnoteReference"/>
        </w:rPr>
        <w:footnoteReference w:id="12"/>
      </w:r>
      <w:r w:rsidR="00FB03B6">
        <w:t xml:space="preserve"> noted the</w:t>
      </w:r>
      <w:r w:rsidR="00690126">
        <w:t xml:space="preserve"> need to ensure </w:t>
      </w:r>
      <w:r w:rsidR="00FB03B6">
        <w:t xml:space="preserve">that </w:t>
      </w:r>
      <w:r w:rsidR="00690126">
        <w:t>the appointment of Board members complied with the principles relating to the status of national institutions for the promotion and protection of human rights</w:t>
      </w:r>
      <w:r w:rsidR="00B669A8">
        <w:t xml:space="preserve">, </w:t>
      </w:r>
      <w:r w:rsidR="00FB03B6">
        <w:t>(the</w:t>
      </w:r>
      <w:r w:rsidR="00B669A8">
        <w:t xml:space="preserve"> “Paris Principles”</w:t>
      </w:r>
      <w:r w:rsidR="00FB03B6">
        <w:t>).</w:t>
      </w:r>
    </w:p>
    <w:p w14:paraId="66626B39" w14:textId="29DC599F" w:rsidR="001A4827" w:rsidRDefault="00884067" w:rsidP="003F00ED">
      <w:pPr>
        <w:pStyle w:val="SingleTxtG"/>
        <w:rPr>
          <w:rFonts w:eastAsia="Times New Roman"/>
          <w:b/>
          <w:bCs/>
        </w:rPr>
      </w:pPr>
      <w:r>
        <w:t>26</w:t>
      </w:r>
      <w:r w:rsidR="006032A5">
        <w:t xml:space="preserve">.  </w:t>
      </w:r>
      <w:r w:rsidR="00256412">
        <w:tab/>
      </w:r>
      <w:r w:rsidR="006032A5">
        <w:t>The private security industry in Austria is not regulated by a sector-specific legislation but by general commercial law</w:t>
      </w:r>
      <w:r w:rsidR="00622B89">
        <w:t xml:space="preserve"> known as the Trade, Commerce and Industry Regulation Act</w:t>
      </w:r>
      <w:r w:rsidR="00690126">
        <w:t xml:space="preserve"> </w:t>
      </w:r>
      <w:r w:rsidR="00622B89">
        <w:t xml:space="preserve">enacted in 1994.  The law does not allow armed private security services unless a special license has been granted by the competent national authority in charge of drafting and amending legislation </w:t>
      </w:r>
      <w:r w:rsidR="00622B89" w:rsidRPr="00622B89">
        <w:rPr>
          <w:i/>
        </w:rPr>
        <w:t>(</w:t>
      </w:r>
      <w:r w:rsidR="00622B89">
        <w:rPr>
          <w:i/>
        </w:rPr>
        <w:t xml:space="preserve">Trade and Commerce authority - </w:t>
      </w:r>
      <w:r w:rsidR="00622B89" w:rsidRPr="00622B89">
        <w:rPr>
          <w:i/>
        </w:rPr>
        <w:t>Gewerbebehörde).</w:t>
      </w:r>
      <w:r w:rsidR="00622B89">
        <w:t xml:space="preserve"> The same authority is responsible for controls and inspections as well as imposing administrative and penal sanctions. </w:t>
      </w:r>
      <w:r w:rsidR="00A204C5">
        <w:t xml:space="preserve"> </w:t>
      </w:r>
    </w:p>
    <w:p w14:paraId="49DEEB37" w14:textId="6B51E0D3" w:rsidR="00C406C4" w:rsidRPr="00C82DC5" w:rsidRDefault="00C406C4" w:rsidP="00FA4BFB">
      <w:pPr>
        <w:pStyle w:val="H1G"/>
      </w:pPr>
      <w:r w:rsidRPr="00E71C4C">
        <w:tab/>
      </w:r>
      <w:r w:rsidR="00F5247C">
        <w:t>D</w:t>
      </w:r>
      <w:r w:rsidR="00FA4BFB">
        <w:t>.</w:t>
      </w:r>
      <w:r w:rsidR="00FA4BFB">
        <w:tab/>
      </w:r>
      <w:r w:rsidRPr="00E71C4C">
        <w:t xml:space="preserve">Positive observations </w:t>
      </w:r>
    </w:p>
    <w:p w14:paraId="07F27CBE" w14:textId="028AD129" w:rsidR="00C406C4" w:rsidRPr="00FA4BFB" w:rsidRDefault="00884067" w:rsidP="00FA4BFB">
      <w:pPr>
        <w:pStyle w:val="SingleTxtG"/>
      </w:pPr>
      <w:r>
        <w:t>27</w:t>
      </w:r>
      <w:r w:rsidR="00FA4BFB">
        <w:t>.</w:t>
      </w:r>
      <w:r w:rsidR="00FA4BFB">
        <w:tab/>
      </w:r>
      <w:r w:rsidR="00265F6B">
        <w:t xml:space="preserve">Having ratified the </w:t>
      </w:r>
      <w:r w:rsidR="004F426A">
        <w:t xml:space="preserve">majority of the </w:t>
      </w:r>
      <w:r w:rsidR="00265F6B">
        <w:t>international human rights conventions</w:t>
      </w:r>
      <w:r w:rsidR="004F426A">
        <w:t>,</w:t>
      </w:r>
      <w:r w:rsidR="00265F6B">
        <w:t xml:space="preserve"> and </w:t>
      </w:r>
      <w:r w:rsidR="008D64E8">
        <w:t>with a Constitution and legislation that provide strong protection for fundamental human rights, Austria is</w:t>
      </w:r>
      <w:r w:rsidR="00265F6B">
        <w:t xml:space="preserve"> often seen as a </w:t>
      </w:r>
      <w:r w:rsidR="00C406C4" w:rsidRPr="00FA4BFB">
        <w:t>beacon of democracy and the rule of law</w:t>
      </w:r>
      <w:r w:rsidR="008D64E8">
        <w:t xml:space="preserve">. </w:t>
      </w:r>
      <w:r w:rsidR="00C406C4" w:rsidRPr="00FA4BFB">
        <w:t xml:space="preserve"> </w:t>
      </w:r>
    </w:p>
    <w:p w14:paraId="7CA83DBE" w14:textId="45EF8A3E" w:rsidR="00C406C4" w:rsidRPr="00FA4BFB" w:rsidRDefault="00884067" w:rsidP="00FA4BFB">
      <w:pPr>
        <w:pStyle w:val="SingleTxtG"/>
      </w:pPr>
      <w:r>
        <w:t>28</w:t>
      </w:r>
      <w:r w:rsidR="00FA4BFB">
        <w:t>.</w:t>
      </w:r>
      <w:r w:rsidR="00FA4BFB">
        <w:tab/>
      </w:r>
      <w:r w:rsidR="00C406C4" w:rsidRPr="00FA4BFB">
        <w:t>With regard to the foreign fighter phenomenon, the Working Group notes that the government has engaged in multiple strategies, engagements and fora, nationally, regionally and internationally to address this challenge. The</w:t>
      </w:r>
      <w:r w:rsidR="007A09C4">
        <w:t xml:space="preserve"> Government’s </w:t>
      </w:r>
      <w:r w:rsidR="00C406C4" w:rsidRPr="00FA4BFB">
        <w:t xml:space="preserve">aims of </w:t>
      </w:r>
      <w:r w:rsidR="004A1F06" w:rsidRPr="00FA4BFB">
        <w:t>de-radicalisation</w:t>
      </w:r>
      <w:r w:rsidR="00C406C4" w:rsidRPr="00FA4BFB">
        <w:t xml:space="preserve"> and of countering and preventing violent extremism </w:t>
      </w:r>
      <w:r w:rsidR="007A09C4">
        <w:t xml:space="preserve">have been attributed to stemming the flow of fighters to conflict zones at the time of the visit. </w:t>
      </w:r>
      <w:r w:rsidR="00C406C4" w:rsidRPr="00FA4BFB">
        <w:t xml:space="preserve"> </w:t>
      </w:r>
    </w:p>
    <w:p w14:paraId="3FB68374" w14:textId="25466122" w:rsidR="001C305F" w:rsidRDefault="00256412" w:rsidP="00FA4BFB">
      <w:pPr>
        <w:pStyle w:val="SingleTxtG"/>
      </w:pPr>
      <w:r>
        <w:t>2</w:t>
      </w:r>
      <w:r w:rsidR="00884067">
        <w:t>9</w:t>
      </w:r>
      <w:r w:rsidR="00FA4BFB">
        <w:t>.</w:t>
      </w:r>
      <w:r w:rsidR="00FA4BFB">
        <w:tab/>
      </w:r>
      <w:r w:rsidR="009E13E6">
        <w:t xml:space="preserve">The Working Group noted that a collaboration </w:t>
      </w:r>
      <w:r w:rsidR="00DE7FAE">
        <w:t xml:space="preserve">existed </w:t>
      </w:r>
      <w:r w:rsidR="009E13E6">
        <w:t xml:space="preserve">among </w:t>
      </w:r>
      <w:r w:rsidR="00C406C4" w:rsidRPr="00FA4BFB">
        <w:t xml:space="preserve">the security sectors of the State </w:t>
      </w:r>
      <w:r w:rsidR="009E13E6">
        <w:t>with</w:t>
      </w:r>
      <w:r w:rsidR="00C406C4" w:rsidRPr="00FA4BFB">
        <w:t xml:space="preserve"> a network of civil society and non-government organizations </w:t>
      </w:r>
      <w:r w:rsidR="009E13E6">
        <w:t xml:space="preserve">to address </w:t>
      </w:r>
      <w:r w:rsidR="00C406C4" w:rsidRPr="00FA4BFB">
        <w:t>de</w:t>
      </w:r>
      <w:r w:rsidR="004A1F06">
        <w:t>-</w:t>
      </w:r>
      <w:r w:rsidR="00C406C4" w:rsidRPr="00FA4BFB">
        <w:lastRenderedPageBreak/>
        <w:t>radicalisation and</w:t>
      </w:r>
      <w:r w:rsidR="007A09C4">
        <w:t xml:space="preserve"> </w:t>
      </w:r>
      <w:r w:rsidR="009E13E6">
        <w:t>assist in the</w:t>
      </w:r>
      <w:r w:rsidR="00C406C4" w:rsidRPr="00FA4BFB">
        <w:t xml:space="preserve"> prevention of violent extremism. Some of these actors </w:t>
      </w:r>
      <w:r w:rsidR="001C305F">
        <w:t>were</w:t>
      </w:r>
      <w:r w:rsidR="00C406C4" w:rsidRPr="00FA4BFB">
        <w:t xml:space="preserve"> from local communities and include</w:t>
      </w:r>
      <w:r w:rsidR="001C305F">
        <w:t>d</w:t>
      </w:r>
      <w:r w:rsidR="00C406C4" w:rsidRPr="00FA4BFB">
        <w:t xml:space="preserve"> religious experts, social workers, counsellors, academics and non-government groups. </w:t>
      </w:r>
    </w:p>
    <w:p w14:paraId="36605DB9" w14:textId="418BA7A9" w:rsidR="00C406C4" w:rsidRPr="00FA4BFB" w:rsidRDefault="00884067" w:rsidP="00256412">
      <w:pPr>
        <w:pStyle w:val="SingleTxtG"/>
      </w:pPr>
      <w:r>
        <w:t>30</w:t>
      </w:r>
      <w:r w:rsidR="00256412">
        <w:t>.</w:t>
      </w:r>
      <w:r w:rsidR="00256412">
        <w:tab/>
      </w:r>
      <w:r w:rsidR="00C406C4" w:rsidRPr="00FA4BFB">
        <w:t>The delegation also noted positive initiatives</w:t>
      </w:r>
      <w:r w:rsidR="000D78C7">
        <w:t>, including public-private partnerships,</w:t>
      </w:r>
      <w:r w:rsidR="00C406C4" w:rsidRPr="00FA4BFB">
        <w:t xml:space="preserve"> such as</w:t>
      </w:r>
      <w:r w:rsidR="000D78C7">
        <w:t xml:space="preserve"> the programme</w:t>
      </w:r>
      <w:r w:rsidR="00C406C4" w:rsidRPr="00FA4BFB">
        <w:t xml:space="preserve"> DERAD,</w:t>
      </w:r>
      <w:r w:rsidR="00DE7FAE">
        <w:t xml:space="preserve"> an association working mainly with extremist inmates in prison, as well as with </w:t>
      </w:r>
      <w:r w:rsidR="00C406C4" w:rsidRPr="00FA4BFB">
        <w:t>the R</w:t>
      </w:r>
      <w:r w:rsidR="001C305F">
        <w:t>adicalisation Awareness Network</w:t>
      </w:r>
      <w:r w:rsidR="00DE7FAE">
        <w:t>,</w:t>
      </w:r>
      <w:r w:rsidR="00DE7FAE">
        <w:rPr>
          <w:rStyle w:val="FootnoteReference"/>
        </w:rPr>
        <w:footnoteReference w:id="13"/>
      </w:r>
      <w:r w:rsidR="001C305F">
        <w:t xml:space="preserve"> </w:t>
      </w:r>
      <w:r w:rsidR="00DE7FAE">
        <w:t xml:space="preserve">which brings together  </w:t>
      </w:r>
      <w:r w:rsidR="002413A0">
        <w:t>numerous</w:t>
      </w:r>
      <w:r w:rsidR="00DE7FAE">
        <w:t xml:space="preserve"> practitioners from around Europe to work on the prevention of radicalisation.  A </w:t>
      </w:r>
      <w:r w:rsidR="001C305F">
        <w:t xml:space="preserve"> number of</w:t>
      </w:r>
      <w:r w:rsidR="00DE7FAE">
        <w:t xml:space="preserve"> other initiatives included groups focused on</w:t>
      </w:r>
      <w:r w:rsidR="001C305F">
        <w:t xml:space="preserve"> sports and activities for youth </w:t>
      </w:r>
      <w:r w:rsidR="00DE7FAE">
        <w:t xml:space="preserve">which also </w:t>
      </w:r>
      <w:r w:rsidR="001C305F">
        <w:t>deal</w:t>
      </w:r>
      <w:r w:rsidR="00DE7FAE">
        <w:t>t</w:t>
      </w:r>
      <w:r w:rsidR="001C305F">
        <w:t xml:space="preserve"> with radicalisation</w:t>
      </w:r>
      <w:r w:rsidR="00DE7FAE">
        <w:t xml:space="preserve"> and those at risk of </w:t>
      </w:r>
      <w:r w:rsidR="001C305F">
        <w:t>violent extremism</w:t>
      </w:r>
      <w:r w:rsidR="00C406C4" w:rsidRPr="00FA4BFB">
        <w:t xml:space="preserve">. </w:t>
      </w:r>
      <w:r w:rsidR="001C305F">
        <w:t>The G</w:t>
      </w:r>
      <w:r w:rsidR="00C406C4" w:rsidRPr="00FA4BFB">
        <w:t>overnment’s support of, and en</w:t>
      </w:r>
      <w:r w:rsidR="00340EAE">
        <w:t xml:space="preserve">gagement with these initiatives are crucial as the sustainable solutions and actions needed to address the phenomenon of foreign fighters requires  collaboration among  multi-sectoral actors from the Government and from the private and non-government spheres. </w:t>
      </w:r>
    </w:p>
    <w:p w14:paraId="65FE0739" w14:textId="714D216E" w:rsidR="009E13E6" w:rsidRDefault="00256412" w:rsidP="009E13E6">
      <w:pPr>
        <w:pStyle w:val="SingleTxtG"/>
      </w:pPr>
      <w:r>
        <w:t>3</w:t>
      </w:r>
      <w:r w:rsidR="00884067">
        <w:t>1</w:t>
      </w:r>
      <w:r w:rsidR="00FA4BFB">
        <w:t>.</w:t>
      </w:r>
      <w:r w:rsidR="00FA4BFB">
        <w:tab/>
      </w:r>
      <w:r w:rsidR="00B669A8" w:rsidRPr="009E61CD">
        <w:t>Austria</w:t>
      </w:r>
      <w:r w:rsidR="000D78C7">
        <w:t>’s</w:t>
      </w:r>
      <w:r w:rsidR="00B669A8" w:rsidRPr="009E61CD">
        <w:t xml:space="preserve"> </w:t>
      </w:r>
      <w:r w:rsidR="00B669A8">
        <w:t xml:space="preserve">efforts to counter violent extremism has </w:t>
      </w:r>
      <w:r w:rsidR="000D78C7">
        <w:t xml:space="preserve">also </w:t>
      </w:r>
      <w:r w:rsidR="00B669A8">
        <w:t>included co-operation between t</w:t>
      </w:r>
      <w:r w:rsidR="00B669A8" w:rsidRPr="009E61CD">
        <w:t>he Ministry of Foreign Affairs wi</w:t>
      </w:r>
      <w:r w:rsidR="00B669A8">
        <w:t xml:space="preserve">th the Islamic Faith Community to undertake </w:t>
      </w:r>
      <w:r w:rsidR="00B669A8" w:rsidRPr="009E61CD">
        <w:t>information campaign</w:t>
      </w:r>
      <w:r w:rsidR="002413A0">
        <w:t>s</w:t>
      </w:r>
      <w:r w:rsidR="00B669A8" w:rsidRPr="009E61CD">
        <w:t xml:space="preserve"> in mosques, Islamic organizations, and community centr</w:t>
      </w:r>
      <w:r w:rsidR="00EB72A4">
        <w:t>e</w:t>
      </w:r>
      <w:r w:rsidR="00B669A8" w:rsidRPr="009E61CD">
        <w:t xml:space="preserve">s. The initiative included education outreach to encourage Austrians to differentiate between Islam and what </w:t>
      </w:r>
      <w:r w:rsidR="00B669A8">
        <w:t>is understood</w:t>
      </w:r>
      <w:r w:rsidR="00B669A8" w:rsidRPr="009E61CD">
        <w:t xml:space="preserve"> as violent extremism. I</w:t>
      </w:r>
      <w:r w:rsidR="001F7377">
        <w:t>n an effort to counter radicalis</w:t>
      </w:r>
      <w:r w:rsidR="00B669A8" w:rsidRPr="009E61CD">
        <w:t xml:space="preserve">ation and improve integration </w:t>
      </w:r>
      <w:r w:rsidR="001F7377">
        <w:t>for new arrivals of refugees</w:t>
      </w:r>
      <w:r w:rsidR="00B669A8" w:rsidRPr="009E61CD">
        <w:t>, the Integration Office within the Foreign Ministry developed an educational program focused on German language acquisition and education on gender equality and democratic principles. The Austrian government</w:t>
      </w:r>
      <w:r w:rsidR="000D78C7">
        <w:t xml:space="preserve"> also</w:t>
      </w:r>
      <w:r w:rsidR="00B669A8" w:rsidRPr="009E61CD">
        <w:t xml:space="preserve"> </w:t>
      </w:r>
      <w:r w:rsidR="00AC354C">
        <w:t xml:space="preserve">established and </w:t>
      </w:r>
      <w:r w:rsidR="00B669A8" w:rsidRPr="009E61CD">
        <w:t>maintained a counselling centr</w:t>
      </w:r>
      <w:r w:rsidR="00EB72A4">
        <w:t>e</w:t>
      </w:r>
      <w:r w:rsidR="00F7362C">
        <w:rPr>
          <w:rStyle w:val="FootnoteReference"/>
        </w:rPr>
        <w:footnoteReference w:id="14"/>
      </w:r>
      <w:r w:rsidR="00B669A8" w:rsidRPr="009E61CD">
        <w:t xml:space="preserve"> </w:t>
      </w:r>
      <w:r w:rsidR="001C305F" w:rsidRPr="00FA4BFB">
        <w:t>and a 24</w:t>
      </w:r>
      <w:r w:rsidR="00D37B87">
        <w:t xml:space="preserve"> </w:t>
      </w:r>
      <w:r w:rsidR="001C305F" w:rsidRPr="00FA4BFB">
        <w:t xml:space="preserve">hour helpline where any member of the community can contact social workers and counsellors to answer questions or discuss issues related to violent extremism and radicalisation. </w:t>
      </w:r>
      <w:r w:rsidR="00B669A8" w:rsidRPr="009E61CD">
        <w:t xml:space="preserve"> The Working Group noted the valuable work provided by the counselling centr</w:t>
      </w:r>
      <w:r w:rsidR="00EB72A4">
        <w:t>e</w:t>
      </w:r>
      <w:r w:rsidR="00B669A8" w:rsidRPr="009E61CD">
        <w:t xml:space="preserve"> having visited it and met with some of the young people it serviced, including a young refugee from Syria. </w:t>
      </w:r>
    </w:p>
    <w:p w14:paraId="3460D307" w14:textId="50D9FD27" w:rsidR="00C406C4" w:rsidRPr="00FA4BFB" w:rsidRDefault="00256412" w:rsidP="009E13E6">
      <w:pPr>
        <w:pStyle w:val="SingleTxtG"/>
      </w:pPr>
      <w:r w:rsidRPr="0042486E">
        <w:t>3</w:t>
      </w:r>
      <w:r w:rsidR="00884067">
        <w:t>2</w:t>
      </w:r>
      <w:r w:rsidRPr="0042486E">
        <w:t>.</w:t>
      </w:r>
      <w:r>
        <w:tab/>
      </w:r>
      <w:r w:rsidR="00C406C4" w:rsidRPr="00FA4BFB">
        <w:t>With regard to private military and security companies, Austria provides a positive example in that it has not fallen into the trend of contracting private military and security companies, domestically and abroad</w:t>
      </w:r>
      <w:r w:rsidR="002710F8">
        <w:t>,</w:t>
      </w:r>
      <w:r w:rsidR="00C406C4" w:rsidRPr="00FA4BFB">
        <w:t xml:space="preserve"> for core government functions such as military services and operation of prisons. </w:t>
      </w:r>
      <w:r w:rsidR="002710F8" w:rsidRPr="00FA4BFB">
        <w:t>The Working Group was pleased to</w:t>
      </w:r>
      <w:r w:rsidR="002710F8">
        <w:t xml:space="preserve"> note</w:t>
      </w:r>
      <w:r w:rsidR="002710F8" w:rsidRPr="00FA4BFB">
        <w:t xml:space="preserve"> that there are constitutional prohibitions against such outsourcing and there were no specific concerns relating to such operations</w:t>
      </w:r>
      <w:r w:rsidR="002710F8">
        <w:t>. Article 79 of the Federal Constitution states that military defence of the country is the exclusive responsibility of the Federal Armed Forces, and that it is therefore inadmissible for other (possibly also outsourced) institutions to act with the framework of military defence for the country.</w:t>
      </w:r>
      <w:r w:rsidR="001A4450">
        <w:t xml:space="preserve"> </w:t>
      </w:r>
      <w:r w:rsidR="002710F8">
        <w:t>The p</w:t>
      </w:r>
      <w:r w:rsidR="00C406C4" w:rsidRPr="00FA4BFB">
        <w:t xml:space="preserve">rivate security companies in Austria primarily carry out </w:t>
      </w:r>
      <w:r w:rsidR="005B7269">
        <w:t xml:space="preserve">functions such as the guarding </w:t>
      </w:r>
      <w:r w:rsidR="00C406C4" w:rsidRPr="00FA4BFB">
        <w:t>of events and public and private institutions. </w:t>
      </w:r>
    </w:p>
    <w:p w14:paraId="40B9D58D" w14:textId="1D5E574F" w:rsidR="00C406C4" w:rsidRPr="00037A18" w:rsidRDefault="00FB26C1" w:rsidP="00037A18">
      <w:pPr>
        <w:pStyle w:val="HChG"/>
      </w:pPr>
      <w:r>
        <w:tab/>
      </w:r>
      <w:r w:rsidRPr="00037A18">
        <w:t>II.</w:t>
      </w:r>
      <w:r w:rsidRPr="00037A18">
        <w:tab/>
      </w:r>
      <w:r w:rsidR="00037A18">
        <w:rPr>
          <w:sz w:val="24"/>
        </w:rPr>
        <w:t>O</w:t>
      </w:r>
      <w:r w:rsidR="00037A18" w:rsidRPr="00037A18">
        <w:rPr>
          <w:sz w:val="24"/>
        </w:rPr>
        <w:t xml:space="preserve">verview of findings </w:t>
      </w:r>
    </w:p>
    <w:p w14:paraId="5B09D02E" w14:textId="6E4E0C7E" w:rsidR="00F041C4" w:rsidRPr="00C82DC5" w:rsidRDefault="00FB26C1" w:rsidP="00FB26C1">
      <w:pPr>
        <w:pStyle w:val="H1G"/>
      </w:pPr>
      <w:r>
        <w:rPr>
          <w:bCs/>
        </w:rPr>
        <w:tab/>
        <w:t>A.</w:t>
      </w:r>
      <w:r>
        <w:rPr>
          <w:bCs/>
        </w:rPr>
        <w:tab/>
      </w:r>
      <w:r w:rsidR="00F041C4" w:rsidRPr="00E71C4C">
        <w:t>Foreign Fighters </w:t>
      </w:r>
    </w:p>
    <w:p w14:paraId="4AAAC71E" w14:textId="25ABDA69" w:rsidR="005930A6" w:rsidRDefault="00884067" w:rsidP="00FB26C1">
      <w:pPr>
        <w:pStyle w:val="SingleTxtG"/>
      </w:pPr>
      <w:r>
        <w:t>33</w:t>
      </w:r>
      <w:r w:rsidR="00FB26C1">
        <w:t>.</w:t>
      </w:r>
      <w:r w:rsidR="00FB26C1">
        <w:tab/>
      </w:r>
      <w:r w:rsidR="005930A6">
        <w:t xml:space="preserve">The foreign fighter phenomenon is not new to Europe. In the past, conflicts in </w:t>
      </w:r>
      <w:r w:rsidR="00704819">
        <w:t xml:space="preserve">the former Yugoslavia, </w:t>
      </w:r>
      <w:r w:rsidR="005930A6">
        <w:t xml:space="preserve">Chechnya, Afghanistan and </w:t>
      </w:r>
      <w:r w:rsidR="002413A0">
        <w:t>others</w:t>
      </w:r>
      <w:r w:rsidR="005930A6">
        <w:t xml:space="preserve"> had attracted foreign fighters, including from Austria. However, the volume of those travelling</w:t>
      </w:r>
      <w:r w:rsidR="00886DEE">
        <w:t xml:space="preserve"> between</w:t>
      </w:r>
      <w:r w:rsidR="005930A6">
        <w:t xml:space="preserve"> 2011 and 2015, in connection with the crises in Iraq and Syria, was unprecedented.</w:t>
      </w:r>
      <w:r w:rsidR="005930A6">
        <w:rPr>
          <w:rStyle w:val="FootnoteReference"/>
        </w:rPr>
        <w:footnoteReference w:id="15"/>
      </w:r>
      <w:r w:rsidR="005930A6">
        <w:t xml:space="preserve">  Terrorist attacks in </w:t>
      </w:r>
      <w:r w:rsidR="002413A0">
        <w:t>Europe</w:t>
      </w:r>
      <w:r w:rsidR="005930A6">
        <w:t xml:space="preserve"> also prompted fears regarding those who would return from conflict zones, prompting a series of measures th</w:t>
      </w:r>
      <w:r w:rsidR="002413A0">
        <w:t xml:space="preserve">at were largely punitive, while others focused on rehabilitation. </w:t>
      </w:r>
      <w:r w:rsidR="005930A6">
        <w:t xml:space="preserve"> </w:t>
      </w:r>
    </w:p>
    <w:p w14:paraId="0148A6CE" w14:textId="2A493933" w:rsidR="002C3F76" w:rsidRDefault="00804BCC" w:rsidP="00804BCC">
      <w:pPr>
        <w:pStyle w:val="SingleTxtG"/>
      </w:pPr>
      <w:r>
        <w:t>3</w:t>
      </w:r>
      <w:r w:rsidR="00884067">
        <w:t>4</w:t>
      </w:r>
      <w:r>
        <w:t>.</w:t>
      </w:r>
      <w:r>
        <w:tab/>
      </w:r>
      <w:r w:rsidR="002C3F76">
        <w:t xml:space="preserve">The travelling to conflict zones from Austria began to take place sometime after 2011, peaking around 2015. </w:t>
      </w:r>
      <w:r>
        <w:t>B</w:t>
      </w:r>
      <w:r w:rsidR="002C3F76">
        <w:t>etween 2013 an</w:t>
      </w:r>
      <w:r>
        <w:t xml:space="preserve">d 2014, around 8 to 10 youths </w:t>
      </w:r>
      <w:r w:rsidR="002C3F76">
        <w:t xml:space="preserve">were reported to have left to Syria from Austria. According to </w:t>
      </w:r>
      <w:r w:rsidR="001E54B1">
        <w:t>an organization working on</w:t>
      </w:r>
      <w:r w:rsidR="002C3F76">
        <w:t xml:space="preserve"> de</w:t>
      </w:r>
      <w:r>
        <w:t>-</w:t>
      </w:r>
      <w:r w:rsidR="002C3F76">
        <w:t>radicalisat</w:t>
      </w:r>
      <w:r w:rsidR="001E54B1">
        <w:t>ion, between 2011 and 2012, staff</w:t>
      </w:r>
      <w:r w:rsidR="002C3F76">
        <w:t xml:space="preserve"> received information </w:t>
      </w:r>
      <w:r>
        <w:t>at</w:t>
      </w:r>
      <w:r w:rsidR="002C3F76">
        <w:t xml:space="preserve"> </w:t>
      </w:r>
      <w:r w:rsidR="005930A6">
        <w:t>their</w:t>
      </w:r>
      <w:r w:rsidR="001E54B1">
        <w:t xml:space="preserve"> various youth</w:t>
      </w:r>
      <w:r w:rsidR="005930A6">
        <w:t xml:space="preserve"> centr</w:t>
      </w:r>
      <w:r w:rsidR="00EB72A4">
        <w:t>e</w:t>
      </w:r>
      <w:r w:rsidR="005930A6">
        <w:t xml:space="preserve">s in </w:t>
      </w:r>
      <w:r w:rsidR="002C3F76">
        <w:t>Vienna</w:t>
      </w:r>
      <w:r>
        <w:t>,</w:t>
      </w:r>
      <w:r w:rsidR="002C3F76">
        <w:t xml:space="preserve"> </w:t>
      </w:r>
      <w:r w:rsidR="002C3F76">
        <w:lastRenderedPageBreak/>
        <w:t xml:space="preserve">that </w:t>
      </w:r>
      <w:r w:rsidR="00226457">
        <w:t>many youths</w:t>
      </w:r>
      <w:r w:rsidR="002C3F76">
        <w:t xml:space="preserve"> were beginning to discuss the conflict in Syria. Many who were with a Muslim background, had questions related to religion that spurred these discussions. Not long after</w:t>
      </w:r>
      <w:r w:rsidR="00F041C4" w:rsidRPr="00FB26C1">
        <w:t xml:space="preserve">, information began to emerge of individuals travelling to join groups like Da’esh and Al Nusra in Syria. </w:t>
      </w:r>
    </w:p>
    <w:p w14:paraId="748A82F4" w14:textId="7FEFCC62" w:rsidR="00226457" w:rsidRDefault="00884067" w:rsidP="001E54B1">
      <w:pPr>
        <w:pStyle w:val="SingleTxtG"/>
      </w:pPr>
      <w:r>
        <w:t>35</w:t>
      </w:r>
      <w:r w:rsidR="00804BCC">
        <w:t>.</w:t>
      </w:r>
      <w:r w:rsidR="00804BCC">
        <w:tab/>
      </w:r>
      <w:r w:rsidR="00226457">
        <w:t>By September 2015, 230 identified individuals had left Austria for Syria or Iraq; 120 were still in the conflict zone and at least 34 had died. According t</w:t>
      </w:r>
      <w:r w:rsidR="00804BCC">
        <w:t>o t</w:t>
      </w:r>
      <w:r w:rsidR="00226457">
        <w:t xml:space="preserve">he authorities, the number of returnees </w:t>
      </w:r>
      <w:r w:rsidR="001E54B1">
        <w:t>exceeded</w:t>
      </w:r>
      <w:r w:rsidR="00226457">
        <w:t xml:space="preserve"> 70</w:t>
      </w:r>
      <w:r w:rsidR="001E54B1">
        <w:t xml:space="preserve"> at this period</w:t>
      </w:r>
      <w:r w:rsidR="00226457">
        <w:t xml:space="preserve">. Around 17 women had left Austria by February 2015 for Da’esh controlled territory, some of whom were under 18 at the time of their departure. </w:t>
      </w:r>
      <w:r w:rsidR="001E54B1">
        <w:t>At the time of the visit, the estimates put the overall number of foreign fighters from Austria at over 300.</w:t>
      </w:r>
    </w:p>
    <w:p w14:paraId="22845406" w14:textId="698CF795" w:rsidR="00F041C4" w:rsidRDefault="00804BCC" w:rsidP="00804BCC">
      <w:pPr>
        <w:pStyle w:val="SingleTxtG"/>
      </w:pPr>
      <w:r>
        <w:t>3</w:t>
      </w:r>
      <w:r w:rsidR="00884067">
        <w:t>6</w:t>
      </w:r>
      <w:r>
        <w:t>.</w:t>
      </w:r>
      <w:r>
        <w:tab/>
      </w:r>
      <w:r w:rsidR="00F041C4" w:rsidRPr="00FB26C1">
        <w:t>Man</w:t>
      </w:r>
      <w:r w:rsidR="001E54B1">
        <w:t>y of those who</w:t>
      </w:r>
      <w:r w:rsidR="002C3F76">
        <w:t xml:space="preserve"> were intercepted</w:t>
      </w:r>
      <w:r w:rsidR="001E54B1">
        <w:t xml:space="preserve"> were</w:t>
      </w:r>
      <w:r w:rsidR="00F041C4" w:rsidRPr="00FB26C1">
        <w:t xml:space="preserve"> either in prison or in the criminal justice system, mainly charged or convicted under article 278 of the Criminal Code, the anti-terrorist law. </w:t>
      </w:r>
      <w:r w:rsidR="00006A2D">
        <w:t xml:space="preserve">At the time of the visit, the Working Group was informed that the number of </w:t>
      </w:r>
      <w:r w:rsidR="00F041C4" w:rsidRPr="00FB26C1">
        <w:t>those trav</w:t>
      </w:r>
      <w:r w:rsidR="00006A2D">
        <w:t>elling to engage in conflict had</w:t>
      </w:r>
      <w:r w:rsidR="00F041C4" w:rsidRPr="00FB26C1">
        <w:t xml:space="preserve"> declined significantly and </w:t>
      </w:r>
      <w:r w:rsidR="005930A6">
        <w:t>that</w:t>
      </w:r>
      <w:r w:rsidR="00B824F0">
        <w:t xml:space="preserve"> there weren’t any</w:t>
      </w:r>
      <w:r w:rsidR="00F041C4" w:rsidRPr="00FB26C1">
        <w:t xml:space="preserve"> known individuals attempting to travel. </w:t>
      </w:r>
      <w:r w:rsidR="005930A6">
        <w:t>During the period of the visit</w:t>
      </w:r>
      <w:r w:rsidR="00B824F0">
        <w:t>, t</w:t>
      </w:r>
      <w:r w:rsidR="00F041C4" w:rsidRPr="00FB26C1">
        <w:t xml:space="preserve">he military suppression of Da’esh </w:t>
      </w:r>
      <w:r w:rsidR="00B824F0">
        <w:t>had gained momentum</w:t>
      </w:r>
      <w:r w:rsidR="005930A6">
        <w:t xml:space="preserve"> and measures by the Government to address foreign fighters had taken effect</w:t>
      </w:r>
      <w:r w:rsidR="00F041C4" w:rsidRPr="00FB26C1">
        <w:t>. </w:t>
      </w:r>
    </w:p>
    <w:p w14:paraId="042950DE" w14:textId="0DE485B2" w:rsidR="00B669A8" w:rsidRDefault="00256412" w:rsidP="00FB26C1">
      <w:pPr>
        <w:pStyle w:val="SingleTxtG"/>
      </w:pPr>
      <w:r>
        <w:t>3</w:t>
      </w:r>
      <w:r w:rsidR="00884067">
        <w:t>7</w:t>
      </w:r>
      <w:r>
        <w:t>.</w:t>
      </w:r>
      <w:r>
        <w:tab/>
      </w:r>
      <w:r w:rsidR="00B824F0">
        <w:t>The Austrian security and law enforcement agencies</w:t>
      </w:r>
      <w:r w:rsidR="00B669A8" w:rsidRPr="009E61CD">
        <w:t xml:space="preserve"> and BVT</w:t>
      </w:r>
      <w:r w:rsidR="005930A6">
        <w:t xml:space="preserve"> (counterterrorism body)</w:t>
      </w:r>
      <w:r w:rsidR="00B669A8" w:rsidRPr="009E61CD">
        <w:t xml:space="preserve"> </w:t>
      </w:r>
      <w:r w:rsidR="00B669A8">
        <w:t xml:space="preserve">officials </w:t>
      </w:r>
      <w:r w:rsidR="00B824F0">
        <w:t xml:space="preserve">also </w:t>
      </w:r>
      <w:r w:rsidR="00B669A8">
        <w:t>routinely cooperated with other States in</w:t>
      </w:r>
      <w:r w:rsidR="00B669A8" w:rsidRPr="009E61CD">
        <w:t xml:space="preserve"> investigative areas, from the informal sharing of preliminary investigative information to joint, multilateral investigative projects and enforcement operations. Border security forces made effective use of security measures, including biographic and biometric screening capabilities at ports of entry and information sharing internally and with other European Union countries. Border security officials at ports of entry have discretion when determining documents and passengers subject to screening on arrival.</w:t>
      </w:r>
    </w:p>
    <w:p w14:paraId="526D34F1" w14:textId="5301CD6F" w:rsidR="00B824F0" w:rsidRDefault="00B824F0" w:rsidP="00583BA4">
      <w:pPr>
        <w:pStyle w:val="SingleTxtG"/>
      </w:pPr>
      <w:r>
        <w:tab/>
      </w:r>
      <w:r w:rsidR="00884067">
        <w:t>38</w:t>
      </w:r>
      <w:r w:rsidR="00866B2A">
        <w:t>.</w:t>
      </w:r>
      <w:r w:rsidR="00866B2A">
        <w:tab/>
      </w:r>
      <w:r>
        <w:t xml:space="preserve">While security measures were being implemented to address those travelling to </w:t>
      </w:r>
      <w:r w:rsidR="001E54B1">
        <w:t>conflict zones</w:t>
      </w:r>
      <w:r w:rsidR="006D5345">
        <w:t xml:space="preserve">, </w:t>
      </w:r>
      <w:r w:rsidR="00E5568E">
        <w:t>focus was also devoted to b</w:t>
      </w:r>
      <w:r w:rsidR="006D5345">
        <w:t>etter understanding the reasons that prompted indivi</w:t>
      </w:r>
      <w:r w:rsidR="00583BA4">
        <w:t>duals to</w:t>
      </w:r>
      <w:r w:rsidR="00E5568E">
        <w:t xml:space="preserve"> travel to</w:t>
      </w:r>
      <w:r w:rsidR="00583BA4">
        <w:t xml:space="preserve"> </w:t>
      </w:r>
      <w:r w:rsidR="00804BCC">
        <w:t xml:space="preserve">these conflicts. </w:t>
      </w:r>
      <w:r w:rsidR="00583BA4">
        <w:t xml:space="preserve"> </w:t>
      </w:r>
    </w:p>
    <w:p w14:paraId="49981F74" w14:textId="25682860" w:rsidR="00F041C4" w:rsidRPr="00E71C4C" w:rsidRDefault="00F041C4" w:rsidP="00AB0951">
      <w:pPr>
        <w:shd w:val="clear" w:color="auto" w:fill="FFFFFF"/>
        <w:spacing w:before="100" w:beforeAutospacing="1" w:after="120"/>
        <w:ind w:left="1134" w:right="737"/>
        <w:jc w:val="both"/>
        <w:rPr>
          <w:rFonts w:eastAsia="Times New Roman"/>
          <w:i/>
          <w:iCs/>
          <w:sz w:val="20"/>
          <w:szCs w:val="20"/>
        </w:rPr>
      </w:pPr>
      <w:r w:rsidRPr="00E71C4C">
        <w:rPr>
          <w:rFonts w:eastAsia="Times New Roman"/>
          <w:i/>
          <w:iCs/>
          <w:sz w:val="20"/>
          <w:szCs w:val="20"/>
        </w:rPr>
        <w:t>Motivation and recruitment</w:t>
      </w:r>
    </w:p>
    <w:p w14:paraId="4D39F7F2" w14:textId="3F56948E" w:rsidR="00E5568E" w:rsidRDefault="00FB26C1" w:rsidP="007663E2">
      <w:pPr>
        <w:pStyle w:val="SingleTxtG"/>
      </w:pPr>
      <w:r>
        <w:t>3</w:t>
      </w:r>
      <w:r w:rsidR="00884067">
        <w:t>9</w:t>
      </w:r>
      <w:r>
        <w:t>.</w:t>
      </w:r>
      <w:r>
        <w:tab/>
      </w:r>
      <w:r w:rsidR="00F041C4" w:rsidRPr="00FB26C1">
        <w:t>There is no standard profile for Austrians who travel abroad to fight</w:t>
      </w:r>
      <w:r w:rsidR="00B977EA" w:rsidRPr="00FB26C1">
        <w:t xml:space="preserve"> and there are </w:t>
      </w:r>
      <w:r w:rsidR="00B977EA" w:rsidRPr="00FB26C1">
        <w:rPr>
          <w:rStyle w:val="normaltextrun1"/>
        </w:rPr>
        <w:t>diverse factors that motivate different individuals</w:t>
      </w:r>
      <w:r w:rsidR="001F3F92">
        <w:rPr>
          <w:rStyle w:val="normaltextrun1"/>
        </w:rPr>
        <w:t>.</w:t>
      </w:r>
      <w:r w:rsidR="00F041C4" w:rsidRPr="00FB26C1">
        <w:t xml:space="preserve"> Some of the main factors include ideology, religious conviction, search for identity and a sense of belonging, economic and financial gain, and adventure. Financial gain is of particular interest to </w:t>
      </w:r>
      <w:r w:rsidR="00E5568E">
        <w:t>the Working Group’s mandate</w:t>
      </w:r>
      <w:r w:rsidR="000176E4">
        <w:t xml:space="preserve"> and </w:t>
      </w:r>
      <w:r w:rsidR="001F3F92">
        <w:t>w</w:t>
      </w:r>
      <w:r w:rsidR="007663E2">
        <w:t xml:space="preserve">ith </w:t>
      </w:r>
      <w:r w:rsidR="00E5568E">
        <w:t xml:space="preserve">the wealth </w:t>
      </w:r>
      <w:r w:rsidR="007663E2">
        <w:t xml:space="preserve">that </w:t>
      </w:r>
      <w:r w:rsidR="001F3F92">
        <w:t>groups such as Da’esh</w:t>
      </w:r>
      <w:r w:rsidR="007663E2">
        <w:t xml:space="preserve"> had </w:t>
      </w:r>
      <w:r w:rsidR="00E5568E">
        <w:t>ac</w:t>
      </w:r>
      <w:r w:rsidR="000176E4">
        <w:t xml:space="preserve">cumulated through illicit means, </w:t>
      </w:r>
      <w:r w:rsidR="00E5568E">
        <w:t>the</w:t>
      </w:r>
      <w:r w:rsidR="000176E4">
        <w:t>re was a</w:t>
      </w:r>
      <w:r w:rsidR="00E5568E">
        <w:t xml:space="preserve"> likelihood of </w:t>
      </w:r>
      <w:r w:rsidR="007663E2">
        <w:t xml:space="preserve">individuals </w:t>
      </w:r>
      <w:r w:rsidR="00E5568E">
        <w:t>being</w:t>
      </w:r>
      <w:r w:rsidR="001F3F92">
        <w:t xml:space="preserve"> primarily</w:t>
      </w:r>
      <w:r w:rsidR="00E5568E">
        <w:t xml:space="preserve"> </w:t>
      </w:r>
      <w:r w:rsidR="007663E2">
        <w:t>drawn</w:t>
      </w:r>
      <w:r w:rsidR="00E5568E">
        <w:t xml:space="preserve"> </w:t>
      </w:r>
      <w:r w:rsidR="001F3F92">
        <w:t xml:space="preserve">to become members </w:t>
      </w:r>
      <w:r w:rsidR="00E5568E">
        <w:t>by material</w:t>
      </w:r>
      <w:r w:rsidR="007663E2">
        <w:t xml:space="preserve"> and financial</w:t>
      </w:r>
      <w:r w:rsidR="00E5568E">
        <w:t xml:space="preserve"> gain</w:t>
      </w:r>
      <w:r w:rsidR="007663E2">
        <w:t>s.</w:t>
      </w:r>
      <w:r w:rsidR="000176E4">
        <w:t xml:space="preserve"> </w:t>
      </w:r>
      <w:r w:rsidR="007663E2">
        <w:t xml:space="preserve">The delegation was informed of a case where an </w:t>
      </w:r>
      <w:r w:rsidR="007663E2" w:rsidRPr="00FB26C1">
        <w:t xml:space="preserve">individual’s family was promised a payment of 4,000 euros for going to Syria. </w:t>
      </w:r>
      <w:r w:rsidR="007663E2">
        <w:t>Other r</w:t>
      </w:r>
      <w:r w:rsidR="007663E2" w:rsidRPr="00FB26C1">
        <w:t>ecruits were</w:t>
      </w:r>
      <w:r w:rsidR="007663E2">
        <w:t xml:space="preserve"> reportedly</w:t>
      </w:r>
      <w:r w:rsidR="007663E2" w:rsidRPr="00FB26C1">
        <w:t xml:space="preserve"> promised salaries in excess of those paid to local fighters and, in some cases, even houses and cars.</w:t>
      </w:r>
      <w:r w:rsidR="001F3F92">
        <w:t xml:space="preserve"> For a number of </w:t>
      </w:r>
      <w:r w:rsidR="00E63DE1">
        <w:t>cases, the motivation could be a</w:t>
      </w:r>
      <w:r w:rsidR="00E63DE1" w:rsidRPr="00FB26C1">
        <w:t xml:space="preserve"> combination of financial and other factors</w:t>
      </w:r>
      <w:r w:rsidR="00E63DE1">
        <w:t>.</w:t>
      </w:r>
      <w:r w:rsidR="00E63DE1" w:rsidRPr="00FB26C1">
        <w:t xml:space="preserve"> </w:t>
      </w:r>
    </w:p>
    <w:p w14:paraId="73699765" w14:textId="4CE6A3B8" w:rsidR="00226457" w:rsidRDefault="00884067" w:rsidP="007663E2">
      <w:pPr>
        <w:pStyle w:val="SingleTxtG"/>
      </w:pPr>
      <w:r>
        <w:t>40</w:t>
      </w:r>
      <w:r w:rsidR="009A6AE5">
        <w:t xml:space="preserve">. </w:t>
      </w:r>
      <w:r w:rsidR="009A6AE5">
        <w:tab/>
      </w:r>
      <w:r w:rsidR="007663E2">
        <w:t xml:space="preserve">The Working Group was also informed that </w:t>
      </w:r>
      <w:r w:rsidR="00E5568E">
        <w:t>humanitarian assistance</w:t>
      </w:r>
      <w:r w:rsidR="007663E2">
        <w:t xml:space="preserve"> was also a common motivation. </w:t>
      </w:r>
      <w:r w:rsidR="00E63DE1">
        <w:t xml:space="preserve">When the crisis in Syria began in 2011, there were a number of individuals from the region who were travelling to the conflict to fight </w:t>
      </w:r>
      <w:r w:rsidR="007663E2">
        <w:t>against the</w:t>
      </w:r>
      <w:r w:rsidR="00E63DE1">
        <w:t xml:space="preserve"> Assad</w:t>
      </w:r>
      <w:r w:rsidR="007663E2">
        <w:t xml:space="preserve"> regime</w:t>
      </w:r>
      <w:r w:rsidR="00E63DE1">
        <w:t xml:space="preserve"> and to provide services as doctors</w:t>
      </w:r>
      <w:r w:rsidR="002D13E7">
        <w:t xml:space="preserve"> (for example) to combatants</w:t>
      </w:r>
      <w:r w:rsidR="00E63DE1">
        <w:t xml:space="preserve">. </w:t>
      </w:r>
      <w:r w:rsidR="002D13E7">
        <w:t>Other</w:t>
      </w:r>
      <w:r w:rsidR="009A6AE5">
        <w:t xml:space="preserve"> interlocutors stated that they were certain some of those travelling </w:t>
      </w:r>
      <w:r w:rsidR="0031704D">
        <w:t>from Austria also involved classic mercenaries, particularly from the older generation</w:t>
      </w:r>
      <w:r w:rsidR="00595068">
        <w:t xml:space="preserve">. </w:t>
      </w:r>
      <w:r w:rsidR="009A6AE5">
        <w:t xml:space="preserve"> Many stated that young people were likely to travel more for ideological reasons, to find a group where they felt they could belong, </w:t>
      </w:r>
      <w:r w:rsidR="00595068">
        <w:t>to obtain</w:t>
      </w:r>
      <w:r w:rsidR="009A6AE5">
        <w:t xml:space="preserve"> status or respect, and also due to religious belief</w:t>
      </w:r>
      <w:r w:rsidR="0021579F">
        <w:t>,</w:t>
      </w:r>
      <w:r w:rsidR="00C904DB">
        <w:t xml:space="preserve"> </w:t>
      </w:r>
      <w:r w:rsidR="009A6AE5">
        <w:t>involving an imagined paradise</w:t>
      </w:r>
      <w:r w:rsidR="00E71C40">
        <w:t xml:space="preserve"> and </w:t>
      </w:r>
      <w:r w:rsidR="00C904DB">
        <w:t>living in a community of shared religious values and practices</w:t>
      </w:r>
      <w:r w:rsidR="009A6AE5">
        <w:t xml:space="preserve">. Some youths became foreign fighters </w:t>
      </w:r>
      <w:r w:rsidR="00C904DB">
        <w:t>in</w:t>
      </w:r>
      <w:r w:rsidR="001F3F92">
        <w:t xml:space="preserve"> rebellion or in </w:t>
      </w:r>
      <w:r w:rsidR="009A6AE5">
        <w:t xml:space="preserve">opposition to their families. </w:t>
      </w:r>
      <w:r w:rsidR="00226457">
        <w:t xml:space="preserve">The age range in general for those travelling were reportedly from 18 to 35 years. </w:t>
      </w:r>
    </w:p>
    <w:p w14:paraId="4CED3FBF" w14:textId="50CD18E7" w:rsidR="000176E4" w:rsidRDefault="00884067" w:rsidP="00895042">
      <w:pPr>
        <w:pStyle w:val="SingleTxtG"/>
      </w:pPr>
      <w:r>
        <w:t>41</w:t>
      </w:r>
      <w:r w:rsidR="00895042">
        <w:t>.</w:t>
      </w:r>
      <w:r w:rsidR="00895042">
        <w:tab/>
      </w:r>
      <w:r w:rsidR="00F041C4" w:rsidRPr="00FB26C1">
        <w:t>Though most fighters have been men, women have also travelled, mainly to join husbands or friends.</w:t>
      </w:r>
      <w:r w:rsidR="00895042">
        <w:t xml:space="preserve"> Young women and girls were mostly reported to have </w:t>
      </w:r>
      <w:r w:rsidR="00670343">
        <w:t xml:space="preserve">travel </w:t>
      </w:r>
      <w:r w:rsidR="00F041C4" w:rsidRPr="00FB26C1">
        <w:t xml:space="preserve">to conflict zones to become brides of Da’esh or Al Nusra members. </w:t>
      </w:r>
      <w:r w:rsidR="000176E4">
        <w:t xml:space="preserve">In April 2014, two Austrian </w:t>
      </w:r>
      <w:r w:rsidR="000176E4">
        <w:lastRenderedPageBreak/>
        <w:t>teenagers</w:t>
      </w:r>
      <w:r w:rsidR="00D13E96">
        <w:t xml:space="preserve"> of Bosnian descent, aged</w:t>
      </w:r>
      <w:r w:rsidR="000176E4">
        <w:t xml:space="preserve"> 15 and 16</w:t>
      </w:r>
      <w:r w:rsidR="00D13E96">
        <w:t>,</w:t>
      </w:r>
      <w:r w:rsidR="000176E4">
        <w:t xml:space="preserve"> travelled to Syria to marry fighters in Da’esh. Both</w:t>
      </w:r>
      <w:r w:rsidR="0096474C">
        <w:t xml:space="preserve"> the girls were </w:t>
      </w:r>
      <w:r w:rsidR="00D13E96">
        <w:t>reportedly</w:t>
      </w:r>
      <w:r w:rsidR="00945248">
        <w:t xml:space="preserve"> recruited through a mosque</w:t>
      </w:r>
      <w:r w:rsidR="0096474C">
        <w:t xml:space="preserve"> involving</w:t>
      </w:r>
      <w:r w:rsidR="00BE0FD3">
        <w:t xml:space="preserve"> preachers with violent extremist ideologies</w:t>
      </w:r>
      <w:r w:rsidR="0096474C">
        <w:t>.</w:t>
      </w:r>
      <w:r w:rsidR="00DC5AB3">
        <w:t xml:space="preserve"> Their cases became well-known due to their ages</w:t>
      </w:r>
      <w:r w:rsidR="00754C4F">
        <w:t xml:space="preserve">, </w:t>
      </w:r>
      <w:r w:rsidR="00DC5AB3">
        <w:t xml:space="preserve">and the fact that they were radicalised without their family’s knowledge, a trend that would soon be evident among youths who travelled to conflict zones. </w:t>
      </w:r>
    </w:p>
    <w:p w14:paraId="5BE63A07" w14:textId="7F433FDB" w:rsidR="00F041C4" w:rsidRPr="00FB26C1" w:rsidRDefault="00884067" w:rsidP="00FB26C1">
      <w:pPr>
        <w:pStyle w:val="SingleTxtG"/>
        <w:rPr>
          <w:rStyle w:val="normaltextrun1"/>
        </w:rPr>
      </w:pPr>
      <w:r>
        <w:rPr>
          <w:rStyle w:val="normaltextrun1"/>
        </w:rPr>
        <w:t>42</w:t>
      </w:r>
      <w:r w:rsidR="000176E4">
        <w:rPr>
          <w:rStyle w:val="normaltextrun1"/>
        </w:rPr>
        <w:t>.</w:t>
      </w:r>
      <w:r w:rsidR="000176E4">
        <w:rPr>
          <w:rStyle w:val="normaltextrun1"/>
        </w:rPr>
        <w:tab/>
      </w:r>
      <w:r w:rsidR="00F041C4" w:rsidRPr="00FB26C1">
        <w:rPr>
          <w:rStyle w:val="normaltextrun1"/>
        </w:rPr>
        <w:t>A particular feature of the foreign fighter phenomenon in Austria is that around 50% of fighters w</w:t>
      </w:r>
      <w:r w:rsidR="00595068">
        <w:rPr>
          <w:rStyle w:val="normaltextrun1"/>
        </w:rPr>
        <w:t>ho travelled w</w:t>
      </w:r>
      <w:r w:rsidR="00F041C4" w:rsidRPr="00FB26C1">
        <w:rPr>
          <w:rStyle w:val="normaltextrun1"/>
        </w:rPr>
        <w:t xml:space="preserve">ere of Chechen origin. While many said that some of these </w:t>
      </w:r>
      <w:r w:rsidR="00226457">
        <w:rPr>
          <w:rStyle w:val="normaltextrun1"/>
        </w:rPr>
        <w:t xml:space="preserve">individuals </w:t>
      </w:r>
      <w:r w:rsidR="00F041C4" w:rsidRPr="00FB26C1">
        <w:rPr>
          <w:rStyle w:val="normaltextrun1"/>
        </w:rPr>
        <w:t xml:space="preserve">were </w:t>
      </w:r>
      <w:r w:rsidR="00F041C4" w:rsidRPr="00FB26C1">
        <w:rPr>
          <w:rStyle w:val="spellingerror"/>
        </w:rPr>
        <w:t>radicalised</w:t>
      </w:r>
      <w:r w:rsidR="000551AD">
        <w:rPr>
          <w:rStyle w:val="normaltextrun1"/>
        </w:rPr>
        <w:t xml:space="preserve"> to join groups such as Da’esh due to ideological leanings, </w:t>
      </w:r>
      <w:r w:rsidR="00F041C4" w:rsidRPr="00FB26C1">
        <w:rPr>
          <w:rStyle w:val="normaltextrun1"/>
        </w:rPr>
        <w:t>others pointed to the fact that quite a number of Chechens saw the war in Syria as an extension of the war between the Russia</w:t>
      </w:r>
      <w:r w:rsidR="0023116A">
        <w:rPr>
          <w:rStyle w:val="normaltextrun1"/>
        </w:rPr>
        <w:t>n Federation and Chechnya, and thus</w:t>
      </w:r>
      <w:r w:rsidR="00F041C4" w:rsidRPr="00FB26C1">
        <w:rPr>
          <w:rStyle w:val="normaltextrun1"/>
        </w:rPr>
        <w:t xml:space="preserve"> joined the conflict </w:t>
      </w:r>
      <w:r w:rsidR="00E767A5">
        <w:rPr>
          <w:rStyle w:val="normaltextrun1"/>
        </w:rPr>
        <w:t xml:space="preserve">as </w:t>
      </w:r>
      <w:r w:rsidR="0023116A">
        <w:rPr>
          <w:rStyle w:val="normaltextrun1"/>
        </w:rPr>
        <w:t>an act of retaliation</w:t>
      </w:r>
      <w:r w:rsidR="00F041C4" w:rsidRPr="00FB26C1">
        <w:rPr>
          <w:rStyle w:val="normaltextrun1"/>
        </w:rPr>
        <w:t>. There is also a large Chechen diaspora in Austria and nationals of the Balkan countries with refugee status</w:t>
      </w:r>
      <w:r w:rsidR="004D60A4">
        <w:rPr>
          <w:rStyle w:val="normaltextrun1"/>
        </w:rPr>
        <w:t xml:space="preserve"> who have been particularly targeted </w:t>
      </w:r>
      <w:r w:rsidR="004D5F8A">
        <w:rPr>
          <w:rStyle w:val="normaltextrun1"/>
        </w:rPr>
        <w:t>by recruiters</w:t>
      </w:r>
      <w:r w:rsidR="00F041C4" w:rsidRPr="00FB26C1">
        <w:rPr>
          <w:rStyle w:val="normaltextrun1"/>
        </w:rPr>
        <w:t xml:space="preserve">. </w:t>
      </w:r>
      <w:r w:rsidR="00E767A5">
        <w:rPr>
          <w:rStyle w:val="normaltextrun1"/>
        </w:rPr>
        <w:t>Other nationalities</w:t>
      </w:r>
      <w:r w:rsidR="00226457">
        <w:rPr>
          <w:rStyle w:val="normaltextrun1"/>
        </w:rPr>
        <w:t xml:space="preserve"> of alleged foreign fighters</w:t>
      </w:r>
      <w:r w:rsidR="00E767A5">
        <w:rPr>
          <w:rStyle w:val="normaltextrun1"/>
        </w:rPr>
        <w:t xml:space="preserve"> included individuals who were</w:t>
      </w:r>
      <w:r w:rsidR="00CD34E7">
        <w:rPr>
          <w:rStyle w:val="normaltextrun1"/>
        </w:rPr>
        <w:t xml:space="preserve"> Austrian</w:t>
      </w:r>
      <w:r w:rsidR="00DC5AB3">
        <w:rPr>
          <w:rStyle w:val="normaltextrun1"/>
        </w:rPr>
        <w:t>,</w:t>
      </w:r>
      <w:r w:rsidR="00E767A5">
        <w:rPr>
          <w:rStyle w:val="normaltextrun1"/>
        </w:rPr>
        <w:t xml:space="preserve"> </w:t>
      </w:r>
      <w:r w:rsidR="00DC5AB3">
        <w:rPr>
          <w:rStyle w:val="normaltextrun1"/>
        </w:rPr>
        <w:t xml:space="preserve">ethnic </w:t>
      </w:r>
      <w:r w:rsidR="00F041C4" w:rsidRPr="00FB26C1">
        <w:rPr>
          <w:rStyle w:val="normaltextrun1"/>
        </w:rPr>
        <w:t>Serbs, Afghans, Bosni</w:t>
      </w:r>
      <w:r w:rsidR="00E767A5">
        <w:rPr>
          <w:rStyle w:val="normaltextrun1"/>
        </w:rPr>
        <w:t>ans, Turks, Kurds, and Russians.</w:t>
      </w:r>
      <w:r w:rsidR="00DA37D6">
        <w:rPr>
          <w:rStyle w:val="normaltextrun1"/>
        </w:rPr>
        <w:t xml:space="preserve"> </w:t>
      </w:r>
      <w:r w:rsidR="00DA37D6" w:rsidRPr="00FB26C1">
        <w:t>A lot of fighters, of the older generation, were said to be affected also by the wars they had experienced in their countries of origins</w:t>
      </w:r>
      <w:r w:rsidR="0018208A">
        <w:t xml:space="preserve"> and were lik</w:t>
      </w:r>
      <w:r w:rsidR="00460EFD">
        <w:t>ely to travel to conflict zones</w:t>
      </w:r>
      <w:r w:rsidR="00DA37D6" w:rsidRPr="00FB26C1">
        <w:t>.</w:t>
      </w:r>
      <w:r w:rsidR="00460EFD">
        <w:t xml:space="preserve"> The trauma that many of them had experienced made it difficult to integrate </w:t>
      </w:r>
      <w:r w:rsidR="00FF40E8">
        <w:t xml:space="preserve">into society, and thus they were </w:t>
      </w:r>
      <w:r w:rsidR="00460EFD">
        <w:t xml:space="preserve">more likely to </w:t>
      </w:r>
      <w:r w:rsidR="008C2F50">
        <w:t xml:space="preserve">be drawn back into conflict. </w:t>
      </w:r>
    </w:p>
    <w:p w14:paraId="7FF70830" w14:textId="701E83BC" w:rsidR="004842E2" w:rsidRDefault="00884067" w:rsidP="004842E2">
      <w:pPr>
        <w:pStyle w:val="SingleTxtG"/>
        <w:rPr>
          <w:rStyle w:val="normaltextrun1"/>
        </w:rPr>
      </w:pPr>
      <w:r>
        <w:rPr>
          <w:rStyle w:val="normaltextrun1"/>
        </w:rPr>
        <w:t>43</w:t>
      </w:r>
      <w:r w:rsidR="004842E2">
        <w:rPr>
          <w:rStyle w:val="normaltextrun1"/>
        </w:rPr>
        <w:t xml:space="preserve">. </w:t>
      </w:r>
      <w:r w:rsidR="004842E2">
        <w:rPr>
          <w:rStyle w:val="normaltextrun1"/>
        </w:rPr>
        <w:tab/>
      </w:r>
      <w:r w:rsidR="004842E2">
        <w:t xml:space="preserve">In some cases, </w:t>
      </w:r>
      <w:r w:rsidR="004842E2" w:rsidRPr="00FB26C1">
        <w:t xml:space="preserve">entire families, including children, have travelled together. </w:t>
      </w:r>
      <w:r w:rsidR="007B1578">
        <w:t>The Working Group noted that m</w:t>
      </w:r>
      <w:r w:rsidR="004842E2" w:rsidRPr="00FB26C1">
        <w:t xml:space="preserve">any of the individuals who became radicalised were from a migration background and disadvantaged </w:t>
      </w:r>
      <w:r w:rsidR="00BE0FD3">
        <w:t xml:space="preserve">and poor </w:t>
      </w:r>
      <w:r w:rsidR="004842E2" w:rsidRPr="00FB26C1">
        <w:t>communities, and had</w:t>
      </w:r>
      <w:r w:rsidR="006C06EA">
        <w:t xml:space="preserve"> reportedly</w:t>
      </w:r>
      <w:r w:rsidR="004842E2" w:rsidRPr="00FB26C1">
        <w:t xml:space="preserve"> experienced racism, religious discrimination, poverty, lack of opportunity, social and societal rejection and mental health issues.</w:t>
      </w:r>
      <w:r w:rsidR="004842E2">
        <w:t xml:space="preserve"> </w:t>
      </w:r>
      <w:r w:rsidR="004842E2">
        <w:rPr>
          <w:rStyle w:val="normaltextrun1"/>
        </w:rPr>
        <w:t xml:space="preserve">This </w:t>
      </w:r>
      <w:r w:rsidR="00F041C4" w:rsidRPr="00FB26C1">
        <w:rPr>
          <w:rStyle w:val="normaltextrun1"/>
        </w:rPr>
        <w:t>prompted a lot of discussion about</w:t>
      </w:r>
      <w:r w:rsidR="00226457">
        <w:rPr>
          <w:rStyle w:val="normaltextrun1"/>
        </w:rPr>
        <w:t xml:space="preserve"> </w:t>
      </w:r>
      <w:r w:rsidR="00BF00CE">
        <w:rPr>
          <w:rStyle w:val="normaltextrun1"/>
        </w:rPr>
        <w:t>discrimination against particular ethnic and religious groups and the</w:t>
      </w:r>
      <w:r w:rsidR="00F041C4" w:rsidRPr="00FB26C1">
        <w:rPr>
          <w:rStyle w:val="normaltextrun1"/>
        </w:rPr>
        <w:t xml:space="preserve"> need for better integration, social cohesion and attention to the specific circumstances of foreign fighter</w:t>
      </w:r>
      <w:r w:rsidR="004842E2">
        <w:rPr>
          <w:rStyle w:val="normaltextrun1"/>
        </w:rPr>
        <w:t>s</w:t>
      </w:r>
      <w:r w:rsidR="00F041C4" w:rsidRPr="00FB26C1">
        <w:rPr>
          <w:rStyle w:val="normaltextrun1"/>
        </w:rPr>
        <w:t xml:space="preserve"> that </w:t>
      </w:r>
      <w:r w:rsidR="004842E2">
        <w:rPr>
          <w:rStyle w:val="normaltextrun1"/>
        </w:rPr>
        <w:t xml:space="preserve">led them to </w:t>
      </w:r>
      <w:r w:rsidR="005751C0">
        <w:rPr>
          <w:rStyle w:val="normaltextrun1"/>
        </w:rPr>
        <w:t xml:space="preserve">be </w:t>
      </w:r>
      <w:r w:rsidR="004842E2">
        <w:rPr>
          <w:rStyle w:val="normaltextrun1"/>
        </w:rPr>
        <w:t xml:space="preserve">radicalised in the first place. </w:t>
      </w:r>
      <w:r w:rsidR="00226457">
        <w:rPr>
          <w:rStyle w:val="normaltextrun1"/>
        </w:rPr>
        <w:t>Some of the political discourse in t</w:t>
      </w:r>
      <w:r w:rsidR="00E85176">
        <w:rPr>
          <w:rStyle w:val="normaltextrun1"/>
        </w:rPr>
        <w:t>he country were</w:t>
      </w:r>
      <w:r w:rsidR="00BE0FD3">
        <w:rPr>
          <w:rStyle w:val="normaltextrun1"/>
        </w:rPr>
        <w:t xml:space="preserve"> also seen as having </w:t>
      </w:r>
      <w:r w:rsidR="00E85176">
        <w:rPr>
          <w:rStyle w:val="normaltextrun1"/>
        </w:rPr>
        <w:t xml:space="preserve">strong anti-migrant elements and were </w:t>
      </w:r>
      <w:r w:rsidR="007F34C1">
        <w:rPr>
          <w:rStyle w:val="normaltextrun1"/>
        </w:rPr>
        <w:t xml:space="preserve">contributing to the challenges of integration and a sense of belonging in society. </w:t>
      </w:r>
    </w:p>
    <w:p w14:paraId="6919242F" w14:textId="269EBC87" w:rsidR="00F041C4" w:rsidRPr="00FB26C1" w:rsidRDefault="00884067" w:rsidP="004842E2">
      <w:pPr>
        <w:pStyle w:val="SingleTxtG"/>
        <w:rPr>
          <w:rStyle w:val="eop"/>
        </w:rPr>
      </w:pPr>
      <w:r>
        <w:rPr>
          <w:rStyle w:val="normaltextrun1"/>
        </w:rPr>
        <w:t>44</w:t>
      </w:r>
      <w:r w:rsidR="00593F70">
        <w:rPr>
          <w:rStyle w:val="normaltextrun1"/>
        </w:rPr>
        <w:t>.</w:t>
      </w:r>
      <w:r w:rsidR="00593F70">
        <w:rPr>
          <w:rStyle w:val="normaltextrun1"/>
        </w:rPr>
        <w:tab/>
      </w:r>
      <w:r w:rsidR="00F041C4" w:rsidRPr="00FB26C1">
        <w:rPr>
          <w:rStyle w:val="normaltextrun1"/>
        </w:rPr>
        <w:t>The Working Group learned that in many successful cases of de</w:t>
      </w:r>
      <w:r w:rsidR="00EA59A3" w:rsidRPr="00FB26C1">
        <w:rPr>
          <w:rStyle w:val="normaltextrun1"/>
        </w:rPr>
        <w:t>-</w:t>
      </w:r>
      <w:r w:rsidR="00F041C4" w:rsidRPr="00FB26C1">
        <w:rPr>
          <w:rStyle w:val="normaltextrun1"/>
        </w:rPr>
        <w:t xml:space="preserve">radicalization, the individual </w:t>
      </w:r>
      <w:r w:rsidR="00166C61">
        <w:rPr>
          <w:rStyle w:val="normaltextrun1"/>
        </w:rPr>
        <w:t>shared experiences involving victimis</w:t>
      </w:r>
      <w:r w:rsidR="00F041C4" w:rsidRPr="00FB26C1">
        <w:rPr>
          <w:rStyle w:val="normaltextrun1"/>
        </w:rPr>
        <w:t>ation through racism, poverty</w:t>
      </w:r>
      <w:r w:rsidR="00166C61">
        <w:rPr>
          <w:rStyle w:val="normaltextrun1"/>
        </w:rPr>
        <w:t xml:space="preserve"> and lack of opportunity</w:t>
      </w:r>
      <w:r w:rsidR="00F041C4" w:rsidRPr="00FB26C1">
        <w:rPr>
          <w:rStyle w:val="normaltextrun1"/>
        </w:rPr>
        <w:t xml:space="preserve">. This highlights the need to address the root causes of </w:t>
      </w:r>
      <w:r w:rsidR="00F041C4" w:rsidRPr="00FB26C1">
        <w:rPr>
          <w:rStyle w:val="spellingerror"/>
        </w:rPr>
        <w:t>radicalisation</w:t>
      </w:r>
      <w:r w:rsidR="00F041C4" w:rsidRPr="00FB26C1">
        <w:rPr>
          <w:rStyle w:val="normaltextrun1"/>
        </w:rPr>
        <w:t xml:space="preserve"> and violent extremism and not focus exclusively on symptoms. The Working Group commends the engagement and active involvement of social actors in the network against </w:t>
      </w:r>
      <w:r w:rsidR="00F041C4" w:rsidRPr="00FB26C1">
        <w:rPr>
          <w:rStyle w:val="spellingerror"/>
        </w:rPr>
        <w:t>radicalisation</w:t>
      </w:r>
      <w:r w:rsidR="00F041C4" w:rsidRPr="00FB26C1">
        <w:rPr>
          <w:rStyle w:val="normaltextrun1"/>
        </w:rPr>
        <w:t xml:space="preserve"> and violent extremism and </w:t>
      </w:r>
      <w:r w:rsidR="00BE0FD3">
        <w:rPr>
          <w:rStyle w:val="normaltextrun1"/>
        </w:rPr>
        <w:t xml:space="preserve">reiterates </w:t>
      </w:r>
      <w:r w:rsidR="00F041C4" w:rsidRPr="00FB26C1">
        <w:rPr>
          <w:rStyle w:val="normaltextrun1"/>
        </w:rPr>
        <w:t xml:space="preserve">the need to ensure a human rights-based approach to tackling </w:t>
      </w:r>
      <w:r w:rsidR="00BE0FD3">
        <w:rPr>
          <w:rStyle w:val="normaltextrun1"/>
        </w:rPr>
        <w:t>root causes to this phenomenon.</w:t>
      </w:r>
      <w:r w:rsidR="00F041C4" w:rsidRPr="00FB26C1">
        <w:rPr>
          <w:rStyle w:val="normaltextrun1"/>
        </w:rPr>
        <w:t> </w:t>
      </w:r>
      <w:r w:rsidR="00F041C4" w:rsidRPr="00FB26C1">
        <w:rPr>
          <w:rStyle w:val="eop"/>
        </w:rPr>
        <w:t> </w:t>
      </w:r>
    </w:p>
    <w:p w14:paraId="44C354BE" w14:textId="0739E0F9" w:rsidR="00F041C4" w:rsidRPr="00FB26C1" w:rsidRDefault="00884067" w:rsidP="00FB26C1">
      <w:pPr>
        <w:pStyle w:val="SingleTxtG"/>
      </w:pPr>
      <w:r>
        <w:t>45</w:t>
      </w:r>
      <w:r w:rsidR="002764A4">
        <w:t>.</w:t>
      </w:r>
      <w:r w:rsidR="002764A4">
        <w:tab/>
      </w:r>
      <w:r w:rsidR="00F041C4" w:rsidRPr="00FB26C1">
        <w:t>According to the</w:t>
      </w:r>
      <w:r w:rsidR="00F041C4" w:rsidRPr="00E71C4C">
        <w:t xml:space="preserve"> </w:t>
      </w:r>
      <w:r w:rsidR="00F041C4" w:rsidRPr="00593F70">
        <w:t>Federal Office for the Protection of the Constitution and Counterterrorism</w:t>
      </w:r>
      <w:r w:rsidR="00F041C4" w:rsidRPr="00E71C4C">
        <w:t xml:space="preserve">, </w:t>
      </w:r>
      <w:r w:rsidR="00F041C4" w:rsidRPr="00FB26C1">
        <w:t xml:space="preserve">296 Austrian-born persons are known who were actively taking part in </w:t>
      </w:r>
      <w:r w:rsidR="00593F70">
        <w:t>conflict</w:t>
      </w:r>
      <w:r w:rsidR="00F041C4" w:rsidRPr="00FB26C1">
        <w:t xml:space="preserve"> in Iraq</w:t>
      </w:r>
      <w:r w:rsidR="00593F70">
        <w:t xml:space="preserve"> and Syria</w:t>
      </w:r>
      <w:r w:rsidR="00F041C4" w:rsidRPr="00FB26C1">
        <w:t>. At the end of 2016, 280 could be localised in Austria and were put under surveillance by the authorities.</w:t>
      </w:r>
      <w:r w:rsidR="00F041C4" w:rsidRPr="00B93BFD">
        <w:rPr>
          <w:rStyle w:val="FootnoteReference"/>
          <w:sz w:val="20"/>
        </w:rPr>
        <w:footnoteReference w:id="16"/>
      </w:r>
      <w:r w:rsidR="00F041C4" w:rsidRPr="00B93BFD">
        <w:rPr>
          <w:vertAlign w:val="superscript"/>
        </w:rPr>
        <w:t xml:space="preserve"> </w:t>
      </w:r>
      <w:r w:rsidR="00F041C4" w:rsidRPr="00FB26C1">
        <w:t>However, this number is shrinking due to consequent penal prosecution and sentencing of suspects.</w:t>
      </w:r>
      <w:r w:rsidR="00F041C4" w:rsidRPr="00B93BFD">
        <w:rPr>
          <w:rStyle w:val="FootnoteReference"/>
          <w:sz w:val="20"/>
        </w:rPr>
        <w:footnoteReference w:id="17"/>
      </w:r>
    </w:p>
    <w:p w14:paraId="796771D5" w14:textId="47239ED0" w:rsidR="00F041C4" w:rsidRPr="00FB26C1" w:rsidRDefault="00884067" w:rsidP="00FB26C1">
      <w:pPr>
        <w:pStyle w:val="SingleTxtG"/>
      </w:pPr>
      <w:r>
        <w:t>46</w:t>
      </w:r>
      <w:r w:rsidR="002764A4">
        <w:t>.</w:t>
      </w:r>
      <w:r w:rsidR="002764A4">
        <w:tab/>
      </w:r>
      <w:r w:rsidR="00F041C4" w:rsidRPr="00FB26C1">
        <w:t xml:space="preserve">The fact that there are people living in Austria who are ideologically close to extremist </w:t>
      </w:r>
      <w:r w:rsidR="00704819">
        <w:t>ideology</w:t>
      </w:r>
      <w:r w:rsidR="00F041C4" w:rsidRPr="00FB26C1">
        <w:t xml:space="preserve"> is shown by a study conducted by the City of Vienna with youth. Out of the 401 surveyed youth, 27% showed positive feelings towards extremely religious people who are willing to go to war for their faith. These youth a</w:t>
      </w:r>
      <w:r w:rsidR="00BE0FD3">
        <w:t>lso viewed</w:t>
      </w:r>
      <w:r w:rsidR="00F041C4" w:rsidRPr="00FB26C1">
        <w:t xml:space="preserve"> the West as the “suppressor” and agreed that Islam has to be protected with violence.</w:t>
      </w:r>
      <w:r w:rsidR="00F041C4" w:rsidRPr="00B93BFD">
        <w:rPr>
          <w:rStyle w:val="FootnoteReference"/>
          <w:sz w:val="20"/>
        </w:rPr>
        <w:footnoteReference w:id="18"/>
      </w:r>
      <w:r w:rsidR="00F041C4" w:rsidRPr="00FB26C1">
        <w:t xml:space="preserve"> From 2014 to 2017, the aforementioned </w:t>
      </w:r>
      <w:r w:rsidR="00DA37D6">
        <w:t>24 hour helpline</w:t>
      </w:r>
      <w:r w:rsidR="00166C61">
        <w:t xml:space="preserve"> on prevention </w:t>
      </w:r>
      <w:r w:rsidR="00EB72A4">
        <w:t xml:space="preserve">of </w:t>
      </w:r>
      <w:r w:rsidR="00166C61">
        <w:t>extremism,</w:t>
      </w:r>
      <w:r w:rsidR="00F041C4" w:rsidRPr="00FB26C1">
        <w:t xml:space="preserve"> was contacted 2,399 times. In over 40% of </w:t>
      </w:r>
      <w:r w:rsidR="00F041C4" w:rsidRPr="00FB26C1">
        <w:lastRenderedPageBreak/>
        <w:t>cases brought to the service</w:t>
      </w:r>
      <w:r w:rsidR="00166C61">
        <w:t>,</w:t>
      </w:r>
      <w:r w:rsidR="00F041C4" w:rsidRPr="00FB26C1">
        <w:t xml:space="preserve"> the questions </w:t>
      </w:r>
      <w:r w:rsidR="00166C61">
        <w:t xml:space="preserve">many asked </w:t>
      </w:r>
      <w:r w:rsidR="00F041C4" w:rsidRPr="00FB26C1">
        <w:t>were about religiously motivated extremism, general predisposition to vio</w:t>
      </w:r>
      <w:r w:rsidR="0056312E">
        <w:t>lence and intercultural issues</w:t>
      </w:r>
      <w:r w:rsidR="00F041C4" w:rsidRPr="00FB26C1">
        <w:t>.</w:t>
      </w:r>
      <w:r w:rsidR="00F041C4" w:rsidRPr="00B93BFD">
        <w:rPr>
          <w:rStyle w:val="FootnoteReference"/>
          <w:sz w:val="20"/>
        </w:rPr>
        <w:footnoteReference w:id="19"/>
      </w:r>
    </w:p>
    <w:p w14:paraId="2631AFE9" w14:textId="4A31431A" w:rsidR="00F041C4" w:rsidRPr="00FB26C1" w:rsidRDefault="002764A4" w:rsidP="00FB26C1">
      <w:pPr>
        <w:pStyle w:val="SingleTxtG"/>
      </w:pPr>
      <w:r>
        <w:t>4</w:t>
      </w:r>
      <w:r w:rsidR="00884067">
        <w:t>7</w:t>
      </w:r>
      <w:r>
        <w:t>.</w:t>
      </w:r>
      <w:r>
        <w:tab/>
      </w:r>
      <w:r w:rsidR="00B977EA" w:rsidRPr="00FB26C1">
        <w:t>In 2017,</w:t>
      </w:r>
      <w:r w:rsidR="00567D88">
        <w:t xml:space="preserve"> 63 inmates were</w:t>
      </w:r>
      <w:r w:rsidR="00F041C4" w:rsidRPr="00FB26C1">
        <w:t xml:space="preserve"> in Austrian prison due to their participation in terrorist associations.</w:t>
      </w:r>
      <w:r w:rsidR="00F041C4" w:rsidRPr="00B93BFD">
        <w:rPr>
          <w:rStyle w:val="FootnoteReference"/>
          <w:sz w:val="20"/>
        </w:rPr>
        <w:footnoteReference w:id="20"/>
      </w:r>
      <w:r w:rsidR="00F041C4" w:rsidRPr="00B93BFD">
        <w:rPr>
          <w:vertAlign w:val="superscript"/>
        </w:rPr>
        <w:t xml:space="preserve"> </w:t>
      </w:r>
      <w:r w:rsidR="00F041C4" w:rsidRPr="00FB26C1">
        <w:t xml:space="preserve">The number of </w:t>
      </w:r>
      <w:r w:rsidR="00EA59A3" w:rsidRPr="00FB26C1">
        <w:t>convictions under Section 278</w:t>
      </w:r>
      <w:r w:rsidR="0056312E">
        <w:t xml:space="preserve"> had</w:t>
      </w:r>
      <w:r w:rsidR="00EA59A3" w:rsidRPr="00FB26C1">
        <w:t xml:space="preserve"> increased</w:t>
      </w:r>
      <w:r w:rsidR="00F041C4" w:rsidRPr="00FB26C1">
        <w:t xml:space="preserve"> since 2015. For </w:t>
      </w:r>
      <w:r w:rsidR="00EA59A3" w:rsidRPr="00FB26C1">
        <w:t xml:space="preserve">those considered to be jihadists </w:t>
      </w:r>
      <w:r w:rsidR="00F041C4" w:rsidRPr="00FB26C1">
        <w:t xml:space="preserve">in Austrian prisons, special security measures </w:t>
      </w:r>
      <w:r w:rsidR="00567D88">
        <w:t>were</w:t>
      </w:r>
      <w:r w:rsidR="00F041C4" w:rsidRPr="00FB26C1">
        <w:t xml:space="preserve"> taken and particular support services </w:t>
      </w:r>
      <w:r w:rsidR="00567D88">
        <w:t>were</w:t>
      </w:r>
      <w:r w:rsidR="00F041C4" w:rsidRPr="00FB26C1">
        <w:t xml:space="preserve"> offered.</w:t>
      </w:r>
      <w:r w:rsidR="00F041C4" w:rsidRPr="00B93BFD">
        <w:rPr>
          <w:rStyle w:val="FootnoteReference"/>
          <w:sz w:val="20"/>
        </w:rPr>
        <w:footnoteReference w:id="21"/>
      </w:r>
      <w:r w:rsidR="00EA59A3" w:rsidRPr="00FB26C1">
        <w:t xml:space="preserve"> </w:t>
      </w:r>
      <w:r w:rsidR="00EB72A4">
        <w:t>R</w:t>
      </w:r>
      <w:r w:rsidR="00EA59A3" w:rsidRPr="00FB26C1">
        <w:t xml:space="preserve">esearch on around </w:t>
      </w:r>
      <w:r w:rsidR="00F041C4" w:rsidRPr="00FB26C1">
        <w:t xml:space="preserve">39 former inmates with </w:t>
      </w:r>
      <w:r w:rsidR="00EA59A3" w:rsidRPr="00FB26C1">
        <w:t xml:space="preserve">radicalised </w:t>
      </w:r>
      <w:r w:rsidR="00F041C4" w:rsidRPr="00FB26C1">
        <w:t>background</w:t>
      </w:r>
      <w:r w:rsidR="00EA59A3" w:rsidRPr="00FB26C1">
        <w:t xml:space="preserve">, focusing on their </w:t>
      </w:r>
      <w:r w:rsidR="00F041C4" w:rsidRPr="00FB26C1">
        <w:t>imprisonment, motives and ideology</w:t>
      </w:r>
      <w:r w:rsidR="00EA59A3" w:rsidRPr="00FB26C1">
        <w:t xml:space="preserve"> found that most were rad</w:t>
      </w:r>
      <w:r w:rsidR="0056312E">
        <w:t>icalis</w:t>
      </w:r>
      <w:r w:rsidR="00F041C4" w:rsidRPr="00FB26C1">
        <w:t xml:space="preserve">ed </w:t>
      </w:r>
      <w:r w:rsidR="00EA59A3" w:rsidRPr="00FB26C1">
        <w:t>before prison and did not have c</w:t>
      </w:r>
      <w:r w:rsidR="00F041C4" w:rsidRPr="00FB26C1">
        <w:t>riminal records beforehand. The results also showed that de-radicalising measures, including anti-violence training and political education through experts,</w:t>
      </w:r>
      <w:r w:rsidR="00EA59A3" w:rsidRPr="00FB26C1">
        <w:t xml:space="preserve"> organizations and programmes such as </w:t>
      </w:r>
      <w:r w:rsidR="00F041C4" w:rsidRPr="00160CD8">
        <w:t>DERAD</w:t>
      </w:r>
      <w:r w:rsidR="00EA59A3" w:rsidRPr="00FB26C1">
        <w:t xml:space="preserve"> had positive benefits</w:t>
      </w:r>
      <w:r w:rsidR="00F041C4" w:rsidRPr="00FB26C1">
        <w:t>.</w:t>
      </w:r>
      <w:r w:rsidR="00F041C4" w:rsidRPr="00B93BFD">
        <w:rPr>
          <w:rStyle w:val="FootnoteReference"/>
          <w:sz w:val="20"/>
        </w:rPr>
        <w:footnoteReference w:id="22"/>
      </w:r>
      <w:r w:rsidR="00F041C4" w:rsidRPr="00FB26C1">
        <w:t xml:space="preserve"> </w:t>
      </w:r>
      <w:r w:rsidR="00EA59A3" w:rsidRPr="00FB26C1">
        <w:t xml:space="preserve">Further, organizations such as </w:t>
      </w:r>
      <w:r w:rsidR="00F041C4" w:rsidRPr="00160CD8">
        <w:t>NEUSTART</w:t>
      </w:r>
      <w:r w:rsidR="00EF07F2">
        <w:rPr>
          <w:rStyle w:val="FootnoteReference"/>
        </w:rPr>
        <w:footnoteReference w:id="23"/>
      </w:r>
      <w:r w:rsidR="00F041C4" w:rsidRPr="00160CD8">
        <w:t xml:space="preserve"> </w:t>
      </w:r>
      <w:r w:rsidR="00EA59A3" w:rsidRPr="00FB26C1">
        <w:t>which provide</w:t>
      </w:r>
      <w:r w:rsidR="00F041C4" w:rsidRPr="00FB26C1">
        <w:t xml:space="preserve"> spe</w:t>
      </w:r>
      <w:r w:rsidR="00EA59A3" w:rsidRPr="00FB26C1">
        <w:t>cial services and legal support</w:t>
      </w:r>
      <w:r w:rsidR="00F041C4" w:rsidRPr="00294F6A">
        <w:rPr>
          <w:rStyle w:val="FootnoteReference"/>
          <w:sz w:val="20"/>
        </w:rPr>
        <w:footnoteReference w:id="24"/>
      </w:r>
      <w:r w:rsidR="00EA59A3" w:rsidRPr="00FB26C1">
        <w:t xml:space="preserve"> were also helpful. </w:t>
      </w:r>
    </w:p>
    <w:p w14:paraId="21614BC9" w14:textId="37E41B3F" w:rsidR="00670869" w:rsidRDefault="002764A4" w:rsidP="00FB26C1">
      <w:pPr>
        <w:pStyle w:val="SingleTxtG"/>
      </w:pPr>
      <w:r>
        <w:t>4</w:t>
      </w:r>
      <w:r w:rsidR="00884067">
        <w:t>8</w:t>
      </w:r>
      <w:r>
        <w:t>.</w:t>
      </w:r>
      <w:r>
        <w:tab/>
      </w:r>
      <w:r w:rsidR="00F041C4" w:rsidRPr="00FB26C1">
        <w:t>With regard to recruitment, whil</w:t>
      </w:r>
      <w:r w:rsidR="00567D88">
        <w:t>e mosques were</w:t>
      </w:r>
      <w:r w:rsidR="00F041C4" w:rsidRPr="00FB26C1">
        <w:t xml:space="preserve"> commonly suspected as a major locus of recruitment, a number of foreign fighters were recruited in public places including parks, sport centr</w:t>
      </w:r>
      <w:r w:rsidR="00EB72A4">
        <w:t>e</w:t>
      </w:r>
      <w:r w:rsidR="00F041C4" w:rsidRPr="00FB26C1">
        <w:t>s</w:t>
      </w:r>
      <w:r w:rsidR="002B58D9">
        <w:t xml:space="preserve"> and</w:t>
      </w:r>
      <w:r w:rsidR="000F1D07">
        <w:t xml:space="preserve"> </w:t>
      </w:r>
      <w:r w:rsidR="00F041C4" w:rsidRPr="00FB26C1">
        <w:t>local neighbourhoods</w:t>
      </w:r>
      <w:r w:rsidR="00F67DB7">
        <w:t>,</w:t>
      </w:r>
      <w:r w:rsidR="00F041C4" w:rsidRPr="00FB26C1">
        <w:t xml:space="preserve"> while</w:t>
      </w:r>
      <w:r w:rsidR="00BE0FD3">
        <w:t xml:space="preserve"> many </w:t>
      </w:r>
      <w:r w:rsidR="00F041C4" w:rsidRPr="00FB26C1">
        <w:t>were through online platforms. </w:t>
      </w:r>
      <w:r w:rsidR="007045E0">
        <w:t xml:space="preserve">Both men and women were actively involved in recruitment and children and youth were often targeted due to their vulnerability. </w:t>
      </w:r>
    </w:p>
    <w:p w14:paraId="4DBC80CA" w14:textId="6074E9CA" w:rsidR="00670869" w:rsidRPr="00E71C4C" w:rsidRDefault="006C5E4D" w:rsidP="006C5E4D">
      <w:pPr>
        <w:pStyle w:val="H1G"/>
        <w:rPr>
          <w:lang w:val="en-US"/>
        </w:rPr>
      </w:pPr>
      <w:r>
        <w:rPr>
          <w:lang w:val="en-US"/>
        </w:rPr>
        <w:tab/>
        <w:t>B.</w:t>
      </w:r>
      <w:r>
        <w:rPr>
          <w:lang w:val="en-US"/>
        </w:rPr>
        <w:tab/>
      </w:r>
      <w:r w:rsidR="003F71D4">
        <w:rPr>
          <w:lang w:val="en-US"/>
        </w:rPr>
        <w:t>M</w:t>
      </w:r>
      <w:r w:rsidR="00670869" w:rsidRPr="00E71C4C">
        <w:rPr>
          <w:lang w:val="en-US"/>
        </w:rPr>
        <w:t xml:space="preserve">easures </w:t>
      </w:r>
      <w:r w:rsidR="00D1557A">
        <w:rPr>
          <w:lang w:val="en-US"/>
        </w:rPr>
        <w:t>for</w:t>
      </w:r>
      <w:r w:rsidR="003F71D4">
        <w:rPr>
          <w:lang w:val="en-US"/>
        </w:rPr>
        <w:t xml:space="preserve"> </w:t>
      </w:r>
      <w:r w:rsidR="00670869" w:rsidRPr="00E71C4C">
        <w:rPr>
          <w:lang w:val="en-US"/>
        </w:rPr>
        <w:t>foreign fighters</w:t>
      </w:r>
      <w:r w:rsidR="00A52710">
        <w:rPr>
          <w:lang w:val="en-US"/>
        </w:rPr>
        <w:t xml:space="preserve"> </w:t>
      </w:r>
    </w:p>
    <w:p w14:paraId="73ED1F22" w14:textId="652239CE" w:rsidR="007B577C" w:rsidRDefault="00DA37D6" w:rsidP="006C5E4D">
      <w:pPr>
        <w:pStyle w:val="SingleTxtG"/>
        <w:rPr>
          <w:rStyle w:val="normaltextrun1"/>
        </w:rPr>
      </w:pPr>
      <w:r>
        <w:rPr>
          <w:rStyle w:val="normaltextrun1"/>
        </w:rPr>
        <w:t>4</w:t>
      </w:r>
      <w:r w:rsidR="00884067">
        <w:rPr>
          <w:rStyle w:val="normaltextrun1"/>
        </w:rPr>
        <w:t>9</w:t>
      </w:r>
      <w:r w:rsidR="006C5E4D">
        <w:rPr>
          <w:rStyle w:val="normaltextrun1"/>
        </w:rPr>
        <w:t>.</w:t>
      </w:r>
      <w:r w:rsidR="006C5E4D">
        <w:rPr>
          <w:rStyle w:val="normaltextrun1"/>
        </w:rPr>
        <w:tab/>
      </w:r>
      <w:r w:rsidR="006B1C18">
        <w:rPr>
          <w:rStyle w:val="normaltextrun1"/>
        </w:rPr>
        <w:t xml:space="preserve">In line with its obligations under the human rights conventions it has ratified, Austria has the opportunity to address the phenomenon of foreign fighters through measures </w:t>
      </w:r>
      <w:r w:rsidR="00E730A9">
        <w:rPr>
          <w:rStyle w:val="normaltextrun1"/>
        </w:rPr>
        <w:t xml:space="preserve">that are based on human rights principles and standards. These measures could better enhance efforts </w:t>
      </w:r>
      <w:r w:rsidR="00BE0FD3">
        <w:rPr>
          <w:rStyle w:val="normaltextrun1"/>
        </w:rPr>
        <w:t>for</w:t>
      </w:r>
      <w:r w:rsidR="00E730A9">
        <w:rPr>
          <w:rStyle w:val="normaltextrun1"/>
        </w:rPr>
        <w:t xml:space="preserve"> </w:t>
      </w:r>
      <w:r w:rsidR="007B577C">
        <w:rPr>
          <w:rStyle w:val="normaltextrun1"/>
        </w:rPr>
        <w:t>de</w:t>
      </w:r>
      <w:r w:rsidR="00403430">
        <w:rPr>
          <w:rStyle w:val="normaltextrun1"/>
        </w:rPr>
        <w:t>-</w:t>
      </w:r>
      <w:r w:rsidR="007B577C">
        <w:rPr>
          <w:rStyle w:val="normaltextrun1"/>
        </w:rPr>
        <w:t xml:space="preserve">radicalisation, </w:t>
      </w:r>
      <w:r w:rsidR="006B1C18">
        <w:rPr>
          <w:rStyle w:val="normaltextrun1"/>
        </w:rPr>
        <w:t xml:space="preserve">prevention of violent extremism, stemming the flow of foreign fighters while enhancing </w:t>
      </w:r>
      <w:r w:rsidR="00670869" w:rsidRPr="006C5E4D">
        <w:rPr>
          <w:rStyle w:val="normaltextrun1"/>
        </w:rPr>
        <w:t>integration</w:t>
      </w:r>
      <w:r w:rsidR="006B1C18">
        <w:rPr>
          <w:rStyle w:val="normaltextrun1"/>
        </w:rPr>
        <w:t>, and</w:t>
      </w:r>
      <w:r w:rsidR="00670869" w:rsidRPr="006C5E4D">
        <w:rPr>
          <w:rStyle w:val="normaltextrun1"/>
        </w:rPr>
        <w:t xml:space="preserve"> promoting social cohesion for migrants and foreigners</w:t>
      </w:r>
      <w:r w:rsidR="006D3244">
        <w:rPr>
          <w:rStyle w:val="normaltextrun1"/>
        </w:rPr>
        <w:t xml:space="preserve"> who are often affected. </w:t>
      </w:r>
      <w:r w:rsidR="00670869" w:rsidRPr="006C5E4D">
        <w:rPr>
          <w:rStyle w:val="normaltextrun1"/>
        </w:rPr>
        <w:t xml:space="preserve"> </w:t>
      </w:r>
      <w:r w:rsidR="00696096">
        <w:rPr>
          <w:rStyle w:val="normaltextrun1"/>
        </w:rPr>
        <w:t>However, the Working Group was concern</w:t>
      </w:r>
      <w:r w:rsidR="002B58D9">
        <w:rPr>
          <w:rStyle w:val="normaltextrun1"/>
        </w:rPr>
        <w:t>ed</w:t>
      </w:r>
      <w:r w:rsidR="00696096">
        <w:rPr>
          <w:rStyle w:val="normaltextrun1"/>
        </w:rPr>
        <w:t xml:space="preserve"> with some of the human rights implications employed to address foreign fighters. </w:t>
      </w:r>
    </w:p>
    <w:p w14:paraId="30E1A899" w14:textId="19DE578A" w:rsidR="00124440" w:rsidRDefault="00884067" w:rsidP="00884067">
      <w:pPr>
        <w:pStyle w:val="SingleTxtG"/>
        <w:rPr>
          <w:rStyle w:val="normaltextrun1"/>
        </w:rPr>
      </w:pPr>
      <w:r>
        <w:rPr>
          <w:rStyle w:val="normaltextrun1"/>
        </w:rPr>
        <w:t>50.</w:t>
      </w:r>
      <w:r>
        <w:rPr>
          <w:rStyle w:val="normaltextrun1"/>
        </w:rPr>
        <w:tab/>
      </w:r>
      <w:r w:rsidR="006B0739">
        <w:rPr>
          <w:rStyle w:val="normaltextrun1"/>
        </w:rPr>
        <w:t>The Working Group noted that a</w:t>
      </w:r>
      <w:r w:rsidR="00670869" w:rsidRPr="006C5E4D">
        <w:rPr>
          <w:rStyle w:val="normaltextrun1"/>
        </w:rPr>
        <w:t xml:space="preserve"> majority of those in prison</w:t>
      </w:r>
      <w:r w:rsidR="006B0739">
        <w:rPr>
          <w:rStyle w:val="normaltextrun1"/>
        </w:rPr>
        <w:t xml:space="preserve"> convicted under article 278</w:t>
      </w:r>
      <w:r w:rsidR="00696096">
        <w:rPr>
          <w:rStyle w:val="normaltextrun1"/>
        </w:rPr>
        <w:t>, a</w:t>
      </w:r>
      <w:r w:rsidR="006B0739">
        <w:rPr>
          <w:rStyle w:val="normaltextrun1"/>
        </w:rPr>
        <w:t xml:space="preserve">lso </w:t>
      </w:r>
      <w:r w:rsidR="00BE0FD3">
        <w:rPr>
          <w:rStyle w:val="normaltextrun1"/>
        </w:rPr>
        <w:t>included some individuals</w:t>
      </w:r>
      <w:r w:rsidR="006B0739">
        <w:rPr>
          <w:rStyle w:val="normaltextrun1"/>
        </w:rPr>
        <w:t xml:space="preserve"> who were arrested and charged for </w:t>
      </w:r>
      <w:r w:rsidR="00670869" w:rsidRPr="006C5E4D">
        <w:rPr>
          <w:rStyle w:val="normaltextrun1"/>
        </w:rPr>
        <w:t xml:space="preserve">merely posting a message on social media </w:t>
      </w:r>
      <w:r w:rsidR="00670869" w:rsidRPr="006C5E4D">
        <w:rPr>
          <w:rStyle w:val="spellingerror"/>
        </w:rPr>
        <w:t>sympathising</w:t>
      </w:r>
      <w:r w:rsidR="00670869" w:rsidRPr="006C5E4D">
        <w:rPr>
          <w:rStyle w:val="normaltextrun1"/>
        </w:rPr>
        <w:t xml:space="preserve"> with the aims of groups like Da’esh. </w:t>
      </w:r>
      <w:r w:rsidR="00AE227F">
        <w:rPr>
          <w:rStyle w:val="normaltextrun1"/>
        </w:rPr>
        <w:t xml:space="preserve"> </w:t>
      </w:r>
      <w:r w:rsidR="007B577C">
        <w:rPr>
          <w:rStyle w:val="normaltextrun1"/>
        </w:rPr>
        <w:t xml:space="preserve">For instance, </w:t>
      </w:r>
      <w:r w:rsidR="00BC195D">
        <w:rPr>
          <w:rStyle w:val="normaltextrun1"/>
        </w:rPr>
        <w:t>a youth had been prosecuted un</w:t>
      </w:r>
      <w:r w:rsidR="007B577C">
        <w:rPr>
          <w:rStyle w:val="normaltextrun1"/>
        </w:rPr>
        <w:t xml:space="preserve">der Section 278(b) for posting message </w:t>
      </w:r>
      <w:r w:rsidR="00BC195D">
        <w:rPr>
          <w:rStyle w:val="normaltextrun1"/>
        </w:rPr>
        <w:t xml:space="preserve">on </w:t>
      </w:r>
      <w:r w:rsidR="003B1879">
        <w:rPr>
          <w:rStyle w:val="normaltextrun1"/>
        </w:rPr>
        <w:t>social media</w:t>
      </w:r>
      <w:r w:rsidR="00BC195D">
        <w:rPr>
          <w:rStyle w:val="normaltextrun1"/>
        </w:rPr>
        <w:t xml:space="preserve"> that was d</w:t>
      </w:r>
      <w:r w:rsidR="00895B68">
        <w:rPr>
          <w:rStyle w:val="normaltextrun1"/>
        </w:rPr>
        <w:t>eemed as aligning with violent extremism. Th</w:t>
      </w:r>
      <w:r w:rsidR="00BC195D">
        <w:rPr>
          <w:rStyle w:val="normaltextrun1"/>
        </w:rPr>
        <w:t>e wide interpretation given to this law</w:t>
      </w:r>
      <w:r w:rsidR="002165B6">
        <w:rPr>
          <w:rStyle w:val="normaltextrun1"/>
        </w:rPr>
        <w:t xml:space="preserve"> thus</w:t>
      </w:r>
      <w:r w:rsidR="00BC195D">
        <w:rPr>
          <w:rStyle w:val="normaltextrun1"/>
        </w:rPr>
        <w:t xml:space="preserve"> </w:t>
      </w:r>
      <w:r w:rsidR="00811CCD">
        <w:rPr>
          <w:rStyle w:val="normaltextrun1"/>
        </w:rPr>
        <w:t xml:space="preserve">has the potential to </w:t>
      </w:r>
      <w:r w:rsidR="00BC195D">
        <w:rPr>
          <w:rStyle w:val="normaltextrun1"/>
        </w:rPr>
        <w:t>encom</w:t>
      </w:r>
      <w:r w:rsidR="008F4A90">
        <w:rPr>
          <w:rStyle w:val="normaltextrun1"/>
        </w:rPr>
        <w:t>pass various situations that are</w:t>
      </w:r>
      <w:r w:rsidR="00BC195D">
        <w:rPr>
          <w:rStyle w:val="normaltextrun1"/>
        </w:rPr>
        <w:t xml:space="preserve"> not necessarily terrorist activities. </w:t>
      </w:r>
      <w:r w:rsidR="00437EF4">
        <w:rPr>
          <w:rStyle w:val="normaltextrun1"/>
        </w:rPr>
        <w:t xml:space="preserve"> </w:t>
      </w:r>
      <w:r w:rsidR="00B937B6">
        <w:rPr>
          <w:rStyle w:val="normaltextrun1"/>
        </w:rPr>
        <w:t>The law’s breadth could also</w:t>
      </w:r>
      <w:r w:rsidR="00670869" w:rsidRPr="006C5E4D">
        <w:rPr>
          <w:rStyle w:val="normaltextrun1"/>
        </w:rPr>
        <w:t xml:space="preserve"> lead to criminalization of mere beliefs and t</w:t>
      </w:r>
      <w:r w:rsidR="00BC195D">
        <w:rPr>
          <w:rStyle w:val="normaltextrun1"/>
        </w:rPr>
        <w:t>o discriminatory enforcement. The Working Group</w:t>
      </w:r>
      <w:r w:rsidR="00B937B6">
        <w:rPr>
          <w:rStyle w:val="normaltextrun1"/>
        </w:rPr>
        <w:t xml:space="preserve"> </w:t>
      </w:r>
      <w:r w:rsidR="00670869" w:rsidRPr="006C5E4D">
        <w:rPr>
          <w:rStyle w:val="normaltextrun1"/>
        </w:rPr>
        <w:t>caution</w:t>
      </w:r>
      <w:r w:rsidR="00B937B6">
        <w:rPr>
          <w:rStyle w:val="normaltextrun1"/>
        </w:rPr>
        <w:t>ed</w:t>
      </w:r>
      <w:r w:rsidR="00670869" w:rsidRPr="006C5E4D">
        <w:rPr>
          <w:rStyle w:val="normaltextrun1"/>
        </w:rPr>
        <w:t xml:space="preserve"> that excessive emphasis on law enforcement not only favo</w:t>
      </w:r>
      <w:r w:rsidR="00B774C2">
        <w:rPr>
          <w:rStyle w:val="normaltextrun1"/>
        </w:rPr>
        <w:t>u</w:t>
      </w:r>
      <w:r w:rsidR="00670869" w:rsidRPr="006C5E4D">
        <w:rPr>
          <w:rStyle w:val="normaltextrun1"/>
        </w:rPr>
        <w:t xml:space="preserve">rs symptoms over causes, but may also lead to further </w:t>
      </w:r>
      <w:r w:rsidR="00670869" w:rsidRPr="006C5E4D">
        <w:rPr>
          <w:rStyle w:val="spellingerror"/>
        </w:rPr>
        <w:t>stigmatisation</w:t>
      </w:r>
      <w:r w:rsidR="00670869" w:rsidRPr="006C5E4D">
        <w:rPr>
          <w:rStyle w:val="normaltextrun1"/>
        </w:rPr>
        <w:t xml:space="preserve"> of migrants and foreigners. </w:t>
      </w:r>
    </w:p>
    <w:p w14:paraId="49D2FBFD" w14:textId="0B586163" w:rsidR="006309CD" w:rsidRPr="00D1557A" w:rsidRDefault="004D227B" w:rsidP="006C5E4D">
      <w:pPr>
        <w:pStyle w:val="SingleTxtG"/>
        <w:rPr>
          <w:rStyle w:val="normaltextrun1"/>
          <w:b/>
        </w:rPr>
      </w:pPr>
      <w:r>
        <w:rPr>
          <w:rStyle w:val="normaltextrun1"/>
        </w:rPr>
        <w:tab/>
      </w:r>
      <w:r w:rsidR="00884067">
        <w:rPr>
          <w:rStyle w:val="normaltextrun1"/>
        </w:rPr>
        <w:t>51</w:t>
      </w:r>
      <w:r w:rsidR="00B937B6">
        <w:rPr>
          <w:rStyle w:val="normaltextrun1"/>
        </w:rPr>
        <w:t>.</w:t>
      </w:r>
      <w:r w:rsidR="00B937B6">
        <w:rPr>
          <w:rStyle w:val="normaltextrun1"/>
        </w:rPr>
        <w:tab/>
      </w:r>
      <w:r w:rsidR="00A22108" w:rsidRPr="006C5E4D">
        <w:rPr>
          <w:rStyle w:val="normaltextrun1"/>
        </w:rPr>
        <w:t xml:space="preserve">The </w:t>
      </w:r>
      <w:r w:rsidR="00BC195D">
        <w:rPr>
          <w:rStyle w:val="normaltextrun1"/>
        </w:rPr>
        <w:t>delegation</w:t>
      </w:r>
      <w:r w:rsidR="00A22108" w:rsidRPr="006C5E4D">
        <w:rPr>
          <w:rStyle w:val="normaltextrun1"/>
        </w:rPr>
        <w:t xml:space="preserve"> was also informed </w:t>
      </w:r>
      <w:r w:rsidR="008F4A90">
        <w:rPr>
          <w:rStyle w:val="normaltextrun1"/>
        </w:rPr>
        <w:t>of</w:t>
      </w:r>
      <w:r w:rsidR="00767E3F" w:rsidRPr="006C5E4D">
        <w:rPr>
          <w:rStyle w:val="normaltextrun1"/>
        </w:rPr>
        <w:t xml:space="preserve"> </w:t>
      </w:r>
      <w:r w:rsidR="00A22108" w:rsidRPr="006C5E4D">
        <w:rPr>
          <w:rStyle w:val="normaltextrun1"/>
        </w:rPr>
        <w:t xml:space="preserve">initiatives by the authorities to address and </w:t>
      </w:r>
      <w:r w:rsidR="003A239F" w:rsidRPr="006C5E4D">
        <w:rPr>
          <w:rStyle w:val="normaltextrun1"/>
        </w:rPr>
        <w:t>combat</w:t>
      </w:r>
      <w:r w:rsidR="00670869" w:rsidRPr="006C5E4D">
        <w:rPr>
          <w:rStyle w:val="normaltextrun1"/>
        </w:rPr>
        <w:t xml:space="preserve"> </w:t>
      </w:r>
      <w:r w:rsidR="009102F7" w:rsidRPr="006C5E4D">
        <w:rPr>
          <w:rStyle w:val="normaltextrun1"/>
        </w:rPr>
        <w:t>“</w:t>
      </w:r>
      <w:r w:rsidR="0084336B" w:rsidRPr="006C5E4D">
        <w:rPr>
          <w:rStyle w:val="normaltextrun1"/>
        </w:rPr>
        <w:t>radicalized jihadism</w:t>
      </w:r>
      <w:r w:rsidR="009102F7" w:rsidRPr="00682AE1">
        <w:rPr>
          <w:rStyle w:val="FootnoteReference"/>
          <w:sz w:val="20"/>
        </w:rPr>
        <w:footnoteReference w:id="25"/>
      </w:r>
      <w:r w:rsidR="009102F7" w:rsidRPr="006C5E4D">
        <w:rPr>
          <w:rStyle w:val="normaltextrun1"/>
        </w:rPr>
        <w:t>”</w:t>
      </w:r>
      <w:r w:rsidR="0084336B" w:rsidRPr="006C5E4D">
        <w:rPr>
          <w:rStyle w:val="normaltextrun1"/>
        </w:rPr>
        <w:t xml:space="preserve"> or vio</w:t>
      </w:r>
      <w:r w:rsidR="00767E3F" w:rsidRPr="006C5E4D">
        <w:rPr>
          <w:rStyle w:val="normaltextrun1"/>
        </w:rPr>
        <w:t xml:space="preserve">lent extremism associated with </w:t>
      </w:r>
      <w:r w:rsidR="00704819">
        <w:rPr>
          <w:rStyle w:val="normaltextrun1"/>
        </w:rPr>
        <w:t>Islamism</w:t>
      </w:r>
      <w:r w:rsidR="00670869" w:rsidRPr="006C5E4D">
        <w:rPr>
          <w:rStyle w:val="normaltextrun1"/>
        </w:rPr>
        <w:t xml:space="preserve">. </w:t>
      </w:r>
      <w:r w:rsidR="00767E3F" w:rsidRPr="006C5E4D">
        <w:rPr>
          <w:rStyle w:val="normaltextrun1"/>
        </w:rPr>
        <w:t xml:space="preserve">The </w:t>
      </w:r>
      <w:r w:rsidR="00767E3F" w:rsidRPr="006C5E4D">
        <w:rPr>
          <w:rStyle w:val="normaltextrun1"/>
        </w:rPr>
        <w:lastRenderedPageBreak/>
        <w:t xml:space="preserve">delegation heard at various times, the term “political Islam” and government initiatives to combat this. </w:t>
      </w:r>
      <w:r w:rsidR="00455F86" w:rsidRPr="006C5E4D">
        <w:rPr>
          <w:rStyle w:val="normaltextrun1"/>
        </w:rPr>
        <w:t xml:space="preserve"> </w:t>
      </w:r>
      <w:r w:rsidR="006309CD" w:rsidRPr="006C5E4D">
        <w:rPr>
          <w:rStyle w:val="normaltextrun1"/>
        </w:rPr>
        <w:t xml:space="preserve"> </w:t>
      </w:r>
      <w:r w:rsidR="00D1557A">
        <w:rPr>
          <w:rStyle w:val="normaltextrun1"/>
          <w:b/>
        </w:rPr>
        <w:t xml:space="preserve"> </w:t>
      </w:r>
    </w:p>
    <w:p w14:paraId="06599677" w14:textId="06F18090" w:rsidR="006B7358" w:rsidRDefault="00884067" w:rsidP="006C5E4D">
      <w:pPr>
        <w:pStyle w:val="SingleTxtG"/>
        <w:rPr>
          <w:rStyle w:val="normaltextrun1"/>
        </w:rPr>
      </w:pPr>
      <w:r>
        <w:rPr>
          <w:rStyle w:val="normaltextrun1"/>
        </w:rPr>
        <w:t>52</w:t>
      </w:r>
      <w:r w:rsidR="006C5E4D">
        <w:rPr>
          <w:rStyle w:val="normaltextrun1"/>
        </w:rPr>
        <w:t>.</w:t>
      </w:r>
      <w:r w:rsidR="006C5E4D">
        <w:rPr>
          <w:rStyle w:val="normaltextrun1"/>
        </w:rPr>
        <w:tab/>
      </w:r>
      <w:r w:rsidR="006B7358">
        <w:rPr>
          <w:rStyle w:val="normaltextrun1"/>
        </w:rPr>
        <w:t xml:space="preserve">The Working Group was also informed of measures involving the investigation and closure of certain mosques determined by the Government to espouse radical </w:t>
      </w:r>
      <w:r w:rsidR="00704819">
        <w:rPr>
          <w:rStyle w:val="normaltextrun1"/>
        </w:rPr>
        <w:t>Islamism</w:t>
      </w:r>
      <w:r w:rsidR="006B7358">
        <w:rPr>
          <w:rStyle w:val="normaltextrun1"/>
        </w:rPr>
        <w:t>. At the time of the visit, around seven mosques had been closed</w:t>
      </w:r>
      <w:r w:rsidR="00B11048">
        <w:rPr>
          <w:rStyle w:val="normaltextrun1"/>
        </w:rPr>
        <w:t xml:space="preserve">. In addition, </w:t>
      </w:r>
      <w:r w:rsidR="00B774C2">
        <w:rPr>
          <w:rStyle w:val="normaltextrun1"/>
        </w:rPr>
        <w:t>a number of</w:t>
      </w:r>
      <w:r w:rsidR="007B2431">
        <w:rPr>
          <w:rStyle w:val="normaltextrun1"/>
        </w:rPr>
        <w:t xml:space="preserve"> imams</w:t>
      </w:r>
      <w:r w:rsidR="006B7358">
        <w:rPr>
          <w:rStyle w:val="normaltextrun1"/>
        </w:rPr>
        <w:t xml:space="preserve"> were being investigated with the possibility of </w:t>
      </w:r>
      <w:r w:rsidR="00B11048">
        <w:rPr>
          <w:rStyle w:val="normaltextrun1"/>
        </w:rPr>
        <w:t xml:space="preserve">their residence permits not </w:t>
      </w:r>
      <w:r w:rsidR="006B7358">
        <w:rPr>
          <w:rStyle w:val="normaltextrun1"/>
        </w:rPr>
        <w:t>being ex</w:t>
      </w:r>
      <w:r w:rsidR="00B11048">
        <w:rPr>
          <w:rStyle w:val="normaltextrun1"/>
        </w:rPr>
        <w:t>tended if their salary arrangements were found to violate the Islam Law (ban on foreign funding relating to those whose salaries are not funded domestically).</w:t>
      </w:r>
      <w:r w:rsidR="006B7358">
        <w:rPr>
          <w:rStyle w:val="normaltextrun1"/>
        </w:rPr>
        <w:t xml:space="preserve">  </w:t>
      </w:r>
    </w:p>
    <w:p w14:paraId="7E44EFED" w14:textId="00015A4C" w:rsidR="00DA1F56" w:rsidRDefault="00884067" w:rsidP="00CE562F">
      <w:pPr>
        <w:pStyle w:val="SingleTxtG"/>
        <w:rPr>
          <w:rStyle w:val="normaltextrun1"/>
        </w:rPr>
      </w:pPr>
      <w:r>
        <w:rPr>
          <w:rStyle w:val="normaltextrun1"/>
        </w:rPr>
        <w:t>53</w:t>
      </w:r>
      <w:r w:rsidR="00CE562F">
        <w:rPr>
          <w:rStyle w:val="normaltextrun1"/>
        </w:rPr>
        <w:t>.</w:t>
      </w:r>
      <w:r w:rsidR="00CE562F">
        <w:rPr>
          <w:rStyle w:val="normaltextrun1"/>
        </w:rPr>
        <w:tab/>
      </w:r>
      <w:r w:rsidR="0084336B" w:rsidRPr="006C5E4D">
        <w:rPr>
          <w:rStyle w:val="normaltextrun1"/>
        </w:rPr>
        <w:t>The Working Group noted that often the focus</w:t>
      </w:r>
      <w:r w:rsidR="007F3CF2" w:rsidRPr="006C5E4D">
        <w:rPr>
          <w:rStyle w:val="normaltextrun1"/>
        </w:rPr>
        <w:t xml:space="preserve"> on Islamic faith can have</w:t>
      </w:r>
      <w:r w:rsidR="006309CD" w:rsidRPr="006C5E4D">
        <w:rPr>
          <w:rStyle w:val="normaltextrun1"/>
        </w:rPr>
        <w:t xml:space="preserve"> human rights</w:t>
      </w:r>
      <w:r w:rsidR="007F3CF2" w:rsidRPr="006C5E4D">
        <w:rPr>
          <w:rStyle w:val="normaltextrun1"/>
        </w:rPr>
        <w:t xml:space="preserve"> </w:t>
      </w:r>
      <w:r w:rsidR="006309CD" w:rsidRPr="006C5E4D">
        <w:rPr>
          <w:rStyle w:val="normaltextrun1"/>
        </w:rPr>
        <w:t xml:space="preserve">implications on </w:t>
      </w:r>
      <w:r w:rsidR="00767E3F" w:rsidRPr="006C5E4D">
        <w:rPr>
          <w:rStyle w:val="normaltextrun1"/>
        </w:rPr>
        <w:t>the overall Muslim population,</w:t>
      </w:r>
      <w:r w:rsidR="007F3CF2" w:rsidRPr="006C5E4D">
        <w:rPr>
          <w:rStyle w:val="normaltextrun1"/>
        </w:rPr>
        <w:t xml:space="preserve"> even if the original intention is to address a dangerous form of ideology</w:t>
      </w:r>
      <w:r w:rsidR="00767E3F" w:rsidRPr="006C5E4D">
        <w:rPr>
          <w:rStyle w:val="normaltextrun1"/>
        </w:rPr>
        <w:t xml:space="preserve"> that may be associated with religion</w:t>
      </w:r>
      <w:r w:rsidR="007F3CF2" w:rsidRPr="006C5E4D">
        <w:rPr>
          <w:rStyle w:val="normaltextrun1"/>
        </w:rPr>
        <w:t xml:space="preserve">. </w:t>
      </w:r>
      <w:r w:rsidR="00DA1F56" w:rsidRPr="006C5E4D">
        <w:rPr>
          <w:rStyle w:val="normaltextrun1"/>
        </w:rPr>
        <w:t>It further notes the importance of ensuring that any initiatives that may focus on a particular ideology, religion or community of</w:t>
      </w:r>
      <w:r w:rsidR="007F3CF2" w:rsidRPr="006C5E4D">
        <w:rPr>
          <w:rStyle w:val="normaltextrun1"/>
        </w:rPr>
        <w:t xml:space="preserve"> faith</w:t>
      </w:r>
      <w:r w:rsidR="00DA1F56" w:rsidRPr="006C5E4D">
        <w:rPr>
          <w:rStyle w:val="normaltextrun1"/>
        </w:rPr>
        <w:t xml:space="preserve">, </w:t>
      </w:r>
      <w:r w:rsidR="00767E3F" w:rsidRPr="006C5E4D">
        <w:rPr>
          <w:rStyle w:val="normaltextrun1"/>
        </w:rPr>
        <w:t>should not further fuel</w:t>
      </w:r>
      <w:r w:rsidR="007F3CF2" w:rsidRPr="006C5E4D">
        <w:rPr>
          <w:rStyle w:val="normaltextrun1"/>
        </w:rPr>
        <w:t xml:space="preserve"> </w:t>
      </w:r>
      <w:r w:rsidR="00670869" w:rsidRPr="006C5E4D">
        <w:rPr>
          <w:rStyle w:val="normaltextrun1"/>
        </w:rPr>
        <w:t xml:space="preserve">discrimination and </w:t>
      </w:r>
      <w:r w:rsidR="007F3CF2" w:rsidRPr="006C5E4D">
        <w:rPr>
          <w:rStyle w:val="normaltextrun1"/>
        </w:rPr>
        <w:t>stigmatization of a particular group</w:t>
      </w:r>
      <w:r w:rsidR="009102F7" w:rsidRPr="006C5E4D">
        <w:rPr>
          <w:rStyle w:val="normaltextrun1"/>
        </w:rPr>
        <w:t xml:space="preserve">. </w:t>
      </w:r>
      <w:r w:rsidR="007F3CF2" w:rsidRPr="006C5E4D">
        <w:rPr>
          <w:rStyle w:val="normaltextrun1"/>
        </w:rPr>
        <w:t xml:space="preserve"> </w:t>
      </w:r>
    </w:p>
    <w:p w14:paraId="67505E25" w14:textId="5D75B760" w:rsidR="007F3CF2" w:rsidRPr="006C5E4D" w:rsidRDefault="00884067" w:rsidP="006C5E4D">
      <w:pPr>
        <w:pStyle w:val="SingleTxtG"/>
      </w:pPr>
      <w:r>
        <w:t>54</w:t>
      </w:r>
      <w:r w:rsidR="006C5E4D">
        <w:t>.</w:t>
      </w:r>
      <w:r w:rsidR="006C5E4D">
        <w:tab/>
      </w:r>
      <w:r w:rsidR="00601875">
        <w:t>The Working Group also has</w:t>
      </w:r>
      <w:r w:rsidR="007F3CF2" w:rsidRPr="006C5E4D">
        <w:t xml:space="preserve"> concerns about </w:t>
      </w:r>
      <w:r w:rsidR="00767E3F" w:rsidRPr="006C5E4D">
        <w:t xml:space="preserve">policies that may be </w:t>
      </w:r>
      <w:r w:rsidR="007F3CF2" w:rsidRPr="006C5E4D">
        <w:t xml:space="preserve">specifically </w:t>
      </w:r>
      <w:r w:rsidR="00767E3F" w:rsidRPr="006C5E4D">
        <w:t xml:space="preserve">used to target </w:t>
      </w:r>
      <w:r w:rsidR="007F3CF2" w:rsidRPr="006C5E4D">
        <w:t xml:space="preserve">migrants, foreigners and members of the Muslim communities. </w:t>
      </w:r>
      <w:r w:rsidR="00767E3F" w:rsidRPr="006C5E4D">
        <w:t>Even m</w:t>
      </w:r>
      <w:r w:rsidR="007F3CF2" w:rsidRPr="006C5E4D">
        <w:t xml:space="preserve">easures to enhance integration </w:t>
      </w:r>
      <w:r w:rsidR="000C5C4F">
        <w:t>also had human rights implications</w:t>
      </w:r>
      <w:r w:rsidR="007F3CF2" w:rsidRPr="006C5E4D">
        <w:t>. Under one</w:t>
      </w:r>
      <w:r w:rsidR="00767E3F" w:rsidRPr="006C5E4D">
        <w:t xml:space="preserve"> particular</w:t>
      </w:r>
      <w:r w:rsidR="007F3CF2" w:rsidRPr="006C5E4D">
        <w:t xml:space="preserve"> policy, </w:t>
      </w:r>
      <w:r w:rsidR="00B11048">
        <w:t xml:space="preserve">social welfare benefits may be reduced if the target group fails to actively participate in integration in Austrian communities. </w:t>
      </w:r>
      <w:r w:rsidR="0032766E">
        <w:t>Yet, i</w:t>
      </w:r>
      <w:r w:rsidR="007F3CF2" w:rsidRPr="006C5E4D">
        <w:t xml:space="preserve">nstead of punitive security measures, preventive and more socially orientated efforts to address the root causes of the problem </w:t>
      </w:r>
      <w:r w:rsidR="00BC195D">
        <w:t>need to</w:t>
      </w:r>
      <w:r w:rsidR="007F3CF2" w:rsidRPr="006C5E4D">
        <w:t xml:space="preserve"> be applied.</w:t>
      </w:r>
    </w:p>
    <w:p w14:paraId="13C48D11" w14:textId="517CF891" w:rsidR="00DA37D6" w:rsidRDefault="00884067" w:rsidP="00D17850">
      <w:pPr>
        <w:pStyle w:val="SingleTxtG"/>
        <w:rPr>
          <w:rStyle w:val="eop"/>
        </w:rPr>
      </w:pPr>
      <w:r>
        <w:rPr>
          <w:rStyle w:val="eop"/>
        </w:rPr>
        <w:t>55</w:t>
      </w:r>
      <w:r w:rsidR="006C5E4D">
        <w:rPr>
          <w:rStyle w:val="eop"/>
        </w:rPr>
        <w:t>.</w:t>
      </w:r>
      <w:r w:rsidR="006C5E4D">
        <w:rPr>
          <w:rStyle w:val="eop"/>
        </w:rPr>
        <w:tab/>
      </w:r>
      <w:r w:rsidR="00670869" w:rsidRPr="006C5E4D">
        <w:rPr>
          <w:rStyle w:val="normaltextrun1"/>
        </w:rPr>
        <w:t>A policy that disadvantages migrants and foreigners who fail to cooperate with integration programs by denying them social benefits may be morally attractive and effective in many cases, but</w:t>
      </w:r>
      <w:r w:rsidR="00D93743">
        <w:rPr>
          <w:rStyle w:val="normaltextrun1"/>
        </w:rPr>
        <w:t xml:space="preserve"> it can</w:t>
      </w:r>
      <w:r w:rsidR="00670869" w:rsidRPr="006C5E4D">
        <w:rPr>
          <w:rStyle w:val="normaltextrun1"/>
        </w:rPr>
        <w:t xml:space="preserve"> </w:t>
      </w:r>
      <w:r w:rsidR="00670869" w:rsidRPr="006C5E4D">
        <w:rPr>
          <w:rStyle w:val="contextualspellingandgrammarerror"/>
        </w:rPr>
        <w:t>also </w:t>
      </w:r>
      <w:r w:rsidR="00D93743">
        <w:rPr>
          <w:rStyle w:val="contextualspellingandgrammarerror"/>
        </w:rPr>
        <w:t>be</w:t>
      </w:r>
      <w:r w:rsidR="00670869" w:rsidRPr="006C5E4D">
        <w:rPr>
          <w:rStyle w:val="contextualspellingandgrammarerror"/>
        </w:rPr>
        <w:t xml:space="preserve"> counterproductive</w:t>
      </w:r>
      <w:r w:rsidR="00670869" w:rsidRPr="006C5E4D">
        <w:rPr>
          <w:rStyle w:val="normaltextrun1"/>
        </w:rPr>
        <w:t xml:space="preserve"> in other cases. The Working Group </w:t>
      </w:r>
      <w:r w:rsidR="00B774C2">
        <w:rPr>
          <w:rStyle w:val="normaltextrun1"/>
        </w:rPr>
        <w:t xml:space="preserve">believes </w:t>
      </w:r>
      <w:r w:rsidR="00670869" w:rsidRPr="006C5E4D">
        <w:rPr>
          <w:rStyle w:val="normaltextrun1"/>
        </w:rPr>
        <w:t xml:space="preserve">that in spite of the many positive facets of initiatives aimed at improving social cohesion and reducing </w:t>
      </w:r>
      <w:r w:rsidR="00670869" w:rsidRPr="006C5E4D">
        <w:rPr>
          <w:rStyle w:val="spellingerror"/>
        </w:rPr>
        <w:t>radicalisation</w:t>
      </w:r>
      <w:r w:rsidR="00670869" w:rsidRPr="006C5E4D">
        <w:rPr>
          <w:rStyle w:val="normaltextrun1"/>
        </w:rPr>
        <w:t xml:space="preserve"> and violent extremism, some of these measures, if not implemented with due respect to non-discriminatory human rights standards, can actually lead to further marginalization and </w:t>
      </w:r>
      <w:r w:rsidR="00670869" w:rsidRPr="006C5E4D">
        <w:rPr>
          <w:rStyle w:val="spellingerror"/>
        </w:rPr>
        <w:t>radicalisation</w:t>
      </w:r>
      <w:r w:rsidR="00670869" w:rsidRPr="006C5E4D">
        <w:rPr>
          <w:rStyle w:val="normaltextrun1"/>
        </w:rPr>
        <w:t>. </w:t>
      </w:r>
      <w:r w:rsidR="00670869" w:rsidRPr="006C5E4D">
        <w:rPr>
          <w:rStyle w:val="eop"/>
        </w:rPr>
        <w:t> </w:t>
      </w:r>
    </w:p>
    <w:p w14:paraId="7689A59E" w14:textId="50F26A4C" w:rsidR="00B937B6" w:rsidRDefault="00884067" w:rsidP="00D17850">
      <w:pPr>
        <w:pStyle w:val="SingleTxtG"/>
        <w:rPr>
          <w:rStyle w:val="eop"/>
        </w:rPr>
      </w:pPr>
      <w:r>
        <w:rPr>
          <w:rStyle w:val="eop"/>
        </w:rPr>
        <w:t>56.</w:t>
      </w:r>
      <w:r>
        <w:rPr>
          <w:rStyle w:val="eop"/>
        </w:rPr>
        <w:tab/>
      </w:r>
      <w:r w:rsidR="00B937B6">
        <w:rPr>
          <w:rStyle w:val="eop"/>
        </w:rPr>
        <w:t>During its Universal Periodic Review of 2015, States</w:t>
      </w:r>
      <w:r w:rsidR="00F7228C">
        <w:rPr>
          <w:rStyle w:val="eop"/>
        </w:rPr>
        <w:t xml:space="preserve"> </w:t>
      </w:r>
      <w:r w:rsidR="00B774C2">
        <w:rPr>
          <w:rStyle w:val="eop"/>
        </w:rPr>
        <w:t>observed</w:t>
      </w:r>
      <w:r w:rsidR="00F7228C">
        <w:rPr>
          <w:rStyle w:val="eop"/>
        </w:rPr>
        <w:t xml:space="preserve"> that one of the greatest challenges in Austria was the influx and transit of </w:t>
      </w:r>
      <w:r w:rsidR="00BC25FF">
        <w:rPr>
          <w:rStyle w:val="eop"/>
        </w:rPr>
        <w:t>refugees</w:t>
      </w:r>
      <w:r w:rsidR="00F7228C">
        <w:rPr>
          <w:rStyle w:val="eop"/>
        </w:rPr>
        <w:t xml:space="preserve"> from Syria and other countries. </w:t>
      </w:r>
      <w:r w:rsidR="00B774C2">
        <w:rPr>
          <w:rStyle w:val="eop"/>
        </w:rPr>
        <w:t>W</w:t>
      </w:r>
      <w:r w:rsidR="00F7228C">
        <w:rPr>
          <w:rStyle w:val="eop"/>
        </w:rPr>
        <w:t xml:space="preserve">hile measures had been taken to ensure successful integration </w:t>
      </w:r>
      <w:r w:rsidR="00BC25FF">
        <w:rPr>
          <w:rStyle w:val="eop"/>
        </w:rPr>
        <w:t>of</w:t>
      </w:r>
      <w:r w:rsidR="00F7228C">
        <w:rPr>
          <w:rStyle w:val="eop"/>
        </w:rPr>
        <w:t xml:space="preserve"> these individuals, a number of recommendations</w:t>
      </w:r>
      <w:r w:rsidR="00C202C6">
        <w:rPr>
          <w:rStyle w:val="eop"/>
        </w:rPr>
        <w:t xml:space="preserve"> by States called on the Austrian authorities to </w:t>
      </w:r>
      <w:r w:rsidR="009F3213">
        <w:rPr>
          <w:rStyle w:val="eop"/>
        </w:rPr>
        <w:t>address</w:t>
      </w:r>
      <w:r w:rsidR="00F7228C">
        <w:rPr>
          <w:rStyle w:val="eop"/>
        </w:rPr>
        <w:t xml:space="preserve"> xenophobia, racial disc</w:t>
      </w:r>
      <w:r w:rsidR="00BC25FF">
        <w:rPr>
          <w:rStyle w:val="eop"/>
        </w:rPr>
        <w:t>ri</w:t>
      </w:r>
      <w:r w:rsidR="00F7228C">
        <w:rPr>
          <w:rStyle w:val="eop"/>
        </w:rPr>
        <w:t>mination, hate speech</w:t>
      </w:r>
      <w:r w:rsidR="00C202C6">
        <w:rPr>
          <w:rStyle w:val="eop"/>
        </w:rPr>
        <w:t xml:space="preserve">, </w:t>
      </w:r>
      <w:r w:rsidR="00F7228C">
        <w:rPr>
          <w:rStyle w:val="eop"/>
        </w:rPr>
        <w:t xml:space="preserve">the resurgence of extremist nationalist ideologies and </w:t>
      </w:r>
      <w:r w:rsidR="00FC4032">
        <w:rPr>
          <w:rStyle w:val="eop"/>
        </w:rPr>
        <w:t>intolerance</w:t>
      </w:r>
      <w:r w:rsidR="00F7228C">
        <w:rPr>
          <w:rStyle w:val="eop"/>
        </w:rPr>
        <w:t xml:space="preserve"> towards migrants, refugees and persons belonging to certain ethnic groups. Discrimination against Muslims, Roma, persons of African descent </w:t>
      </w:r>
      <w:r w:rsidR="00B774C2">
        <w:rPr>
          <w:rStyle w:val="eop"/>
        </w:rPr>
        <w:t xml:space="preserve">were </w:t>
      </w:r>
      <w:r w:rsidR="00F7228C">
        <w:rPr>
          <w:rStyle w:val="eop"/>
        </w:rPr>
        <w:t xml:space="preserve">highlighted </w:t>
      </w:r>
      <w:r w:rsidR="00B774C2">
        <w:rPr>
          <w:rStyle w:val="eop"/>
        </w:rPr>
        <w:t xml:space="preserve">and references were made to </w:t>
      </w:r>
      <w:r w:rsidR="00F7228C">
        <w:rPr>
          <w:rStyle w:val="eop"/>
        </w:rPr>
        <w:t xml:space="preserve">the need to ensure measures do not exacerbate the situation of already marginalised and discriminated groups, which can also create fertile ground for individuals to be radicalised and </w:t>
      </w:r>
      <w:r w:rsidR="00B774C2">
        <w:rPr>
          <w:rStyle w:val="eop"/>
        </w:rPr>
        <w:t xml:space="preserve">be </w:t>
      </w:r>
      <w:r w:rsidR="00F7228C">
        <w:rPr>
          <w:rStyle w:val="eop"/>
        </w:rPr>
        <w:t xml:space="preserve">drawn into violent extremist ideologies. </w:t>
      </w:r>
      <w:r w:rsidR="009F3213">
        <w:rPr>
          <w:rStyle w:val="eop"/>
        </w:rPr>
        <w:t xml:space="preserve"> </w:t>
      </w:r>
    </w:p>
    <w:p w14:paraId="12E37D31" w14:textId="0D9E8C7E" w:rsidR="00DA37D6" w:rsidRPr="00DA37D6" w:rsidRDefault="00DA37D6" w:rsidP="00D17850">
      <w:pPr>
        <w:pStyle w:val="SingleTxtG"/>
        <w:rPr>
          <w:rStyle w:val="eop"/>
          <w:i/>
        </w:rPr>
      </w:pPr>
      <w:r>
        <w:rPr>
          <w:rStyle w:val="eop"/>
          <w:i/>
        </w:rPr>
        <w:t xml:space="preserve">Returnees </w:t>
      </w:r>
    </w:p>
    <w:p w14:paraId="713CF589" w14:textId="5C961E0B" w:rsidR="00D17850" w:rsidRDefault="00160CD8" w:rsidP="00D17850">
      <w:pPr>
        <w:pStyle w:val="SingleTxtG"/>
      </w:pPr>
      <w:r>
        <w:tab/>
      </w:r>
      <w:r w:rsidR="00884067">
        <w:t>57</w:t>
      </w:r>
      <w:r w:rsidR="000D3BDC">
        <w:t>.</w:t>
      </w:r>
      <w:r w:rsidR="000D3BDC">
        <w:tab/>
      </w:r>
      <w:r w:rsidR="00804467">
        <w:t>The Working Group was informed of</w:t>
      </w:r>
      <w:r>
        <w:t xml:space="preserve"> various cases of </w:t>
      </w:r>
      <w:r w:rsidR="003B510E">
        <w:t>Austrians</w:t>
      </w:r>
      <w:r>
        <w:t xml:space="preserve"> who were wanting to </w:t>
      </w:r>
      <w:r w:rsidR="00EF07F2">
        <w:t xml:space="preserve">return </w:t>
      </w:r>
      <w:r w:rsidR="003B510E">
        <w:t xml:space="preserve">to their </w:t>
      </w:r>
      <w:r w:rsidR="00EF07F2">
        <w:t>home</w:t>
      </w:r>
      <w:r w:rsidR="003B510E">
        <w:t xml:space="preserve"> country</w:t>
      </w:r>
      <w:r w:rsidR="00EF07F2">
        <w:t xml:space="preserve"> but were unable to and were stuck in detention facilities in Iraq or Syria, or within the conflict territory. Some</w:t>
      </w:r>
      <w:r w:rsidR="001F0CEC">
        <w:t xml:space="preserve"> of the reasons as to why</w:t>
      </w:r>
      <w:r w:rsidR="00FB0151">
        <w:t xml:space="preserve"> returnees were wanting to return included being disillusioned or remorseful; still being driven by ideology but wanting better living conditions; </w:t>
      </w:r>
      <w:r w:rsidR="00487858">
        <w:t xml:space="preserve">being </w:t>
      </w:r>
      <w:r w:rsidR="00FB0151">
        <w:t xml:space="preserve">sent to carry out an attack back in the country or region of origin; and </w:t>
      </w:r>
      <w:r w:rsidR="005A6C10">
        <w:t xml:space="preserve">having been </w:t>
      </w:r>
      <w:r w:rsidR="00FB0151">
        <w:t>captured or returned unwillingly.</w:t>
      </w:r>
      <w:r w:rsidR="00FB0151">
        <w:rPr>
          <w:rStyle w:val="FootnoteReference"/>
        </w:rPr>
        <w:footnoteReference w:id="26"/>
      </w:r>
      <w:r w:rsidR="00EF07F2">
        <w:t xml:space="preserve"> </w:t>
      </w:r>
      <w:r w:rsidR="00804467">
        <w:t>Some interlocutors working on the foreign fighter issue were often contacted by parents and relatives to assist with the return of their loved ones</w:t>
      </w:r>
      <w:r w:rsidR="00EF07F2">
        <w:t>.</w:t>
      </w:r>
      <w:r w:rsidR="000D3BDC">
        <w:t xml:space="preserve"> </w:t>
      </w:r>
      <w:r w:rsidR="001F0CEC">
        <w:t>Foreign</w:t>
      </w:r>
      <w:r w:rsidR="00512CCF">
        <w:t xml:space="preserve"> fighters</w:t>
      </w:r>
      <w:r w:rsidR="001F0CEC">
        <w:t xml:space="preserve"> who</w:t>
      </w:r>
      <w:r w:rsidR="00512CCF">
        <w:t xml:space="preserve"> managed to escape from conflict zones and </w:t>
      </w:r>
      <w:r w:rsidR="003A2567">
        <w:t xml:space="preserve">made contact with their </w:t>
      </w:r>
      <w:r w:rsidR="000D3BDC">
        <w:t>consulate offices</w:t>
      </w:r>
      <w:r w:rsidR="001F0CEC">
        <w:t xml:space="preserve"> were reportedly not able to return as well</w:t>
      </w:r>
      <w:r w:rsidR="000D3BDC">
        <w:t xml:space="preserve">.  </w:t>
      </w:r>
      <w:r w:rsidR="00D17850">
        <w:t xml:space="preserve">Government authorities </w:t>
      </w:r>
      <w:r w:rsidR="000D3BDC">
        <w:t xml:space="preserve">reportedly had </w:t>
      </w:r>
      <w:r w:rsidR="00D17850">
        <w:t xml:space="preserve">little desire to assist in bringing these individuals home due to their perceived threat as returnees. </w:t>
      </w:r>
    </w:p>
    <w:p w14:paraId="589C3661" w14:textId="5FD04DE9" w:rsidR="00D65117" w:rsidRPr="00295A85" w:rsidRDefault="00884067" w:rsidP="00D65117">
      <w:pPr>
        <w:pStyle w:val="SingleTxtG"/>
        <w:rPr>
          <w:rFonts w:eastAsia="Times New Roman"/>
          <w:lang w:eastAsia="en-GB"/>
        </w:rPr>
      </w:pPr>
      <w:r>
        <w:t>58</w:t>
      </w:r>
      <w:r w:rsidR="000D3BDC">
        <w:t>.</w:t>
      </w:r>
      <w:r w:rsidR="000D3BDC">
        <w:tab/>
      </w:r>
      <w:r w:rsidR="00146E19">
        <w:t>In this connection, the</w:t>
      </w:r>
      <w:r w:rsidR="00D17850">
        <w:t xml:space="preserve"> Working Group expressed its concerns about the revocation of citizenship for </w:t>
      </w:r>
      <w:r w:rsidR="00D17850" w:rsidRPr="00295A85">
        <w:t xml:space="preserve">those categorised </w:t>
      </w:r>
      <w:r w:rsidR="00BC3B58">
        <w:t xml:space="preserve">as </w:t>
      </w:r>
      <w:r w:rsidR="00D17850" w:rsidRPr="00295A85">
        <w:t>foreign fighters</w:t>
      </w:r>
      <w:r w:rsidR="000D3BDC">
        <w:t xml:space="preserve"> and charged under Section 278</w:t>
      </w:r>
      <w:r w:rsidR="00D17850" w:rsidRPr="00295A85">
        <w:t xml:space="preserve">. </w:t>
      </w:r>
      <w:r w:rsidR="00146E19" w:rsidRPr="00295A85">
        <w:t xml:space="preserve">The </w:t>
      </w:r>
      <w:r w:rsidR="00146E19" w:rsidRPr="00295A85">
        <w:lastRenderedPageBreak/>
        <w:t>Government informed that this measure was applied on a case by case basis and related to those who possessed dual citizenshi</w:t>
      </w:r>
      <w:r w:rsidR="00D65117" w:rsidRPr="00295A85">
        <w:t xml:space="preserve">p in order to prevent statelessness. However, there are still implications with citizen revocation as it is mostly perceived as </w:t>
      </w:r>
      <w:r w:rsidR="00D65117" w:rsidRPr="00295A85">
        <w:rPr>
          <w:rFonts w:eastAsia="Times New Roman"/>
          <w:lang w:eastAsia="en-GB"/>
        </w:rPr>
        <w:t xml:space="preserve">stigmatising immigrants and their descendants, and perpetrating unequal treatment of minorities, particularly Muslims. </w:t>
      </w:r>
      <w:r w:rsidR="00D65117" w:rsidRPr="00295A85">
        <w:rPr>
          <w:rStyle w:val="FootnoteReference"/>
          <w:rFonts w:eastAsia="Times New Roman"/>
          <w:lang w:eastAsia="en-GB"/>
        </w:rPr>
        <w:footnoteReference w:id="27"/>
      </w:r>
      <w:r w:rsidR="00D65117" w:rsidRPr="00295A85">
        <w:rPr>
          <w:rFonts w:eastAsia="Times New Roman"/>
          <w:lang w:eastAsia="en-GB"/>
        </w:rPr>
        <w:t xml:space="preserve"> </w:t>
      </w:r>
      <w:r w:rsidR="003865F8">
        <w:rPr>
          <w:rFonts w:eastAsia="Times New Roman"/>
          <w:lang w:eastAsia="en-GB"/>
        </w:rPr>
        <w:t xml:space="preserve">The Working Group reiterates </w:t>
      </w:r>
      <w:r w:rsidR="00002A4B">
        <w:rPr>
          <w:rFonts w:eastAsia="Times New Roman"/>
          <w:lang w:eastAsia="en-GB"/>
        </w:rPr>
        <w:t>that the right to citizenship should not be taken away when to do so would render an individual stateless</w:t>
      </w:r>
      <w:r w:rsidR="003865F8">
        <w:rPr>
          <w:rFonts w:eastAsia="Times New Roman"/>
          <w:lang w:eastAsia="en-GB"/>
        </w:rPr>
        <w:t>.</w:t>
      </w:r>
      <w:r w:rsidR="00002A4B">
        <w:rPr>
          <w:rFonts w:eastAsia="Times New Roman"/>
          <w:lang w:eastAsia="en-GB"/>
        </w:rPr>
        <w:t xml:space="preserve"> </w:t>
      </w:r>
    </w:p>
    <w:p w14:paraId="664D4528" w14:textId="7F5B1262" w:rsidR="000D3BDC" w:rsidRDefault="009E3A5C" w:rsidP="00146E19">
      <w:pPr>
        <w:pStyle w:val="SingleTxtG"/>
        <w:rPr>
          <w:rFonts w:eastAsia="Times New Roman"/>
          <w:lang w:eastAsia="en-GB"/>
        </w:rPr>
      </w:pPr>
      <w:r>
        <w:rPr>
          <w:rFonts w:eastAsia="Times New Roman"/>
          <w:lang w:eastAsia="en-GB"/>
        </w:rPr>
        <w:t>5</w:t>
      </w:r>
      <w:r w:rsidR="00884067">
        <w:rPr>
          <w:rFonts w:eastAsia="Times New Roman"/>
          <w:lang w:eastAsia="en-GB"/>
        </w:rPr>
        <w:t>9</w:t>
      </w:r>
      <w:r>
        <w:rPr>
          <w:rFonts w:eastAsia="Times New Roman"/>
          <w:lang w:eastAsia="en-GB"/>
        </w:rPr>
        <w:t>.</w:t>
      </w:r>
      <w:r>
        <w:rPr>
          <w:rFonts w:eastAsia="Times New Roman"/>
          <w:lang w:eastAsia="en-GB"/>
        </w:rPr>
        <w:tab/>
      </w:r>
      <w:r w:rsidR="00C46369" w:rsidRPr="00295A85">
        <w:rPr>
          <w:rFonts w:eastAsia="Times New Roman"/>
          <w:lang w:eastAsia="en-GB"/>
        </w:rPr>
        <w:t>While many concerns related to returnees who were at risk of causing further harm, there were a</w:t>
      </w:r>
      <w:r w:rsidR="000D3BDC">
        <w:rPr>
          <w:rFonts w:eastAsia="Times New Roman"/>
          <w:lang w:eastAsia="en-GB"/>
        </w:rPr>
        <w:t xml:space="preserve">lso cases in which they were also contributing constructively to deradicalisation </w:t>
      </w:r>
      <w:r w:rsidR="00BC3B58">
        <w:rPr>
          <w:rFonts w:eastAsia="Times New Roman"/>
          <w:lang w:eastAsia="en-GB"/>
        </w:rPr>
        <w:t>efforts</w:t>
      </w:r>
      <w:r w:rsidR="000D3BDC">
        <w:rPr>
          <w:rFonts w:eastAsia="Times New Roman"/>
          <w:lang w:eastAsia="en-GB"/>
        </w:rPr>
        <w:t xml:space="preserve">.  Those who have been successfully rehabilitated and reintegrated, were </w:t>
      </w:r>
      <w:r w:rsidR="00BC3B58">
        <w:rPr>
          <w:rFonts w:eastAsia="Times New Roman"/>
          <w:lang w:eastAsia="en-GB"/>
        </w:rPr>
        <w:t xml:space="preserve">however, </w:t>
      </w:r>
      <w:r w:rsidR="000D3BDC">
        <w:rPr>
          <w:rFonts w:eastAsia="Times New Roman"/>
          <w:lang w:eastAsia="en-GB"/>
        </w:rPr>
        <w:t>few in number</w:t>
      </w:r>
      <w:r w:rsidR="00BC3B58">
        <w:rPr>
          <w:rFonts w:eastAsia="Times New Roman"/>
          <w:lang w:eastAsia="en-GB"/>
        </w:rPr>
        <w:t xml:space="preserve"> as many were imprisoned and </w:t>
      </w:r>
      <w:r w:rsidR="00800B47">
        <w:rPr>
          <w:rFonts w:eastAsia="Times New Roman"/>
          <w:lang w:eastAsia="en-GB"/>
        </w:rPr>
        <w:t xml:space="preserve">were not fully assessed as fit for release </w:t>
      </w:r>
      <w:r w:rsidR="00182025">
        <w:rPr>
          <w:rFonts w:eastAsia="Times New Roman"/>
          <w:lang w:eastAsia="en-GB"/>
        </w:rPr>
        <w:t>or for rehabilitation programmes</w:t>
      </w:r>
      <w:r w:rsidR="000D3BDC">
        <w:rPr>
          <w:rFonts w:eastAsia="Times New Roman"/>
          <w:lang w:eastAsia="en-GB"/>
        </w:rPr>
        <w:t xml:space="preserve">. </w:t>
      </w:r>
      <w:r w:rsidR="00CD0697">
        <w:rPr>
          <w:rFonts w:eastAsia="Times New Roman"/>
          <w:lang w:eastAsia="en-GB"/>
        </w:rPr>
        <w:t xml:space="preserve">Successfully </w:t>
      </w:r>
      <w:r w:rsidR="001F0CEC">
        <w:rPr>
          <w:rFonts w:eastAsia="Times New Roman"/>
          <w:lang w:eastAsia="en-GB"/>
        </w:rPr>
        <w:t>rehabilitated</w:t>
      </w:r>
      <w:r w:rsidR="000D3BDC">
        <w:rPr>
          <w:rFonts w:eastAsia="Times New Roman"/>
          <w:lang w:eastAsia="en-GB"/>
        </w:rPr>
        <w:t xml:space="preserve"> returnees were</w:t>
      </w:r>
      <w:r w:rsidR="00D65117" w:rsidRPr="00295A85">
        <w:rPr>
          <w:rFonts w:eastAsia="Times New Roman"/>
          <w:lang w:eastAsia="en-GB"/>
        </w:rPr>
        <w:t xml:space="preserve"> among the </w:t>
      </w:r>
      <w:r w:rsidR="00146E19" w:rsidRPr="00295A85">
        <w:rPr>
          <w:rFonts w:eastAsia="Times New Roman"/>
          <w:lang w:eastAsia="en-GB"/>
        </w:rPr>
        <w:t>most effective counter</w:t>
      </w:r>
      <w:r w:rsidR="00D65117" w:rsidRPr="00295A85">
        <w:rPr>
          <w:rFonts w:eastAsia="Times New Roman"/>
          <w:lang w:eastAsia="en-GB"/>
        </w:rPr>
        <w:t>-narrative</w:t>
      </w:r>
      <w:r w:rsidR="009270F3">
        <w:rPr>
          <w:rFonts w:eastAsia="Times New Roman"/>
          <w:lang w:eastAsia="en-GB"/>
        </w:rPr>
        <w:t>s,</w:t>
      </w:r>
      <w:r w:rsidR="00146E19" w:rsidRPr="00295A85">
        <w:rPr>
          <w:rFonts w:eastAsia="Times New Roman"/>
          <w:lang w:eastAsia="en-GB"/>
        </w:rPr>
        <w:t xml:space="preserve"> as they </w:t>
      </w:r>
      <w:r w:rsidR="009270F3">
        <w:rPr>
          <w:rFonts w:eastAsia="Times New Roman"/>
          <w:lang w:eastAsia="en-GB"/>
        </w:rPr>
        <w:t>were</w:t>
      </w:r>
      <w:r w:rsidR="00146E19" w:rsidRPr="00295A85">
        <w:rPr>
          <w:rFonts w:eastAsia="Times New Roman"/>
          <w:lang w:eastAsia="en-GB"/>
        </w:rPr>
        <w:t xml:space="preserve"> perceived to have greater legitimacy than other sources of information,</w:t>
      </w:r>
      <w:r w:rsidR="009270F3">
        <w:rPr>
          <w:rFonts w:eastAsia="Times New Roman"/>
          <w:lang w:eastAsia="en-GB"/>
        </w:rPr>
        <w:t xml:space="preserve"> were able to</w:t>
      </w:r>
      <w:r w:rsidR="00146E19" w:rsidRPr="00295A85">
        <w:rPr>
          <w:rFonts w:eastAsia="Times New Roman"/>
          <w:lang w:eastAsia="en-GB"/>
        </w:rPr>
        <w:t xml:space="preserve"> explain the realities of fighting, or convey the </w:t>
      </w:r>
      <w:r w:rsidR="000D3BDC">
        <w:rPr>
          <w:rFonts w:eastAsia="Times New Roman"/>
          <w:lang w:eastAsia="en-GB"/>
        </w:rPr>
        <w:t>messages that were important to shifting mind-sets about ideology or religious beliefs that supported violent extremism.</w:t>
      </w:r>
      <w:r w:rsidR="00BE7B3C" w:rsidRPr="00295A85">
        <w:rPr>
          <w:rFonts w:eastAsia="Times New Roman"/>
          <w:lang w:eastAsia="en-GB"/>
        </w:rPr>
        <w:t xml:space="preserve"> </w:t>
      </w:r>
    </w:p>
    <w:p w14:paraId="003AF571" w14:textId="6A9610FF" w:rsidR="00BE7B3C" w:rsidRDefault="00884067" w:rsidP="00146E19">
      <w:pPr>
        <w:pStyle w:val="SingleTxtG"/>
        <w:rPr>
          <w:rFonts w:eastAsia="Times New Roman"/>
          <w:lang w:eastAsia="en-GB"/>
        </w:rPr>
      </w:pPr>
      <w:r>
        <w:rPr>
          <w:rFonts w:eastAsia="Times New Roman"/>
          <w:lang w:eastAsia="en-GB"/>
        </w:rPr>
        <w:t>60</w:t>
      </w:r>
      <w:r w:rsidR="009E3A5C">
        <w:rPr>
          <w:rFonts w:eastAsia="Times New Roman"/>
          <w:lang w:eastAsia="en-GB"/>
        </w:rPr>
        <w:t>.</w:t>
      </w:r>
      <w:r w:rsidR="009E3A5C">
        <w:rPr>
          <w:rFonts w:eastAsia="Times New Roman"/>
          <w:lang w:eastAsia="en-GB"/>
        </w:rPr>
        <w:tab/>
      </w:r>
      <w:r w:rsidR="000D3BDC">
        <w:rPr>
          <w:rFonts w:eastAsia="Times New Roman"/>
          <w:lang w:eastAsia="en-GB"/>
        </w:rPr>
        <w:t xml:space="preserve">The Working Group was informed of an Austrian national </w:t>
      </w:r>
      <w:r w:rsidR="00BC195D" w:rsidRPr="00295A85">
        <w:rPr>
          <w:rFonts w:eastAsia="Times New Roman"/>
          <w:lang w:eastAsia="en-GB"/>
        </w:rPr>
        <w:t xml:space="preserve">known as Oliver N who joined Da’esh. At 15 years of age, </w:t>
      </w:r>
      <w:r w:rsidR="0054374C" w:rsidRPr="00295A85">
        <w:rPr>
          <w:rFonts w:eastAsia="Times New Roman"/>
          <w:lang w:eastAsia="en-GB"/>
        </w:rPr>
        <w:t>he travelled to Syria where he joined young fighters from Australia, Belgium, Canada, England, Germany and Mexico. He la</w:t>
      </w:r>
      <w:r w:rsidR="001F0CEC">
        <w:rPr>
          <w:rFonts w:eastAsia="Times New Roman"/>
          <w:lang w:eastAsia="en-GB"/>
        </w:rPr>
        <w:t xml:space="preserve">ter left Da’esh to return home </w:t>
      </w:r>
      <w:r w:rsidR="0054374C" w:rsidRPr="00295A85">
        <w:rPr>
          <w:rFonts w:eastAsia="Times New Roman"/>
          <w:lang w:eastAsia="en-GB"/>
        </w:rPr>
        <w:t xml:space="preserve">after witnessing the brutality </w:t>
      </w:r>
      <w:r w:rsidR="00713E5C">
        <w:rPr>
          <w:rFonts w:eastAsia="Times New Roman"/>
          <w:lang w:eastAsia="en-GB"/>
        </w:rPr>
        <w:t>of the armed group in the conflict zone</w:t>
      </w:r>
      <w:r w:rsidR="0054374C" w:rsidRPr="00295A85">
        <w:rPr>
          <w:rFonts w:eastAsia="Times New Roman"/>
          <w:lang w:eastAsia="en-GB"/>
        </w:rPr>
        <w:t xml:space="preserve">. </w:t>
      </w:r>
      <w:r w:rsidR="00787028" w:rsidRPr="00295A85">
        <w:rPr>
          <w:rFonts w:eastAsia="Times New Roman"/>
          <w:lang w:eastAsia="en-GB"/>
        </w:rPr>
        <w:t>H</w:t>
      </w:r>
      <w:r w:rsidR="009E3A5C">
        <w:rPr>
          <w:rFonts w:eastAsia="Times New Roman"/>
          <w:lang w:eastAsia="en-GB"/>
        </w:rPr>
        <w:t xml:space="preserve">e </w:t>
      </w:r>
      <w:r w:rsidR="009E3A5C" w:rsidRPr="009E3A5C">
        <w:rPr>
          <w:rFonts w:eastAsia="Times New Roman"/>
          <w:lang w:eastAsia="en-GB"/>
        </w:rPr>
        <w:t xml:space="preserve">spent 20 months in prison, </w:t>
      </w:r>
      <w:r w:rsidR="00787028" w:rsidRPr="009E3A5C">
        <w:rPr>
          <w:rFonts w:eastAsia="Times New Roman"/>
          <w:lang w:eastAsia="en-GB"/>
        </w:rPr>
        <w:t>wrote a book about his experience and</w:t>
      </w:r>
      <w:r w:rsidR="00514859">
        <w:rPr>
          <w:rFonts w:eastAsia="Times New Roman"/>
          <w:lang w:eastAsia="en-GB"/>
        </w:rPr>
        <w:t xml:space="preserve"> was</w:t>
      </w:r>
      <w:r w:rsidR="00787028" w:rsidRPr="009E3A5C">
        <w:rPr>
          <w:rFonts w:eastAsia="Times New Roman"/>
          <w:lang w:eastAsia="en-GB"/>
        </w:rPr>
        <w:t xml:space="preserve"> now actively working with deradicalisation programmes and </w:t>
      </w:r>
      <w:r w:rsidR="000329F5" w:rsidRPr="009E3A5C">
        <w:rPr>
          <w:rFonts w:eastAsia="Times New Roman"/>
          <w:lang w:eastAsia="en-GB"/>
        </w:rPr>
        <w:t xml:space="preserve">assisting with the reintegration of former </w:t>
      </w:r>
      <w:r w:rsidR="001F0CEC">
        <w:rPr>
          <w:rFonts w:eastAsia="Times New Roman"/>
          <w:lang w:eastAsia="en-GB"/>
        </w:rPr>
        <w:t>radicalised Islamists</w:t>
      </w:r>
      <w:r w:rsidR="000329F5" w:rsidRPr="009E3A5C">
        <w:rPr>
          <w:rFonts w:eastAsia="Times New Roman"/>
          <w:lang w:eastAsia="en-GB"/>
        </w:rPr>
        <w:t xml:space="preserve"> back into society. </w:t>
      </w:r>
      <w:r w:rsidR="00787028" w:rsidRPr="009E3A5C">
        <w:rPr>
          <w:rFonts w:eastAsia="Times New Roman"/>
          <w:lang w:eastAsia="en-GB"/>
        </w:rPr>
        <w:t xml:space="preserve"> </w:t>
      </w:r>
    </w:p>
    <w:p w14:paraId="390FB9E8" w14:textId="2D725739" w:rsidR="009E3A5C" w:rsidRDefault="009E3A5C" w:rsidP="00146E19">
      <w:pPr>
        <w:pStyle w:val="SingleTxtG"/>
        <w:rPr>
          <w:rFonts w:eastAsia="Times New Roman"/>
          <w:lang w:eastAsia="en-GB"/>
        </w:rPr>
      </w:pPr>
      <w:r>
        <w:rPr>
          <w:rFonts w:eastAsia="Times New Roman"/>
          <w:lang w:eastAsia="en-GB"/>
        </w:rPr>
        <w:tab/>
      </w:r>
      <w:r w:rsidR="00884067">
        <w:rPr>
          <w:rFonts w:eastAsia="Times New Roman"/>
          <w:lang w:eastAsia="en-GB"/>
        </w:rPr>
        <w:t>6</w:t>
      </w:r>
      <w:r w:rsidR="002048FD">
        <w:rPr>
          <w:rFonts w:eastAsia="Times New Roman"/>
          <w:lang w:eastAsia="en-GB"/>
        </w:rPr>
        <w:t>1.</w:t>
      </w:r>
      <w:r w:rsidR="002048FD">
        <w:rPr>
          <w:rFonts w:eastAsia="Times New Roman"/>
          <w:lang w:eastAsia="en-GB"/>
        </w:rPr>
        <w:tab/>
      </w:r>
      <w:r>
        <w:rPr>
          <w:rFonts w:eastAsia="Times New Roman"/>
          <w:lang w:eastAsia="en-GB"/>
        </w:rPr>
        <w:t>However, the general and common approach</w:t>
      </w:r>
      <w:r w:rsidR="002B58D9">
        <w:rPr>
          <w:rFonts w:eastAsia="Times New Roman"/>
          <w:lang w:eastAsia="en-GB"/>
        </w:rPr>
        <w:t>es</w:t>
      </w:r>
      <w:r>
        <w:rPr>
          <w:rFonts w:eastAsia="Times New Roman"/>
          <w:lang w:eastAsia="en-GB"/>
        </w:rPr>
        <w:t xml:space="preserve"> to returnees h</w:t>
      </w:r>
      <w:r w:rsidR="000C2AF0">
        <w:rPr>
          <w:rFonts w:eastAsia="Times New Roman"/>
          <w:lang w:eastAsia="en-GB"/>
        </w:rPr>
        <w:t xml:space="preserve">ave been criminal prosecutions and imprisonment. </w:t>
      </w:r>
      <w:r>
        <w:rPr>
          <w:rFonts w:eastAsia="Times New Roman"/>
          <w:lang w:eastAsia="en-GB"/>
        </w:rPr>
        <w:t>Many of these individuals have witnessed extreme violence in the conflict zone, and most likely have suffered from psychological problems including post-traumatic stress disorders. These problems can manifest themselves in aggression and violence if they are not dealt with or if there has been no successful rehabilitation or der</w:t>
      </w:r>
      <w:r w:rsidR="002048FD">
        <w:rPr>
          <w:rFonts w:eastAsia="Times New Roman"/>
          <w:lang w:eastAsia="en-GB"/>
        </w:rPr>
        <w:t xml:space="preserve">adicalisation efforts for the returnee. </w:t>
      </w:r>
      <w:r>
        <w:rPr>
          <w:rFonts w:eastAsia="Times New Roman"/>
          <w:lang w:eastAsia="en-GB"/>
        </w:rPr>
        <w:t xml:space="preserve">Indeed, these individuals can pose a threat to </w:t>
      </w:r>
      <w:r w:rsidR="000C2AF0">
        <w:rPr>
          <w:rFonts w:eastAsia="Times New Roman"/>
          <w:lang w:eastAsia="en-GB"/>
        </w:rPr>
        <w:t xml:space="preserve">national </w:t>
      </w:r>
      <w:r>
        <w:rPr>
          <w:rFonts w:eastAsia="Times New Roman"/>
          <w:lang w:eastAsia="en-GB"/>
        </w:rPr>
        <w:t>security, as have been seen in some of the terrorist attacks in the region.</w:t>
      </w:r>
      <w:r w:rsidR="000C2AF0">
        <w:rPr>
          <w:rFonts w:eastAsia="Times New Roman"/>
          <w:lang w:eastAsia="en-GB"/>
        </w:rPr>
        <w:t xml:space="preserve"> The Working Group notes the need to employ </w:t>
      </w:r>
      <w:r w:rsidR="00DC3BD2">
        <w:rPr>
          <w:rFonts w:eastAsia="Times New Roman"/>
          <w:lang w:eastAsia="en-GB"/>
        </w:rPr>
        <w:t xml:space="preserve">tailored and individual assessment of returnee cases in order to prevent further radicalisation of individuals in prisons </w:t>
      </w:r>
      <w:r w:rsidR="003F7D30">
        <w:rPr>
          <w:rFonts w:eastAsia="Times New Roman"/>
          <w:lang w:eastAsia="en-GB"/>
        </w:rPr>
        <w:t xml:space="preserve">and </w:t>
      </w:r>
      <w:r w:rsidR="00DC3BD2">
        <w:rPr>
          <w:rFonts w:eastAsia="Times New Roman"/>
          <w:lang w:eastAsia="en-GB"/>
        </w:rPr>
        <w:t>encourage rehabilitation and reintegration for individuals who are able to successfully undergo de</w:t>
      </w:r>
      <w:r w:rsidR="005E331B">
        <w:rPr>
          <w:rFonts w:eastAsia="Times New Roman"/>
          <w:lang w:eastAsia="en-GB"/>
        </w:rPr>
        <w:t>-</w:t>
      </w:r>
      <w:r w:rsidR="00DC3BD2">
        <w:rPr>
          <w:rFonts w:eastAsia="Times New Roman"/>
          <w:lang w:eastAsia="en-GB"/>
        </w:rPr>
        <w:t>radicalisation</w:t>
      </w:r>
      <w:r w:rsidR="003F7D30">
        <w:rPr>
          <w:rFonts w:eastAsia="Times New Roman"/>
          <w:lang w:eastAsia="en-GB"/>
        </w:rPr>
        <w:t xml:space="preserve"> programmes</w:t>
      </w:r>
      <w:r w:rsidR="00DC3BD2">
        <w:rPr>
          <w:rFonts w:eastAsia="Times New Roman"/>
          <w:lang w:eastAsia="en-GB"/>
        </w:rPr>
        <w:t>.</w:t>
      </w:r>
    </w:p>
    <w:p w14:paraId="66719EBA" w14:textId="39B8C2F4" w:rsidR="000C2AF0" w:rsidRDefault="00884067" w:rsidP="00884067">
      <w:pPr>
        <w:pStyle w:val="SingleTxtG"/>
        <w:rPr>
          <w:rFonts w:eastAsia="Times New Roman"/>
          <w:lang w:eastAsia="en-GB"/>
        </w:rPr>
      </w:pPr>
      <w:r>
        <w:rPr>
          <w:rFonts w:eastAsia="Times New Roman"/>
          <w:lang w:eastAsia="en-GB"/>
        </w:rPr>
        <w:t>62.</w:t>
      </w:r>
      <w:r>
        <w:rPr>
          <w:rFonts w:eastAsia="Times New Roman"/>
          <w:lang w:eastAsia="en-GB"/>
        </w:rPr>
        <w:tab/>
      </w:r>
      <w:r w:rsidR="000C2AF0">
        <w:rPr>
          <w:rFonts w:eastAsia="Times New Roman"/>
          <w:lang w:eastAsia="en-GB"/>
        </w:rPr>
        <w:t xml:space="preserve">As one interlocutor mentioned, the </w:t>
      </w:r>
      <w:r w:rsidR="002B58D9">
        <w:rPr>
          <w:rFonts w:eastAsia="Times New Roman"/>
          <w:lang w:eastAsia="en-GB"/>
        </w:rPr>
        <w:t xml:space="preserve">persons </w:t>
      </w:r>
      <w:r w:rsidR="000C2AF0">
        <w:rPr>
          <w:rFonts w:eastAsia="Times New Roman"/>
          <w:lang w:eastAsia="en-GB"/>
        </w:rPr>
        <w:t xml:space="preserve"> at risk of further radicalisation and </w:t>
      </w:r>
      <w:r w:rsidR="001F0CEC">
        <w:rPr>
          <w:rFonts w:eastAsia="Times New Roman"/>
          <w:lang w:eastAsia="en-GB"/>
        </w:rPr>
        <w:t>violent extremism, were likely those who</w:t>
      </w:r>
      <w:r w:rsidR="000C2AF0">
        <w:rPr>
          <w:rFonts w:eastAsia="Times New Roman"/>
          <w:lang w:eastAsia="en-GB"/>
        </w:rPr>
        <w:t xml:space="preserve"> were intercepted from travelling and</w:t>
      </w:r>
      <w:r w:rsidR="001F0CEC">
        <w:rPr>
          <w:rFonts w:eastAsia="Times New Roman"/>
          <w:lang w:eastAsia="en-GB"/>
        </w:rPr>
        <w:t xml:space="preserve"> were now</w:t>
      </w:r>
      <w:r w:rsidR="000C2AF0">
        <w:rPr>
          <w:rFonts w:eastAsia="Times New Roman"/>
          <w:lang w:eastAsia="en-GB"/>
        </w:rPr>
        <w:t xml:space="preserve"> incarcerated. </w:t>
      </w:r>
      <w:r w:rsidR="00E556A0">
        <w:rPr>
          <w:rFonts w:eastAsia="Times New Roman"/>
          <w:lang w:eastAsia="en-GB"/>
        </w:rPr>
        <w:t xml:space="preserve">These individuals had </w:t>
      </w:r>
      <w:r w:rsidR="00EC5577">
        <w:rPr>
          <w:rFonts w:eastAsia="Times New Roman"/>
          <w:lang w:eastAsia="en-GB"/>
        </w:rPr>
        <w:t xml:space="preserve">clear intentions to travel into conflict zones and </w:t>
      </w:r>
      <w:r w:rsidR="00E37916">
        <w:rPr>
          <w:rFonts w:eastAsia="Times New Roman"/>
          <w:lang w:eastAsia="en-GB"/>
        </w:rPr>
        <w:t>should be assessed for de</w:t>
      </w:r>
      <w:r w:rsidR="005E331B">
        <w:rPr>
          <w:rFonts w:eastAsia="Times New Roman"/>
          <w:lang w:eastAsia="en-GB"/>
        </w:rPr>
        <w:t>-</w:t>
      </w:r>
      <w:r w:rsidR="00E37916">
        <w:rPr>
          <w:rFonts w:eastAsia="Times New Roman"/>
          <w:lang w:eastAsia="en-GB"/>
        </w:rPr>
        <w:t>radicalisation efforts and also</w:t>
      </w:r>
      <w:r w:rsidR="001F0CEC">
        <w:rPr>
          <w:rFonts w:eastAsia="Times New Roman"/>
          <w:lang w:eastAsia="en-GB"/>
        </w:rPr>
        <w:t xml:space="preserve"> to</w:t>
      </w:r>
      <w:r w:rsidR="00E37916">
        <w:rPr>
          <w:rFonts w:eastAsia="Times New Roman"/>
          <w:lang w:eastAsia="en-GB"/>
        </w:rPr>
        <w:t xml:space="preserve"> </w:t>
      </w:r>
      <w:r w:rsidR="00F774A6">
        <w:rPr>
          <w:rFonts w:eastAsia="Times New Roman"/>
          <w:lang w:eastAsia="en-GB"/>
        </w:rPr>
        <w:t>better unde</w:t>
      </w:r>
      <w:r w:rsidR="00CB291F">
        <w:rPr>
          <w:rFonts w:eastAsia="Times New Roman"/>
          <w:lang w:eastAsia="en-GB"/>
        </w:rPr>
        <w:t xml:space="preserve">rstand the root causes and motivational factors for their decisions to engage in armed conflict abroad. </w:t>
      </w:r>
      <w:r w:rsidR="0052470D">
        <w:rPr>
          <w:rFonts w:eastAsia="Times New Roman"/>
          <w:lang w:eastAsia="en-GB"/>
        </w:rPr>
        <w:t xml:space="preserve"> </w:t>
      </w:r>
    </w:p>
    <w:p w14:paraId="75F01891" w14:textId="44FF374C" w:rsidR="00EC36D0" w:rsidRPr="009E3A5C" w:rsidRDefault="00F051F7" w:rsidP="00D768EC">
      <w:pPr>
        <w:pStyle w:val="SingleTxtG"/>
        <w:rPr>
          <w:rFonts w:eastAsia="Times New Roman"/>
          <w:lang w:eastAsia="en-GB"/>
        </w:rPr>
      </w:pPr>
      <w:r>
        <w:rPr>
          <w:rFonts w:eastAsia="Times New Roman"/>
          <w:lang w:eastAsia="en-GB"/>
        </w:rPr>
        <w:tab/>
      </w:r>
      <w:r w:rsidR="00884067">
        <w:rPr>
          <w:rFonts w:eastAsia="Times New Roman"/>
          <w:lang w:eastAsia="en-GB"/>
        </w:rPr>
        <w:t>63.</w:t>
      </w:r>
      <w:r w:rsidR="00884067">
        <w:rPr>
          <w:rFonts w:eastAsia="Times New Roman"/>
          <w:lang w:eastAsia="en-GB"/>
        </w:rPr>
        <w:tab/>
      </w:r>
      <w:r w:rsidR="00EC36D0" w:rsidRPr="00185138">
        <w:rPr>
          <w:rFonts w:eastAsia="Times New Roman"/>
          <w:lang w:eastAsia="en-GB"/>
        </w:rPr>
        <w:t xml:space="preserve">In this context, it is ever more critical to </w:t>
      </w:r>
      <w:r w:rsidR="00DC3BD2" w:rsidRPr="00185138">
        <w:rPr>
          <w:rFonts w:eastAsia="Times New Roman"/>
          <w:lang w:eastAsia="en-GB"/>
        </w:rPr>
        <w:t xml:space="preserve">strengthen the collaboration and work of the Government with multi-sectoral actors </w:t>
      </w:r>
      <w:r w:rsidR="00A27B31" w:rsidRPr="00185138">
        <w:rPr>
          <w:rFonts w:eastAsia="Times New Roman"/>
          <w:lang w:eastAsia="en-GB"/>
        </w:rPr>
        <w:t>such as</w:t>
      </w:r>
      <w:r w:rsidR="00766FD9" w:rsidRPr="00185138">
        <w:rPr>
          <w:rFonts w:eastAsia="Times New Roman"/>
          <w:lang w:eastAsia="en-GB"/>
        </w:rPr>
        <w:t xml:space="preserve"> those involved in</w:t>
      </w:r>
      <w:r w:rsidR="002B58D9">
        <w:rPr>
          <w:rFonts w:eastAsia="Times New Roman"/>
          <w:lang w:eastAsia="en-GB"/>
        </w:rPr>
        <w:t xml:space="preserve"> the</w:t>
      </w:r>
      <w:r w:rsidR="00A27B31" w:rsidRPr="00185138">
        <w:rPr>
          <w:rFonts w:eastAsia="Times New Roman"/>
          <w:lang w:eastAsia="en-GB"/>
        </w:rPr>
        <w:t xml:space="preserve"> National Network on prevention, countering violent extremi</w:t>
      </w:r>
      <w:r w:rsidR="00766FD9" w:rsidRPr="00185138">
        <w:rPr>
          <w:rFonts w:eastAsia="Times New Roman"/>
          <w:lang w:eastAsia="en-GB"/>
        </w:rPr>
        <w:t>sm and de</w:t>
      </w:r>
      <w:r w:rsidR="00CF4B54">
        <w:rPr>
          <w:rFonts w:eastAsia="Times New Roman"/>
          <w:lang w:eastAsia="en-GB"/>
        </w:rPr>
        <w:t>-</w:t>
      </w:r>
      <w:r w:rsidR="00766FD9" w:rsidRPr="00185138">
        <w:rPr>
          <w:rFonts w:eastAsia="Times New Roman"/>
          <w:lang w:eastAsia="en-GB"/>
        </w:rPr>
        <w:t xml:space="preserve">radicalisation (BNED) to, </w:t>
      </w:r>
      <w:r w:rsidR="00766FD9" w:rsidRPr="00F051F7">
        <w:rPr>
          <w:rFonts w:eastAsia="Times New Roman"/>
          <w:i/>
          <w:lang w:eastAsia="en-GB"/>
        </w:rPr>
        <w:t>inter alia</w:t>
      </w:r>
      <w:r w:rsidR="00766FD9" w:rsidRPr="00185138">
        <w:rPr>
          <w:rFonts w:eastAsia="Times New Roman"/>
          <w:lang w:eastAsia="en-GB"/>
        </w:rPr>
        <w:t>,</w:t>
      </w:r>
      <w:r w:rsidR="00A27B31" w:rsidRPr="00185138">
        <w:rPr>
          <w:rFonts w:eastAsia="Times New Roman"/>
          <w:lang w:eastAsia="en-GB"/>
        </w:rPr>
        <w:t xml:space="preserve"> ensure that punitive measures are applied to cases where they are </w:t>
      </w:r>
      <w:r w:rsidR="00D768EC" w:rsidRPr="00185138">
        <w:rPr>
          <w:rFonts w:eastAsia="Times New Roman"/>
          <w:lang w:eastAsia="en-GB"/>
        </w:rPr>
        <w:t>deemed to be appropriate</w:t>
      </w:r>
      <w:r w:rsidR="002B58D9">
        <w:rPr>
          <w:rFonts w:eastAsia="Times New Roman"/>
          <w:lang w:eastAsia="en-GB"/>
        </w:rPr>
        <w:t xml:space="preserve">. Furthermore, </w:t>
      </w:r>
      <w:r w:rsidR="00A27B31" w:rsidRPr="00185138">
        <w:rPr>
          <w:rFonts w:eastAsia="Times New Roman"/>
          <w:lang w:eastAsia="en-GB"/>
        </w:rPr>
        <w:t xml:space="preserve"> rehabilitation</w:t>
      </w:r>
      <w:r w:rsidR="00D768EC" w:rsidRPr="00185138">
        <w:rPr>
          <w:rFonts w:eastAsia="Times New Roman"/>
          <w:lang w:eastAsia="en-GB"/>
        </w:rPr>
        <w:t xml:space="preserve"> measures</w:t>
      </w:r>
      <w:r w:rsidR="00A27B31" w:rsidRPr="00185138">
        <w:rPr>
          <w:rFonts w:eastAsia="Times New Roman"/>
          <w:lang w:eastAsia="en-GB"/>
        </w:rPr>
        <w:t xml:space="preserve"> </w:t>
      </w:r>
      <w:r w:rsidR="002B58D9">
        <w:rPr>
          <w:rFonts w:eastAsia="Times New Roman"/>
          <w:lang w:eastAsia="en-GB"/>
        </w:rPr>
        <w:t>should</w:t>
      </w:r>
      <w:r w:rsidR="002B58D9" w:rsidRPr="00185138">
        <w:rPr>
          <w:rFonts w:eastAsia="Times New Roman"/>
          <w:lang w:eastAsia="en-GB"/>
        </w:rPr>
        <w:t xml:space="preserve"> </w:t>
      </w:r>
      <w:r w:rsidR="00A27B31" w:rsidRPr="00185138">
        <w:rPr>
          <w:rFonts w:eastAsia="Times New Roman"/>
          <w:lang w:eastAsia="en-GB"/>
        </w:rPr>
        <w:t xml:space="preserve">be tailored for individuals </w:t>
      </w:r>
      <w:r w:rsidR="00D768EC" w:rsidRPr="00185138">
        <w:rPr>
          <w:rFonts w:eastAsia="Times New Roman"/>
          <w:lang w:eastAsia="en-GB"/>
        </w:rPr>
        <w:t>who</w:t>
      </w:r>
      <w:r w:rsidR="00A27B31" w:rsidRPr="00185138">
        <w:rPr>
          <w:rFonts w:eastAsia="Times New Roman"/>
          <w:lang w:eastAsia="en-GB"/>
        </w:rPr>
        <w:t xml:space="preserve"> could benefit from such programmes. </w:t>
      </w:r>
      <w:r w:rsidR="00D768EC" w:rsidRPr="00185138">
        <w:rPr>
          <w:rFonts w:eastAsia="Times New Roman"/>
          <w:lang w:eastAsia="en-GB"/>
        </w:rPr>
        <w:t xml:space="preserve">This approach </w:t>
      </w:r>
      <w:r w:rsidR="00766FD9" w:rsidRPr="00185138">
        <w:rPr>
          <w:rFonts w:eastAsia="Times New Roman"/>
          <w:lang w:eastAsia="en-GB"/>
        </w:rPr>
        <w:t>can</w:t>
      </w:r>
      <w:r w:rsidR="00D768EC" w:rsidRPr="00185138">
        <w:rPr>
          <w:rFonts w:eastAsia="Times New Roman"/>
          <w:lang w:eastAsia="en-GB"/>
        </w:rPr>
        <w:t xml:space="preserve"> also </w:t>
      </w:r>
      <w:r w:rsidR="00CF5BEC" w:rsidRPr="00185138">
        <w:rPr>
          <w:rFonts w:eastAsia="Times New Roman"/>
          <w:lang w:eastAsia="en-GB"/>
        </w:rPr>
        <w:t xml:space="preserve">take into account </w:t>
      </w:r>
      <w:r>
        <w:rPr>
          <w:rFonts w:eastAsia="Times New Roman"/>
          <w:lang w:eastAsia="en-GB"/>
        </w:rPr>
        <w:t>the various</w:t>
      </w:r>
      <w:r w:rsidR="00D768EC" w:rsidRPr="00185138">
        <w:rPr>
          <w:rFonts w:eastAsia="Times New Roman"/>
          <w:lang w:eastAsia="en-GB"/>
        </w:rPr>
        <w:t xml:space="preserve"> situations of </w:t>
      </w:r>
      <w:r w:rsidR="00CF5BEC" w:rsidRPr="00185138">
        <w:rPr>
          <w:rFonts w:eastAsia="Times New Roman"/>
          <w:lang w:eastAsia="en-GB"/>
        </w:rPr>
        <w:t>children, women and</w:t>
      </w:r>
      <w:r>
        <w:rPr>
          <w:rFonts w:eastAsia="Times New Roman"/>
          <w:lang w:eastAsia="en-GB"/>
        </w:rPr>
        <w:t xml:space="preserve"> men </w:t>
      </w:r>
      <w:r w:rsidR="0000631B">
        <w:rPr>
          <w:rFonts w:eastAsia="Times New Roman"/>
          <w:lang w:eastAsia="en-GB"/>
        </w:rPr>
        <w:t>with diverse and unique profiles</w:t>
      </w:r>
      <w:r w:rsidR="00D768EC" w:rsidRPr="00185138">
        <w:rPr>
          <w:rFonts w:eastAsia="Times New Roman"/>
          <w:lang w:eastAsia="en-GB"/>
        </w:rPr>
        <w:t xml:space="preserve">. This includes situations where </w:t>
      </w:r>
      <w:r w:rsidR="00CF5BEC" w:rsidRPr="00185138">
        <w:rPr>
          <w:rFonts w:eastAsia="Times New Roman"/>
          <w:lang w:eastAsia="en-GB"/>
        </w:rPr>
        <w:t xml:space="preserve">children are born to these individuals and </w:t>
      </w:r>
      <w:r w:rsidR="00D768EC" w:rsidRPr="00185138">
        <w:rPr>
          <w:rFonts w:eastAsia="Times New Roman"/>
          <w:lang w:eastAsia="en-GB"/>
        </w:rPr>
        <w:t>thus</w:t>
      </w:r>
      <w:r w:rsidR="00CF5BEC" w:rsidRPr="00185138">
        <w:rPr>
          <w:rFonts w:eastAsia="Times New Roman"/>
          <w:lang w:eastAsia="en-GB"/>
        </w:rPr>
        <w:t xml:space="preserve"> are innocent </w:t>
      </w:r>
      <w:r w:rsidR="00D768EC" w:rsidRPr="00185138">
        <w:rPr>
          <w:rFonts w:eastAsia="Times New Roman"/>
          <w:lang w:eastAsia="en-GB"/>
        </w:rPr>
        <w:t>victims of th</w:t>
      </w:r>
      <w:r w:rsidR="00DA1E34">
        <w:rPr>
          <w:rFonts w:eastAsia="Times New Roman"/>
          <w:lang w:eastAsia="en-GB"/>
        </w:rPr>
        <w:t xml:space="preserve">e foreign fighter </w:t>
      </w:r>
      <w:r w:rsidR="00D768EC" w:rsidRPr="00185138">
        <w:rPr>
          <w:rFonts w:eastAsia="Times New Roman"/>
          <w:lang w:eastAsia="en-GB"/>
        </w:rPr>
        <w:t>phenomenon.</w:t>
      </w:r>
      <w:r w:rsidR="00D768EC">
        <w:rPr>
          <w:rFonts w:eastAsia="Times New Roman"/>
          <w:lang w:eastAsia="en-GB"/>
        </w:rPr>
        <w:t xml:space="preserve"> </w:t>
      </w:r>
      <w:r w:rsidR="00B73041">
        <w:rPr>
          <w:rFonts w:eastAsia="Times New Roman"/>
          <w:lang w:eastAsia="en-GB"/>
        </w:rPr>
        <w:t xml:space="preserve"> </w:t>
      </w:r>
      <w:r w:rsidR="00A27B31">
        <w:rPr>
          <w:rFonts w:eastAsia="Times New Roman"/>
          <w:lang w:eastAsia="en-GB"/>
        </w:rPr>
        <w:t xml:space="preserve"> </w:t>
      </w:r>
      <w:r w:rsidR="00EC36D0">
        <w:rPr>
          <w:rFonts w:eastAsia="Times New Roman"/>
          <w:lang w:eastAsia="en-GB"/>
        </w:rPr>
        <w:t xml:space="preserve"> </w:t>
      </w:r>
    </w:p>
    <w:p w14:paraId="034AE2F1" w14:textId="150E104D" w:rsidR="00146E19" w:rsidRDefault="00884067" w:rsidP="00146E19">
      <w:pPr>
        <w:pStyle w:val="SingleTxtG"/>
        <w:rPr>
          <w:rFonts w:eastAsia="Times New Roman"/>
          <w:lang w:eastAsia="en-GB"/>
        </w:rPr>
      </w:pPr>
      <w:r>
        <w:rPr>
          <w:rFonts w:eastAsia="Times New Roman"/>
          <w:lang w:eastAsia="en-GB"/>
        </w:rPr>
        <w:t>64</w:t>
      </w:r>
      <w:r w:rsidR="009E3A5C" w:rsidRPr="009E3A5C">
        <w:rPr>
          <w:rFonts w:eastAsia="Times New Roman"/>
          <w:lang w:eastAsia="en-GB"/>
        </w:rPr>
        <w:t>.</w:t>
      </w:r>
      <w:r w:rsidR="009E3A5C" w:rsidRPr="009E3A5C">
        <w:rPr>
          <w:rFonts w:eastAsia="Times New Roman"/>
          <w:lang w:eastAsia="en-GB"/>
        </w:rPr>
        <w:tab/>
      </w:r>
      <w:r w:rsidR="000329F5" w:rsidRPr="009E3A5C">
        <w:rPr>
          <w:rFonts w:eastAsia="Times New Roman"/>
          <w:lang w:eastAsia="en-GB"/>
        </w:rPr>
        <w:t>R</w:t>
      </w:r>
      <w:r w:rsidR="00146E19" w:rsidRPr="009E3A5C">
        <w:rPr>
          <w:rFonts w:eastAsia="Times New Roman"/>
          <w:lang w:eastAsia="en-GB"/>
        </w:rPr>
        <w:t>ehabilitation and reintegration programs have</w:t>
      </w:r>
      <w:r w:rsidR="000329F5" w:rsidRPr="009E3A5C">
        <w:rPr>
          <w:rFonts w:eastAsia="Times New Roman"/>
          <w:lang w:eastAsia="en-GB"/>
        </w:rPr>
        <w:t xml:space="preserve"> thus</w:t>
      </w:r>
      <w:r w:rsidR="00146E19" w:rsidRPr="009E3A5C">
        <w:rPr>
          <w:rFonts w:eastAsia="Times New Roman"/>
          <w:lang w:eastAsia="en-GB"/>
        </w:rPr>
        <w:t xml:space="preserve"> attracted considerable interest for their community-driven, holistic approaches that draw on mental health support, education and employment </w:t>
      </w:r>
      <w:r w:rsidR="002B4CE0" w:rsidRPr="009E3A5C">
        <w:rPr>
          <w:rFonts w:eastAsia="Times New Roman"/>
          <w:lang w:eastAsia="en-GB"/>
        </w:rPr>
        <w:t>counselling</w:t>
      </w:r>
      <w:r w:rsidR="00146E19" w:rsidRPr="009E3A5C">
        <w:rPr>
          <w:rFonts w:eastAsia="Times New Roman"/>
          <w:lang w:eastAsia="en-GB"/>
        </w:rPr>
        <w:t>, and even religious theorizing.</w:t>
      </w:r>
      <w:r w:rsidR="00BE7B3C" w:rsidRPr="009E3A5C">
        <w:rPr>
          <w:rFonts w:eastAsia="Times New Roman"/>
          <w:lang w:eastAsia="en-GB"/>
        </w:rPr>
        <w:t xml:space="preserve"> </w:t>
      </w:r>
      <w:r w:rsidR="00EB7F79" w:rsidRPr="009E3A5C">
        <w:rPr>
          <w:rFonts w:eastAsia="Times New Roman"/>
          <w:lang w:eastAsia="en-GB"/>
        </w:rPr>
        <w:t xml:space="preserve"> S</w:t>
      </w:r>
      <w:r w:rsidR="007567C8">
        <w:rPr>
          <w:rFonts w:eastAsia="Times New Roman"/>
          <w:lang w:eastAsia="en-GB"/>
        </w:rPr>
        <w:t xml:space="preserve">ome good practices </w:t>
      </w:r>
      <w:r w:rsidR="001F0CEC">
        <w:rPr>
          <w:rFonts w:eastAsia="Times New Roman"/>
          <w:lang w:eastAsia="en-GB"/>
        </w:rPr>
        <w:t xml:space="preserve">that are present </w:t>
      </w:r>
      <w:r w:rsidR="007567C8">
        <w:rPr>
          <w:rFonts w:eastAsia="Times New Roman"/>
          <w:lang w:eastAsia="en-GB"/>
        </w:rPr>
        <w:t>in Europe</w:t>
      </w:r>
      <w:r w:rsidR="00EB7F79" w:rsidRPr="009E3A5C">
        <w:rPr>
          <w:rFonts w:eastAsia="Times New Roman"/>
          <w:lang w:eastAsia="en-GB"/>
        </w:rPr>
        <w:t xml:space="preserve"> include </w:t>
      </w:r>
      <w:r w:rsidR="00146E19" w:rsidRPr="009E3A5C">
        <w:rPr>
          <w:rFonts w:eastAsia="Times New Roman"/>
          <w:lang w:eastAsia="en-GB"/>
        </w:rPr>
        <w:t xml:space="preserve">the Aarhus Model, where Danish authorities have provided </w:t>
      </w:r>
      <w:r w:rsidR="005627BE">
        <w:rPr>
          <w:rFonts w:eastAsia="Times New Roman"/>
          <w:lang w:eastAsia="en-GB"/>
        </w:rPr>
        <w:t xml:space="preserve">around </w:t>
      </w:r>
      <w:r w:rsidR="00146E19" w:rsidRPr="009E3A5C">
        <w:rPr>
          <w:rFonts w:eastAsia="Times New Roman"/>
          <w:lang w:eastAsia="en-GB"/>
        </w:rPr>
        <w:t xml:space="preserve">330 returning fighters with psychological </w:t>
      </w:r>
      <w:r w:rsidR="002B4CE0" w:rsidRPr="009E3A5C">
        <w:rPr>
          <w:rFonts w:eastAsia="Times New Roman"/>
          <w:lang w:eastAsia="en-GB"/>
        </w:rPr>
        <w:t>counselling</w:t>
      </w:r>
      <w:r w:rsidR="00146E19" w:rsidRPr="009E3A5C">
        <w:rPr>
          <w:rFonts w:eastAsia="Times New Roman"/>
          <w:lang w:eastAsia="en-GB"/>
        </w:rPr>
        <w:t xml:space="preserve"> and job support. Another innovative approach is the Belgian Vilvoorde Method, which was launched in 2014 and focuses on whole families. While these approaches have had some success, most counterterrorism </w:t>
      </w:r>
      <w:r w:rsidR="00146E19" w:rsidRPr="009E3A5C">
        <w:rPr>
          <w:rFonts w:eastAsia="Times New Roman"/>
          <w:lang w:eastAsia="en-GB"/>
        </w:rPr>
        <w:lastRenderedPageBreak/>
        <w:t>experts agree that prevention is the best approach. Radicalization in many cases is a symptom of social isolation and marginalization; many of the same tools to support individuals’ reintegration into society could help prevent them disengaging in the first place.</w:t>
      </w:r>
      <w:r w:rsidR="00EB7F79" w:rsidRPr="009E3A5C">
        <w:rPr>
          <w:rStyle w:val="FootnoteReference"/>
          <w:rFonts w:eastAsia="Times New Roman"/>
          <w:lang w:eastAsia="en-GB"/>
        </w:rPr>
        <w:footnoteReference w:id="28"/>
      </w:r>
    </w:p>
    <w:p w14:paraId="44DBAB45" w14:textId="4ACC62A9" w:rsidR="00AD775E" w:rsidRDefault="0002690A" w:rsidP="005627BE">
      <w:pPr>
        <w:pStyle w:val="SingleTxtG"/>
        <w:rPr>
          <w:rStyle w:val="eop"/>
        </w:rPr>
      </w:pPr>
      <w:r>
        <w:rPr>
          <w:rFonts w:eastAsia="Times New Roman"/>
          <w:lang w:eastAsia="en-GB"/>
        </w:rPr>
        <w:tab/>
      </w:r>
      <w:r w:rsidR="00884067">
        <w:rPr>
          <w:rStyle w:val="eop"/>
        </w:rPr>
        <w:t>65</w:t>
      </w:r>
      <w:r w:rsidR="006C5E4D">
        <w:rPr>
          <w:rStyle w:val="eop"/>
        </w:rPr>
        <w:t>.</w:t>
      </w:r>
      <w:r w:rsidR="00670869" w:rsidRPr="006C5E4D">
        <w:rPr>
          <w:rStyle w:val="eop"/>
        </w:rPr>
        <w:tab/>
      </w:r>
      <w:r w:rsidR="005627BE" w:rsidRPr="006C5E4D">
        <w:rPr>
          <w:rStyle w:val="normaltextrun1"/>
        </w:rPr>
        <w:t xml:space="preserve">Several interlocutors noted however that the State appears more interested in attacking the manifestations of radical Islam than the causes of alienation that have led to </w:t>
      </w:r>
      <w:r w:rsidR="005627BE" w:rsidRPr="006C5E4D">
        <w:rPr>
          <w:rStyle w:val="spellingerror"/>
        </w:rPr>
        <w:t>radicalisation</w:t>
      </w:r>
      <w:r w:rsidR="005627BE" w:rsidRPr="006C5E4D">
        <w:rPr>
          <w:rStyle w:val="normaltextrun1"/>
        </w:rPr>
        <w:t xml:space="preserve"> and violent extremism. Further, that there has been excessive interest in criminali</w:t>
      </w:r>
      <w:r w:rsidR="005627BE">
        <w:rPr>
          <w:rStyle w:val="normaltextrun1"/>
        </w:rPr>
        <w:t>s</w:t>
      </w:r>
      <w:r w:rsidR="005627BE" w:rsidRPr="006C5E4D">
        <w:rPr>
          <w:rStyle w:val="normaltextrun1"/>
        </w:rPr>
        <w:t>ing adherence to certain religious beliefs than in addressing the causes of extremism.</w:t>
      </w:r>
      <w:r w:rsidR="005627BE" w:rsidRPr="006C5E4D">
        <w:rPr>
          <w:rStyle w:val="eop"/>
        </w:rPr>
        <w:t xml:space="preserve">  </w:t>
      </w:r>
      <w:r w:rsidR="005627BE">
        <w:rPr>
          <w:rStyle w:val="eop"/>
        </w:rPr>
        <w:t>The Working Group reiterated that all efforts to tackle violent extremism must be devoted to both assessing root causes and security measures and that Austria had the expertise and dedicated resources available to prevent violent extremism through measures that were also aligned with human rights principles and standards.</w:t>
      </w:r>
    </w:p>
    <w:p w14:paraId="320949EB" w14:textId="2BE371DE" w:rsidR="004D7CA1" w:rsidRDefault="00884067" w:rsidP="00884067">
      <w:pPr>
        <w:pStyle w:val="SingleTxtG"/>
        <w:rPr>
          <w:rStyle w:val="eop"/>
        </w:rPr>
      </w:pPr>
      <w:r>
        <w:rPr>
          <w:rStyle w:val="normaltextrun1"/>
        </w:rPr>
        <w:t>66.</w:t>
      </w:r>
      <w:r>
        <w:rPr>
          <w:rStyle w:val="normaltextrun1"/>
        </w:rPr>
        <w:tab/>
      </w:r>
      <w:r w:rsidR="005627BE">
        <w:rPr>
          <w:rStyle w:val="eop"/>
        </w:rPr>
        <w:t>In its dialogue with authorities and on the measures to address foreign fighters, the Working Group emphasised that h</w:t>
      </w:r>
      <w:r w:rsidR="005627BE" w:rsidRPr="006C5E4D">
        <w:rPr>
          <w:rStyle w:val="normaltextrun1"/>
        </w:rPr>
        <w:t xml:space="preserve">uman rights and human security are mutually reinforcing. Without rights, there is no security. Without security, there are no rights. Human rights are </w:t>
      </w:r>
      <w:r w:rsidR="005627BE">
        <w:rPr>
          <w:rStyle w:val="normaltextrun1"/>
        </w:rPr>
        <w:t>c</w:t>
      </w:r>
      <w:r w:rsidR="005627BE" w:rsidRPr="006C5E4D">
        <w:rPr>
          <w:rStyle w:val="normaltextrun1"/>
        </w:rPr>
        <w:t>entered on the notion of human dignity. Discrimination, such as that reflected in laws and policies that distinguish and prejudice a single</w:t>
      </w:r>
      <w:r w:rsidR="005627BE">
        <w:rPr>
          <w:rStyle w:val="normaltextrun1"/>
        </w:rPr>
        <w:t xml:space="preserve"> </w:t>
      </w:r>
      <w:r w:rsidR="005627BE" w:rsidRPr="006C5E4D">
        <w:rPr>
          <w:rStyle w:val="normaltextrun1"/>
        </w:rPr>
        <w:t xml:space="preserve">religion or ethnic group, can actually result in increasing insecurity rather than </w:t>
      </w:r>
      <w:r w:rsidR="002B58D9">
        <w:rPr>
          <w:rStyle w:val="normaltextrun1"/>
        </w:rPr>
        <w:t>its elimination</w:t>
      </w:r>
      <w:r w:rsidR="005627BE" w:rsidRPr="006C5E4D">
        <w:rPr>
          <w:rStyle w:val="normaltextrun1"/>
        </w:rPr>
        <w:t>. </w:t>
      </w:r>
      <w:r w:rsidR="005627BE" w:rsidRPr="006C5E4D">
        <w:rPr>
          <w:rStyle w:val="eop"/>
        </w:rPr>
        <w:t> </w:t>
      </w:r>
    </w:p>
    <w:p w14:paraId="26BD37EE" w14:textId="63F84195" w:rsidR="00E872BB" w:rsidRPr="00E71C4C" w:rsidRDefault="00F041C4" w:rsidP="006C5E4D">
      <w:pPr>
        <w:pStyle w:val="HChG"/>
        <w:rPr>
          <w:i/>
        </w:rPr>
      </w:pPr>
      <w:r w:rsidRPr="00E71C4C">
        <w:tab/>
      </w:r>
      <w:r w:rsidR="006C5E4D">
        <w:t>III.</w:t>
      </w:r>
      <w:r w:rsidR="006C5E4D">
        <w:tab/>
      </w:r>
      <w:r w:rsidR="00BB11FC" w:rsidRPr="00E71C4C">
        <w:t>P</w:t>
      </w:r>
      <w:r w:rsidR="00037A18" w:rsidRPr="00E71C4C">
        <w:t xml:space="preserve">rivate security companies </w:t>
      </w:r>
    </w:p>
    <w:p w14:paraId="31789599" w14:textId="5DE4C522" w:rsidR="00B973AF" w:rsidRPr="006C5E4D" w:rsidRDefault="00884067" w:rsidP="006C5E4D">
      <w:pPr>
        <w:pStyle w:val="SingleTxtG"/>
      </w:pPr>
      <w:r>
        <w:t>6</w:t>
      </w:r>
      <w:r w:rsidR="006C5E4D">
        <w:t>7.</w:t>
      </w:r>
      <w:r w:rsidR="006C5E4D">
        <w:tab/>
      </w:r>
      <w:r w:rsidR="00B973AF" w:rsidRPr="006C5E4D">
        <w:t>Concerning </w:t>
      </w:r>
      <w:r w:rsidR="00A01782">
        <w:t>private security companies</w:t>
      </w:r>
      <w:r w:rsidR="00B973AF" w:rsidRPr="006C5E4D">
        <w:t>, the Working Group noted that there is no specific and comprehensive legislative or other regulation of this industry. While acknowledging that currently, Austria does not hav</w:t>
      </w:r>
      <w:r w:rsidR="00B645AE">
        <w:t xml:space="preserve">e significant problems with </w:t>
      </w:r>
      <w:r w:rsidR="00B973AF" w:rsidRPr="006C5E4D">
        <w:t xml:space="preserve">this industry, the Working Group raised the need to establish clear regulations to offset any potential problems including human rights abuses at the hands of these companies. </w:t>
      </w:r>
      <w:r w:rsidR="005627BE">
        <w:t>There are currently</w:t>
      </w:r>
      <w:r w:rsidR="00B973AF" w:rsidRPr="006C5E4D">
        <w:t xml:space="preserve"> around 700 private security companies in the country, many of which are small-scale operations that include object guarding and detective services. </w:t>
      </w:r>
    </w:p>
    <w:p w14:paraId="7A0FED70" w14:textId="0BB622C3" w:rsidR="00B973AF" w:rsidRPr="006C5E4D" w:rsidRDefault="00884067" w:rsidP="006C5E4D">
      <w:pPr>
        <w:pStyle w:val="SingleTxtG"/>
      </w:pPr>
      <w:r>
        <w:t>6</w:t>
      </w:r>
      <w:r w:rsidR="006C5E4D">
        <w:t>8.</w:t>
      </w:r>
      <w:r w:rsidR="006C5E4D">
        <w:tab/>
      </w:r>
      <w:r w:rsidR="00B973AF" w:rsidRPr="006C5E4D">
        <w:t xml:space="preserve">The licensing and registration of private security companies in Austria falls within the competence of the Ministry of Trade and Economic Affairs and the Ministry of Interior oversees certain aspects including the vetting of company personnel. With the piloting of the use of </w:t>
      </w:r>
      <w:r w:rsidR="004221A9">
        <w:t>the</w:t>
      </w:r>
      <w:r w:rsidR="00B973AF" w:rsidRPr="006C5E4D">
        <w:t xml:space="preserve"> </w:t>
      </w:r>
      <w:r w:rsidR="004221A9">
        <w:t xml:space="preserve">multinational private security company, G4S </w:t>
      </w:r>
      <w:r w:rsidR="00B973AF" w:rsidRPr="006C5E4D">
        <w:t xml:space="preserve"> in Vordernberg, the Working Group notes that this is even more of a reason to establish national regulation to effectively address trans-border </w:t>
      </w:r>
      <w:r w:rsidR="00B645AE">
        <w:t xml:space="preserve">activities by such companies so as to clearly define </w:t>
      </w:r>
      <w:r w:rsidR="00B973AF" w:rsidRPr="006C5E4D">
        <w:t xml:space="preserve"> permissible and prohibited activities includin</w:t>
      </w:r>
      <w:r w:rsidR="00AD775E">
        <w:t>g the use of force</w:t>
      </w:r>
      <w:r w:rsidR="00B645AE">
        <w:t xml:space="preserve">. This would also help </w:t>
      </w:r>
      <w:r w:rsidR="00B973AF" w:rsidRPr="006C5E4D">
        <w:t>address</w:t>
      </w:r>
      <w:r w:rsidR="00AD775E">
        <w:t xml:space="preserve"> the</w:t>
      </w:r>
      <w:r w:rsidR="00B973AF" w:rsidRPr="006C5E4D">
        <w:t xml:space="preserve"> classification of arms and the conditions in which these can be used</w:t>
      </w:r>
      <w:r w:rsidR="00AD775E">
        <w:t xml:space="preserve">. There is also a need </w:t>
      </w:r>
      <w:r w:rsidR="00B973AF" w:rsidRPr="006C5E4D">
        <w:t>to strengthen oversigh</w:t>
      </w:r>
      <w:r w:rsidR="00AD775E">
        <w:t xml:space="preserve">t of </w:t>
      </w:r>
      <w:r w:rsidR="00B645AE">
        <w:t>these</w:t>
      </w:r>
      <w:r w:rsidR="00AD775E">
        <w:t xml:space="preserve"> companies by regularis</w:t>
      </w:r>
      <w:r w:rsidR="00B973AF" w:rsidRPr="006C5E4D">
        <w:t>ing the conduct of in</w:t>
      </w:r>
      <w:r w:rsidR="00AD775E">
        <w:t>spections of company activities and</w:t>
      </w:r>
      <w:r w:rsidR="00B973AF" w:rsidRPr="006C5E4D">
        <w:t xml:space="preserve"> importantly, to strengthen accountability a</w:t>
      </w:r>
      <w:r w:rsidR="00525EF0">
        <w:t>nd remedy frameworks where private security company</w:t>
      </w:r>
      <w:r w:rsidR="00B973AF" w:rsidRPr="006C5E4D">
        <w:t xml:space="preserve"> personnel commit criminal offences and human rights abuses. Private security companies are growing in size and power in the international arena and they have been known to commit human rights abuses around the world. Strong and centralised regulation is</w:t>
      </w:r>
      <w:r w:rsidR="00AD775E">
        <w:t xml:space="preserve"> therefore</w:t>
      </w:r>
      <w:r w:rsidR="00B973AF" w:rsidRPr="006C5E4D">
        <w:t xml:space="preserve"> essential.  </w:t>
      </w:r>
    </w:p>
    <w:p w14:paraId="5014E03E" w14:textId="77777777" w:rsidR="00B973AF" w:rsidRPr="00C82DC5" w:rsidRDefault="00B973AF" w:rsidP="00B973AF">
      <w:pPr>
        <w:shd w:val="clear" w:color="auto" w:fill="FFFFFF"/>
        <w:spacing w:before="100" w:beforeAutospacing="1"/>
        <w:ind w:left="1134" w:right="737"/>
        <w:jc w:val="both"/>
        <w:rPr>
          <w:rFonts w:eastAsia="Times New Roman"/>
          <w:sz w:val="20"/>
          <w:szCs w:val="20"/>
        </w:rPr>
      </w:pPr>
      <w:r w:rsidRPr="00E71C4C">
        <w:rPr>
          <w:rFonts w:eastAsia="Times New Roman"/>
          <w:i/>
          <w:iCs/>
          <w:sz w:val="20"/>
          <w:szCs w:val="20"/>
        </w:rPr>
        <w:t>Vordernberg </w:t>
      </w:r>
    </w:p>
    <w:p w14:paraId="4BEB7C6B" w14:textId="62F79840" w:rsidR="00B973AF" w:rsidRPr="006C5E4D" w:rsidRDefault="00884067" w:rsidP="00037A18">
      <w:pPr>
        <w:pStyle w:val="SingleTxtG"/>
        <w:spacing w:before="120"/>
      </w:pPr>
      <w:r>
        <w:t>6</w:t>
      </w:r>
      <w:r w:rsidR="006C5E4D">
        <w:t>9.</w:t>
      </w:r>
      <w:r w:rsidR="006C5E4D">
        <w:tab/>
      </w:r>
      <w:r w:rsidR="004825D2" w:rsidRPr="006C5E4D">
        <w:t>The Vo</w:t>
      </w:r>
      <w:r w:rsidR="00B645AE">
        <w:t>rdernberg Detention Centre for f</w:t>
      </w:r>
      <w:r w:rsidR="004825D2" w:rsidRPr="006C5E4D">
        <w:t>oreign</w:t>
      </w:r>
      <w:r w:rsidR="00B645AE">
        <w:t xml:space="preserve">ers, which is located in a </w:t>
      </w:r>
      <w:r w:rsidR="004825D2" w:rsidRPr="006C5E4D">
        <w:t xml:space="preserve"> remote village of the same name in Styria (some 70 km north-west of Graz), was opened on 1 March 2014.</w:t>
      </w:r>
      <w:r w:rsidR="006F23D9">
        <w:t xml:space="preserve"> The centre is jointly </w:t>
      </w:r>
      <w:r w:rsidR="00B645AE">
        <w:t>operated by the Austrian Minist</w:t>
      </w:r>
      <w:r w:rsidR="006F23D9">
        <w:t xml:space="preserve">ry of Interior, </w:t>
      </w:r>
      <w:r w:rsidR="00BC7AE5">
        <w:t xml:space="preserve">the </w:t>
      </w:r>
      <w:r w:rsidR="006F23D9">
        <w:t xml:space="preserve">Vordernberg municipality, </w:t>
      </w:r>
      <w:r w:rsidR="00B645AE">
        <w:t xml:space="preserve">the private security company </w:t>
      </w:r>
      <w:r w:rsidR="006F23D9">
        <w:t xml:space="preserve">G4S </w:t>
      </w:r>
      <w:r w:rsidR="00FB16C3">
        <w:t>and a company called Humanocare</w:t>
      </w:r>
      <w:r w:rsidR="006F23D9">
        <w:t xml:space="preserve">.  </w:t>
      </w:r>
      <w:r w:rsidR="00F75F71" w:rsidRPr="006C5E4D">
        <w:t xml:space="preserve"> The centre is </w:t>
      </w:r>
      <w:r w:rsidR="006F23D9">
        <w:t xml:space="preserve">an impressive modern facility and it accommodates foreign nationals </w:t>
      </w:r>
      <w:r w:rsidR="00B645AE">
        <w:t xml:space="preserve">who are undocumented and who were </w:t>
      </w:r>
      <w:r w:rsidR="006F23D9">
        <w:t xml:space="preserve">apprehended from various parts of Austria. </w:t>
      </w:r>
      <w:r w:rsidR="004825D2" w:rsidRPr="006C5E4D">
        <w:t>The detention centre</w:t>
      </w:r>
      <w:r w:rsidR="006F23D9">
        <w:t xml:space="preserve"> has an official capacity for around 193 detainees in pre-removal det</w:t>
      </w:r>
      <w:r w:rsidR="00B645AE">
        <w:t>ention under</w:t>
      </w:r>
      <w:r w:rsidR="000B5CA5">
        <w:t xml:space="preserve"> an</w:t>
      </w:r>
      <w:r w:rsidR="00B645AE">
        <w:t xml:space="preserve"> </w:t>
      </w:r>
      <w:r w:rsidR="000B5CA5">
        <w:t>“</w:t>
      </w:r>
      <w:r w:rsidR="00B645AE">
        <w:t>open doors</w:t>
      </w:r>
      <w:r w:rsidR="000B5CA5">
        <w:t>”</w:t>
      </w:r>
      <w:r w:rsidR="00B645AE">
        <w:t xml:space="preserve"> regime that run from 07:00 to 21:30 hours</w:t>
      </w:r>
      <w:r w:rsidR="004825D2" w:rsidRPr="006C5E4D">
        <w:t xml:space="preserve">. </w:t>
      </w:r>
    </w:p>
    <w:p w14:paraId="31455460" w14:textId="362BA6D4" w:rsidR="00420533" w:rsidRDefault="00884067" w:rsidP="006C5E4D">
      <w:pPr>
        <w:pStyle w:val="SingleTxtG"/>
      </w:pPr>
      <w:r>
        <w:lastRenderedPageBreak/>
        <w:t>70</w:t>
      </w:r>
      <w:r w:rsidR="006C5E4D">
        <w:t>.</w:t>
      </w:r>
      <w:r w:rsidR="006C5E4D">
        <w:tab/>
      </w:r>
      <w:r w:rsidR="007A09C4" w:rsidRPr="00FA4BFB">
        <w:t xml:space="preserve">The Vordernberg immigration facility is the only one of its kind in Austria, </w:t>
      </w:r>
      <w:r w:rsidR="002A6B54">
        <w:t>and</w:t>
      </w:r>
      <w:r w:rsidR="007A09C4" w:rsidRPr="00FA4BFB">
        <w:t xml:space="preserve"> G4S </w:t>
      </w:r>
      <w:r w:rsidR="00FB16C3">
        <w:t xml:space="preserve">was contracted to </w:t>
      </w:r>
      <w:r w:rsidR="007A09C4" w:rsidRPr="00FA4BFB">
        <w:t xml:space="preserve">provide specific services to the detainees. </w:t>
      </w:r>
      <w:r w:rsidR="00420533">
        <w:t xml:space="preserve">At the time of the visit, the </w:t>
      </w:r>
      <w:r w:rsidR="00B645AE">
        <w:t xml:space="preserve"> total </w:t>
      </w:r>
      <w:r w:rsidR="00420533">
        <w:t>staff included 60 from the Ministry of Interior; 55 from G4S and 15 for</w:t>
      </w:r>
      <w:r w:rsidR="00B645AE">
        <w:t xml:space="preserve"> Humanoca</w:t>
      </w:r>
      <w:r w:rsidR="00420533">
        <w:t xml:space="preserve">re. </w:t>
      </w:r>
    </w:p>
    <w:p w14:paraId="12FDD397" w14:textId="2D860F6B" w:rsidR="00420533" w:rsidRDefault="00884067" w:rsidP="00884067">
      <w:pPr>
        <w:pStyle w:val="SingleTxtG"/>
      </w:pPr>
      <w:r>
        <w:t>71.</w:t>
      </w:r>
      <w:r>
        <w:tab/>
      </w:r>
      <w:r w:rsidR="007A09C4" w:rsidRPr="00FA4BFB">
        <w:t>The Working Group notes that there are positive aspects of the arrangement between the government and G4S. Primarily, and of importance to the Working Group, is that G4S is involved solely in administrative matters and services to the detainees</w:t>
      </w:r>
      <w:r w:rsidR="00420533">
        <w:t>.</w:t>
      </w:r>
      <w:r w:rsidR="007A09C4" w:rsidRPr="00FA4BFB">
        <w:t xml:space="preserve"> The G4S staff do not have the same powers as the police officers that guard the premises.</w:t>
      </w:r>
      <w:r w:rsidR="00420533">
        <w:t xml:space="preserve"> Their tasks specifically involved providing them with food, monitoring the open-door regime, arranging for cultural and sports activities, providing technical support to the centre and arranging for interpreters. The company was not permitted to use force when intervening with </w:t>
      </w:r>
      <w:r w:rsidR="00B645AE">
        <w:t>detainees</w:t>
      </w:r>
      <w:r w:rsidR="00420533">
        <w:t xml:space="preserve"> and w</w:t>
      </w:r>
      <w:r w:rsidR="000B5CA5">
        <w:t>as</w:t>
      </w:r>
      <w:r w:rsidR="00420533">
        <w:t xml:space="preserve"> not involved with interviewing</w:t>
      </w:r>
      <w:r w:rsidR="00B645AE">
        <w:t xml:space="preserve"> or imposing security measures</w:t>
      </w:r>
      <w:r w:rsidR="00420533">
        <w:t xml:space="preserve">. </w:t>
      </w:r>
      <w:r w:rsidR="007A09C4" w:rsidRPr="00FA4BFB">
        <w:t xml:space="preserve"> </w:t>
      </w:r>
    </w:p>
    <w:p w14:paraId="0411138D" w14:textId="79BCDF46" w:rsidR="007A09C4" w:rsidRDefault="00884067" w:rsidP="00884067">
      <w:pPr>
        <w:pStyle w:val="SingleTxtG"/>
      </w:pPr>
      <w:r>
        <w:t>72.</w:t>
      </w:r>
      <w:r>
        <w:tab/>
      </w:r>
      <w:r w:rsidR="007A09C4" w:rsidRPr="00FA4BFB">
        <w:t>In the interviews with detainees, many indicated that they had good relationships with G4S, in comparison to the</w:t>
      </w:r>
      <w:r w:rsidR="00420533">
        <w:t xml:space="preserve"> police staff</w:t>
      </w:r>
      <w:r w:rsidR="007A09C4" w:rsidRPr="00FA4BFB">
        <w:t>. The delegation witnessed this first-hand and much of this can be linked to the specific functions required of G4S</w:t>
      </w:r>
      <w:r w:rsidR="00B645AE">
        <w:t>,</w:t>
      </w:r>
      <w:r w:rsidR="007A09C4" w:rsidRPr="00FA4BFB">
        <w:t xml:space="preserve"> which do not involve making decisions that </w:t>
      </w:r>
      <w:r w:rsidR="00B645AE">
        <w:t>significantly have negative impact on the</w:t>
      </w:r>
      <w:r w:rsidR="007A09C4" w:rsidRPr="00FA4BFB">
        <w:t xml:space="preserve"> detainees. </w:t>
      </w:r>
    </w:p>
    <w:p w14:paraId="2411032B" w14:textId="24874FD0" w:rsidR="00B973AF" w:rsidRPr="006C5E4D" w:rsidRDefault="006F23D9" w:rsidP="006C5E4D">
      <w:pPr>
        <w:pStyle w:val="SingleTxtG"/>
      </w:pPr>
      <w:r w:rsidRPr="006C5E4D">
        <w:t xml:space="preserve"> </w:t>
      </w:r>
      <w:r w:rsidR="00884067">
        <w:t>73.</w:t>
      </w:r>
      <w:r w:rsidR="00884067">
        <w:tab/>
      </w:r>
      <w:r w:rsidRPr="006C5E4D">
        <w:t>However, the delegation noted some</w:t>
      </w:r>
      <w:r w:rsidR="00420533">
        <w:t xml:space="preserve"> concerns</w:t>
      </w:r>
      <w:r w:rsidR="00BC7AE5">
        <w:t xml:space="preserve"> that</w:t>
      </w:r>
      <w:r w:rsidR="00420533">
        <w:t xml:space="preserve"> </w:t>
      </w:r>
      <w:r w:rsidR="00B645AE">
        <w:t xml:space="preserve">were </w:t>
      </w:r>
      <w:r w:rsidR="00420533">
        <w:t>raised by detainees</w:t>
      </w:r>
      <w:r w:rsidR="00B645AE">
        <w:t xml:space="preserve">. </w:t>
      </w:r>
      <w:r w:rsidRPr="006C5E4D">
        <w:t> </w:t>
      </w:r>
      <w:r w:rsidR="00B973AF" w:rsidRPr="006C5E4D">
        <w:t>One of the prominent complaints received was that detainees were being billed a fee of 70 euros per day.</w:t>
      </w:r>
      <w:r w:rsidR="00420533">
        <w:t xml:space="preserve"> The delegation learned that this</w:t>
      </w:r>
      <w:r w:rsidR="00BC7AE5">
        <w:t xml:space="preserve"> imposed</w:t>
      </w:r>
      <w:r w:rsidR="00420533">
        <w:t xml:space="preserve"> </w:t>
      </w:r>
      <w:r w:rsidR="000B5CA5">
        <w:t xml:space="preserve">fee </w:t>
      </w:r>
      <w:r w:rsidR="00420533">
        <w:t>was</w:t>
      </w:r>
      <w:r w:rsidR="00BC7AE5">
        <w:t xml:space="preserve"> in relation to </w:t>
      </w:r>
      <w:r w:rsidR="00420533" w:rsidRPr="00BC7AE5">
        <w:rPr>
          <w:bCs/>
          <w:i/>
          <w:iCs/>
          <w:lang w:val="en-US"/>
        </w:rPr>
        <w:t xml:space="preserve">Article 19 and Article 113 of the </w:t>
      </w:r>
      <w:r w:rsidR="00BC7AE5">
        <w:rPr>
          <w:bCs/>
          <w:i/>
          <w:iCs/>
          <w:lang w:val="en-US"/>
        </w:rPr>
        <w:t>Aliens</w:t>
      </w:r>
      <w:r w:rsidR="00420533" w:rsidRPr="00BC7AE5">
        <w:rPr>
          <w:bCs/>
          <w:i/>
          <w:iCs/>
          <w:lang w:val="en-US"/>
        </w:rPr>
        <w:t xml:space="preserve"> Police Act 2005 </w:t>
      </w:r>
      <w:r w:rsidR="00420533">
        <w:rPr>
          <w:bCs/>
          <w:iCs/>
          <w:lang w:val="en-US"/>
        </w:rPr>
        <w:t xml:space="preserve">which imposed </w:t>
      </w:r>
      <w:r w:rsidR="000B5CA5">
        <w:rPr>
          <w:bCs/>
          <w:iCs/>
          <w:lang w:val="en-US"/>
        </w:rPr>
        <w:t xml:space="preserve">fees </w:t>
      </w:r>
      <w:r w:rsidR="00420533">
        <w:rPr>
          <w:bCs/>
          <w:iCs/>
          <w:lang w:val="en-US"/>
        </w:rPr>
        <w:t>on detainees for all detention centr</w:t>
      </w:r>
      <w:r w:rsidR="00EB72A4">
        <w:rPr>
          <w:bCs/>
          <w:iCs/>
          <w:lang w:val="en-US"/>
        </w:rPr>
        <w:t>e</w:t>
      </w:r>
      <w:r w:rsidR="00420533">
        <w:rPr>
          <w:bCs/>
          <w:iCs/>
          <w:lang w:val="en-US"/>
        </w:rPr>
        <w:t>s and not only Vordernberg</w:t>
      </w:r>
      <w:r w:rsidR="00420533">
        <w:t>. Some of the bills that the delegation observed to be paid by</w:t>
      </w:r>
      <w:r w:rsidR="00B973AF" w:rsidRPr="006C5E4D">
        <w:t xml:space="preserve"> detainees were in excess of 2,000 euros. This system of charging detainees for their involuntary detention is not only unusual but disregards the indigent state and already vulnerab</w:t>
      </w:r>
      <w:r w:rsidR="00B645AE">
        <w:t>le and difficult situation</w:t>
      </w:r>
      <w:r w:rsidR="00B973AF" w:rsidRPr="006C5E4D">
        <w:t xml:space="preserve"> detainees were in. </w:t>
      </w:r>
      <w:r w:rsidR="00B37719">
        <w:t>The Working Group was informed,</w:t>
      </w:r>
      <w:r w:rsidR="00B973AF" w:rsidRPr="006C5E4D">
        <w:t xml:space="preserve"> that these charges would be waived if the detainee could not pay them. However, if a detainee did have sufficient funds on arrival, the charges would be taken directly from his account. Further, we were informed that if a detainee was deported and was to re-enter Austria at a later date, then the fee owing in this context had to be paid before re-entry could be possible. </w:t>
      </w:r>
    </w:p>
    <w:p w14:paraId="3BB34A7C" w14:textId="6F0A7F8D" w:rsidR="00B973AF" w:rsidRPr="006C5E4D" w:rsidRDefault="00884067" w:rsidP="006C5E4D">
      <w:pPr>
        <w:pStyle w:val="SingleTxtG"/>
      </w:pPr>
      <w:r>
        <w:t>74</w:t>
      </w:r>
      <w:r w:rsidR="006C5E4D">
        <w:t>.</w:t>
      </w:r>
      <w:r w:rsidR="006C5E4D">
        <w:tab/>
      </w:r>
      <w:r w:rsidR="00B973AF" w:rsidRPr="006C5E4D">
        <w:t>Detainees also complained that the money they arrived with was taken from them and they were not given a receipt or information on whether they would eventually get the money back.  The authorities at the centre informed that these funds were provided to detainees at the rate of 50 to 60 euros per week through a pre-paid card that the detainee could use at the kiosk at the centre.  </w:t>
      </w:r>
    </w:p>
    <w:p w14:paraId="683D43EC" w14:textId="590FDD57" w:rsidR="00B973AF" w:rsidRDefault="00884067" w:rsidP="00B645AE">
      <w:pPr>
        <w:pStyle w:val="SingleTxtG"/>
      </w:pPr>
      <w:r>
        <w:t>75</w:t>
      </w:r>
      <w:r w:rsidR="006C5E4D">
        <w:t>.</w:t>
      </w:r>
      <w:r w:rsidR="006C5E4D">
        <w:tab/>
      </w:r>
      <w:r w:rsidR="00B973AF" w:rsidRPr="006C5E4D">
        <w:t>The delegation observed that in general, detainees at the centre were not aware or were confused as to how to channel their complaints to the authorities or to G4S. Several said that they were often dismissed and their concerns were not taken seriously, or that they were threatened with reprisal if they persisted in their complaints. They were not fully informed of their</w:t>
      </w:r>
      <w:r w:rsidR="000656BB">
        <w:t xml:space="preserve"> legal</w:t>
      </w:r>
      <w:r w:rsidR="00B973AF" w:rsidRPr="006C5E4D">
        <w:t xml:space="preserve"> status and were anxious about the indefinite duration of their stay in the facility. Some had been in the centre for a few days, some for several weeks and others for months. Some of the  detainees were clearly in need of psycho-social care and although the centr</w:t>
      </w:r>
      <w:r w:rsidR="00EB72A4">
        <w:t>es</w:t>
      </w:r>
      <w:r w:rsidR="00B973AF" w:rsidRPr="006C5E4D">
        <w:t xml:space="preserve"> has been heralded as a good model of an open regime with better conditions and treatment than other centres of its kind, the use of sanctions against detainees, lack of contact with family and lawyers and the possible use of solitary confinement were concerning. The Wo</w:t>
      </w:r>
      <w:r w:rsidR="00B645AE">
        <w:t xml:space="preserve">rking Group understood that a non-government </w:t>
      </w:r>
      <w:r w:rsidR="00BC7AE5">
        <w:t>organization</w:t>
      </w:r>
      <w:r w:rsidR="00B973AF" w:rsidRPr="006C5E4D">
        <w:t xml:space="preserve"> provided legal advice to the detainees but some complained that legal support was inadequate.  Many detainees stated that Austria was not their destination, but merely a transit point in which they were arrested and detained awaiting deportation and that their destination points were elsewhere in the region. Their main concern and source of anxiety was to be freed from what they referred to as “prison” and be reunited with family members.</w:t>
      </w:r>
      <w:r w:rsidR="00BC7AE5">
        <w:t xml:space="preserve"> </w:t>
      </w:r>
    </w:p>
    <w:p w14:paraId="68382BD8" w14:textId="46EA81DF" w:rsidR="001B21C8" w:rsidRPr="006C5E4D" w:rsidRDefault="00884067" w:rsidP="006C5E4D">
      <w:pPr>
        <w:pStyle w:val="SingleTxtG"/>
      </w:pPr>
      <w:r>
        <w:t>76.</w:t>
      </w:r>
      <w:r>
        <w:tab/>
      </w:r>
      <w:r w:rsidR="001B21C8">
        <w:t>The Working Group was also concerned about the apparent age of some of the detainees, as one particular individual appeared to be less than 18 years old. The del</w:t>
      </w:r>
      <w:r w:rsidR="00D21E76">
        <w:t>egation was informed that the Federal office for migration and asylum (</w:t>
      </w:r>
      <w:r w:rsidR="001B21C8">
        <w:t>BFA</w:t>
      </w:r>
      <w:r w:rsidR="00D21E76">
        <w:t>)</w:t>
      </w:r>
      <w:r w:rsidR="001B21C8">
        <w:t xml:space="preserve"> was the responsible agency w</w:t>
      </w:r>
      <w:r w:rsidR="000B5CA5">
        <w:t>ith</w:t>
      </w:r>
      <w:r w:rsidR="001B21C8">
        <w:t xml:space="preserve"> information </w:t>
      </w:r>
      <w:r w:rsidR="000B5CA5">
        <w:t>about</w:t>
      </w:r>
      <w:r w:rsidR="001B21C8">
        <w:t xml:space="preserve"> the detainee and so</w:t>
      </w:r>
      <w:r w:rsidR="00D21E76">
        <w:t xml:space="preserve"> it was difficult to confirm his age</w:t>
      </w:r>
      <w:r w:rsidR="001B21C8">
        <w:t xml:space="preserve"> at the time of the visit. </w:t>
      </w:r>
      <w:r w:rsidR="002A062B">
        <w:t xml:space="preserve">Some of these detainees were young and were clearly seeking better opportunities to make a living or </w:t>
      </w:r>
      <w:r w:rsidR="00021ADE">
        <w:t xml:space="preserve">were </w:t>
      </w:r>
      <w:r w:rsidR="002A062B">
        <w:t>trying to get to relatives who were residing in</w:t>
      </w:r>
      <w:r w:rsidR="00021ADE">
        <w:t xml:space="preserve"> various parts of</w:t>
      </w:r>
      <w:r w:rsidR="002A062B">
        <w:t xml:space="preserve"> Europe. Their impending return to their country of origin or departure </w:t>
      </w:r>
      <w:r w:rsidR="000B5CA5">
        <w:t xml:space="preserve">was </w:t>
      </w:r>
      <w:r w:rsidR="002A062B">
        <w:t xml:space="preserve">causing some of them </w:t>
      </w:r>
      <w:r w:rsidR="000B5CA5">
        <w:t>significant</w:t>
      </w:r>
      <w:r w:rsidR="00021ADE">
        <w:t xml:space="preserve"> distress, </w:t>
      </w:r>
      <w:r w:rsidR="000B5CA5">
        <w:t xml:space="preserve">as they have </w:t>
      </w:r>
      <w:r w:rsidR="00021ADE">
        <w:t>escaped from</w:t>
      </w:r>
      <w:r w:rsidR="002A062B">
        <w:t xml:space="preserve"> </w:t>
      </w:r>
      <w:r w:rsidR="00AB2479">
        <w:t xml:space="preserve">or severely impoverished </w:t>
      </w:r>
      <w:r w:rsidR="00AB2479">
        <w:lastRenderedPageBreak/>
        <w:t>situations</w:t>
      </w:r>
      <w:r w:rsidR="00021ADE">
        <w:t xml:space="preserve"> and countries that were destabilised by armed conflict</w:t>
      </w:r>
      <w:r w:rsidR="00AB2479">
        <w:t xml:space="preserve">. </w:t>
      </w:r>
      <w:r w:rsidR="00A56B84">
        <w:t xml:space="preserve">Some of the detainees who shared their countries of origin with the delegation had come from Gambia, Morocco, Gambia, Nigeria and Pakistan. </w:t>
      </w:r>
    </w:p>
    <w:p w14:paraId="11639C83" w14:textId="6A3C39AA" w:rsidR="00B973AF" w:rsidRPr="006C5E4D" w:rsidRDefault="00884067" w:rsidP="006C5E4D">
      <w:pPr>
        <w:pStyle w:val="SingleTxtG"/>
      </w:pPr>
      <w:r>
        <w:t>77</w:t>
      </w:r>
      <w:r w:rsidR="006C5E4D">
        <w:t>.</w:t>
      </w:r>
      <w:r w:rsidR="006C5E4D">
        <w:tab/>
      </w:r>
      <w:r w:rsidR="00B973AF" w:rsidRPr="006C5E4D">
        <w:t xml:space="preserve">While no significant complaints were expressed against G4S in Vordernberg, the Working Group cautions against </w:t>
      </w:r>
      <w:r w:rsidR="000B5CA5">
        <w:t>expanded</w:t>
      </w:r>
      <w:r w:rsidR="00B973AF" w:rsidRPr="006C5E4D">
        <w:t xml:space="preserve">  outsourcing of g</w:t>
      </w:r>
      <w:r w:rsidR="009622A9">
        <w:t>overnment functions to private security companie</w:t>
      </w:r>
      <w:r w:rsidR="00B973AF" w:rsidRPr="006C5E4D">
        <w:t>s, with careful consideration given to human rights implications involved in such practices. </w:t>
      </w:r>
    </w:p>
    <w:p w14:paraId="0C72BBF8" w14:textId="66B59B56" w:rsidR="00E872BB" w:rsidRPr="00E71C4C" w:rsidRDefault="00EA5DBE" w:rsidP="00BD35A3">
      <w:pPr>
        <w:pStyle w:val="Heading2"/>
        <w:ind w:left="567" w:right="1020" w:firstLine="567"/>
        <w:jc w:val="both"/>
        <w:rPr>
          <w:i/>
          <w:lang w:val="en-US"/>
        </w:rPr>
      </w:pPr>
      <w:r>
        <w:rPr>
          <w:i/>
          <w:lang w:val="en-US"/>
        </w:rPr>
        <w:t xml:space="preserve">Regulations at the European Union </w:t>
      </w:r>
    </w:p>
    <w:p w14:paraId="6584A86E" w14:textId="1021375A" w:rsidR="00E872BB" w:rsidRPr="00DA55BF" w:rsidRDefault="00884067" w:rsidP="00037A18">
      <w:pPr>
        <w:pStyle w:val="SingleTxtG"/>
        <w:spacing w:before="120"/>
      </w:pPr>
      <w:r>
        <w:t>78</w:t>
      </w:r>
      <w:r w:rsidR="00DA55BF">
        <w:t>.</w:t>
      </w:r>
      <w:r w:rsidR="00DA55BF">
        <w:tab/>
      </w:r>
      <w:r w:rsidR="00E872BB" w:rsidRPr="00DA55BF">
        <w:t>The EU has played a critical role in promoting national and regional controls over the provision and export of various military and security services. The application</w:t>
      </w:r>
      <w:r w:rsidR="000B5CA5">
        <w:t xml:space="preserve"> of such controls</w:t>
      </w:r>
      <w:r w:rsidR="00E872BB" w:rsidRPr="00DA55BF">
        <w:t xml:space="preserve"> to PSCs/PMCs, however, remains limited and, so far, there are no common regulations on PSCs/PMCs registered in the EU and the export of their services abroad. At best, current controls within the EU can serve as an example of various mechanisms that could be used to improve the regulation of the private security industry. </w:t>
      </w:r>
    </w:p>
    <w:p w14:paraId="78935066" w14:textId="6555228D" w:rsidR="00E872BB" w:rsidRPr="00DA55BF" w:rsidRDefault="00884067" w:rsidP="003316C3">
      <w:pPr>
        <w:pStyle w:val="SingleTxtG"/>
      </w:pPr>
      <w:r>
        <w:t>79</w:t>
      </w:r>
      <w:r w:rsidR="00DA55BF">
        <w:t>.</w:t>
      </w:r>
      <w:r w:rsidR="00DA55BF">
        <w:tab/>
      </w:r>
      <w:r w:rsidR="003316C3">
        <w:t>The</w:t>
      </w:r>
      <w:r w:rsidR="00E872BB" w:rsidRPr="00DA55BF">
        <w:t xml:space="preserve"> regulation of PSCs and the export of military and security services remains very much a matter </w:t>
      </w:r>
      <w:r w:rsidR="000B5CA5">
        <w:t>for the individual</w:t>
      </w:r>
      <w:r w:rsidR="00E872BB" w:rsidRPr="00DA55BF">
        <w:t xml:space="preserve"> EU member states. So far, however, no EU member state has specific laws controlling the provision of security services abroad. </w:t>
      </w:r>
      <w:r w:rsidR="003316C3">
        <w:t>M</w:t>
      </w:r>
      <w:r w:rsidR="00E872BB" w:rsidRPr="00DA55BF">
        <w:t xml:space="preserve">ost EU member states have extensive regulations for the provision of private security services within their borders. Prime mechanisms are the national registration and licensing of PSCs and their personnel. The conditions for a licence, which on average needs to be renewed every five years, vary among the member states. However, all member states require a clear criminal record among PSC management and personnel. Additional conditions include sufficient liability insurance, identification cards with name and photo, and approved uniforms which are not easily confused with those of the police or armed forces. About 60 percent of the EU member states mandate specific training of private security personnel and the passing of an examination. </w:t>
      </w:r>
    </w:p>
    <w:p w14:paraId="443DB2B0" w14:textId="51437162" w:rsidR="00E872BB" w:rsidRPr="00E71C4C" w:rsidRDefault="00E872BB" w:rsidP="00037A18">
      <w:pPr>
        <w:autoSpaceDE w:val="0"/>
        <w:autoSpaceDN w:val="0"/>
        <w:adjustRightInd w:val="0"/>
        <w:spacing w:after="120"/>
        <w:ind w:left="567" w:right="1021" w:firstLine="567"/>
        <w:jc w:val="both"/>
        <w:rPr>
          <w:i/>
          <w:sz w:val="20"/>
          <w:szCs w:val="20"/>
          <w:lang w:val="en-US" w:eastAsia="en-US"/>
        </w:rPr>
      </w:pPr>
      <w:r w:rsidRPr="00E71C4C">
        <w:rPr>
          <w:i/>
          <w:sz w:val="20"/>
          <w:szCs w:val="20"/>
          <w:lang w:val="en-US" w:eastAsia="en-US"/>
        </w:rPr>
        <w:t>Montreux Document</w:t>
      </w:r>
      <w:r w:rsidRPr="00E71C4C">
        <w:rPr>
          <w:rStyle w:val="FootnoteReference"/>
          <w:i/>
          <w:sz w:val="20"/>
          <w:szCs w:val="20"/>
          <w:lang w:val="en-US" w:eastAsia="en-US"/>
        </w:rPr>
        <w:footnoteReference w:id="29"/>
      </w:r>
      <w:r w:rsidRPr="00E71C4C">
        <w:rPr>
          <w:i/>
          <w:sz w:val="20"/>
          <w:szCs w:val="20"/>
          <w:lang w:val="en-US" w:eastAsia="en-US"/>
        </w:rPr>
        <w:t xml:space="preserve"> </w:t>
      </w:r>
    </w:p>
    <w:p w14:paraId="3E8C0A7A" w14:textId="7EE4B3C2" w:rsidR="00E872BB" w:rsidRPr="00DA55BF" w:rsidRDefault="00884067" w:rsidP="00037A18">
      <w:pPr>
        <w:pStyle w:val="SingleTxtG"/>
      </w:pPr>
      <w:r>
        <w:t>8</w:t>
      </w:r>
      <w:r w:rsidR="00DA55BF">
        <w:t>0.</w:t>
      </w:r>
      <w:r w:rsidR="00DA55BF">
        <w:tab/>
      </w:r>
      <w:r w:rsidR="000B5CA5">
        <w:t>Austria is a signatory to the Montreux Document on Pertinent International Legal Obligations and Good Practices for States related to Operations of Private Military and Security Companies during Armed Conflicts.  The Montreux Document</w:t>
      </w:r>
      <w:r w:rsidR="00E872BB" w:rsidRPr="00DA55BF">
        <w:t xml:space="preserve"> clarif</w:t>
      </w:r>
      <w:r w:rsidR="000B5CA5">
        <w:t>ied</w:t>
      </w:r>
      <w:r w:rsidR="00E872BB" w:rsidRPr="00DA55BF">
        <w:t xml:space="preserve"> the status of </w:t>
      </w:r>
      <w:r w:rsidR="000B5CA5">
        <w:t>private security companies</w:t>
      </w:r>
      <w:r w:rsidR="000B5CA5" w:rsidRPr="00DA55BF">
        <w:t xml:space="preserve"> </w:t>
      </w:r>
      <w:r w:rsidR="00E872BB" w:rsidRPr="00DA55BF">
        <w:t>and the responsibility of the governments that hire them under international law</w:t>
      </w:r>
      <w:r w:rsidR="000B5CA5">
        <w:t xml:space="preserve">. </w:t>
      </w:r>
      <w:r w:rsidR="00E872BB" w:rsidRPr="00DA55BF">
        <w:t>The legally non-binding document includes two parts</w:t>
      </w:r>
      <w:r w:rsidR="000B5CA5">
        <w:t xml:space="preserve"> that cover the </w:t>
      </w:r>
      <w:r w:rsidR="00E872BB" w:rsidRPr="00DA55BF">
        <w:t xml:space="preserve"> obligations of states and PSCs under international law, and outlines a wide range of ‘good practices’ for contracting states regarding the hire, use and oversight of PSCs. </w:t>
      </w:r>
      <w:r w:rsidR="000B5CA5">
        <w:t>The second part</w:t>
      </w:r>
      <w:r w:rsidR="00E872BB" w:rsidRPr="00DA55BF">
        <w:t xml:space="preserve"> proposes a voluntary code of conduct for PSCs</w:t>
      </w:r>
      <w:r w:rsidR="00704819">
        <w:t>.</w:t>
      </w:r>
    </w:p>
    <w:p w14:paraId="0B061C16" w14:textId="77777777" w:rsidR="00E872BB" w:rsidRPr="00E71C4C" w:rsidRDefault="00E872BB" w:rsidP="00037A18">
      <w:pPr>
        <w:pStyle w:val="Heading2"/>
        <w:spacing w:after="120"/>
        <w:ind w:left="567" w:right="1020" w:firstLine="567"/>
        <w:jc w:val="both"/>
        <w:rPr>
          <w:i/>
          <w:lang w:val="en-US"/>
        </w:rPr>
      </w:pPr>
      <w:r w:rsidRPr="00E71C4C">
        <w:rPr>
          <w:i/>
          <w:lang w:val="en-US"/>
        </w:rPr>
        <w:t xml:space="preserve">International Code of Conduct for Private Security Service Providers </w:t>
      </w:r>
      <w:r w:rsidRPr="00E71C4C">
        <w:rPr>
          <w:i/>
          <w:lang w:val="en-US"/>
        </w:rPr>
        <w:tab/>
      </w:r>
    </w:p>
    <w:p w14:paraId="5E012F1C" w14:textId="5CC994C1" w:rsidR="00E872BB" w:rsidRPr="00DA55BF" w:rsidRDefault="00884067" w:rsidP="00DA55BF">
      <w:pPr>
        <w:pStyle w:val="SingleTxtG"/>
      </w:pPr>
      <w:r>
        <w:t>81</w:t>
      </w:r>
      <w:r w:rsidR="00DA55BF">
        <w:t>.</w:t>
      </w:r>
      <w:r w:rsidR="00DA55BF">
        <w:tab/>
      </w:r>
      <w:r w:rsidR="00E872BB" w:rsidRPr="00DA55BF">
        <w:t>The International Code of Conduct for Private Security Providers’ Association (ICoCA) is a multi-stakeholder initiative established as a Swiss non-profit association.  All members</w:t>
      </w:r>
      <w:r w:rsidR="003316C3">
        <w:t>,</w:t>
      </w:r>
      <w:r w:rsidR="00E872BB" w:rsidRPr="00DA55BF">
        <w:t xml:space="preserve"> States, private security companies and civil society organizations (the three ‘pillars’)</w:t>
      </w:r>
      <w:r w:rsidR="003316C3">
        <w:t xml:space="preserve"> </w:t>
      </w:r>
      <w:r w:rsidR="00E872BB" w:rsidRPr="00DA55BF">
        <w:t>form part of the General Assembly.</w:t>
      </w:r>
      <w:r w:rsidR="00694A42">
        <w:t xml:space="preserve"> There are currently </w:t>
      </w:r>
    </w:p>
    <w:p w14:paraId="39ACF07C" w14:textId="7362F41C" w:rsidR="00E872BB" w:rsidRPr="00DA55BF" w:rsidRDefault="00884067" w:rsidP="00DA55BF">
      <w:pPr>
        <w:pStyle w:val="SingleTxtG"/>
      </w:pPr>
      <w:r>
        <w:t>82</w:t>
      </w:r>
      <w:r w:rsidR="00DA55BF">
        <w:t>.</w:t>
      </w:r>
      <w:r w:rsidR="00DA55BF">
        <w:tab/>
      </w:r>
      <w:r w:rsidR="00E872BB" w:rsidRPr="00DA55BF">
        <w:t xml:space="preserve">The ICoCA is guided by the principles of the Code of Conduct. These include a commitment to good governance, respect for human rights and international humanitarian law, and a high standard of professional conduct. The ICoCA strives to ensure protection and provide remedy to victims of abuse by private security providers. The ICoCA endeavors to prevent excessive use of force; to prevent torture and other degrading treatments or punishments; to prevent sexual exploitation and abuse, and gender-based violence; to prevent human trafficking, slavery and forced labour; to protect the rights of children; and to prevent discrimination. </w:t>
      </w:r>
    </w:p>
    <w:p w14:paraId="16670B84" w14:textId="44CC0B52" w:rsidR="00696E28" w:rsidRDefault="00884067" w:rsidP="00696E28">
      <w:pPr>
        <w:pStyle w:val="SingleTxtG"/>
      </w:pPr>
      <w:r>
        <w:lastRenderedPageBreak/>
        <w:t>83</w:t>
      </w:r>
      <w:r w:rsidR="00DA55BF">
        <w:t>.</w:t>
      </w:r>
      <w:r w:rsidR="00DA55BF">
        <w:tab/>
      </w:r>
      <w:r w:rsidR="00E872BB" w:rsidRPr="00004670">
        <w:t>Currently, Austria</w:t>
      </w:r>
      <w:r w:rsidR="003316C3" w:rsidRPr="00004670">
        <w:t xml:space="preserve"> is not part of the </w:t>
      </w:r>
      <w:r w:rsidR="00885093" w:rsidRPr="00004670">
        <w:t>ICOCA</w:t>
      </w:r>
      <w:r w:rsidR="003316C3" w:rsidRPr="00004670">
        <w:t xml:space="preserve"> and no private security c</w:t>
      </w:r>
      <w:r w:rsidR="00E872BB" w:rsidRPr="00004670">
        <w:t xml:space="preserve">ompanies based in Austria are members to ICoCA. </w:t>
      </w:r>
      <w:r w:rsidR="00D02123" w:rsidRPr="00004670">
        <w:t>During the discussions</w:t>
      </w:r>
      <w:r w:rsidR="00694A42">
        <w:t xml:space="preserve"> with the Working Group</w:t>
      </w:r>
      <w:r w:rsidR="00D02123" w:rsidRPr="00004670">
        <w:t>, the Austrian authorities noted that the</w:t>
      </w:r>
      <w:r w:rsidR="003316C3" w:rsidRPr="00004670">
        <w:t>y felt that it was not necessary to</w:t>
      </w:r>
      <w:r w:rsidR="00CD43F0" w:rsidRPr="00004670">
        <w:t xml:space="preserve"> </w:t>
      </w:r>
      <w:r w:rsidR="00696E28" w:rsidRPr="00004670">
        <w:t>be members of the ICOCA as they did not engage private military and security companies. Further, the requirement for membership may result in differential treatment of private security companies, some</w:t>
      </w:r>
      <w:r w:rsidR="00694A42">
        <w:t xml:space="preserve"> of</w:t>
      </w:r>
      <w:r w:rsidR="00696E28" w:rsidRPr="00004670">
        <w:t xml:space="preserve"> which may be able to fulfil the criteria for membership and therefore have advantage in securing contracts over those who cannot afford to be members. </w:t>
      </w:r>
      <w:r w:rsidR="00694A42">
        <w:t xml:space="preserve">In this sense, Austria did not feel the need to become a member of the association, stating that their current regulations were sufficient to cover the private security industry. </w:t>
      </w:r>
      <w:r w:rsidR="00696E28">
        <w:t xml:space="preserve"> </w:t>
      </w:r>
    </w:p>
    <w:p w14:paraId="23EC52E6" w14:textId="0DA0D715" w:rsidR="00E872BB" w:rsidRPr="00DA55BF" w:rsidRDefault="00696E28" w:rsidP="00DA55BF">
      <w:pPr>
        <w:pStyle w:val="SingleTxtG"/>
      </w:pPr>
      <w:r>
        <w:t>84.</w:t>
      </w:r>
      <w:r>
        <w:tab/>
      </w:r>
      <w:r w:rsidRPr="00696E28">
        <w:t xml:space="preserve">The </w:t>
      </w:r>
      <w:r>
        <w:t>W</w:t>
      </w:r>
      <w:r w:rsidRPr="00696E28">
        <w:t xml:space="preserve">orking Group however, reiterated the </w:t>
      </w:r>
      <w:r>
        <w:t xml:space="preserve">utility of </w:t>
      </w:r>
      <w:r w:rsidRPr="00696E28">
        <w:t>ICOCA</w:t>
      </w:r>
      <w:r>
        <w:t xml:space="preserve"> membership</w:t>
      </w:r>
      <w:r w:rsidRPr="00696E28">
        <w:t xml:space="preserve"> in that it requires standards for a company to meet in order to be certified as being in good standing. This </w:t>
      </w:r>
      <w:r w:rsidR="00694A42">
        <w:t>means</w:t>
      </w:r>
      <w:r w:rsidR="00694A42" w:rsidRPr="00696E28">
        <w:t xml:space="preserve"> </w:t>
      </w:r>
      <w:r w:rsidRPr="00696E28">
        <w:t xml:space="preserve">that the company has </w:t>
      </w:r>
      <w:r w:rsidR="00513C7D">
        <w:t xml:space="preserve">been </w:t>
      </w:r>
      <w:r w:rsidR="00E57D41">
        <w:t xml:space="preserve">vetted and inspected and found to be compliant with relevant </w:t>
      </w:r>
      <w:r w:rsidRPr="00696E28">
        <w:t>human rights standards</w:t>
      </w:r>
      <w:r w:rsidR="00E57D41">
        <w:t xml:space="preserve">. </w:t>
      </w:r>
      <w:r w:rsidRPr="00696E28">
        <w:t xml:space="preserve">Further, </w:t>
      </w:r>
      <w:r w:rsidR="00B51899">
        <w:t xml:space="preserve">as a result of membership, </w:t>
      </w:r>
      <w:r w:rsidRPr="00696E28">
        <w:t xml:space="preserve">these companies are </w:t>
      </w:r>
      <w:r w:rsidR="00694A42">
        <w:t xml:space="preserve">then </w:t>
      </w:r>
      <w:r w:rsidRPr="00696E28">
        <w:t>required to provide a grievance mechanism</w:t>
      </w:r>
      <w:r w:rsidR="00B51899">
        <w:t xml:space="preserve"> to address situations w</w:t>
      </w:r>
      <w:r w:rsidRPr="00696E28">
        <w:t>here human rights abuses o</w:t>
      </w:r>
      <w:r w:rsidR="003F4B93">
        <w:t>r offences h</w:t>
      </w:r>
      <w:r w:rsidR="005F0BBC">
        <w:t>ave been committed</w:t>
      </w:r>
      <w:r w:rsidR="00792E4F">
        <w:t xml:space="preserve">, a positive practice that helps ensure </w:t>
      </w:r>
      <w:r w:rsidR="002970EC">
        <w:t xml:space="preserve">accountability. </w:t>
      </w:r>
    </w:p>
    <w:p w14:paraId="35FC6746" w14:textId="40A1B97A" w:rsidR="00DE4F78" w:rsidRPr="00E71C4C" w:rsidRDefault="00DE4F78" w:rsidP="00DA55BF">
      <w:pPr>
        <w:pStyle w:val="HChG"/>
      </w:pPr>
      <w:r w:rsidRPr="00E71C4C">
        <w:tab/>
      </w:r>
      <w:r w:rsidR="00DA55BF">
        <w:t>I</w:t>
      </w:r>
      <w:r w:rsidRPr="00E71C4C">
        <w:t>V.</w:t>
      </w:r>
      <w:r w:rsidRPr="00E71C4C">
        <w:tab/>
        <w:t>C</w:t>
      </w:r>
      <w:r w:rsidR="00037A18" w:rsidRPr="00E71C4C">
        <w:t xml:space="preserve">onclusions and recommendations  </w:t>
      </w:r>
    </w:p>
    <w:p w14:paraId="357DA7D1" w14:textId="6E606006" w:rsidR="00C406C4" w:rsidRPr="003C35BF" w:rsidRDefault="007E3686" w:rsidP="003C35BF">
      <w:pPr>
        <w:pStyle w:val="SingleTxtG"/>
        <w:rPr>
          <w:b/>
        </w:rPr>
      </w:pPr>
      <w:r w:rsidRPr="004B1D55">
        <w:t>84</w:t>
      </w:r>
      <w:r w:rsidR="003C35BF" w:rsidRPr="004B1D55">
        <w:t>.</w:t>
      </w:r>
      <w:r w:rsidR="003C35BF">
        <w:rPr>
          <w:b/>
        </w:rPr>
        <w:tab/>
      </w:r>
      <w:r w:rsidR="00DE4F78" w:rsidRPr="003C35BF">
        <w:rPr>
          <w:b/>
        </w:rPr>
        <w:t xml:space="preserve">Austria </w:t>
      </w:r>
      <w:r w:rsidR="00624BEE">
        <w:rPr>
          <w:b/>
        </w:rPr>
        <w:t xml:space="preserve">is at an important junction in dealing with the foreign fighter phenomenon. With all the initiatives that it has initiated, one of the </w:t>
      </w:r>
      <w:r w:rsidR="00744E74">
        <w:rPr>
          <w:b/>
        </w:rPr>
        <w:t>important</w:t>
      </w:r>
      <w:r w:rsidR="00624BEE">
        <w:rPr>
          <w:b/>
        </w:rPr>
        <w:t xml:space="preserve"> priorit</w:t>
      </w:r>
      <w:r w:rsidR="00744E74">
        <w:rPr>
          <w:b/>
        </w:rPr>
        <w:t>ies</w:t>
      </w:r>
      <w:r w:rsidR="00624BEE">
        <w:rPr>
          <w:b/>
        </w:rPr>
        <w:t xml:space="preserve"> for the Government is to effectively</w:t>
      </w:r>
      <w:r w:rsidR="00DE4F78" w:rsidRPr="003C35BF">
        <w:rPr>
          <w:b/>
        </w:rPr>
        <w:t xml:space="preserve"> address the root causes of violent extremism and radicalisation to </w:t>
      </w:r>
      <w:r w:rsidR="00E82306">
        <w:rPr>
          <w:b/>
        </w:rPr>
        <w:t>prevent</w:t>
      </w:r>
      <w:r w:rsidR="00DE4F78" w:rsidRPr="003C35BF">
        <w:rPr>
          <w:b/>
        </w:rPr>
        <w:t xml:space="preserve"> its nationals and residents</w:t>
      </w:r>
      <w:r w:rsidR="00E82306">
        <w:rPr>
          <w:b/>
        </w:rPr>
        <w:t xml:space="preserve"> from</w:t>
      </w:r>
      <w:r w:rsidR="00DE4F78" w:rsidRPr="003C35BF">
        <w:rPr>
          <w:b/>
        </w:rPr>
        <w:t xml:space="preserve"> travelling abroad to fight in confli</w:t>
      </w:r>
      <w:r w:rsidR="00C406C4" w:rsidRPr="003C35BF">
        <w:rPr>
          <w:b/>
        </w:rPr>
        <w:t>ct zones such as Iraq and Syria</w:t>
      </w:r>
      <w:r w:rsidR="00DE4F78" w:rsidRPr="003C35BF">
        <w:rPr>
          <w:b/>
        </w:rPr>
        <w:t>. Government efforts to strengthen national security and the ability of law enforcement agencies to intercept individuals attempting to join and fight with groups properly designated as ‘terrorists’ are understandable and necessary. However, if excessively focused on punishment, these efforts can have the effect of increasing radicalisation and extremism. Addressing the root causes of radicalisation and violent extremism, which include a myriad of social and economic factors, can lead to more effective long-term solutions</w:t>
      </w:r>
      <w:r w:rsidR="00C406C4" w:rsidRPr="003C35BF">
        <w:rPr>
          <w:b/>
        </w:rPr>
        <w:t>.</w:t>
      </w:r>
    </w:p>
    <w:p w14:paraId="29633D2A" w14:textId="77777777" w:rsidR="00744E74" w:rsidRDefault="007E3686" w:rsidP="003C35BF">
      <w:pPr>
        <w:pStyle w:val="SingleTxtG"/>
        <w:rPr>
          <w:b/>
        </w:rPr>
      </w:pPr>
      <w:r w:rsidRPr="004B1D55">
        <w:t>85</w:t>
      </w:r>
      <w:r w:rsidR="003C35BF" w:rsidRPr="004B1D55">
        <w:t>.</w:t>
      </w:r>
      <w:r w:rsidR="003C35BF" w:rsidRPr="004B1D55">
        <w:tab/>
      </w:r>
      <w:r w:rsidR="00C406C4" w:rsidRPr="003C35BF">
        <w:rPr>
          <w:b/>
        </w:rPr>
        <w:t>With regard to private security companies, the Working Group commends the Government of Austria for its track record</w:t>
      </w:r>
      <w:r w:rsidR="00D9275E" w:rsidRPr="003C35BF">
        <w:rPr>
          <w:b/>
        </w:rPr>
        <w:t xml:space="preserve"> in avoiding outsourcing of government functions to private military and security companies.</w:t>
      </w:r>
    </w:p>
    <w:p w14:paraId="7ADF4353" w14:textId="0250A9EA" w:rsidR="00DE4F78" w:rsidRPr="003C35BF" w:rsidRDefault="00744E74" w:rsidP="003C35BF">
      <w:pPr>
        <w:pStyle w:val="SingleTxtG"/>
        <w:rPr>
          <w:b/>
        </w:rPr>
      </w:pPr>
      <w:r w:rsidRPr="004B1D55">
        <w:t>86.</w:t>
      </w:r>
      <w:r>
        <w:rPr>
          <w:b/>
        </w:rPr>
        <w:tab/>
        <w:t xml:space="preserve">In light of the findings relating to the foreign fighter phenomenon and the private security company industry in Austria, </w:t>
      </w:r>
      <w:r w:rsidR="00D9275E" w:rsidRPr="003C35BF">
        <w:rPr>
          <w:b/>
        </w:rPr>
        <w:t xml:space="preserve"> </w:t>
      </w:r>
      <w:r>
        <w:rPr>
          <w:b/>
        </w:rPr>
        <w:t>t</w:t>
      </w:r>
      <w:r w:rsidR="00C406C4" w:rsidRPr="003C35BF">
        <w:rPr>
          <w:b/>
        </w:rPr>
        <w:t xml:space="preserve">he Working Group thus provides the following recommendations: </w:t>
      </w:r>
    </w:p>
    <w:p w14:paraId="56564D03" w14:textId="6B93207D" w:rsidR="00813813" w:rsidRPr="003C35BF" w:rsidRDefault="00BE4779" w:rsidP="003C35BF">
      <w:pPr>
        <w:pStyle w:val="SingleTxtG"/>
        <w:rPr>
          <w:rStyle w:val="eop"/>
          <w:b/>
        </w:rPr>
      </w:pPr>
      <w:r w:rsidRPr="004B1D55">
        <w:rPr>
          <w:rStyle w:val="eop"/>
        </w:rPr>
        <w:t>8</w:t>
      </w:r>
      <w:r w:rsidR="00744E74" w:rsidRPr="004B1D55">
        <w:rPr>
          <w:rStyle w:val="eop"/>
        </w:rPr>
        <w:t>7</w:t>
      </w:r>
      <w:r w:rsidR="003C35BF" w:rsidRPr="004B1D55">
        <w:rPr>
          <w:rStyle w:val="eop"/>
        </w:rPr>
        <w:t>.</w:t>
      </w:r>
      <w:r w:rsidR="003C35BF">
        <w:rPr>
          <w:rStyle w:val="eop"/>
          <w:b/>
        </w:rPr>
        <w:tab/>
      </w:r>
      <w:r w:rsidR="00813813" w:rsidRPr="003C35BF">
        <w:rPr>
          <w:rStyle w:val="normaltextrun1"/>
          <w:b/>
        </w:rPr>
        <w:t>Ensure the laws and policies addressing the foreign fighter phenomenon align with international human rights standards. </w:t>
      </w:r>
      <w:r w:rsidR="00813813" w:rsidRPr="003C35BF">
        <w:rPr>
          <w:rStyle w:val="eop"/>
          <w:b/>
        </w:rPr>
        <w:t> </w:t>
      </w:r>
    </w:p>
    <w:p w14:paraId="1118F4D5" w14:textId="06525B3E" w:rsidR="00813813" w:rsidRPr="003C35BF" w:rsidRDefault="007E3686" w:rsidP="003C35BF">
      <w:pPr>
        <w:pStyle w:val="SingleTxtG"/>
        <w:rPr>
          <w:rStyle w:val="eop"/>
          <w:b/>
        </w:rPr>
      </w:pPr>
      <w:r w:rsidRPr="004B1D55">
        <w:rPr>
          <w:rStyle w:val="normaltextrun1"/>
        </w:rPr>
        <w:t>8</w:t>
      </w:r>
      <w:r w:rsidR="00744E74" w:rsidRPr="004B1D55">
        <w:rPr>
          <w:rStyle w:val="normaltextrun1"/>
        </w:rPr>
        <w:t>8</w:t>
      </w:r>
      <w:r w:rsidR="003C35BF" w:rsidRPr="004B1D55">
        <w:rPr>
          <w:rStyle w:val="normaltextrun1"/>
        </w:rPr>
        <w:t>.</w:t>
      </w:r>
      <w:r w:rsidR="003C35BF">
        <w:rPr>
          <w:rStyle w:val="normaltextrun1"/>
          <w:b/>
        </w:rPr>
        <w:tab/>
      </w:r>
      <w:r w:rsidR="00813813" w:rsidRPr="003C35BF">
        <w:rPr>
          <w:rStyle w:val="normaltextrun1"/>
          <w:b/>
        </w:rPr>
        <w:t xml:space="preserve">Ensure that integration policy aligns with international human rights standards to ensure social cohesion and not further </w:t>
      </w:r>
      <w:r w:rsidR="00813813" w:rsidRPr="003C35BF">
        <w:rPr>
          <w:rStyle w:val="spellingerror"/>
          <w:b/>
        </w:rPr>
        <w:t>marginalisation</w:t>
      </w:r>
      <w:r w:rsidR="00813813" w:rsidRPr="003C35BF">
        <w:rPr>
          <w:rStyle w:val="normaltextrun1"/>
          <w:b/>
        </w:rPr>
        <w:t>.</w:t>
      </w:r>
      <w:r w:rsidR="00813813" w:rsidRPr="003C35BF">
        <w:rPr>
          <w:rStyle w:val="eop"/>
          <w:b/>
        </w:rPr>
        <w:t> </w:t>
      </w:r>
    </w:p>
    <w:p w14:paraId="122DAB85" w14:textId="22715DC0" w:rsidR="00813813" w:rsidRPr="003C35BF" w:rsidRDefault="007E3686" w:rsidP="003C35BF">
      <w:pPr>
        <w:pStyle w:val="SingleTxtG"/>
        <w:rPr>
          <w:b/>
        </w:rPr>
      </w:pPr>
      <w:r w:rsidRPr="004B1D55">
        <w:t>89</w:t>
      </w:r>
      <w:r w:rsidR="003C35BF" w:rsidRPr="004B1D55">
        <w:t>.</w:t>
      </w:r>
      <w:r w:rsidR="003C35BF">
        <w:rPr>
          <w:b/>
        </w:rPr>
        <w:tab/>
      </w:r>
      <w:r w:rsidR="00813813" w:rsidRPr="003C35BF">
        <w:rPr>
          <w:b/>
        </w:rPr>
        <w:t>Adopt and finalise the national strategy on de-radicalization and prevention of violent extremism, and ensure the inclusion of valuable contributions from the community and civil society organizations working and specialising on these issues.</w:t>
      </w:r>
    </w:p>
    <w:p w14:paraId="7CFB816E" w14:textId="11AAA103" w:rsidR="00DE4F78" w:rsidRPr="003C35BF" w:rsidRDefault="007E3686" w:rsidP="003C35BF">
      <w:pPr>
        <w:pStyle w:val="SingleTxtG"/>
        <w:rPr>
          <w:rStyle w:val="eop"/>
          <w:b/>
        </w:rPr>
      </w:pPr>
      <w:r w:rsidRPr="004B1D55">
        <w:rPr>
          <w:rStyle w:val="eop"/>
        </w:rPr>
        <w:t>90</w:t>
      </w:r>
      <w:r w:rsidR="003C35BF" w:rsidRPr="004B1D55">
        <w:rPr>
          <w:rStyle w:val="eop"/>
        </w:rPr>
        <w:t>.</w:t>
      </w:r>
      <w:r w:rsidR="003C35BF">
        <w:rPr>
          <w:rStyle w:val="eop"/>
          <w:b/>
        </w:rPr>
        <w:tab/>
      </w:r>
      <w:r w:rsidR="00813813" w:rsidRPr="003C35BF">
        <w:rPr>
          <w:rStyle w:val="normaltextrun1"/>
          <w:b/>
        </w:rPr>
        <w:t>Ensure the national</w:t>
      </w:r>
      <w:r w:rsidR="00DE4F78" w:rsidRPr="003C35BF">
        <w:rPr>
          <w:rStyle w:val="normaltextrun1"/>
          <w:b/>
        </w:rPr>
        <w:t xml:space="preserve"> strategy on de-</w:t>
      </w:r>
      <w:r w:rsidR="00DE4F78" w:rsidRPr="003C35BF">
        <w:rPr>
          <w:rStyle w:val="spellingerror"/>
          <w:b/>
        </w:rPr>
        <w:t>radicalisation</w:t>
      </w:r>
      <w:r w:rsidR="00DE4F78" w:rsidRPr="003C35BF">
        <w:rPr>
          <w:rStyle w:val="normaltextrun1"/>
          <w:b/>
        </w:rPr>
        <w:t xml:space="preserve"> a</w:t>
      </w:r>
      <w:r w:rsidR="00813813" w:rsidRPr="003C35BF">
        <w:rPr>
          <w:rStyle w:val="normaltextrun1"/>
          <w:b/>
        </w:rPr>
        <w:t>nd preventing violent extremism and measures are not focused e</w:t>
      </w:r>
      <w:r w:rsidR="00DE4F78" w:rsidRPr="003C35BF">
        <w:rPr>
          <w:rStyle w:val="normaltextrun1"/>
          <w:b/>
        </w:rPr>
        <w:t>xcessively on law enforcement but also on social needs that are currently being addressed by child services, social and health care services, prison and probation related services, schools and so forth. </w:t>
      </w:r>
      <w:r w:rsidR="00DE4F78" w:rsidRPr="003C35BF">
        <w:rPr>
          <w:rStyle w:val="eop"/>
          <w:b/>
        </w:rPr>
        <w:t> </w:t>
      </w:r>
    </w:p>
    <w:p w14:paraId="0DF555EA" w14:textId="7EBDBFF2" w:rsidR="00813813" w:rsidRPr="003C35BF" w:rsidRDefault="007E3686" w:rsidP="003C35BF">
      <w:pPr>
        <w:pStyle w:val="SingleTxtG"/>
        <w:rPr>
          <w:b/>
        </w:rPr>
      </w:pPr>
      <w:r w:rsidRPr="004B1D55">
        <w:rPr>
          <w:rStyle w:val="normaltextrun1"/>
        </w:rPr>
        <w:t>91</w:t>
      </w:r>
      <w:r w:rsidR="003C35BF" w:rsidRPr="004B1D55">
        <w:rPr>
          <w:rStyle w:val="normaltextrun1"/>
        </w:rPr>
        <w:t>.</w:t>
      </w:r>
      <w:r w:rsidR="003C35BF">
        <w:rPr>
          <w:rStyle w:val="normaltextrun1"/>
          <w:b/>
        </w:rPr>
        <w:tab/>
      </w:r>
      <w:r w:rsidR="00DE4F78" w:rsidRPr="003C35BF">
        <w:rPr>
          <w:rStyle w:val="normaltextrun1"/>
          <w:b/>
        </w:rPr>
        <w:t>Good practice models including the multi-agency approach on de-</w:t>
      </w:r>
      <w:r w:rsidR="00DE4F78" w:rsidRPr="003C35BF">
        <w:rPr>
          <w:rStyle w:val="spellingerror"/>
          <w:b/>
        </w:rPr>
        <w:t>radicalisation</w:t>
      </w:r>
      <w:r w:rsidR="00DE4F78" w:rsidRPr="003C35BF">
        <w:rPr>
          <w:rStyle w:val="normaltextrun1"/>
          <w:b/>
        </w:rPr>
        <w:t xml:space="preserve"> should be supported, including with funding, to ensure sustainability. </w:t>
      </w:r>
      <w:r w:rsidR="00DE4F78" w:rsidRPr="003C35BF">
        <w:rPr>
          <w:rStyle w:val="eop"/>
          <w:b/>
        </w:rPr>
        <w:t> </w:t>
      </w:r>
      <w:r w:rsidR="00813813" w:rsidRPr="003C35BF">
        <w:rPr>
          <w:b/>
        </w:rPr>
        <w:t>More funding and  ful</w:t>
      </w:r>
      <w:r w:rsidR="00BE4779">
        <w:rPr>
          <w:b/>
        </w:rPr>
        <w:t xml:space="preserve">ly integrating these practices </w:t>
      </w:r>
      <w:r w:rsidR="00813813" w:rsidRPr="003C35BF">
        <w:rPr>
          <w:b/>
        </w:rPr>
        <w:t>through the broadest possible participation</w:t>
      </w:r>
      <w:r w:rsidR="00BE4779">
        <w:rPr>
          <w:b/>
        </w:rPr>
        <w:t xml:space="preserve"> are critical</w:t>
      </w:r>
      <w:r w:rsidR="00813813" w:rsidRPr="003C35BF">
        <w:rPr>
          <w:b/>
        </w:rPr>
        <w:t>,</w:t>
      </w:r>
      <w:r w:rsidR="00BE4779">
        <w:rPr>
          <w:b/>
        </w:rPr>
        <w:t xml:space="preserve"> as well as</w:t>
      </w:r>
      <w:r w:rsidR="00813813" w:rsidRPr="003C35BF">
        <w:rPr>
          <w:b/>
        </w:rPr>
        <w:t xml:space="preserve"> ensuring that it is informed by multidisciplinary in-depth research and analysis. </w:t>
      </w:r>
    </w:p>
    <w:p w14:paraId="608EAA3A" w14:textId="7C44BFF7" w:rsidR="00E1742E" w:rsidRPr="003C35BF" w:rsidRDefault="007E3686" w:rsidP="003C35BF">
      <w:pPr>
        <w:pStyle w:val="SingleTxtG"/>
        <w:rPr>
          <w:b/>
        </w:rPr>
      </w:pPr>
      <w:r w:rsidRPr="004B1D55">
        <w:t>92</w:t>
      </w:r>
      <w:r w:rsidR="003C35BF" w:rsidRPr="004B1D55">
        <w:t>.</w:t>
      </w:r>
      <w:r w:rsidR="003C35BF">
        <w:rPr>
          <w:b/>
        </w:rPr>
        <w:tab/>
      </w:r>
      <w:r w:rsidR="001536E5" w:rsidRPr="003C35BF">
        <w:rPr>
          <w:b/>
        </w:rPr>
        <w:t xml:space="preserve">Given the </w:t>
      </w:r>
      <w:r w:rsidR="00105AB8" w:rsidRPr="003C35BF">
        <w:rPr>
          <w:b/>
        </w:rPr>
        <w:t>myriad</w:t>
      </w:r>
      <w:r w:rsidR="001536E5" w:rsidRPr="003C35BF">
        <w:rPr>
          <w:b/>
        </w:rPr>
        <w:t xml:space="preserve"> of actors </w:t>
      </w:r>
      <w:r w:rsidR="00105AB8" w:rsidRPr="003C35BF">
        <w:rPr>
          <w:b/>
        </w:rPr>
        <w:t xml:space="preserve">and </w:t>
      </w:r>
      <w:r w:rsidR="001536E5" w:rsidRPr="003C35BF">
        <w:rPr>
          <w:b/>
        </w:rPr>
        <w:t xml:space="preserve">initiatives on foreign fighters, the Working Group </w:t>
      </w:r>
      <w:r w:rsidR="00BE4779">
        <w:rPr>
          <w:b/>
        </w:rPr>
        <w:t>observes that it is</w:t>
      </w:r>
      <w:r w:rsidR="001536E5" w:rsidRPr="003C35BF">
        <w:rPr>
          <w:b/>
        </w:rPr>
        <w:t xml:space="preserve"> critical to ensure effective collaboration between the various entities </w:t>
      </w:r>
      <w:r w:rsidR="00105AB8" w:rsidRPr="003C35BF">
        <w:rPr>
          <w:b/>
        </w:rPr>
        <w:t xml:space="preserve">to address the root causes that prompt individuals to travel abroad and engage </w:t>
      </w:r>
      <w:r w:rsidR="00105AB8" w:rsidRPr="003C35BF">
        <w:rPr>
          <w:b/>
        </w:rPr>
        <w:lastRenderedPageBreak/>
        <w:t>as foreign fighters</w:t>
      </w:r>
      <w:r w:rsidR="00D34C93">
        <w:rPr>
          <w:b/>
        </w:rPr>
        <w:t xml:space="preserve">. Additional and ongoing research into motivational factors is critical to forming responses that are effective in addressing causes. </w:t>
      </w:r>
    </w:p>
    <w:p w14:paraId="4F68BA8C" w14:textId="784BD71D" w:rsidR="001536E5" w:rsidRPr="003C35BF" w:rsidRDefault="007E3686" w:rsidP="003C35BF">
      <w:pPr>
        <w:pStyle w:val="SingleTxtG"/>
        <w:rPr>
          <w:b/>
        </w:rPr>
      </w:pPr>
      <w:r w:rsidRPr="004B1D55">
        <w:t>93</w:t>
      </w:r>
      <w:r w:rsidR="003C35BF" w:rsidRPr="004B1D55">
        <w:t>.</w:t>
      </w:r>
      <w:r w:rsidR="003C35BF">
        <w:rPr>
          <w:b/>
        </w:rPr>
        <w:tab/>
      </w:r>
      <w:r w:rsidR="00FE025F">
        <w:rPr>
          <w:b/>
        </w:rPr>
        <w:t xml:space="preserve">Ensure that any </w:t>
      </w:r>
      <w:r w:rsidR="00D34C93">
        <w:rPr>
          <w:b/>
        </w:rPr>
        <w:t>plan or policy on deradicalisation and prevention of violent extremism</w:t>
      </w:r>
      <w:r w:rsidR="001536E5" w:rsidRPr="003C35BF">
        <w:rPr>
          <w:b/>
        </w:rPr>
        <w:t xml:space="preserve"> </w:t>
      </w:r>
      <w:r w:rsidR="00FE025F">
        <w:rPr>
          <w:b/>
        </w:rPr>
        <w:t>should have a</w:t>
      </w:r>
      <w:r w:rsidR="001536E5" w:rsidRPr="003C35BF">
        <w:rPr>
          <w:b/>
        </w:rPr>
        <w:t xml:space="preserve"> clear understanding and valuing of respective expertise and roles</w:t>
      </w:r>
      <w:r w:rsidR="00FE025F">
        <w:rPr>
          <w:b/>
        </w:rPr>
        <w:t xml:space="preserve"> of multi-sectoral actors working in this domain</w:t>
      </w:r>
      <w:r w:rsidR="001536E5" w:rsidRPr="003C35BF">
        <w:rPr>
          <w:b/>
        </w:rPr>
        <w:t xml:space="preserve">. It should also attract the necessary resources for full implementation immediately and in the medium and long term, with a budget that is based on consultation and strikes more of a balance between expenditure on preventive and social measures. It must adopt a human rights-based approach in all stages of implementation, and particular attention should be paid to the inclusion of especially affected communities, with clear indicators, as well as monitoring and evaluation of related programmes. </w:t>
      </w:r>
    </w:p>
    <w:p w14:paraId="77611354" w14:textId="571ED413" w:rsidR="00E1742E" w:rsidRPr="003C35BF" w:rsidRDefault="007E3686" w:rsidP="003C35BF">
      <w:pPr>
        <w:pStyle w:val="SingleTxtG"/>
        <w:rPr>
          <w:b/>
        </w:rPr>
      </w:pPr>
      <w:r w:rsidRPr="004B1D55">
        <w:t>94</w:t>
      </w:r>
      <w:r w:rsidR="003C35BF" w:rsidRPr="004B1D55">
        <w:t>.</w:t>
      </w:r>
      <w:r w:rsidR="003C35BF">
        <w:rPr>
          <w:b/>
        </w:rPr>
        <w:tab/>
      </w:r>
      <w:r w:rsidR="003D0A87">
        <w:rPr>
          <w:b/>
        </w:rPr>
        <w:t xml:space="preserve">Government </w:t>
      </w:r>
      <w:r w:rsidR="001536E5" w:rsidRPr="003C35BF">
        <w:rPr>
          <w:b/>
        </w:rPr>
        <w:t xml:space="preserve">efforts </w:t>
      </w:r>
      <w:r w:rsidR="003D0A87">
        <w:rPr>
          <w:b/>
        </w:rPr>
        <w:t>aimed at combating the foreign fighter</w:t>
      </w:r>
      <w:r w:rsidR="001536E5" w:rsidRPr="003C35BF">
        <w:rPr>
          <w:b/>
        </w:rPr>
        <w:t xml:space="preserve"> phenomenon</w:t>
      </w:r>
      <w:r w:rsidR="003D0A87">
        <w:rPr>
          <w:b/>
        </w:rPr>
        <w:t xml:space="preserve"> should</w:t>
      </w:r>
      <w:r w:rsidR="001536E5" w:rsidRPr="003C35BF">
        <w:rPr>
          <w:b/>
        </w:rPr>
        <w:t xml:space="preserve"> place strong emphasis on the social dimension, including integration, equality and non-discrimination, in keeping with international human rights standards and the obligations of </w:t>
      </w:r>
      <w:r w:rsidR="00CC7F39" w:rsidRPr="003C35BF">
        <w:rPr>
          <w:b/>
        </w:rPr>
        <w:t xml:space="preserve">Austria </w:t>
      </w:r>
      <w:r w:rsidR="001536E5" w:rsidRPr="003C35BF">
        <w:rPr>
          <w:b/>
        </w:rPr>
        <w:t xml:space="preserve">as a State party to the International Covenant on Economic, Social and Cultural Rights, the International Covenant on Civil and Political Rights, the International Convention on the Elimination of All Forms of Racial Discrimination and all the other core human rights instruments. </w:t>
      </w:r>
    </w:p>
    <w:p w14:paraId="6B2B2192" w14:textId="57D58CD9" w:rsidR="001536E5" w:rsidRPr="003C35BF" w:rsidRDefault="007E3686" w:rsidP="003C35BF">
      <w:pPr>
        <w:pStyle w:val="SingleTxtG"/>
        <w:rPr>
          <w:b/>
        </w:rPr>
      </w:pPr>
      <w:r w:rsidRPr="004B1D55">
        <w:t>95</w:t>
      </w:r>
      <w:r w:rsidR="003C35BF" w:rsidRPr="004B1D55">
        <w:t>.</w:t>
      </w:r>
      <w:r w:rsidR="003C35BF">
        <w:rPr>
          <w:b/>
        </w:rPr>
        <w:tab/>
      </w:r>
      <w:r w:rsidR="008101D1">
        <w:rPr>
          <w:b/>
        </w:rPr>
        <w:t xml:space="preserve">Special consideration should </w:t>
      </w:r>
      <w:r w:rsidR="001536E5" w:rsidRPr="003C35BF">
        <w:rPr>
          <w:b/>
        </w:rPr>
        <w:t xml:space="preserve">be given to addressing issues that lead to Islamophobia and anti-immigrant sentiment in the country, with recognition in schools and cultural programming of Muslims and the history and contributions of migrants to </w:t>
      </w:r>
      <w:r w:rsidR="00E1742E" w:rsidRPr="003C35BF">
        <w:rPr>
          <w:b/>
        </w:rPr>
        <w:t xml:space="preserve">Austrian </w:t>
      </w:r>
      <w:r w:rsidR="001536E5" w:rsidRPr="003C35BF">
        <w:rPr>
          <w:b/>
        </w:rPr>
        <w:t xml:space="preserve">society. </w:t>
      </w:r>
    </w:p>
    <w:p w14:paraId="3B9BEDB9" w14:textId="59E5DAF3" w:rsidR="001536E5" w:rsidRPr="003C35BF" w:rsidRDefault="007E3686" w:rsidP="003C35BF">
      <w:pPr>
        <w:pStyle w:val="SingleTxtG"/>
        <w:rPr>
          <w:b/>
        </w:rPr>
      </w:pPr>
      <w:r w:rsidRPr="004B1D55">
        <w:t>96</w:t>
      </w:r>
      <w:r w:rsidR="003C35BF" w:rsidRPr="004B1D55">
        <w:t>.</w:t>
      </w:r>
      <w:r w:rsidR="003C35BF">
        <w:rPr>
          <w:b/>
        </w:rPr>
        <w:tab/>
      </w:r>
      <w:r w:rsidR="001536E5" w:rsidRPr="003C35BF">
        <w:rPr>
          <w:b/>
        </w:rPr>
        <w:t xml:space="preserve">Similar initiatives are encouraged from civil society organizations and grassroots projects, particularly emanating from the Muslim community. Parents and families may also need to acquire the awareness and skills to address the needs of children with diverse heritage. </w:t>
      </w:r>
    </w:p>
    <w:p w14:paraId="3E9198E8" w14:textId="689361F0" w:rsidR="00E1742E" w:rsidRPr="003C35BF" w:rsidRDefault="007E3686" w:rsidP="003C35BF">
      <w:pPr>
        <w:pStyle w:val="SingleTxtG"/>
        <w:rPr>
          <w:b/>
        </w:rPr>
      </w:pPr>
      <w:r w:rsidRPr="004B1D55">
        <w:t>97</w:t>
      </w:r>
      <w:r w:rsidR="003C35BF" w:rsidRPr="004B1D55">
        <w:t>.</w:t>
      </w:r>
      <w:r w:rsidR="003C35BF">
        <w:rPr>
          <w:b/>
        </w:rPr>
        <w:tab/>
      </w:r>
      <w:r w:rsidR="00E1742E" w:rsidRPr="003C35BF">
        <w:rPr>
          <w:b/>
        </w:rPr>
        <w:t xml:space="preserve">Youth programmes and incentives </w:t>
      </w:r>
      <w:r w:rsidR="00CC7F39" w:rsidRPr="003C35BF">
        <w:rPr>
          <w:b/>
        </w:rPr>
        <w:t xml:space="preserve">including through sports, arts, education and cultural means can be used as a vehicle to promote social inclusion and a sense of community among young people, particularly those who are vulnerable to radicalisation. </w:t>
      </w:r>
    </w:p>
    <w:p w14:paraId="43DE8C64" w14:textId="1575E7C1" w:rsidR="00E1742E" w:rsidRPr="003C35BF" w:rsidRDefault="007E3686" w:rsidP="003C35BF">
      <w:pPr>
        <w:pStyle w:val="SingleTxtG"/>
        <w:rPr>
          <w:b/>
        </w:rPr>
      </w:pPr>
      <w:r w:rsidRPr="004B1D55">
        <w:t>98</w:t>
      </w:r>
      <w:r w:rsidR="003C35BF" w:rsidRPr="004B1D55">
        <w:t>.</w:t>
      </w:r>
      <w:r w:rsidR="003C35BF">
        <w:rPr>
          <w:b/>
        </w:rPr>
        <w:tab/>
      </w:r>
      <w:r w:rsidR="00CC7F39" w:rsidRPr="003C35BF">
        <w:rPr>
          <w:b/>
        </w:rPr>
        <w:t>Strengthen and encourage i</w:t>
      </w:r>
      <w:r w:rsidR="00813813" w:rsidRPr="003C35BF">
        <w:rPr>
          <w:b/>
        </w:rPr>
        <w:t xml:space="preserve">nterfaith dialogue </w:t>
      </w:r>
      <w:r w:rsidR="00CC7F39" w:rsidRPr="003C35BF">
        <w:rPr>
          <w:b/>
        </w:rPr>
        <w:t>and existing platforms where community and faith based leaders can work together to address and curb radicalisation and violent extremism</w:t>
      </w:r>
      <w:r w:rsidR="000E686F">
        <w:rPr>
          <w:b/>
        </w:rPr>
        <w:t xml:space="preserve"> and enhance integration</w:t>
      </w:r>
      <w:r w:rsidR="003C35BF">
        <w:rPr>
          <w:b/>
        </w:rPr>
        <w:t>.</w:t>
      </w:r>
      <w:r w:rsidR="00CC7F39" w:rsidRPr="003C35BF">
        <w:rPr>
          <w:b/>
        </w:rPr>
        <w:t xml:space="preserve"> </w:t>
      </w:r>
    </w:p>
    <w:p w14:paraId="4DF6F92D" w14:textId="7C88CC0B" w:rsidR="00CC7F39" w:rsidRPr="003C35BF" w:rsidRDefault="007E3686" w:rsidP="003C35BF">
      <w:pPr>
        <w:pStyle w:val="SingleTxtG"/>
        <w:rPr>
          <w:b/>
        </w:rPr>
      </w:pPr>
      <w:r w:rsidRPr="004B1D55">
        <w:t>99</w:t>
      </w:r>
      <w:r w:rsidR="003C35BF" w:rsidRPr="004B1D55">
        <w:t>.</w:t>
      </w:r>
      <w:r w:rsidR="003C35BF">
        <w:rPr>
          <w:b/>
        </w:rPr>
        <w:tab/>
      </w:r>
      <w:r w:rsidR="00CC7F39" w:rsidRPr="003C35BF">
        <w:rPr>
          <w:b/>
        </w:rPr>
        <w:t xml:space="preserve">Deradicalization in prisons should continue to be prioritized and implemented effectively, within the framework of respect for human rights. </w:t>
      </w:r>
    </w:p>
    <w:p w14:paraId="76CFBF6C" w14:textId="4C4AB197" w:rsidR="001536E5" w:rsidRPr="003C35BF" w:rsidRDefault="007E3686" w:rsidP="003C35BF">
      <w:pPr>
        <w:pStyle w:val="SingleTxtG"/>
        <w:rPr>
          <w:b/>
        </w:rPr>
      </w:pPr>
      <w:r w:rsidRPr="004B1D55">
        <w:t>100</w:t>
      </w:r>
      <w:r w:rsidR="003C35BF" w:rsidRPr="004B1D55">
        <w:t>.</w:t>
      </w:r>
      <w:r w:rsidR="003C35BF">
        <w:rPr>
          <w:b/>
        </w:rPr>
        <w:tab/>
      </w:r>
      <w:r w:rsidR="001536E5" w:rsidRPr="003C35BF">
        <w:rPr>
          <w:b/>
        </w:rPr>
        <w:t>The Working Group stresses that greater social cohesion will mitigate long</w:t>
      </w:r>
      <w:r w:rsidR="00E12E82">
        <w:rPr>
          <w:b/>
        </w:rPr>
        <w:t>-</w:t>
      </w:r>
      <w:r w:rsidR="001536E5" w:rsidRPr="003C35BF">
        <w:rPr>
          <w:b/>
        </w:rPr>
        <w:t xml:space="preserve">term security risks, and that focus on strong support to communities and families can also lay the groundwork for the optimization of measures. In this respect, intercultural institutions, policy and dialogue would be instrumental in building community ties, and the Working Group recommends building on the foundation being developed in this regard. </w:t>
      </w:r>
    </w:p>
    <w:p w14:paraId="73F702AD" w14:textId="131FAA23" w:rsidR="001536E5" w:rsidRPr="003C35BF" w:rsidRDefault="007E3686" w:rsidP="003C35BF">
      <w:pPr>
        <w:pStyle w:val="SingleTxtG"/>
        <w:rPr>
          <w:b/>
        </w:rPr>
      </w:pPr>
      <w:r w:rsidRPr="004B1D55">
        <w:t>101</w:t>
      </w:r>
      <w:r w:rsidR="003C35BF" w:rsidRPr="004B1D55">
        <w:t>.</w:t>
      </w:r>
      <w:r w:rsidR="003C35BF" w:rsidRPr="004B1D55">
        <w:tab/>
      </w:r>
      <w:r w:rsidR="001536E5" w:rsidRPr="003C35BF">
        <w:rPr>
          <w:b/>
        </w:rPr>
        <w:t xml:space="preserve">Similarly, education has been consistently raised as a crucial vehicle for awareness-raising and dialogue. The Working Group supports raising awareness in schools and related platforms where student dialogue can take place, particularly from the primary level of education. Promoting inclusive education of citizens and developing positive counter-narratives against violent extremist propaganda can also be implemented through education and awareness-raising programmes. </w:t>
      </w:r>
    </w:p>
    <w:p w14:paraId="5E069BAC" w14:textId="3E23E744" w:rsidR="001536E5" w:rsidRPr="003C35BF" w:rsidRDefault="007E3686" w:rsidP="003C35BF">
      <w:pPr>
        <w:pStyle w:val="SingleTxtG"/>
        <w:rPr>
          <w:b/>
        </w:rPr>
      </w:pPr>
      <w:r w:rsidRPr="004B1D55">
        <w:t>102</w:t>
      </w:r>
      <w:r w:rsidR="003C35BF" w:rsidRPr="004B1D55">
        <w:t>.</w:t>
      </w:r>
      <w:r w:rsidR="003C35BF">
        <w:rPr>
          <w:b/>
        </w:rPr>
        <w:tab/>
      </w:r>
      <w:r w:rsidR="001536E5" w:rsidRPr="003C35BF">
        <w:rPr>
          <w:b/>
        </w:rPr>
        <w:t>Coordination was a recurrent theme among the Working Group’s interlocutors. Local authority staff and others noted that institutional coordination was crucial for the effectiveness of programmes, as was a clear understanding of one’s level and role in the larger federal system. Such coordination could prove cri</w:t>
      </w:r>
      <w:r w:rsidR="00375A95">
        <w:rPr>
          <w:b/>
        </w:rPr>
        <w:t>tical in, for example, centralis</w:t>
      </w:r>
      <w:r w:rsidR="001536E5" w:rsidRPr="003C35BF">
        <w:rPr>
          <w:b/>
        </w:rPr>
        <w:t xml:space="preserve">ing information from different agencies with a view to identifying the best entry points for action and standardization, as well as the sharing of methods and expertise. </w:t>
      </w:r>
    </w:p>
    <w:p w14:paraId="3E8F0042" w14:textId="1088698D" w:rsidR="001536E5" w:rsidRPr="003C35BF" w:rsidRDefault="007E3686" w:rsidP="003C35BF">
      <w:pPr>
        <w:pStyle w:val="SingleTxtG"/>
        <w:rPr>
          <w:b/>
        </w:rPr>
      </w:pPr>
      <w:r w:rsidRPr="004B1D55">
        <w:lastRenderedPageBreak/>
        <w:t>103</w:t>
      </w:r>
      <w:r w:rsidR="003C35BF" w:rsidRPr="004B1D55">
        <w:t>.</w:t>
      </w:r>
      <w:r w:rsidR="003C35BF">
        <w:rPr>
          <w:b/>
        </w:rPr>
        <w:tab/>
      </w:r>
      <w:r w:rsidR="001536E5" w:rsidRPr="003C35BF">
        <w:rPr>
          <w:b/>
        </w:rPr>
        <w:t>In terms of action at the European and international levels, the Working Group recommends improved coordination</w:t>
      </w:r>
      <w:r w:rsidR="00B24F42">
        <w:rPr>
          <w:b/>
        </w:rPr>
        <w:t xml:space="preserve"> with</w:t>
      </w:r>
      <w:r w:rsidR="001536E5" w:rsidRPr="003C35BF">
        <w:rPr>
          <w:b/>
        </w:rPr>
        <w:t xml:space="preserve"> the European Union and, crucially, between foreign fighters’ countries of origin and countries through which they transit. It also strongly recommends effective cooperation for information sharing and evidence gathering to support legal proceedings. </w:t>
      </w:r>
    </w:p>
    <w:p w14:paraId="0A00A88E" w14:textId="79FA2263" w:rsidR="00E1742E" w:rsidRPr="003C35BF" w:rsidRDefault="007E3686" w:rsidP="003C35BF">
      <w:pPr>
        <w:pStyle w:val="SingleTxtG"/>
        <w:rPr>
          <w:b/>
        </w:rPr>
      </w:pPr>
      <w:r w:rsidRPr="004B1D55">
        <w:t>104</w:t>
      </w:r>
      <w:r w:rsidR="003C35BF" w:rsidRPr="004B1D55">
        <w:t>.</w:t>
      </w:r>
      <w:r w:rsidR="003C35BF">
        <w:rPr>
          <w:b/>
        </w:rPr>
        <w:tab/>
      </w:r>
      <w:r w:rsidR="001536E5" w:rsidRPr="003C35BF">
        <w:rPr>
          <w:b/>
        </w:rPr>
        <w:t>The Working Group emphasizes that State responses to foreign fighters must balance punitive measures with preventive ones and ensure rehabilitative opportunities for returning fighters. It recommends prioritizing the deradicalization and rehabilitation of returnees</w:t>
      </w:r>
      <w:r w:rsidR="00375A95">
        <w:rPr>
          <w:b/>
        </w:rPr>
        <w:t xml:space="preserve"> with an emphasis on the use of the human rights based approach</w:t>
      </w:r>
      <w:r w:rsidR="001536E5" w:rsidRPr="003C35BF">
        <w:rPr>
          <w:b/>
        </w:rPr>
        <w:t>.</w:t>
      </w:r>
    </w:p>
    <w:p w14:paraId="4761ABA8" w14:textId="672B71DD" w:rsidR="000E686F" w:rsidRDefault="007E3686" w:rsidP="003C35BF">
      <w:pPr>
        <w:pStyle w:val="SingleTxtG"/>
        <w:rPr>
          <w:b/>
        </w:rPr>
      </w:pPr>
      <w:r w:rsidRPr="004B1D55">
        <w:t>105</w:t>
      </w:r>
      <w:r w:rsidR="003C35BF" w:rsidRPr="004B1D55">
        <w:t>.</w:t>
      </w:r>
      <w:r w:rsidR="003C35BF">
        <w:rPr>
          <w:b/>
        </w:rPr>
        <w:tab/>
      </w:r>
      <w:r w:rsidR="00E26E57" w:rsidRPr="003C35BF">
        <w:rPr>
          <w:b/>
        </w:rPr>
        <w:t>The Working Group encourages further research and compilation of g</w:t>
      </w:r>
      <w:r w:rsidR="00AD1D2E" w:rsidRPr="003C35BF">
        <w:rPr>
          <w:b/>
        </w:rPr>
        <w:t xml:space="preserve">ood practices </w:t>
      </w:r>
      <w:r w:rsidR="00E26E57" w:rsidRPr="003C35BF">
        <w:rPr>
          <w:b/>
        </w:rPr>
        <w:t xml:space="preserve">in relation to the rehabilitation and reintegration of </w:t>
      </w:r>
      <w:r w:rsidR="00AD1D2E" w:rsidRPr="003C35BF">
        <w:rPr>
          <w:b/>
        </w:rPr>
        <w:t>returnees</w:t>
      </w:r>
      <w:r w:rsidR="00E26E57" w:rsidRPr="003C35BF">
        <w:rPr>
          <w:b/>
        </w:rPr>
        <w:t xml:space="preserve">, which could further inform law and policies relating to these actors. </w:t>
      </w:r>
    </w:p>
    <w:p w14:paraId="67EE2016" w14:textId="3EA56C57" w:rsidR="000E686F" w:rsidRDefault="000E686F" w:rsidP="000E686F">
      <w:pPr>
        <w:pStyle w:val="SingleTxtG"/>
        <w:rPr>
          <w:b/>
        </w:rPr>
      </w:pPr>
      <w:r w:rsidRPr="004B1D55">
        <w:t>106.</w:t>
      </w:r>
      <w:r>
        <w:rPr>
          <w:b/>
        </w:rPr>
        <w:t xml:space="preserve"> </w:t>
      </w:r>
      <w:r>
        <w:rPr>
          <w:b/>
        </w:rPr>
        <w:tab/>
      </w:r>
      <w:r w:rsidR="00B24F42">
        <w:rPr>
          <w:b/>
        </w:rPr>
        <w:t xml:space="preserve">The Working Group encourages </w:t>
      </w:r>
      <w:r w:rsidR="009F4B09">
        <w:rPr>
          <w:b/>
        </w:rPr>
        <w:t>implementation</w:t>
      </w:r>
      <w:r w:rsidR="00B24F42">
        <w:rPr>
          <w:b/>
        </w:rPr>
        <w:t xml:space="preserve"> of</w:t>
      </w:r>
      <w:r>
        <w:rPr>
          <w:b/>
        </w:rPr>
        <w:t xml:space="preserve"> recommendations made by the United Nations human rights mechanisms for Austria, including by the Universal Periodic Review which, inter alia, raised concerns relating to discrimination, racism and </w:t>
      </w:r>
      <w:r w:rsidR="00C978E8">
        <w:rPr>
          <w:b/>
        </w:rPr>
        <w:t>xenophobia</w:t>
      </w:r>
      <w:r>
        <w:rPr>
          <w:b/>
        </w:rPr>
        <w:t>.</w:t>
      </w:r>
    </w:p>
    <w:p w14:paraId="1906D89E" w14:textId="734D7372" w:rsidR="00DE4F78" w:rsidRPr="00CC7F39" w:rsidRDefault="00DE4F78" w:rsidP="000E686F">
      <w:pPr>
        <w:pStyle w:val="SingleTxtG"/>
        <w:rPr>
          <w:rStyle w:val="eop"/>
          <w:b/>
          <w:i/>
          <w:lang w:val="en-US"/>
        </w:rPr>
      </w:pPr>
      <w:r w:rsidRPr="00CC7F39">
        <w:rPr>
          <w:rStyle w:val="eop"/>
          <w:b/>
          <w:i/>
          <w:lang w:val="en-US"/>
        </w:rPr>
        <w:t xml:space="preserve">Private military and security companies </w:t>
      </w:r>
    </w:p>
    <w:p w14:paraId="5FD39D02" w14:textId="04079403" w:rsidR="00DE4F78" w:rsidRPr="003C35BF" w:rsidRDefault="007E3686" w:rsidP="003C35BF">
      <w:pPr>
        <w:pStyle w:val="SingleTxtG"/>
        <w:rPr>
          <w:rStyle w:val="eop"/>
          <w:b/>
        </w:rPr>
      </w:pPr>
      <w:r w:rsidRPr="004B1D55">
        <w:rPr>
          <w:rStyle w:val="normaltextrun1"/>
        </w:rPr>
        <w:t>10</w:t>
      </w:r>
      <w:r w:rsidR="00640B7E" w:rsidRPr="004B1D55">
        <w:rPr>
          <w:rStyle w:val="normaltextrun1"/>
        </w:rPr>
        <w:t>7</w:t>
      </w:r>
      <w:r w:rsidR="003C35BF" w:rsidRPr="004B1D55">
        <w:rPr>
          <w:rStyle w:val="normaltextrun1"/>
        </w:rPr>
        <w:t>.</w:t>
      </w:r>
      <w:r w:rsidR="003C35BF">
        <w:rPr>
          <w:rStyle w:val="normaltextrun1"/>
          <w:b/>
        </w:rPr>
        <w:tab/>
      </w:r>
      <w:r w:rsidR="00DE4F78" w:rsidRPr="003C35BF">
        <w:rPr>
          <w:rStyle w:val="normaltextrun1"/>
          <w:b/>
        </w:rPr>
        <w:t>Consider legislation dedicated</w:t>
      </w:r>
      <w:r w:rsidR="00746DA0">
        <w:rPr>
          <w:rStyle w:val="normaltextrun1"/>
          <w:b/>
        </w:rPr>
        <w:t xml:space="preserve"> specifically to the regulation of PMSCs</w:t>
      </w:r>
      <w:r w:rsidR="00B24F42">
        <w:rPr>
          <w:rStyle w:val="normaltextrun1"/>
          <w:b/>
        </w:rPr>
        <w:t>, including a requirement that any PMSC registered to do business in Austria or that seeks to contract for services in the country, including with the Austrian Government, must be a member in good standing with the International Code of Conduct Association.</w:t>
      </w:r>
      <w:r w:rsidR="00DE4F78" w:rsidRPr="003C35BF">
        <w:rPr>
          <w:rStyle w:val="eop"/>
          <w:b/>
        </w:rPr>
        <w:t> </w:t>
      </w:r>
    </w:p>
    <w:p w14:paraId="31FB3B99" w14:textId="48F93501" w:rsidR="00612A84" w:rsidRDefault="007E3686" w:rsidP="003C35BF">
      <w:pPr>
        <w:pStyle w:val="SingleTxtG"/>
        <w:rPr>
          <w:rStyle w:val="normaltextrun1"/>
          <w:b/>
        </w:rPr>
      </w:pPr>
      <w:r w:rsidRPr="004B1D55">
        <w:rPr>
          <w:rStyle w:val="normaltextrun1"/>
        </w:rPr>
        <w:t>10</w:t>
      </w:r>
      <w:r w:rsidR="00B24F42" w:rsidRPr="004B1D55">
        <w:rPr>
          <w:rStyle w:val="normaltextrun1"/>
        </w:rPr>
        <w:t>8</w:t>
      </w:r>
      <w:r w:rsidR="003C35BF" w:rsidRPr="004B1D55">
        <w:rPr>
          <w:rStyle w:val="normaltextrun1"/>
        </w:rPr>
        <w:t>.</w:t>
      </w:r>
      <w:r w:rsidR="003C35BF">
        <w:rPr>
          <w:rStyle w:val="normaltextrun1"/>
          <w:b/>
        </w:rPr>
        <w:tab/>
      </w:r>
      <w:r w:rsidR="00DE4F78" w:rsidRPr="003C35BF">
        <w:rPr>
          <w:rStyle w:val="normaltextrun1"/>
          <w:b/>
        </w:rPr>
        <w:t xml:space="preserve">Deprivation of liberty of irregular or undocumented migrants, including those in </w:t>
      </w:r>
      <w:r w:rsidR="00DE4F78" w:rsidRPr="003C35BF">
        <w:rPr>
          <w:rStyle w:val="spellingerror"/>
          <w:b/>
        </w:rPr>
        <w:t>Vordernberg</w:t>
      </w:r>
      <w:r w:rsidR="00E1742E" w:rsidRPr="003C35BF">
        <w:rPr>
          <w:rStyle w:val="normaltextrun1"/>
          <w:b/>
        </w:rPr>
        <w:t xml:space="preserve">, </w:t>
      </w:r>
      <w:r w:rsidR="00DE4F78" w:rsidRPr="003C35BF">
        <w:rPr>
          <w:rStyle w:val="normaltextrun1"/>
          <w:b/>
        </w:rPr>
        <w:t xml:space="preserve">should be </w:t>
      </w:r>
      <w:r w:rsidR="00612A84">
        <w:rPr>
          <w:rStyle w:val="normaltextrun1"/>
          <w:b/>
        </w:rPr>
        <w:t xml:space="preserve">imposed </w:t>
      </w:r>
      <w:r w:rsidR="00DE4F78" w:rsidRPr="003C35BF">
        <w:rPr>
          <w:rStyle w:val="normaltextrun1"/>
          <w:b/>
        </w:rPr>
        <w:t xml:space="preserve">for the shortest duration possible. </w:t>
      </w:r>
    </w:p>
    <w:p w14:paraId="7EC49982" w14:textId="3D75B889" w:rsidR="00E1742E" w:rsidRDefault="00612A84" w:rsidP="003C35BF">
      <w:pPr>
        <w:pStyle w:val="SingleTxtG"/>
        <w:rPr>
          <w:rStyle w:val="eop"/>
          <w:b/>
        </w:rPr>
      </w:pPr>
      <w:r w:rsidRPr="004B1D55">
        <w:rPr>
          <w:rStyle w:val="normaltextrun1"/>
        </w:rPr>
        <w:t>1</w:t>
      </w:r>
      <w:r w:rsidR="00B24F42" w:rsidRPr="004B1D55">
        <w:rPr>
          <w:rStyle w:val="normaltextrun1"/>
        </w:rPr>
        <w:t>09</w:t>
      </w:r>
      <w:r w:rsidRPr="004B1D55">
        <w:rPr>
          <w:rStyle w:val="normaltextrun1"/>
        </w:rPr>
        <w:t>.</w:t>
      </w:r>
      <w:r>
        <w:rPr>
          <w:rStyle w:val="normaltextrun1"/>
          <w:b/>
        </w:rPr>
        <w:tab/>
      </w:r>
      <w:r w:rsidR="00DE4F78" w:rsidRPr="003C35BF">
        <w:rPr>
          <w:rStyle w:val="normaltextrun1"/>
          <w:b/>
        </w:rPr>
        <w:t>Detention of migrants on the ground of their irregular status should not be puniti</w:t>
      </w:r>
      <w:r w:rsidR="00746DA0">
        <w:rPr>
          <w:rStyle w:val="normaltextrun1"/>
          <w:b/>
        </w:rPr>
        <w:t>ve in nature</w:t>
      </w:r>
      <w:r w:rsidR="00B24F42">
        <w:rPr>
          <w:rStyle w:val="normaltextrun1"/>
          <w:b/>
        </w:rPr>
        <w:t>.</w:t>
      </w:r>
      <w:r w:rsidR="00746DA0">
        <w:rPr>
          <w:rStyle w:val="normaltextrun1"/>
          <w:b/>
        </w:rPr>
        <w:t xml:space="preserve"> </w:t>
      </w:r>
    </w:p>
    <w:p w14:paraId="4AAD2195" w14:textId="68C522A5" w:rsidR="00F2170F" w:rsidRPr="003C35BF" w:rsidRDefault="00F2170F" w:rsidP="003C35BF">
      <w:pPr>
        <w:pStyle w:val="SingleTxtG"/>
        <w:rPr>
          <w:rStyle w:val="eop"/>
          <w:b/>
        </w:rPr>
      </w:pPr>
      <w:r w:rsidRPr="004B1D55">
        <w:rPr>
          <w:rStyle w:val="eop"/>
        </w:rPr>
        <w:t>11</w:t>
      </w:r>
      <w:r w:rsidR="00B24F42" w:rsidRPr="004B1D55">
        <w:rPr>
          <w:rStyle w:val="eop"/>
        </w:rPr>
        <w:t>0</w:t>
      </w:r>
      <w:r w:rsidRPr="004B1D55">
        <w:rPr>
          <w:rStyle w:val="eop"/>
        </w:rPr>
        <w:t>.</w:t>
      </w:r>
      <w:r>
        <w:rPr>
          <w:rStyle w:val="eop"/>
          <w:b/>
        </w:rPr>
        <w:tab/>
        <w:t>Consider the indigent</w:t>
      </w:r>
      <w:r w:rsidR="00612A84">
        <w:rPr>
          <w:rStyle w:val="eop"/>
          <w:b/>
        </w:rPr>
        <w:t xml:space="preserve"> and impoverished situation often faced by </w:t>
      </w:r>
      <w:r>
        <w:rPr>
          <w:rStyle w:val="eop"/>
          <w:b/>
        </w:rPr>
        <w:t>undocum</w:t>
      </w:r>
      <w:r w:rsidR="005049D4">
        <w:rPr>
          <w:rStyle w:val="eop"/>
          <w:b/>
        </w:rPr>
        <w:t xml:space="preserve">ented migrants </w:t>
      </w:r>
      <w:r w:rsidR="00612A84">
        <w:rPr>
          <w:rStyle w:val="eop"/>
          <w:b/>
        </w:rPr>
        <w:t>and</w:t>
      </w:r>
      <w:r w:rsidR="005049D4">
        <w:rPr>
          <w:rStyle w:val="eop"/>
          <w:b/>
        </w:rPr>
        <w:t xml:space="preserve"> </w:t>
      </w:r>
      <w:r w:rsidR="00612A84">
        <w:rPr>
          <w:rStyle w:val="eop"/>
          <w:b/>
        </w:rPr>
        <w:t xml:space="preserve">ensure that they are not charged or required to pay for their detention.  </w:t>
      </w:r>
    </w:p>
    <w:p w14:paraId="6EBB83CD" w14:textId="6DCF0E39" w:rsidR="00E1742E" w:rsidRPr="003C35BF" w:rsidRDefault="007E3686" w:rsidP="003C35BF">
      <w:pPr>
        <w:pStyle w:val="SingleTxtG"/>
        <w:rPr>
          <w:rStyle w:val="eop"/>
          <w:b/>
        </w:rPr>
      </w:pPr>
      <w:r w:rsidRPr="004B1D55">
        <w:rPr>
          <w:rStyle w:val="eop"/>
        </w:rPr>
        <w:t>1</w:t>
      </w:r>
      <w:r w:rsidR="00640B7E" w:rsidRPr="004B1D55">
        <w:rPr>
          <w:rStyle w:val="eop"/>
        </w:rPr>
        <w:t>1</w:t>
      </w:r>
      <w:r w:rsidR="00B24F42" w:rsidRPr="004B1D55">
        <w:rPr>
          <w:rStyle w:val="eop"/>
        </w:rPr>
        <w:t>1</w:t>
      </w:r>
      <w:r w:rsidR="003C35BF" w:rsidRPr="004B1D55">
        <w:rPr>
          <w:rStyle w:val="eop"/>
        </w:rPr>
        <w:t>.</w:t>
      </w:r>
      <w:r w:rsidR="003C35BF">
        <w:rPr>
          <w:rStyle w:val="eop"/>
          <w:b/>
        </w:rPr>
        <w:tab/>
      </w:r>
      <w:r w:rsidR="00E1742E" w:rsidRPr="003C35BF">
        <w:rPr>
          <w:rStyle w:val="eop"/>
          <w:b/>
        </w:rPr>
        <w:t xml:space="preserve">Ensure children are not </w:t>
      </w:r>
      <w:r w:rsidR="00CC7F39" w:rsidRPr="003C35BF">
        <w:rPr>
          <w:rStyle w:val="eop"/>
          <w:b/>
        </w:rPr>
        <w:t>detained at Vordernberg</w:t>
      </w:r>
      <w:r w:rsidR="00120610">
        <w:rPr>
          <w:rStyle w:val="eop"/>
          <w:b/>
        </w:rPr>
        <w:t xml:space="preserve"> and </w:t>
      </w:r>
      <w:r w:rsidR="0019410C">
        <w:rPr>
          <w:rStyle w:val="eop"/>
          <w:b/>
        </w:rPr>
        <w:t>similar</w:t>
      </w:r>
      <w:r w:rsidR="00120610">
        <w:rPr>
          <w:rStyle w:val="eop"/>
          <w:b/>
        </w:rPr>
        <w:t xml:space="preserve"> facilities,</w:t>
      </w:r>
      <w:r w:rsidR="00CC7F39" w:rsidRPr="003C35BF">
        <w:rPr>
          <w:rStyle w:val="eop"/>
          <w:b/>
        </w:rPr>
        <w:t xml:space="preserve"> by verifying and cross-checking the age of detainees with the BFA (Federal Office for Immigration and Asylum).</w:t>
      </w:r>
    </w:p>
    <w:p w14:paraId="00C4F43F" w14:textId="3B618B55" w:rsidR="00120610" w:rsidRDefault="001273BD" w:rsidP="003C35BF">
      <w:pPr>
        <w:pStyle w:val="SingleTxtG"/>
        <w:rPr>
          <w:rStyle w:val="normaltextrun1"/>
          <w:b/>
        </w:rPr>
      </w:pPr>
      <w:r w:rsidRPr="004B1D55">
        <w:rPr>
          <w:rStyle w:val="normaltextrun1"/>
        </w:rPr>
        <w:t>11</w:t>
      </w:r>
      <w:r w:rsidR="00B24F42" w:rsidRPr="004B1D55">
        <w:rPr>
          <w:rStyle w:val="normaltextrun1"/>
        </w:rPr>
        <w:t>2</w:t>
      </w:r>
      <w:r w:rsidR="003C35BF" w:rsidRPr="004B1D55">
        <w:rPr>
          <w:rStyle w:val="normaltextrun1"/>
        </w:rPr>
        <w:t>.</w:t>
      </w:r>
      <w:r w:rsidR="003C35BF">
        <w:rPr>
          <w:rStyle w:val="normaltextrun1"/>
          <w:b/>
        </w:rPr>
        <w:tab/>
      </w:r>
      <w:r w:rsidR="00120610">
        <w:rPr>
          <w:rStyle w:val="normaltextrun1"/>
          <w:b/>
        </w:rPr>
        <w:t>Ensure</w:t>
      </w:r>
      <w:r w:rsidR="00612A84">
        <w:rPr>
          <w:rStyle w:val="normaltextrun1"/>
          <w:b/>
        </w:rPr>
        <w:t xml:space="preserve"> the</w:t>
      </w:r>
      <w:r w:rsidR="00277FF1">
        <w:rPr>
          <w:rStyle w:val="normaltextrun1"/>
          <w:b/>
        </w:rPr>
        <w:t xml:space="preserve"> </w:t>
      </w:r>
      <w:r w:rsidR="00120610">
        <w:rPr>
          <w:rStyle w:val="normaltextrun1"/>
          <w:b/>
        </w:rPr>
        <w:t>provision of psycho-social support, appropriate medical assistance and legal support to detainees in Vordernberg</w:t>
      </w:r>
      <w:r w:rsidR="00CF0FC4">
        <w:rPr>
          <w:rStyle w:val="normaltextrun1"/>
          <w:b/>
        </w:rPr>
        <w:t xml:space="preserve"> and that follow- up procedures to those in need of care are regularly undertaken</w:t>
      </w:r>
      <w:r w:rsidR="00120610">
        <w:rPr>
          <w:rStyle w:val="normaltextrun1"/>
          <w:b/>
        </w:rPr>
        <w:t>.</w:t>
      </w:r>
    </w:p>
    <w:p w14:paraId="6B78CFD4" w14:textId="0100C50D" w:rsidR="004E5EFE" w:rsidRDefault="00612A84" w:rsidP="00364142">
      <w:pPr>
        <w:pStyle w:val="SingleTxtG"/>
        <w:rPr>
          <w:rStyle w:val="normaltextrun1"/>
          <w:b/>
        </w:rPr>
      </w:pPr>
      <w:r w:rsidRPr="004B1D55">
        <w:rPr>
          <w:rStyle w:val="normaltextrun1"/>
        </w:rPr>
        <w:t>11</w:t>
      </w:r>
      <w:r w:rsidR="00B24F42" w:rsidRPr="004B1D55">
        <w:rPr>
          <w:rStyle w:val="normaltextrun1"/>
        </w:rPr>
        <w:t>3</w:t>
      </w:r>
      <w:r w:rsidR="00120610" w:rsidRPr="004B1D55">
        <w:rPr>
          <w:rStyle w:val="normaltextrun1"/>
        </w:rPr>
        <w:t>.</w:t>
      </w:r>
      <w:r w:rsidR="00120610">
        <w:rPr>
          <w:rStyle w:val="normaltextrun1"/>
          <w:b/>
        </w:rPr>
        <w:tab/>
        <w:t>Ensure that the contracting of private security</w:t>
      </w:r>
      <w:r w:rsidR="00364142">
        <w:rPr>
          <w:rStyle w:val="normaltextrun1"/>
          <w:b/>
        </w:rPr>
        <w:t xml:space="preserve"> companies for detention facilit</w:t>
      </w:r>
      <w:r w:rsidR="00780B12">
        <w:rPr>
          <w:rStyle w:val="normaltextrun1"/>
          <w:b/>
        </w:rPr>
        <w:t>ies</w:t>
      </w:r>
      <w:r w:rsidR="005F635F">
        <w:rPr>
          <w:rStyle w:val="normaltextrun1"/>
          <w:b/>
        </w:rPr>
        <w:t xml:space="preserve"> is </w:t>
      </w:r>
      <w:r w:rsidR="00B24F42">
        <w:rPr>
          <w:rStyle w:val="normaltextrun1"/>
          <w:b/>
        </w:rPr>
        <w:t xml:space="preserve">the exception and not the norm, and ensure their functions do not involve those reserved for State </w:t>
      </w:r>
      <w:r w:rsidR="005F635F">
        <w:rPr>
          <w:rStyle w:val="normaltextrun1"/>
          <w:b/>
        </w:rPr>
        <w:t xml:space="preserve"> </w:t>
      </w:r>
      <w:r w:rsidR="004E5EFE">
        <w:rPr>
          <w:rStyle w:val="normaltextrun1"/>
          <w:b/>
        </w:rPr>
        <w:t xml:space="preserve">institutions vis-à-vis persons deprived of their liberty. </w:t>
      </w:r>
    </w:p>
    <w:p w14:paraId="22FE8EE7" w14:textId="05F09DE5" w:rsidR="00A1126C" w:rsidRPr="00364142" w:rsidRDefault="00612A84" w:rsidP="00364142">
      <w:pPr>
        <w:pStyle w:val="SingleTxtG"/>
        <w:rPr>
          <w:b/>
        </w:rPr>
      </w:pPr>
      <w:r w:rsidRPr="004B1D55">
        <w:rPr>
          <w:rStyle w:val="normaltextrun1"/>
        </w:rPr>
        <w:t>11</w:t>
      </w:r>
      <w:r w:rsidR="00B24F42" w:rsidRPr="004B1D55">
        <w:rPr>
          <w:rStyle w:val="normaltextrun1"/>
        </w:rPr>
        <w:t>4</w:t>
      </w:r>
      <w:r w:rsidR="004E5EFE" w:rsidRPr="004B1D55">
        <w:rPr>
          <w:rStyle w:val="normaltextrun1"/>
        </w:rPr>
        <w:t>.</w:t>
      </w:r>
      <w:r w:rsidR="004E5EFE">
        <w:rPr>
          <w:rStyle w:val="normaltextrun1"/>
          <w:b/>
        </w:rPr>
        <w:tab/>
      </w:r>
      <w:r w:rsidR="00E1742E" w:rsidRPr="003C35BF">
        <w:rPr>
          <w:rStyle w:val="normaltextrun1"/>
          <w:b/>
        </w:rPr>
        <w:t>Consider support for</w:t>
      </w:r>
      <w:r w:rsidR="008515D2">
        <w:rPr>
          <w:rStyle w:val="normaltextrun1"/>
          <w:b/>
        </w:rPr>
        <w:t xml:space="preserve"> the</w:t>
      </w:r>
      <w:r w:rsidR="00E1742E" w:rsidRPr="003C35BF">
        <w:rPr>
          <w:rStyle w:val="normaltextrun1"/>
          <w:b/>
        </w:rPr>
        <w:t xml:space="preserve"> </w:t>
      </w:r>
      <w:r w:rsidR="00E1742E" w:rsidRPr="003C35BF">
        <w:rPr>
          <w:rStyle w:val="contextualspellingandgrammarerror"/>
          <w:b/>
        </w:rPr>
        <w:t>negotiation</w:t>
      </w:r>
      <w:r w:rsidR="00E1742E" w:rsidRPr="003C35BF">
        <w:rPr>
          <w:rStyle w:val="normaltextrun1"/>
          <w:b/>
        </w:rPr>
        <w:t xml:space="preserve"> of </w:t>
      </w:r>
      <w:r w:rsidR="008515D2">
        <w:rPr>
          <w:rStyle w:val="normaltextrun1"/>
          <w:b/>
        </w:rPr>
        <w:t xml:space="preserve">a </w:t>
      </w:r>
      <w:r w:rsidR="00E1742E" w:rsidRPr="003C35BF">
        <w:rPr>
          <w:rStyle w:val="normaltextrun1"/>
          <w:b/>
        </w:rPr>
        <w:t xml:space="preserve">binding international regulation </w:t>
      </w:r>
      <w:r w:rsidR="00CC7F39" w:rsidRPr="003C35BF">
        <w:rPr>
          <w:rStyle w:val="normaltextrun1"/>
          <w:b/>
        </w:rPr>
        <w:t>on private military and security companies</w:t>
      </w:r>
      <w:r w:rsidR="003C35BF">
        <w:rPr>
          <w:rStyle w:val="normaltextrun1"/>
          <w:b/>
        </w:rPr>
        <w:t>.</w:t>
      </w:r>
    </w:p>
    <w:p w14:paraId="204D9DCB" w14:textId="77777777" w:rsidR="000679EE" w:rsidRPr="00F7632A" w:rsidRDefault="000679EE" w:rsidP="000679EE">
      <w:pPr>
        <w:spacing w:before="240"/>
        <w:jc w:val="center"/>
        <w:rPr>
          <w:sz w:val="20"/>
          <w:szCs w:val="20"/>
          <w:u w:val="single"/>
          <w:lang w:val="en-US"/>
        </w:rPr>
      </w:pPr>
      <w:r w:rsidRPr="00F7632A">
        <w:rPr>
          <w:sz w:val="20"/>
          <w:szCs w:val="20"/>
          <w:u w:val="single"/>
          <w:lang w:val="en-US"/>
        </w:rPr>
        <w:tab/>
      </w:r>
      <w:r w:rsidRPr="00F7632A">
        <w:rPr>
          <w:sz w:val="20"/>
          <w:szCs w:val="20"/>
          <w:u w:val="single"/>
          <w:lang w:val="en-US"/>
        </w:rPr>
        <w:tab/>
      </w:r>
      <w:r w:rsidRPr="00F7632A">
        <w:rPr>
          <w:sz w:val="20"/>
          <w:szCs w:val="20"/>
          <w:u w:val="single"/>
          <w:lang w:val="en-US"/>
        </w:rPr>
        <w:tab/>
      </w:r>
    </w:p>
    <w:p w14:paraId="62C2A2D2" w14:textId="77777777" w:rsidR="000679EE" w:rsidRPr="00F7632A" w:rsidRDefault="000679EE" w:rsidP="000679EE">
      <w:pPr>
        <w:spacing w:after="120"/>
        <w:ind w:left="-113" w:right="-170"/>
        <w:jc w:val="both"/>
        <w:rPr>
          <w:sz w:val="20"/>
          <w:szCs w:val="20"/>
          <w:lang w:val="en-US"/>
        </w:rPr>
      </w:pPr>
    </w:p>
    <w:sectPr w:rsidR="000679EE" w:rsidRPr="00F7632A"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F678" w14:textId="77777777" w:rsidR="008876F7" w:rsidRPr="00C47B2E" w:rsidRDefault="008876F7" w:rsidP="00C47B2E">
      <w:pPr>
        <w:pStyle w:val="Footer"/>
      </w:pPr>
    </w:p>
  </w:endnote>
  <w:endnote w:type="continuationSeparator" w:id="0">
    <w:p w14:paraId="13D249DD" w14:textId="77777777" w:rsidR="008876F7" w:rsidRPr="00C47B2E" w:rsidRDefault="008876F7" w:rsidP="00C47B2E">
      <w:pPr>
        <w:pStyle w:val="Footer"/>
      </w:pPr>
    </w:p>
  </w:endnote>
  <w:endnote w:type="continuationNotice" w:id="1">
    <w:p w14:paraId="0FC54DB7" w14:textId="77777777" w:rsidR="008876F7" w:rsidRPr="00C47B2E" w:rsidRDefault="008876F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5635" w14:textId="36BBC8FB" w:rsidR="00BF5311" w:rsidRDefault="00BF5311" w:rsidP="001A0B4B">
    <w:pPr>
      <w:pStyle w:val="Footer"/>
      <w:tabs>
        <w:tab w:val="right" w:pos="9638"/>
      </w:tabs>
    </w:pPr>
    <w:r w:rsidRPr="000B463E">
      <w:rPr>
        <w:b/>
        <w:bCs/>
        <w:sz w:val="18"/>
      </w:rPr>
      <w:fldChar w:fldCharType="begin"/>
    </w:r>
    <w:r w:rsidRPr="000B463E">
      <w:rPr>
        <w:b/>
        <w:bCs/>
        <w:sz w:val="18"/>
      </w:rPr>
      <w:instrText xml:space="preserve"> PAGE  \* MERGEFORMAT </w:instrText>
    </w:r>
    <w:r w:rsidRPr="000B463E">
      <w:rPr>
        <w:b/>
        <w:bCs/>
        <w:sz w:val="18"/>
      </w:rPr>
      <w:fldChar w:fldCharType="separate"/>
    </w:r>
    <w:r w:rsidR="00A6779E">
      <w:rPr>
        <w:b/>
        <w:bCs/>
        <w:noProof/>
        <w:sz w:val="18"/>
      </w:rPr>
      <w:t>2</w:t>
    </w:r>
    <w:r w:rsidRPr="000B463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2ED1" w14:textId="658ED3D4" w:rsidR="00BF5311" w:rsidRDefault="00BF5311" w:rsidP="000B463E">
    <w:pPr>
      <w:pStyle w:val="Footer"/>
      <w:tabs>
        <w:tab w:val="right" w:pos="9638"/>
      </w:tabs>
    </w:pPr>
    <w:r>
      <w:tab/>
    </w:r>
    <w:r w:rsidRPr="000B463E">
      <w:rPr>
        <w:b/>
        <w:bCs/>
        <w:sz w:val="18"/>
      </w:rPr>
      <w:fldChar w:fldCharType="begin"/>
    </w:r>
    <w:r w:rsidRPr="000B463E">
      <w:rPr>
        <w:b/>
        <w:bCs/>
        <w:sz w:val="18"/>
      </w:rPr>
      <w:instrText xml:space="preserve"> PAGE  \* MERGEFORMAT </w:instrText>
    </w:r>
    <w:r w:rsidRPr="000B463E">
      <w:rPr>
        <w:b/>
        <w:bCs/>
        <w:sz w:val="18"/>
      </w:rPr>
      <w:fldChar w:fldCharType="separate"/>
    </w:r>
    <w:r w:rsidR="00A6779E">
      <w:rPr>
        <w:b/>
        <w:bCs/>
        <w:noProof/>
        <w:sz w:val="18"/>
      </w:rPr>
      <w:t>17</w:t>
    </w:r>
    <w:r w:rsidRPr="000B463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7A973" w14:textId="77777777" w:rsidR="008876F7" w:rsidRPr="00C47B2E" w:rsidRDefault="008876F7" w:rsidP="00C47B2E">
      <w:pPr>
        <w:tabs>
          <w:tab w:val="right" w:pos="2155"/>
        </w:tabs>
        <w:spacing w:after="80"/>
        <w:ind w:left="680"/>
      </w:pPr>
      <w:r>
        <w:rPr>
          <w:u w:val="single"/>
        </w:rPr>
        <w:tab/>
      </w:r>
    </w:p>
  </w:footnote>
  <w:footnote w:type="continuationSeparator" w:id="0">
    <w:p w14:paraId="4067F96C" w14:textId="77777777" w:rsidR="008876F7" w:rsidRPr="00C47B2E" w:rsidRDefault="008876F7" w:rsidP="005E716E">
      <w:pPr>
        <w:tabs>
          <w:tab w:val="right" w:pos="2155"/>
        </w:tabs>
        <w:spacing w:after="80"/>
        <w:ind w:left="680"/>
      </w:pPr>
      <w:r>
        <w:rPr>
          <w:u w:val="single"/>
        </w:rPr>
        <w:tab/>
      </w:r>
    </w:p>
  </w:footnote>
  <w:footnote w:type="continuationNotice" w:id="1">
    <w:p w14:paraId="5C8F516C" w14:textId="77777777" w:rsidR="008876F7" w:rsidRPr="00C47B2E" w:rsidRDefault="008876F7" w:rsidP="00C47B2E">
      <w:pPr>
        <w:pStyle w:val="Footer"/>
      </w:pPr>
    </w:p>
  </w:footnote>
  <w:footnote w:id="2">
    <w:p w14:paraId="00794A8F" w14:textId="5B5C81AB" w:rsidR="00BF5311" w:rsidRPr="007245BF" w:rsidRDefault="00BF5311" w:rsidP="00FB4C83">
      <w:pPr>
        <w:pStyle w:val="FootnoteText"/>
      </w:pPr>
      <w:r>
        <w:rPr>
          <w:rStyle w:val="FootnoteReference"/>
        </w:rPr>
        <w:tab/>
      </w:r>
      <w:r w:rsidRPr="007245BF">
        <w:rPr>
          <w:rStyle w:val="FootnoteReference"/>
          <w:sz w:val="20"/>
          <w:vertAlign w:val="baseline"/>
        </w:rPr>
        <w:t>*</w:t>
      </w:r>
      <w:r w:rsidRPr="007245BF">
        <w:rPr>
          <w:sz w:val="20"/>
        </w:rPr>
        <w:t xml:space="preserve"> </w:t>
      </w:r>
      <w:r>
        <w:rPr>
          <w:sz w:val="20"/>
        </w:rPr>
        <w:tab/>
      </w:r>
      <w:r>
        <w:t>The summary of the report is being circulated in all official languages. The report itself, which is annexed to the summary, is being circulated in the language</w:t>
      </w:r>
      <w:r w:rsidRPr="00BA277D">
        <w:rPr>
          <w:color w:val="FF0000"/>
        </w:rPr>
        <w:t xml:space="preserve"> </w:t>
      </w:r>
      <w:r>
        <w:t>of submission only.</w:t>
      </w:r>
    </w:p>
  </w:footnote>
  <w:footnote w:id="3">
    <w:p w14:paraId="48BB10AF" w14:textId="46B9C518" w:rsidR="00037A18" w:rsidRPr="00037A18" w:rsidRDefault="00037A18">
      <w:pPr>
        <w:pStyle w:val="FootnoteText"/>
      </w:pPr>
      <w:r>
        <w:rPr>
          <w:rStyle w:val="FootnoteReference"/>
        </w:rPr>
        <w:tab/>
      </w:r>
      <w:r w:rsidRPr="00037A18">
        <w:rPr>
          <w:rStyle w:val="FootnoteReference"/>
          <w:sz w:val="20"/>
          <w:vertAlign w:val="baseline"/>
        </w:rPr>
        <w:t>**</w:t>
      </w:r>
      <w:r>
        <w:rPr>
          <w:rStyle w:val="FootnoteReference"/>
          <w:sz w:val="20"/>
          <w:vertAlign w:val="baseline"/>
        </w:rPr>
        <w:tab/>
      </w:r>
      <w:r w:rsidRPr="00037A18">
        <w:rPr>
          <w:szCs w:val="18"/>
        </w:rPr>
        <w:t>The present report was submitted after the deadline in order to reflect recent developments.</w:t>
      </w:r>
    </w:p>
  </w:footnote>
  <w:footnote w:id="4">
    <w:p w14:paraId="74835247" w14:textId="5509291B" w:rsidR="00BF5311" w:rsidRPr="00C34F4A" w:rsidRDefault="00BF5311" w:rsidP="00CD2468">
      <w:pPr>
        <w:pStyle w:val="FootnoteText"/>
        <w:rPr>
          <w:sz w:val="16"/>
          <w:szCs w:val="16"/>
          <w:lang w:val="en-US"/>
        </w:rPr>
      </w:pPr>
      <w:r>
        <w:rPr>
          <w:sz w:val="16"/>
          <w:szCs w:val="16"/>
        </w:rPr>
        <w:tab/>
      </w:r>
      <w:r w:rsidRPr="00C34F4A">
        <w:rPr>
          <w:rStyle w:val="FootnoteReference"/>
          <w:sz w:val="16"/>
          <w:szCs w:val="16"/>
        </w:rPr>
        <w:footnoteRef/>
      </w:r>
      <w:r>
        <w:rPr>
          <w:sz w:val="16"/>
          <w:szCs w:val="16"/>
        </w:rPr>
        <w:tab/>
      </w:r>
      <w:r w:rsidRPr="00C34F4A">
        <w:rPr>
          <w:sz w:val="16"/>
          <w:szCs w:val="16"/>
          <w:lang w:val="en-US"/>
        </w:rPr>
        <w:t>A/70/330 paragraph 13</w:t>
      </w:r>
      <w:r w:rsidR="001004B9">
        <w:rPr>
          <w:sz w:val="16"/>
          <w:szCs w:val="16"/>
          <w:lang w:val="en-US"/>
        </w:rPr>
        <w:t>.</w:t>
      </w:r>
    </w:p>
  </w:footnote>
  <w:footnote w:id="5">
    <w:p w14:paraId="3270E309" w14:textId="11F1DF67" w:rsidR="00BF5311" w:rsidRPr="00C34F4A" w:rsidRDefault="00BF5311" w:rsidP="009700F6">
      <w:pPr>
        <w:pStyle w:val="FootnoteText"/>
        <w:rPr>
          <w:sz w:val="16"/>
          <w:szCs w:val="16"/>
        </w:rPr>
      </w:pPr>
      <w:r>
        <w:rPr>
          <w:sz w:val="16"/>
          <w:szCs w:val="16"/>
        </w:rPr>
        <w:tab/>
      </w:r>
      <w:r w:rsidRPr="00C34F4A">
        <w:rPr>
          <w:rStyle w:val="FootnoteReference"/>
          <w:sz w:val="16"/>
          <w:szCs w:val="16"/>
        </w:rPr>
        <w:footnoteRef/>
      </w:r>
      <w:r w:rsidRPr="00C34F4A">
        <w:rPr>
          <w:sz w:val="16"/>
          <w:szCs w:val="16"/>
        </w:rPr>
        <w:t xml:space="preserve"> </w:t>
      </w:r>
      <w:r w:rsidRPr="00C34F4A">
        <w:rPr>
          <w:sz w:val="16"/>
          <w:szCs w:val="16"/>
        </w:rPr>
        <w:tab/>
      </w:r>
      <w:r>
        <w:rPr>
          <w:sz w:val="16"/>
          <w:szCs w:val="16"/>
        </w:rPr>
        <w:t xml:space="preserve"> </w:t>
      </w:r>
      <w:r w:rsidRPr="00C34F4A">
        <w:rPr>
          <w:color w:val="000000"/>
          <w:sz w:val="16"/>
          <w:szCs w:val="16"/>
          <w:lang w:val="en-US"/>
        </w:rPr>
        <w:t>para 14 of A/70/330</w:t>
      </w:r>
      <w:r w:rsidR="001004B9">
        <w:rPr>
          <w:color w:val="000000"/>
          <w:sz w:val="16"/>
          <w:szCs w:val="16"/>
          <w:lang w:val="en-US"/>
        </w:rPr>
        <w:t>.</w:t>
      </w:r>
    </w:p>
  </w:footnote>
  <w:footnote w:id="6">
    <w:p w14:paraId="20B8DAB4" w14:textId="31137925" w:rsidR="00BF5311" w:rsidRPr="00666E6C" w:rsidRDefault="00BF5311">
      <w:pPr>
        <w:pStyle w:val="FootnoteText"/>
        <w:rPr>
          <w:sz w:val="16"/>
          <w:szCs w:val="16"/>
        </w:rPr>
      </w:pPr>
      <w:r>
        <w:rPr>
          <w:sz w:val="16"/>
          <w:szCs w:val="16"/>
        </w:rPr>
        <w:tab/>
      </w:r>
      <w:r w:rsidRPr="00666E6C">
        <w:rPr>
          <w:rStyle w:val="FootnoteReference"/>
          <w:sz w:val="16"/>
          <w:szCs w:val="16"/>
        </w:rPr>
        <w:footnoteRef/>
      </w:r>
      <w:r w:rsidRPr="00666E6C">
        <w:rPr>
          <w:sz w:val="16"/>
          <w:szCs w:val="16"/>
        </w:rPr>
        <w:tab/>
      </w:r>
      <w:hyperlink r:id="rId1" w:history="1">
        <w:r w:rsidRPr="00666E6C">
          <w:rPr>
            <w:rStyle w:val="Hyperlink"/>
            <w:sz w:val="16"/>
            <w:szCs w:val="16"/>
          </w:rPr>
          <w:t>http://hdr.undp.org/sites/default/files/Country-Profiles/AUT.pdf</w:t>
        </w:r>
      </w:hyperlink>
      <w:r w:rsidR="001004B9">
        <w:rPr>
          <w:rStyle w:val="Hyperlink"/>
          <w:sz w:val="16"/>
          <w:szCs w:val="16"/>
        </w:rPr>
        <w:t>.</w:t>
      </w:r>
      <w:r w:rsidRPr="00666E6C">
        <w:rPr>
          <w:sz w:val="16"/>
          <w:szCs w:val="16"/>
        </w:rPr>
        <w:t xml:space="preserve"> </w:t>
      </w:r>
    </w:p>
  </w:footnote>
  <w:footnote w:id="7">
    <w:p w14:paraId="745F582B" w14:textId="0396F0AF" w:rsidR="00BF5311" w:rsidRPr="00666E6C" w:rsidRDefault="00BF5311" w:rsidP="002F56B8">
      <w:pPr>
        <w:pStyle w:val="FootnoteText"/>
        <w:jc w:val="both"/>
        <w:rPr>
          <w:sz w:val="16"/>
          <w:szCs w:val="16"/>
        </w:rPr>
      </w:pPr>
      <w:r w:rsidRPr="00666E6C">
        <w:rPr>
          <w:sz w:val="16"/>
          <w:szCs w:val="16"/>
        </w:rPr>
        <w:tab/>
      </w:r>
      <w:r w:rsidRPr="00666E6C">
        <w:rPr>
          <w:rStyle w:val="FootnoteReference"/>
          <w:sz w:val="16"/>
          <w:szCs w:val="16"/>
        </w:rPr>
        <w:footnoteRef/>
      </w:r>
      <w:r w:rsidRPr="00666E6C">
        <w:rPr>
          <w:sz w:val="16"/>
          <w:szCs w:val="16"/>
        </w:rPr>
        <w:t xml:space="preserve"> </w:t>
      </w:r>
      <w:r w:rsidRPr="00666E6C">
        <w:rPr>
          <w:sz w:val="16"/>
          <w:szCs w:val="16"/>
        </w:rPr>
        <w:tab/>
        <w:t>Austrian Press &amp; Information Service in the United States Embassy of Austria, available at:</w:t>
      </w:r>
    </w:p>
    <w:p w14:paraId="2E11225C" w14:textId="6AD3B611" w:rsidR="00BF5311" w:rsidRPr="003639EC" w:rsidRDefault="00BF5311" w:rsidP="002F56B8">
      <w:pPr>
        <w:pStyle w:val="FootnoteText"/>
        <w:jc w:val="both"/>
        <w:rPr>
          <w:rFonts w:ascii="Garamond" w:hAnsi="Garamond"/>
          <w:sz w:val="16"/>
          <w:szCs w:val="16"/>
        </w:rPr>
      </w:pPr>
      <w:r w:rsidRPr="00666E6C">
        <w:rPr>
          <w:rStyle w:val="Hyperlink"/>
          <w:sz w:val="16"/>
          <w:szCs w:val="16"/>
        </w:rPr>
        <w:tab/>
      </w:r>
      <w:r w:rsidRPr="001004B9">
        <w:tab/>
      </w:r>
      <w:hyperlink r:id="rId2" w:history="1">
        <w:r w:rsidRPr="001004B9">
          <w:rPr>
            <w:sz w:val="16"/>
            <w:szCs w:val="16"/>
          </w:rPr>
          <w:t>http://www.austria.org/overview/</w:t>
        </w:r>
      </w:hyperlink>
      <w:r w:rsidRPr="003639EC">
        <w:rPr>
          <w:sz w:val="16"/>
          <w:szCs w:val="16"/>
        </w:rPr>
        <w:t xml:space="preserve"> [accessed on 30 April 2018]</w:t>
      </w:r>
      <w:r w:rsidR="001004B9">
        <w:rPr>
          <w:sz w:val="16"/>
          <w:szCs w:val="16"/>
        </w:rPr>
        <w:t>.</w:t>
      </w:r>
    </w:p>
  </w:footnote>
  <w:footnote w:id="8">
    <w:p w14:paraId="105918AC" w14:textId="4064B217" w:rsidR="00BF5311" w:rsidRPr="00666E6C" w:rsidRDefault="00BF5311">
      <w:pPr>
        <w:pStyle w:val="FootnoteText"/>
        <w:rPr>
          <w:sz w:val="16"/>
          <w:szCs w:val="16"/>
        </w:rPr>
      </w:pPr>
      <w:r w:rsidRPr="00666E6C">
        <w:rPr>
          <w:sz w:val="16"/>
          <w:szCs w:val="16"/>
        </w:rPr>
        <w:tab/>
      </w:r>
      <w:r w:rsidRPr="00666E6C">
        <w:rPr>
          <w:rStyle w:val="FootnoteReference"/>
          <w:sz w:val="16"/>
          <w:szCs w:val="16"/>
        </w:rPr>
        <w:footnoteRef/>
      </w:r>
      <w:r w:rsidRPr="00666E6C">
        <w:rPr>
          <w:sz w:val="16"/>
          <w:szCs w:val="16"/>
        </w:rPr>
        <w:t xml:space="preserve"> </w:t>
      </w:r>
      <w:r w:rsidRPr="00666E6C">
        <w:rPr>
          <w:sz w:val="16"/>
          <w:szCs w:val="16"/>
        </w:rPr>
        <w:tab/>
        <w:t>Ibid footnote 4</w:t>
      </w:r>
      <w:r w:rsidR="001004B9">
        <w:rPr>
          <w:sz w:val="16"/>
          <w:szCs w:val="16"/>
        </w:rPr>
        <w:t>.</w:t>
      </w:r>
      <w:r w:rsidRPr="00666E6C">
        <w:rPr>
          <w:sz w:val="16"/>
          <w:szCs w:val="16"/>
        </w:rPr>
        <w:t xml:space="preserve"> </w:t>
      </w:r>
    </w:p>
  </w:footnote>
  <w:footnote w:id="9">
    <w:p w14:paraId="67584EC5" w14:textId="37DA07BD" w:rsidR="00BF5311" w:rsidRPr="00666E6C" w:rsidRDefault="00BF5311" w:rsidP="00767334">
      <w:pPr>
        <w:ind w:left="960"/>
        <w:rPr>
          <w:sz w:val="16"/>
          <w:szCs w:val="16"/>
        </w:rPr>
      </w:pPr>
      <w:r w:rsidRPr="00666E6C">
        <w:rPr>
          <w:rStyle w:val="FootnoteReference"/>
          <w:sz w:val="16"/>
          <w:szCs w:val="16"/>
        </w:rPr>
        <w:footnoteRef/>
      </w:r>
      <w:r w:rsidRPr="00666E6C">
        <w:rPr>
          <w:sz w:val="16"/>
          <w:szCs w:val="16"/>
        </w:rPr>
        <w:t xml:space="preserve">  Radicalisation Awareness Network Manual: Responses to returnees: Foreign terrorist fighters and their families (July 2017) at </w:t>
      </w:r>
    </w:p>
    <w:p w14:paraId="5282A217" w14:textId="2CA7EA73" w:rsidR="00BF5311" w:rsidRPr="00666E6C" w:rsidRDefault="00BF5311" w:rsidP="00666E6C">
      <w:pPr>
        <w:ind w:left="960"/>
        <w:rPr>
          <w:sz w:val="16"/>
          <w:szCs w:val="16"/>
        </w:rPr>
      </w:pPr>
      <w:r w:rsidRPr="00666E6C">
        <w:rPr>
          <w:sz w:val="16"/>
          <w:szCs w:val="16"/>
        </w:rPr>
        <w:t xml:space="preserve">    </w:t>
      </w:r>
      <w:hyperlink r:id="rId3" w:history="1">
        <w:r w:rsidRPr="00666E6C">
          <w:rPr>
            <w:rStyle w:val="Hyperlink"/>
            <w:sz w:val="16"/>
            <w:szCs w:val="16"/>
          </w:rPr>
          <w:t>https://ec.europa.eu/home-affairs/sites/homeaffairs/files/ran_br_a4_m10_en.pdf</w:t>
        </w:r>
      </w:hyperlink>
      <w:r w:rsidR="001004B9">
        <w:rPr>
          <w:rStyle w:val="Hyperlink"/>
          <w:sz w:val="16"/>
          <w:szCs w:val="16"/>
        </w:rPr>
        <w:t>.</w:t>
      </w:r>
    </w:p>
  </w:footnote>
  <w:footnote w:id="10">
    <w:p w14:paraId="6D040459" w14:textId="7909A68A" w:rsidR="00BF5311" w:rsidRDefault="00037A18" w:rsidP="00037A18">
      <w:pPr>
        <w:pStyle w:val="FootnoteText"/>
      </w:pPr>
      <w:r>
        <w:tab/>
      </w:r>
      <w:r w:rsidR="00BF5311" w:rsidRPr="00666E6C">
        <w:rPr>
          <w:rStyle w:val="FootnoteReference"/>
          <w:sz w:val="16"/>
          <w:szCs w:val="16"/>
        </w:rPr>
        <w:footnoteRef/>
      </w:r>
      <w:r>
        <w:tab/>
      </w:r>
      <w:r w:rsidR="00BF5311" w:rsidRPr="00666E6C">
        <w:t>Article</w:t>
      </w:r>
      <w:r w:rsidR="00BF5311">
        <w:t xml:space="preserve"> 47 of  Protocol I relating to the Protection of Victims of International Armed Conflicts</w:t>
      </w:r>
      <w:r w:rsidR="001004B9">
        <w:t>.</w:t>
      </w:r>
      <w:r w:rsidR="00BF5311">
        <w:t xml:space="preserve"> </w:t>
      </w:r>
    </w:p>
  </w:footnote>
  <w:footnote w:id="11">
    <w:p w14:paraId="29336603" w14:textId="6288B7F0" w:rsidR="00BF5311" w:rsidRPr="00DB5AA2" w:rsidRDefault="001004B9" w:rsidP="00B669A8">
      <w:pPr>
        <w:pStyle w:val="FootnoteText"/>
        <w:rPr>
          <w:sz w:val="16"/>
          <w:szCs w:val="16"/>
        </w:rPr>
      </w:pPr>
      <w:r>
        <w:rPr>
          <w:sz w:val="16"/>
          <w:szCs w:val="16"/>
        </w:rPr>
        <w:tab/>
      </w:r>
      <w:r w:rsidR="00BF5311" w:rsidRPr="00DB5AA2">
        <w:rPr>
          <w:rStyle w:val="FootnoteReference"/>
          <w:sz w:val="16"/>
          <w:szCs w:val="16"/>
        </w:rPr>
        <w:footnoteRef/>
      </w:r>
      <w:r w:rsidR="00BF5311" w:rsidRPr="00DB5AA2">
        <w:rPr>
          <w:sz w:val="16"/>
          <w:szCs w:val="16"/>
        </w:rPr>
        <w:t xml:space="preserve"> </w:t>
      </w:r>
      <w:r>
        <w:rPr>
          <w:sz w:val="16"/>
          <w:szCs w:val="16"/>
        </w:rPr>
        <w:tab/>
      </w:r>
      <w:hyperlink r:id="rId4" w:history="1">
        <w:r w:rsidR="00BF5311" w:rsidRPr="00DB5AA2">
          <w:rPr>
            <w:rStyle w:val="Hyperlink"/>
            <w:sz w:val="16"/>
            <w:szCs w:val="16"/>
          </w:rPr>
          <w:t>https://www.thegctf.org/About-us/GCTF-documents</w:t>
        </w:r>
      </w:hyperlink>
      <w:r w:rsidR="00BF5311" w:rsidRPr="00DB5AA2">
        <w:rPr>
          <w:rStyle w:val="Hyperlink"/>
          <w:sz w:val="16"/>
          <w:szCs w:val="16"/>
        </w:rPr>
        <w:t>f</w:t>
      </w:r>
      <w:r>
        <w:rPr>
          <w:rStyle w:val="Hyperlink"/>
          <w:sz w:val="16"/>
          <w:szCs w:val="16"/>
        </w:rPr>
        <w:t>.</w:t>
      </w:r>
    </w:p>
  </w:footnote>
  <w:footnote w:id="12">
    <w:p w14:paraId="1A723FE6" w14:textId="347ED8D1" w:rsidR="00DB5AA2" w:rsidRDefault="001004B9">
      <w:pPr>
        <w:pStyle w:val="FootnoteText"/>
      </w:pPr>
      <w:r>
        <w:rPr>
          <w:sz w:val="16"/>
          <w:szCs w:val="16"/>
        </w:rPr>
        <w:tab/>
      </w:r>
      <w:r w:rsidR="00DB5AA2">
        <w:rPr>
          <w:sz w:val="16"/>
          <w:szCs w:val="16"/>
        </w:rPr>
        <w:t xml:space="preserve"> </w:t>
      </w:r>
      <w:r w:rsidR="00DB5AA2" w:rsidRPr="00DB5AA2">
        <w:rPr>
          <w:rStyle w:val="FootnoteReference"/>
          <w:sz w:val="16"/>
          <w:szCs w:val="16"/>
        </w:rPr>
        <w:footnoteRef/>
      </w:r>
      <w:r w:rsidR="00DB5AA2" w:rsidRPr="00DB5AA2">
        <w:rPr>
          <w:sz w:val="16"/>
          <w:szCs w:val="16"/>
        </w:rPr>
        <w:t xml:space="preserve"> </w:t>
      </w:r>
      <w:r>
        <w:rPr>
          <w:sz w:val="16"/>
          <w:szCs w:val="16"/>
        </w:rPr>
        <w:tab/>
      </w:r>
      <w:r w:rsidR="00DB5AA2" w:rsidRPr="00DB5AA2">
        <w:rPr>
          <w:sz w:val="16"/>
          <w:szCs w:val="16"/>
        </w:rPr>
        <w:t>A/HRC/31/12</w:t>
      </w:r>
      <w:r>
        <w:rPr>
          <w:sz w:val="16"/>
          <w:szCs w:val="16"/>
        </w:rPr>
        <w:t>.</w:t>
      </w:r>
    </w:p>
  </w:footnote>
  <w:footnote w:id="13">
    <w:p w14:paraId="5CBF30F5" w14:textId="047EED1C" w:rsidR="00DE7FAE" w:rsidRPr="00F7362C" w:rsidRDefault="00DE7FAE">
      <w:pPr>
        <w:pStyle w:val="FootnoteText"/>
        <w:rPr>
          <w:sz w:val="16"/>
          <w:szCs w:val="16"/>
        </w:rPr>
      </w:pPr>
      <w:r>
        <w:rPr>
          <w:sz w:val="16"/>
          <w:szCs w:val="16"/>
        </w:rPr>
        <w:tab/>
      </w:r>
      <w:r w:rsidRPr="00F7362C">
        <w:rPr>
          <w:rStyle w:val="FootnoteReference"/>
          <w:sz w:val="16"/>
          <w:szCs w:val="16"/>
        </w:rPr>
        <w:footnoteRef/>
      </w:r>
      <w:r w:rsidRPr="00F7362C">
        <w:rPr>
          <w:sz w:val="16"/>
          <w:szCs w:val="16"/>
        </w:rPr>
        <w:t xml:space="preserve"> </w:t>
      </w:r>
      <w:r w:rsidR="00037A18">
        <w:rPr>
          <w:sz w:val="16"/>
          <w:szCs w:val="16"/>
        </w:rPr>
        <w:tab/>
      </w:r>
      <w:hyperlink r:id="rId5" w:history="1">
        <w:r w:rsidRPr="00F7362C">
          <w:rPr>
            <w:rStyle w:val="Hyperlink"/>
            <w:sz w:val="16"/>
            <w:szCs w:val="16"/>
          </w:rPr>
          <w:t>https://ec.europa.eu/home-affairs/what-we-do/networks/radicalisation_awareness_network_en</w:t>
        </w:r>
      </w:hyperlink>
      <w:r w:rsidR="001004B9">
        <w:rPr>
          <w:rStyle w:val="Hyperlink"/>
          <w:sz w:val="16"/>
          <w:szCs w:val="16"/>
        </w:rPr>
        <w:t>.</w:t>
      </w:r>
    </w:p>
  </w:footnote>
  <w:footnote w:id="14">
    <w:p w14:paraId="415BD738" w14:textId="13FD1F04" w:rsidR="00F7362C" w:rsidRPr="00F7362C" w:rsidRDefault="00037A18">
      <w:pPr>
        <w:pStyle w:val="FootnoteText"/>
        <w:rPr>
          <w:sz w:val="16"/>
          <w:szCs w:val="16"/>
        </w:rPr>
      </w:pPr>
      <w:r>
        <w:rPr>
          <w:sz w:val="16"/>
          <w:szCs w:val="16"/>
        </w:rPr>
        <w:tab/>
      </w:r>
      <w:r w:rsidR="00F7362C" w:rsidRPr="00F7362C">
        <w:rPr>
          <w:rStyle w:val="FootnoteReference"/>
          <w:sz w:val="16"/>
          <w:szCs w:val="16"/>
        </w:rPr>
        <w:footnoteRef/>
      </w:r>
      <w:r w:rsidR="00F7362C" w:rsidRPr="00F7362C">
        <w:rPr>
          <w:sz w:val="16"/>
          <w:szCs w:val="16"/>
        </w:rPr>
        <w:t xml:space="preserve"> </w:t>
      </w:r>
      <w:r>
        <w:rPr>
          <w:sz w:val="16"/>
          <w:szCs w:val="16"/>
        </w:rPr>
        <w:tab/>
      </w:r>
      <w:r w:rsidR="00F7362C" w:rsidRPr="00F7362C">
        <w:rPr>
          <w:sz w:val="16"/>
          <w:szCs w:val="16"/>
        </w:rPr>
        <w:t xml:space="preserve"> </w:t>
      </w:r>
      <w:hyperlink r:id="rId6" w:history="1">
        <w:r w:rsidR="00F7362C" w:rsidRPr="00F7362C">
          <w:rPr>
            <w:rStyle w:val="Hyperlink"/>
            <w:sz w:val="16"/>
            <w:szCs w:val="16"/>
          </w:rPr>
          <w:t>https://www.boja.at/english/</w:t>
        </w:r>
      </w:hyperlink>
      <w:r w:rsidR="001004B9">
        <w:rPr>
          <w:rStyle w:val="Hyperlink"/>
          <w:sz w:val="16"/>
          <w:szCs w:val="16"/>
        </w:rPr>
        <w:t>.</w:t>
      </w:r>
    </w:p>
  </w:footnote>
  <w:footnote w:id="15">
    <w:p w14:paraId="4EFA35C7" w14:textId="4B0115ED" w:rsidR="005930A6" w:rsidRPr="00583BA4" w:rsidRDefault="00DE7FAE" w:rsidP="005930A6">
      <w:pPr>
        <w:pStyle w:val="FootnoteText"/>
        <w:rPr>
          <w:sz w:val="16"/>
          <w:szCs w:val="16"/>
        </w:rPr>
      </w:pPr>
      <w:r>
        <w:tab/>
      </w:r>
      <w:r w:rsidR="005930A6" w:rsidRPr="00583BA4">
        <w:rPr>
          <w:rStyle w:val="FootnoteReference"/>
          <w:sz w:val="16"/>
          <w:szCs w:val="16"/>
        </w:rPr>
        <w:footnoteRef/>
      </w:r>
      <w:r w:rsidR="005930A6" w:rsidRPr="00583BA4">
        <w:rPr>
          <w:sz w:val="16"/>
          <w:szCs w:val="16"/>
        </w:rPr>
        <w:t xml:space="preserve"> </w:t>
      </w:r>
      <w:r w:rsidR="00037A18">
        <w:rPr>
          <w:sz w:val="16"/>
          <w:szCs w:val="16"/>
        </w:rPr>
        <w:tab/>
      </w:r>
      <w:r w:rsidR="005930A6">
        <w:rPr>
          <w:sz w:val="16"/>
          <w:szCs w:val="16"/>
        </w:rPr>
        <w:t>See footnote 7, page 15</w:t>
      </w:r>
      <w:r w:rsidR="001004B9">
        <w:rPr>
          <w:sz w:val="16"/>
          <w:szCs w:val="16"/>
        </w:rPr>
        <w:t>.</w:t>
      </w:r>
    </w:p>
  </w:footnote>
  <w:footnote w:id="16">
    <w:p w14:paraId="10D05F66" w14:textId="080CB3F7" w:rsidR="00BF5311" w:rsidRPr="009E13E6" w:rsidRDefault="00BF5311" w:rsidP="00B93BFD">
      <w:pPr>
        <w:pStyle w:val="FootnoteText"/>
        <w:rPr>
          <w:sz w:val="16"/>
          <w:szCs w:val="16"/>
        </w:rPr>
      </w:pPr>
      <w:r>
        <w:tab/>
      </w:r>
      <w:r w:rsidRPr="009E13E6">
        <w:rPr>
          <w:rStyle w:val="FootnoteReference"/>
          <w:sz w:val="16"/>
          <w:szCs w:val="16"/>
        </w:rPr>
        <w:footnoteRef/>
      </w:r>
      <w:r w:rsidRPr="009E13E6">
        <w:rPr>
          <w:sz w:val="16"/>
          <w:szCs w:val="16"/>
        </w:rPr>
        <w:t xml:space="preserve"> </w:t>
      </w:r>
      <w:r w:rsidRPr="009E13E6">
        <w:rPr>
          <w:sz w:val="16"/>
          <w:szCs w:val="16"/>
        </w:rPr>
        <w:tab/>
        <w:t>Kurier, Polizisten im Visier der IS-Terrormiliz, 20 September 2016,</w:t>
      </w:r>
    </w:p>
    <w:p w14:paraId="24E89436" w14:textId="28AD9B8D" w:rsidR="00BF5311" w:rsidRPr="009E13E6" w:rsidRDefault="00BF5311" w:rsidP="00B93BFD">
      <w:pPr>
        <w:pStyle w:val="FootnoteText"/>
        <w:rPr>
          <w:sz w:val="16"/>
          <w:szCs w:val="16"/>
        </w:rPr>
      </w:pPr>
      <w:r w:rsidRPr="009E13E6">
        <w:rPr>
          <w:sz w:val="16"/>
          <w:szCs w:val="16"/>
        </w:rPr>
        <w:tab/>
      </w:r>
      <w:r w:rsidRPr="009E13E6">
        <w:rPr>
          <w:sz w:val="16"/>
          <w:szCs w:val="16"/>
        </w:rPr>
        <w:tab/>
        <w:t xml:space="preserve">kurier.at/chronik/oesterreich/syrienrueckkehrer-polizisten-im-visier-der-is-terrormiliz/220.175.092.  </w:t>
      </w:r>
    </w:p>
  </w:footnote>
  <w:footnote w:id="17">
    <w:p w14:paraId="098AB263" w14:textId="2C5786CC" w:rsidR="00BF5311" w:rsidRPr="009E13E6" w:rsidRDefault="00BF5311" w:rsidP="00B93BFD">
      <w:pPr>
        <w:pStyle w:val="FootnoteText"/>
        <w:rPr>
          <w:sz w:val="16"/>
          <w:szCs w:val="16"/>
        </w:rPr>
      </w:pPr>
      <w:r w:rsidRPr="009E13E6">
        <w:rPr>
          <w:sz w:val="16"/>
          <w:szCs w:val="16"/>
        </w:rPr>
        <w:tab/>
      </w:r>
      <w:r w:rsidRPr="009E13E6">
        <w:rPr>
          <w:rStyle w:val="FootnoteReference"/>
          <w:sz w:val="16"/>
          <w:szCs w:val="16"/>
        </w:rPr>
        <w:footnoteRef/>
      </w:r>
      <w:r w:rsidRPr="009E13E6">
        <w:rPr>
          <w:sz w:val="16"/>
          <w:szCs w:val="16"/>
        </w:rPr>
        <w:t xml:space="preserve"> </w:t>
      </w:r>
      <w:r w:rsidRPr="009E13E6">
        <w:rPr>
          <w:sz w:val="16"/>
          <w:szCs w:val="16"/>
        </w:rPr>
        <w:tab/>
        <w:t>Federal Ministry of the Interior, Verfassungsschutzbericht 2016, p. 20.</w:t>
      </w:r>
    </w:p>
  </w:footnote>
  <w:footnote w:id="18">
    <w:p w14:paraId="28EA407B" w14:textId="7F0F832F" w:rsidR="00BF5311" w:rsidRPr="009E13E6" w:rsidRDefault="00BF5311" w:rsidP="00B93BFD">
      <w:pPr>
        <w:pStyle w:val="FootnoteText"/>
        <w:rPr>
          <w:sz w:val="16"/>
          <w:szCs w:val="16"/>
        </w:rPr>
      </w:pPr>
      <w:r w:rsidRPr="009E13E6">
        <w:rPr>
          <w:sz w:val="16"/>
          <w:szCs w:val="16"/>
        </w:rPr>
        <w:tab/>
      </w:r>
      <w:r w:rsidRPr="009E13E6">
        <w:rPr>
          <w:rStyle w:val="FootnoteReference"/>
          <w:sz w:val="16"/>
          <w:szCs w:val="16"/>
        </w:rPr>
        <w:footnoteRef/>
      </w:r>
      <w:r w:rsidRPr="009E13E6">
        <w:rPr>
          <w:sz w:val="16"/>
          <w:szCs w:val="16"/>
        </w:rPr>
        <w:t xml:space="preserve"> </w:t>
      </w:r>
      <w:r w:rsidRPr="009E13E6">
        <w:rPr>
          <w:sz w:val="16"/>
          <w:szCs w:val="16"/>
        </w:rPr>
        <w:tab/>
        <w:t>City of Vienna, Jugendliche in der offenen Jugendarbeit. Identitäten, Lebenslagen und abwertende</w:t>
      </w:r>
    </w:p>
    <w:p w14:paraId="3DB87138" w14:textId="670C7DB8" w:rsidR="00BF5311" w:rsidRPr="009E13E6" w:rsidRDefault="00BF5311" w:rsidP="00B93BFD">
      <w:pPr>
        <w:pStyle w:val="FootnoteText"/>
        <w:rPr>
          <w:sz w:val="16"/>
          <w:szCs w:val="16"/>
        </w:rPr>
      </w:pPr>
      <w:r w:rsidRPr="009E13E6">
        <w:rPr>
          <w:sz w:val="16"/>
          <w:szCs w:val="16"/>
        </w:rPr>
        <w:tab/>
      </w:r>
      <w:r w:rsidRPr="009E13E6">
        <w:rPr>
          <w:sz w:val="16"/>
          <w:szCs w:val="16"/>
        </w:rPr>
        <w:tab/>
        <w:t>Einstellungen, 2016, wien.gv.at/freizeit/bildungjugend/pdf/studie-1.pdf,</w:t>
      </w:r>
    </w:p>
    <w:p w14:paraId="67DC5692" w14:textId="706BDF4B" w:rsidR="00BF5311" w:rsidRPr="009E13E6" w:rsidRDefault="00BF5311" w:rsidP="00B93BFD">
      <w:pPr>
        <w:pStyle w:val="FootnoteText"/>
        <w:rPr>
          <w:sz w:val="16"/>
          <w:szCs w:val="16"/>
        </w:rPr>
      </w:pPr>
      <w:r w:rsidRPr="009E13E6">
        <w:rPr>
          <w:sz w:val="16"/>
          <w:szCs w:val="16"/>
        </w:rPr>
        <w:tab/>
      </w:r>
      <w:r w:rsidRPr="009E13E6">
        <w:rPr>
          <w:sz w:val="16"/>
          <w:szCs w:val="16"/>
        </w:rPr>
        <w:tab/>
        <w:t xml:space="preserve">Wien.gv.at/freizeit/bildungjugend/pdf/studie-2.pdf and wien.gv.at/freizeit/bildungjugend/pdf/studie-3.pdf. </w:t>
      </w:r>
    </w:p>
  </w:footnote>
  <w:footnote w:id="19">
    <w:p w14:paraId="685FE62F" w14:textId="77777777" w:rsidR="001004B9" w:rsidRPr="001004B9" w:rsidRDefault="00BF5311" w:rsidP="00B93BFD">
      <w:pPr>
        <w:pStyle w:val="FootnoteText"/>
        <w:rPr>
          <w:rStyle w:val="Hyperlink"/>
          <w:color w:val="auto"/>
          <w:sz w:val="16"/>
          <w:szCs w:val="16"/>
        </w:rPr>
      </w:pPr>
      <w:r w:rsidRPr="009E13E6">
        <w:rPr>
          <w:sz w:val="16"/>
          <w:szCs w:val="16"/>
        </w:rPr>
        <w:tab/>
      </w:r>
      <w:r w:rsidRPr="009E13E6">
        <w:rPr>
          <w:rStyle w:val="FootnoteReference"/>
          <w:sz w:val="16"/>
          <w:szCs w:val="16"/>
        </w:rPr>
        <w:footnoteRef/>
      </w:r>
      <w:r w:rsidRPr="009E13E6">
        <w:rPr>
          <w:sz w:val="16"/>
          <w:szCs w:val="16"/>
        </w:rPr>
        <w:tab/>
        <w:t xml:space="preserve"> Support Service Extremism, May 2017, </w:t>
      </w:r>
      <w:r w:rsidR="001004B9">
        <w:rPr>
          <w:rStyle w:val="Hyperlink"/>
          <w:color w:val="auto"/>
          <w:sz w:val="16"/>
          <w:szCs w:val="16"/>
        </w:rPr>
        <w:fldChar w:fldCharType="begin"/>
      </w:r>
      <w:r w:rsidR="001004B9">
        <w:rPr>
          <w:rStyle w:val="Hyperlink"/>
          <w:color w:val="auto"/>
          <w:sz w:val="16"/>
          <w:szCs w:val="16"/>
        </w:rPr>
        <w:instrText xml:space="preserve"> HYPERLINK "http://</w:instrText>
      </w:r>
      <w:r w:rsidR="001004B9" w:rsidRPr="001004B9">
        <w:rPr>
          <w:rStyle w:val="Hyperlink"/>
          <w:color w:val="auto"/>
          <w:sz w:val="16"/>
          <w:szCs w:val="16"/>
        </w:rPr>
        <w:instrText>www.beratungsstelleextremismus.at/wp.</w:instrText>
      </w:r>
    </w:p>
    <w:p w14:paraId="420E869F" w14:textId="77777777" w:rsidR="001004B9" w:rsidRPr="00C76788" w:rsidRDefault="001004B9" w:rsidP="00B93BFD">
      <w:pPr>
        <w:pStyle w:val="FootnoteText"/>
        <w:rPr>
          <w:rStyle w:val="Hyperlink"/>
          <w:sz w:val="16"/>
          <w:szCs w:val="16"/>
        </w:rPr>
      </w:pPr>
      <w:r w:rsidRPr="001004B9">
        <w:rPr>
          <w:rStyle w:val="Hyperlink"/>
          <w:color w:val="auto"/>
          <w:sz w:val="16"/>
          <w:szCs w:val="16"/>
        </w:rPr>
        <w:tab/>
      </w:r>
      <w:r w:rsidRPr="001004B9">
        <w:rPr>
          <w:rStyle w:val="Hyperlink"/>
          <w:color w:val="auto"/>
          <w:sz w:val="16"/>
          <w:szCs w:val="16"/>
        </w:rPr>
        <w:tab/>
        <w:instrText>content/uploads/2017/06/Bilanz-Beratungsstelle-Extremismus_Dez_14_Mai_17.pdf</w:instrText>
      </w:r>
      <w:r>
        <w:rPr>
          <w:rStyle w:val="Hyperlink"/>
          <w:color w:val="auto"/>
          <w:sz w:val="16"/>
          <w:szCs w:val="16"/>
        </w:rPr>
        <w:instrText xml:space="preserve">" </w:instrText>
      </w:r>
      <w:r>
        <w:rPr>
          <w:rStyle w:val="Hyperlink"/>
          <w:color w:val="auto"/>
          <w:sz w:val="16"/>
          <w:szCs w:val="16"/>
        </w:rPr>
        <w:fldChar w:fldCharType="separate"/>
      </w:r>
      <w:r w:rsidRPr="00C76788">
        <w:rPr>
          <w:rStyle w:val="Hyperlink"/>
          <w:sz w:val="16"/>
          <w:szCs w:val="16"/>
        </w:rPr>
        <w:t>www.beratungsstelleextremismus.at/wp.</w:t>
      </w:r>
    </w:p>
    <w:p w14:paraId="689C1F9C" w14:textId="424F4AAB" w:rsidR="00BF5311" w:rsidRPr="009E13E6" w:rsidRDefault="001004B9" w:rsidP="00B93BFD">
      <w:pPr>
        <w:pStyle w:val="FootnoteText"/>
        <w:rPr>
          <w:sz w:val="16"/>
          <w:szCs w:val="16"/>
          <w:lang w:val="fr-FR"/>
        </w:rPr>
      </w:pPr>
      <w:r w:rsidRPr="00C76788">
        <w:rPr>
          <w:rStyle w:val="Hyperlink"/>
          <w:sz w:val="16"/>
          <w:szCs w:val="16"/>
        </w:rPr>
        <w:tab/>
      </w:r>
      <w:r w:rsidRPr="00C76788">
        <w:rPr>
          <w:rStyle w:val="Hyperlink"/>
          <w:sz w:val="16"/>
          <w:szCs w:val="16"/>
        </w:rPr>
        <w:tab/>
      </w:r>
      <w:r w:rsidRPr="00C76788">
        <w:rPr>
          <w:rStyle w:val="Hyperlink"/>
          <w:sz w:val="16"/>
          <w:szCs w:val="16"/>
          <w:lang w:val="fr-FR"/>
        </w:rPr>
        <w:t>content/uploads/2017/06/Bilanz-Beratungsstelle-Extremismus_Dez_14_Mai_17.pdf</w:t>
      </w:r>
      <w:r>
        <w:rPr>
          <w:rStyle w:val="Hyperlink"/>
          <w:color w:val="auto"/>
          <w:sz w:val="16"/>
          <w:szCs w:val="16"/>
        </w:rPr>
        <w:fldChar w:fldCharType="end"/>
      </w:r>
      <w:r w:rsidR="00BF5311" w:rsidRPr="009E13E6">
        <w:rPr>
          <w:sz w:val="16"/>
          <w:szCs w:val="16"/>
          <w:lang w:val="fr-FR"/>
        </w:rPr>
        <w:t xml:space="preserve">. </w:t>
      </w:r>
    </w:p>
  </w:footnote>
  <w:footnote w:id="20">
    <w:p w14:paraId="48758202" w14:textId="3CF8E201" w:rsidR="00BF5311" w:rsidRPr="009E13E6" w:rsidRDefault="00BF5311" w:rsidP="00B93BFD">
      <w:pPr>
        <w:pStyle w:val="FootnoteText"/>
        <w:rPr>
          <w:sz w:val="16"/>
          <w:szCs w:val="16"/>
        </w:rPr>
      </w:pPr>
      <w:r w:rsidRPr="00140ECF">
        <w:rPr>
          <w:sz w:val="16"/>
          <w:szCs w:val="16"/>
          <w:vertAlign w:val="superscript"/>
          <w:lang w:val="fr-FR"/>
        </w:rPr>
        <w:tab/>
      </w:r>
      <w:r w:rsidRPr="009E13E6">
        <w:rPr>
          <w:rStyle w:val="FootnoteReference"/>
          <w:sz w:val="16"/>
          <w:szCs w:val="16"/>
        </w:rPr>
        <w:footnoteRef/>
      </w:r>
      <w:r w:rsidRPr="009E13E6">
        <w:rPr>
          <w:sz w:val="16"/>
          <w:szCs w:val="16"/>
          <w:vertAlign w:val="superscript"/>
        </w:rPr>
        <w:t xml:space="preserve"> </w:t>
      </w:r>
      <w:r w:rsidRPr="009E13E6">
        <w:rPr>
          <w:sz w:val="16"/>
          <w:szCs w:val="16"/>
          <w:vertAlign w:val="superscript"/>
        </w:rPr>
        <w:tab/>
      </w:r>
      <w:r w:rsidRPr="009E13E6">
        <w:rPr>
          <w:sz w:val="16"/>
          <w:szCs w:val="16"/>
        </w:rPr>
        <w:t>ORF Steiermark, Dschihadismus: Deradikalisierung im Gefängnis, 14 June 2017,</w:t>
      </w:r>
    </w:p>
    <w:p w14:paraId="5F095480" w14:textId="25D2DE44" w:rsidR="00BF5311" w:rsidRPr="009E13E6" w:rsidRDefault="00BF5311" w:rsidP="00B93BFD">
      <w:pPr>
        <w:pStyle w:val="FootnoteText"/>
        <w:rPr>
          <w:sz w:val="16"/>
          <w:szCs w:val="16"/>
        </w:rPr>
      </w:pPr>
      <w:r w:rsidRPr="009E13E6">
        <w:rPr>
          <w:sz w:val="16"/>
          <w:szCs w:val="16"/>
        </w:rPr>
        <w:tab/>
      </w:r>
      <w:r w:rsidRPr="009E13E6">
        <w:rPr>
          <w:sz w:val="16"/>
          <w:szCs w:val="16"/>
        </w:rPr>
        <w:tab/>
        <w:t xml:space="preserve">steiermark.orf.at/news/stories/2848980/. </w:t>
      </w:r>
    </w:p>
  </w:footnote>
  <w:footnote w:id="21">
    <w:p w14:paraId="444F09AB" w14:textId="3C70D5DC" w:rsidR="00BF5311" w:rsidRPr="009E13E6" w:rsidRDefault="00BF5311" w:rsidP="00B93BFD">
      <w:pPr>
        <w:pStyle w:val="FootnoteText"/>
        <w:rPr>
          <w:sz w:val="16"/>
          <w:szCs w:val="16"/>
        </w:rPr>
      </w:pPr>
      <w:r w:rsidRPr="009E13E6">
        <w:rPr>
          <w:sz w:val="16"/>
          <w:szCs w:val="16"/>
          <w:vertAlign w:val="superscript"/>
        </w:rPr>
        <w:tab/>
      </w:r>
      <w:r w:rsidRPr="009E13E6">
        <w:rPr>
          <w:rStyle w:val="FootnoteReference"/>
          <w:sz w:val="16"/>
          <w:szCs w:val="16"/>
        </w:rPr>
        <w:footnoteRef/>
      </w:r>
      <w:r w:rsidRPr="009E13E6">
        <w:rPr>
          <w:sz w:val="16"/>
          <w:szCs w:val="16"/>
          <w:vertAlign w:val="superscript"/>
        </w:rPr>
        <w:tab/>
        <w:t xml:space="preserve"> </w:t>
      </w:r>
      <w:r w:rsidRPr="009E13E6">
        <w:rPr>
          <w:sz w:val="16"/>
          <w:szCs w:val="16"/>
        </w:rPr>
        <w:t>Federal Ministry of Justice, Radikalisierung im Strafvollzug: Justizminister Brandstetter setzt auf Know-How von internationalen Experten, 23 August 2015, justiz.gv.at/web2013/home/presse/pressemitteilungen/pressemitteilungen_2015/radikalisierung_im_strafvollzug_justiminister_brandstetter_setzt_auf_knowhow_von_internationalen_experten~2c94848b4cb2b0d4014ce5c7cc380f05.de.html</w:t>
      </w:r>
      <w:r w:rsidR="001004B9">
        <w:rPr>
          <w:sz w:val="16"/>
          <w:szCs w:val="16"/>
        </w:rPr>
        <w:t>.</w:t>
      </w:r>
    </w:p>
  </w:footnote>
  <w:footnote w:id="22">
    <w:p w14:paraId="6B67522A" w14:textId="2ACF8510" w:rsidR="00BF5311" w:rsidRPr="009E13E6" w:rsidRDefault="00BF5311" w:rsidP="00682AE1">
      <w:pPr>
        <w:pStyle w:val="FootnoteText"/>
        <w:rPr>
          <w:sz w:val="16"/>
          <w:szCs w:val="16"/>
        </w:rPr>
      </w:pPr>
      <w:r w:rsidRPr="009E13E6">
        <w:rPr>
          <w:sz w:val="16"/>
          <w:szCs w:val="16"/>
        </w:rPr>
        <w:tab/>
      </w:r>
      <w:r w:rsidRPr="009E13E6">
        <w:rPr>
          <w:rStyle w:val="FootnoteReference"/>
          <w:sz w:val="16"/>
          <w:szCs w:val="16"/>
        </w:rPr>
        <w:footnoteRef/>
      </w:r>
      <w:r w:rsidRPr="009E13E6">
        <w:rPr>
          <w:sz w:val="16"/>
          <w:szCs w:val="16"/>
          <w:vertAlign w:val="superscript"/>
        </w:rPr>
        <w:t xml:space="preserve"> </w:t>
      </w:r>
      <w:r w:rsidRPr="009E13E6">
        <w:rPr>
          <w:sz w:val="16"/>
          <w:szCs w:val="16"/>
        </w:rPr>
        <w:tab/>
        <w:t>Vienna Online, Terrorismus: Weitere Maßnahmen zur Deradikalisierung in Justizanstalten nötig, 31 January 2017, vienna.at/terrorismus-weitere-massnahmen-zur-deradikalisierung-in-justizanstalten-noetig/5122513; Hofinger Veronika, Schmidinger Thomas, Endbericht zur Begleitforschung Deradikalisierung im Gefängnis, Wien, 2017, irks.at/assets/irks/Publikationen/Forschungsbericht/Endbericht_Begleitforschung_2017.pdf.</w:t>
      </w:r>
    </w:p>
  </w:footnote>
  <w:footnote w:id="23">
    <w:p w14:paraId="262498C5" w14:textId="60C2FAF0" w:rsidR="00EF07F2" w:rsidRPr="00EF07F2" w:rsidRDefault="00EF07F2">
      <w:pPr>
        <w:pStyle w:val="FootnoteText"/>
        <w:rPr>
          <w:sz w:val="16"/>
          <w:szCs w:val="16"/>
        </w:rPr>
      </w:pPr>
      <w:r>
        <w:tab/>
      </w:r>
      <w:r w:rsidRPr="00EF07F2">
        <w:rPr>
          <w:rStyle w:val="FootnoteReference"/>
          <w:sz w:val="16"/>
          <w:szCs w:val="16"/>
        </w:rPr>
        <w:footnoteRef/>
      </w:r>
      <w:r w:rsidRPr="00EF07F2">
        <w:rPr>
          <w:sz w:val="16"/>
          <w:szCs w:val="16"/>
        </w:rPr>
        <w:t xml:space="preserve"> </w:t>
      </w:r>
      <w:r w:rsidR="00037A18">
        <w:rPr>
          <w:sz w:val="16"/>
          <w:szCs w:val="16"/>
        </w:rPr>
        <w:tab/>
      </w:r>
      <w:r w:rsidRPr="00EF07F2">
        <w:rPr>
          <w:sz w:val="16"/>
          <w:szCs w:val="16"/>
        </w:rPr>
        <w:t xml:space="preserve"> </w:t>
      </w:r>
      <w:hyperlink r:id="rId7" w:history="1">
        <w:r w:rsidRPr="00EF07F2">
          <w:rPr>
            <w:rStyle w:val="Hyperlink"/>
            <w:sz w:val="16"/>
            <w:szCs w:val="16"/>
          </w:rPr>
          <w:t>https://www.neustart.at/at/en/</w:t>
        </w:r>
      </w:hyperlink>
      <w:r w:rsidR="001004B9">
        <w:rPr>
          <w:rStyle w:val="Hyperlink"/>
          <w:sz w:val="16"/>
          <w:szCs w:val="16"/>
        </w:rPr>
        <w:t>.</w:t>
      </w:r>
    </w:p>
  </w:footnote>
  <w:footnote w:id="24">
    <w:p w14:paraId="75C7FAEF" w14:textId="0F1FED84" w:rsidR="00BF5311" w:rsidRPr="00682AE1" w:rsidRDefault="00BF5311" w:rsidP="00682AE1">
      <w:pPr>
        <w:pStyle w:val="FootnoteText"/>
      </w:pPr>
      <w:r w:rsidRPr="009E13E6">
        <w:rPr>
          <w:sz w:val="16"/>
          <w:szCs w:val="16"/>
        </w:rPr>
        <w:tab/>
      </w:r>
      <w:r w:rsidRPr="009E13E6">
        <w:rPr>
          <w:rStyle w:val="FootnoteReference"/>
          <w:sz w:val="16"/>
          <w:szCs w:val="16"/>
        </w:rPr>
        <w:footnoteRef/>
      </w:r>
      <w:r w:rsidRPr="009E13E6">
        <w:rPr>
          <w:sz w:val="16"/>
          <w:szCs w:val="16"/>
          <w:vertAlign w:val="superscript"/>
        </w:rPr>
        <w:t xml:space="preserve"> </w:t>
      </w:r>
      <w:r w:rsidRPr="009E13E6">
        <w:rPr>
          <w:sz w:val="16"/>
          <w:szCs w:val="16"/>
        </w:rPr>
        <w:tab/>
        <w:t xml:space="preserve">Response by the Ministry of Justice of 13 September 2017. </w:t>
      </w:r>
    </w:p>
  </w:footnote>
  <w:footnote w:id="25">
    <w:p w14:paraId="6E1F9279" w14:textId="6DCB5DDD" w:rsidR="00BF5311" w:rsidRPr="00467FD0" w:rsidRDefault="00BF5311" w:rsidP="009102F7">
      <w:pPr>
        <w:pStyle w:val="FootnoteText"/>
        <w:rPr>
          <w:sz w:val="16"/>
          <w:szCs w:val="16"/>
        </w:rPr>
      </w:pPr>
      <w:r>
        <w:rPr>
          <w:sz w:val="16"/>
          <w:szCs w:val="16"/>
        </w:rPr>
        <w:tab/>
      </w:r>
      <w:r w:rsidRPr="00D65117">
        <w:rPr>
          <w:rStyle w:val="FootnoteReference"/>
          <w:sz w:val="16"/>
          <w:szCs w:val="16"/>
        </w:rPr>
        <w:footnoteRef/>
      </w:r>
      <w:r w:rsidRPr="00D65117">
        <w:rPr>
          <w:sz w:val="16"/>
          <w:szCs w:val="16"/>
        </w:rPr>
        <w:t xml:space="preserve"> </w:t>
      </w:r>
      <w:r w:rsidRPr="00D65117">
        <w:rPr>
          <w:sz w:val="16"/>
          <w:szCs w:val="16"/>
        </w:rPr>
        <w:tab/>
      </w:r>
      <w:r w:rsidRPr="00467FD0">
        <w:rPr>
          <w:sz w:val="16"/>
          <w:szCs w:val="16"/>
        </w:rPr>
        <w:t>The Working Group notes that terminology such as “radicalised jihadism” or event “jihadist” or “jihadism” may</w:t>
      </w:r>
    </w:p>
    <w:p w14:paraId="7E1E20E7" w14:textId="156D96F1" w:rsidR="00BF5311" w:rsidRPr="00467FD0" w:rsidRDefault="00BF5311" w:rsidP="009102F7">
      <w:pPr>
        <w:pStyle w:val="FootnoteText"/>
        <w:rPr>
          <w:sz w:val="16"/>
          <w:szCs w:val="16"/>
        </w:rPr>
      </w:pPr>
      <w:r w:rsidRPr="00467FD0">
        <w:rPr>
          <w:sz w:val="16"/>
          <w:szCs w:val="16"/>
        </w:rPr>
        <w:tab/>
      </w:r>
      <w:r w:rsidRPr="00467FD0">
        <w:rPr>
          <w:sz w:val="16"/>
          <w:szCs w:val="16"/>
        </w:rPr>
        <w:tab/>
        <w:t>also be considered vague and abstract. In this context, based on the common use and understanding of interlocutors, it is mainly used to refer to groups with profiles such as Da’esh.</w:t>
      </w:r>
    </w:p>
  </w:footnote>
  <w:footnote w:id="26">
    <w:p w14:paraId="0DC89E6B" w14:textId="36BBAF93" w:rsidR="00FB0151" w:rsidRPr="00FB0151" w:rsidRDefault="00037A18">
      <w:pPr>
        <w:pStyle w:val="FootnoteText"/>
        <w:rPr>
          <w:sz w:val="16"/>
          <w:szCs w:val="16"/>
        </w:rPr>
      </w:pPr>
      <w:r>
        <w:rPr>
          <w:sz w:val="16"/>
          <w:szCs w:val="16"/>
        </w:rPr>
        <w:tab/>
      </w:r>
      <w:r w:rsidR="00FB0151" w:rsidRPr="00FB0151">
        <w:rPr>
          <w:rStyle w:val="FootnoteReference"/>
          <w:sz w:val="16"/>
          <w:szCs w:val="16"/>
        </w:rPr>
        <w:footnoteRef/>
      </w:r>
      <w:r w:rsidR="00FB0151" w:rsidRPr="00FB0151">
        <w:rPr>
          <w:sz w:val="16"/>
          <w:szCs w:val="16"/>
        </w:rPr>
        <w:tab/>
      </w:r>
      <w:r w:rsidR="00295A85">
        <w:rPr>
          <w:sz w:val="16"/>
          <w:szCs w:val="16"/>
        </w:rPr>
        <w:t xml:space="preserve">See </w:t>
      </w:r>
      <w:r w:rsidR="00FB0151" w:rsidRPr="00FB0151">
        <w:rPr>
          <w:sz w:val="16"/>
          <w:szCs w:val="16"/>
        </w:rPr>
        <w:t>footnote</w:t>
      </w:r>
      <w:r w:rsidR="00295A85">
        <w:rPr>
          <w:sz w:val="16"/>
          <w:szCs w:val="16"/>
        </w:rPr>
        <w:t xml:space="preserve"> 7</w:t>
      </w:r>
      <w:r w:rsidR="001004B9">
        <w:rPr>
          <w:sz w:val="16"/>
          <w:szCs w:val="16"/>
        </w:rPr>
        <w:t>.</w:t>
      </w:r>
    </w:p>
  </w:footnote>
  <w:footnote w:id="27">
    <w:p w14:paraId="24ADDBCB" w14:textId="07F26EF5" w:rsidR="00D65117" w:rsidRPr="00467FD0" w:rsidRDefault="00D65117">
      <w:pPr>
        <w:pStyle w:val="FootnoteText"/>
        <w:rPr>
          <w:sz w:val="16"/>
          <w:szCs w:val="16"/>
        </w:rPr>
      </w:pPr>
      <w:r w:rsidRPr="00467FD0">
        <w:rPr>
          <w:sz w:val="16"/>
          <w:szCs w:val="16"/>
        </w:rPr>
        <w:tab/>
        <w:t xml:space="preserve"> </w:t>
      </w:r>
      <w:r w:rsidRPr="001004B9">
        <w:rPr>
          <w:sz w:val="16"/>
          <w:szCs w:val="16"/>
          <w:vertAlign w:val="superscript"/>
        </w:rPr>
        <w:footnoteRef/>
      </w:r>
      <w:r w:rsidRPr="001004B9">
        <w:rPr>
          <w:sz w:val="16"/>
          <w:szCs w:val="16"/>
          <w:vertAlign w:val="superscript"/>
        </w:rPr>
        <w:t xml:space="preserve">  </w:t>
      </w:r>
      <w:r w:rsidR="001004B9">
        <w:rPr>
          <w:sz w:val="16"/>
          <w:szCs w:val="16"/>
        </w:rPr>
        <w:tab/>
      </w:r>
      <w:hyperlink r:id="rId8" w:history="1">
        <w:r w:rsidRPr="001004B9">
          <w:rPr>
            <w:sz w:val="16"/>
            <w:szCs w:val="16"/>
          </w:rPr>
          <w:t>https://www.migrationpolicy.org/article/foreign-fighters-will-revoking-citizenship-mitigate-threat</w:t>
        </w:r>
      </w:hyperlink>
      <w:r w:rsidR="004B1D55">
        <w:rPr>
          <w:sz w:val="16"/>
          <w:szCs w:val="16"/>
        </w:rPr>
        <w:t>.</w:t>
      </w:r>
    </w:p>
  </w:footnote>
  <w:footnote w:id="28">
    <w:p w14:paraId="521FC281" w14:textId="6CE907D8" w:rsidR="00EB7F79" w:rsidRPr="00EB7F79" w:rsidRDefault="00037A18">
      <w:pPr>
        <w:pStyle w:val="FootnoteText"/>
        <w:rPr>
          <w:sz w:val="16"/>
          <w:szCs w:val="16"/>
        </w:rPr>
      </w:pPr>
      <w:r>
        <w:rPr>
          <w:sz w:val="16"/>
          <w:szCs w:val="16"/>
        </w:rPr>
        <w:tab/>
      </w:r>
      <w:r w:rsidR="00EB7F79" w:rsidRPr="00EB7F79">
        <w:rPr>
          <w:rStyle w:val="FootnoteReference"/>
          <w:sz w:val="16"/>
          <w:szCs w:val="16"/>
        </w:rPr>
        <w:footnoteRef/>
      </w:r>
      <w:r>
        <w:rPr>
          <w:sz w:val="16"/>
          <w:szCs w:val="16"/>
        </w:rPr>
        <w:tab/>
      </w:r>
      <w:r w:rsidR="004B1D55">
        <w:rPr>
          <w:sz w:val="16"/>
          <w:szCs w:val="16"/>
        </w:rPr>
        <w:tab/>
      </w:r>
      <w:r w:rsidR="00EB7F79">
        <w:rPr>
          <w:sz w:val="16"/>
          <w:szCs w:val="16"/>
        </w:rPr>
        <w:t>Ibid</w:t>
      </w:r>
      <w:r w:rsidR="004B1D55">
        <w:rPr>
          <w:sz w:val="16"/>
          <w:szCs w:val="16"/>
        </w:rPr>
        <w:t>.</w:t>
      </w:r>
    </w:p>
  </w:footnote>
  <w:footnote w:id="29">
    <w:p w14:paraId="5BCD8A58" w14:textId="251B188F" w:rsidR="00BF5311" w:rsidRPr="00F539E5" w:rsidRDefault="00BF5311" w:rsidP="00E872BB">
      <w:pPr>
        <w:pStyle w:val="FootnoteText"/>
        <w:rPr>
          <w:rFonts w:ascii="Garamond" w:hAnsi="Garamond"/>
          <w:lang w:val="en-US"/>
        </w:rPr>
      </w:pPr>
      <w:r>
        <w:rPr>
          <w:rFonts w:ascii="Garamond" w:hAnsi="Garamond"/>
        </w:rPr>
        <w:tab/>
      </w:r>
      <w:r w:rsidRPr="00F539E5">
        <w:rPr>
          <w:rStyle w:val="FootnoteReference"/>
          <w:rFonts w:ascii="Garamond" w:hAnsi="Garamond"/>
        </w:rPr>
        <w:footnoteRef/>
      </w:r>
      <w:r w:rsidRPr="00F539E5">
        <w:rPr>
          <w:rFonts w:ascii="Garamond" w:hAnsi="Garamond"/>
        </w:rPr>
        <w:t xml:space="preserve"> </w:t>
      </w:r>
      <w:r>
        <w:rPr>
          <w:rFonts w:ascii="Garamond" w:hAnsi="Garamond"/>
        </w:rPr>
        <w:tab/>
      </w:r>
      <w:r w:rsidRPr="00F539E5">
        <w:rPr>
          <w:rFonts w:ascii="Garamond" w:hAnsi="Garamond"/>
        </w:rPr>
        <w:t xml:space="preserve">European Parliament, Directorate-General for External Policies, Policy Department, the Role of Private Companies (PSCs) in CSDP Missions and Operations, 2011, </w:t>
      </w:r>
      <w:r w:rsidRPr="00F539E5">
        <w:rPr>
          <w:rFonts w:ascii="Garamond" w:hAnsi="Garamond"/>
          <w:lang w:val="en-US"/>
        </w:rPr>
        <w:t>at 45.</w:t>
      </w:r>
      <w:r>
        <w:rPr>
          <w:rFonts w:ascii="Garamond" w:hAnsi="Garamond"/>
          <w:lang w:val="en-US"/>
        </w:rPr>
        <w:t xml:space="preserve"> </w:t>
      </w:r>
      <w:hyperlink r:id="rId9" w:history="1">
        <w:r w:rsidRPr="0050724E">
          <w:rPr>
            <w:rStyle w:val="Hyperlink"/>
            <w:rFonts w:ascii="Garamond" w:hAnsi="Garamond"/>
            <w:lang w:val="en-US"/>
          </w:rPr>
          <w:t>http://www.europarl.europa.eu/RegData/etudes/etudes/join/2011/433829/EXPO-SEDE_ET%282011%29433829_EN.pdf</w:t>
        </w:r>
      </w:hyperlink>
      <w:r w:rsidR="004B1D55">
        <w:rPr>
          <w:rStyle w:val="Hyperlink"/>
          <w:rFonts w:ascii="Garamond" w:hAnsi="Garamond"/>
          <w:lang w:val="en-US"/>
        </w:rPr>
        <w:t>.</w:t>
      </w:r>
      <w:r>
        <w:rPr>
          <w:rFonts w:ascii="Garamond" w:hAnsi="Garamond"/>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31AF" w14:textId="62A28029" w:rsidR="00BF5311" w:rsidRDefault="00BF5311" w:rsidP="000B463E">
    <w:pPr>
      <w:pStyle w:val="Header"/>
    </w:pPr>
    <w:r w:rsidRPr="00C34F4A">
      <w:t>A/HRC/42/</w:t>
    </w:r>
    <w:r w:rsidR="00140ECF">
      <w:t>42</w:t>
    </w:r>
    <w:r w:rsidRPr="00C34F4A">
      <w:t>/Add.2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E488" w14:textId="670EC4E4" w:rsidR="00BF5311" w:rsidRDefault="00BF5311" w:rsidP="000B463E">
    <w:pPr>
      <w:pStyle w:val="Header"/>
      <w:jc w:val="right"/>
    </w:pPr>
    <w:r w:rsidRPr="00C34F4A">
      <w:t>A/HRC/42/</w:t>
    </w:r>
    <w:r w:rsidR="00140ECF">
      <w:t>42</w:t>
    </w:r>
    <w:r w:rsidRPr="00C34F4A">
      <w:t>/Add.2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93141"/>
    <w:multiLevelType w:val="hybridMultilevel"/>
    <w:tmpl w:val="C338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C481BEA"/>
    <w:multiLevelType w:val="hybridMultilevel"/>
    <w:tmpl w:val="931288AC"/>
    <w:lvl w:ilvl="0" w:tplc="691278B8">
      <w:start w:val="4"/>
      <w:numFmt w:val="bullet"/>
      <w:lvlText w:val="-"/>
      <w:lvlJc w:val="left"/>
      <w:pPr>
        <w:ind w:left="1494" w:hanging="360"/>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96345"/>
    <w:multiLevelType w:val="hybridMultilevel"/>
    <w:tmpl w:val="2D162D4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225E2FB8"/>
    <w:multiLevelType w:val="multilevel"/>
    <w:tmpl w:val="CEF0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B511D"/>
    <w:multiLevelType w:val="hybridMultilevel"/>
    <w:tmpl w:val="4C70CAE2"/>
    <w:lvl w:ilvl="0" w:tplc="1BFA9A18">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CE47B6"/>
    <w:multiLevelType w:val="hybridMultilevel"/>
    <w:tmpl w:val="84401DF2"/>
    <w:lvl w:ilvl="0" w:tplc="E8A6C7FC">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672E0D"/>
    <w:multiLevelType w:val="hybridMultilevel"/>
    <w:tmpl w:val="E208F5E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B983A51"/>
    <w:multiLevelType w:val="multilevel"/>
    <w:tmpl w:val="FBF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0"/>
  </w:num>
  <w:num w:numId="4">
    <w:abstractNumId w:val="11"/>
  </w:num>
  <w:num w:numId="5">
    <w:abstractNumId w:val="12"/>
  </w:num>
  <w:num w:numId="6">
    <w:abstractNumId w:val="15"/>
  </w:num>
  <w:num w:numId="7">
    <w:abstractNumId w:val="3"/>
  </w:num>
  <w:num w:numId="8">
    <w:abstractNumId w:val="1"/>
  </w:num>
  <w:num w:numId="9">
    <w:abstractNumId w:val="13"/>
  </w:num>
  <w:num w:numId="10">
    <w:abstractNumId w:val="1"/>
  </w:num>
  <w:num w:numId="11">
    <w:abstractNumId w:val="13"/>
  </w:num>
  <w:num w:numId="12">
    <w:abstractNumId w:val="4"/>
  </w:num>
  <w:num w:numId="13">
    <w:abstractNumId w:val="9"/>
  </w:num>
  <w:num w:numId="14">
    <w:abstractNumId w:val="14"/>
  </w:num>
  <w:num w:numId="15">
    <w:abstractNumId w:val="7"/>
  </w:num>
  <w:num w:numId="16">
    <w:abstractNumId w:val="16"/>
  </w:num>
  <w:num w:numId="17">
    <w:abstractNumId w:val="2"/>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C1"/>
    <w:rsid w:val="00002A4B"/>
    <w:rsid w:val="00004670"/>
    <w:rsid w:val="00004CD6"/>
    <w:rsid w:val="0000631B"/>
    <w:rsid w:val="00006A2D"/>
    <w:rsid w:val="0001093E"/>
    <w:rsid w:val="00011433"/>
    <w:rsid w:val="0001275E"/>
    <w:rsid w:val="00013EB1"/>
    <w:rsid w:val="00014933"/>
    <w:rsid w:val="000176E4"/>
    <w:rsid w:val="00021ADE"/>
    <w:rsid w:val="0002382F"/>
    <w:rsid w:val="0002690A"/>
    <w:rsid w:val="0003219F"/>
    <w:rsid w:val="000329F5"/>
    <w:rsid w:val="00032C15"/>
    <w:rsid w:val="00037A18"/>
    <w:rsid w:val="000431A3"/>
    <w:rsid w:val="00046E92"/>
    <w:rsid w:val="00052012"/>
    <w:rsid w:val="000551AD"/>
    <w:rsid w:val="00063C90"/>
    <w:rsid w:val="000641A5"/>
    <w:rsid w:val="000656BB"/>
    <w:rsid w:val="00065A50"/>
    <w:rsid w:val="000679EE"/>
    <w:rsid w:val="00072607"/>
    <w:rsid w:val="00082133"/>
    <w:rsid w:val="000822B1"/>
    <w:rsid w:val="00083C32"/>
    <w:rsid w:val="000A01AF"/>
    <w:rsid w:val="000A12AA"/>
    <w:rsid w:val="000A1361"/>
    <w:rsid w:val="000A6C2C"/>
    <w:rsid w:val="000B3976"/>
    <w:rsid w:val="000B3AC1"/>
    <w:rsid w:val="000B463E"/>
    <w:rsid w:val="000B5CA5"/>
    <w:rsid w:val="000B60C7"/>
    <w:rsid w:val="000C2AF0"/>
    <w:rsid w:val="000C5C4F"/>
    <w:rsid w:val="000D039C"/>
    <w:rsid w:val="000D3A5E"/>
    <w:rsid w:val="000D3BDC"/>
    <w:rsid w:val="000D78C7"/>
    <w:rsid w:val="000E686F"/>
    <w:rsid w:val="000E754E"/>
    <w:rsid w:val="000F006C"/>
    <w:rsid w:val="000F17BF"/>
    <w:rsid w:val="000F1D07"/>
    <w:rsid w:val="001004B9"/>
    <w:rsid w:val="001008C8"/>
    <w:rsid w:val="00101B98"/>
    <w:rsid w:val="00105AB8"/>
    <w:rsid w:val="00115C0F"/>
    <w:rsid w:val="0011745D"/>
    <w:rsid w:val="00120610"/>
    <w:rsid w:val="00124440"/>
    <w:rsid w:val="001273BD"/>
    <w:rsid w:val="001401C8"/>
    <w:rsid w:val="00140ECF"/>
    <w:rsid w:val="00146200"/>
    <w:rsid w:val="00146E19"/>
    <w:rsid w:val="001476B7"/>
    <w:rsid w:val="001478B3"/>
    <w:rsid w:val="00151C39"/>
    <w:rsid w:val="00152EB5"/>
    <w:rsid w:val="001536E5"/>
    <w:rsid w:val="00153F96"/>
    <w:rsid w:val="00154090"/>
    <w:rsid w:val="00157AE2"/>
    <w:rsid w:val="00160CD8"/>
    <w:rsid w:val="00161391"/>
    <w:rsid w:val="00163967"/>
    <w:rsid w:val="00166C06"/>
    <w:rsid w:val="00166C61"/>
    <w:rsid w:val="00170503"/>
    <w:rsid w:val="00171020"/>
    <w:rsid w:val="001726A5"/>
    <w:rsid w:val="00176896"/>
    <w:rsid w:val="001772C1"/>
    <w:rsid w:val="001774C9"/>
    <w:rsid w:val="00182025"/>
    <w:rsid w:val="0018208A"/>
    <w:rsid w:val="00182354"/>
    <w:rsid w:val="00185011"/>
    <w:rsid w:val="00185138"/>
    <w:rsid w:val="0019410C"/>
    <w:rsid w:val="00194255"/>
    <w:rsid w:val="00195CB0"/>
    <w:rsid w:val="001A0B4B"/>
    <w:rsid w:val="001A4450"/>
    <w:rsid w:val="001A4827"/>
    <w:rsid w:val="001A6275"/>
    <w:rsid w:val="001A7CC9"/>
    <w:rsid w:val="001B1A74"/>
    <w:rsid w:val="001B21C8"/>
    <w:rsid w:val="001B7759"/>
    <w:rsid w:val="001B7CC7"/>
    <w:rsid w:val="001C305F"/>
    <w:rsid w:val="001D09FC"/>
    <w:rsid w:val="001D0F05"/>
    <w:rsid w:val="001D29BB"/>
    <w:rsid w:val="001D47CE"/>
    <w:rsid w:val="001D4E83"/>
    <w:rsid w:val="001E245D"/>
    <w:rsid w:val="001E3D1A"/>
    <w:rsid w:val="001E5064"/>
    <w:rsid w:val="001E54B1"/>
    <w:rsid w:val="001E76F2"/>
    <w:rsid w:val="001F0CEC"/>
    <w:rsid w:val="001F1107"/>
    <w:rsid w:val="001F2A50"/>
    <w:rsid w:val="001F3F92"/>
    <w:rsid w:val="001F7377"/>
    <w:rsid w:val="00200345"/>
    <w:rsid w:val="002015EA"/>
    <w:rsid w:val="0020382B"/>
    <w:rsid w:val="00203A14"/>
    <w:rsid w:val="002048FD"/>
    <w:rsid w:val="0020754E"/>
    <w:rsid w:val="00207611"/>
    <w:rsid w:val="00211D76"/>
    <w:rsid w:val="0021579F"/>
    <w:rsid w:val="002165B6"/>
    <w:rsid w:val="00221FD6"/>
    <w:rsid w:val="00223A96"/>
    <w:rsid w:val="00226457"/>
    <w:rsid w:val="0022663B"/>
    <w:rsid w:val="00226AAA"/>
    <w:rsid w:val="00227CF6"/>
    <w:rsid w:val="002306DB"/>
    <w:rsid w:val="0023116A"/>
    <w:rsid w:val="00231496"/>
    <w:rsid w:val="00232581"/>
    <w:rsid w:val="00237085"/>
    <w:rsid w:val="00240E62"/>
    <w:rsid w:val="002413A0"/>
    <w:rsid w:val="0024255D"/>
    <w:rsid w:val="002426DE"/>
    <w:rsid w:val="00247E2C"/>
    <w:rsid w:val="00251DA2"/>
    <w:rsid w:val="002525D2"/>
    <w:rsid w:val="00255905"/>
    <w:rsid w:val="00256412"/>
    <w:rsid w:val="00263321"/>
    <w:rsid w:val="00263538"/>
    <w:rsid w:val="00265307"/>
    <w:rsid w:val="0026597E"/>
    <w:rsid w:val="00265F6B"/>
    <w:rsid w:val="002710F8"/>
    <w:rsid w:val="002764A4"/>
    <w:rsid w:val="00277FF1"/>
    <w:rsid w:val="002841B7"/>
    <w:rsid w:val="002861CE"/>
    <w:rsid w:val="00294496"/>
    <w:rsid w:val="00294F6A"/>
    <w:rsid w:val="00295A85"/>
    <w:rsid w:val="002970EC"/>
    <w:rsid w:val="002A062B"/>
    <w:rsid w:val="002A1178"/>
    <w:rsid w:val="002A32CB"/>
    <w:rsid w:val="002A6B54"/>
    <w:rsid w:val="002B39BD"/>
    <w:rsid w:val="002B4406"/>
    <w:rsid w:val="002B4CE0"/>
    <w:rsid w:val="002B58D9"/>
    <w:rsid w:val="002B5D42"/>
    <w:rsid w:val="002B78C7"/>
    <w:rsid w:val="002B7F80"/>
    <w:rsid w:val="002C206A"/>
    <w:rsid w:val="002C2982"/>
    <w:rsid w:val="002C3F76"/>
    <w:rsid w:val="002C670E"/>
    <w:rsid w:val="002D0D90"/>
    <w:rsid w:val="002D13E7"/>
    <w:rsid w:val="002D1A03"/>
    <w:rsid w:val="002D2B33"/>
    <w:rsid w:val="002D2EC4"/>
    <w:rsid w:val="002D34DD"/>
    <w:rsid w:val="002D3B91"/>
    <w:rsid w:val="002D6C53"/>
    <w:rsid w:val="002F22C0"/>
    <w:rsid w:val="002F5595"/>
    <w:rsid w:val="002F56B8"/>
    <w:rsid w:val="00306468"/>
    <w:rsid w:val="00306E92"/>
    <w:rsid w:val="00307BAE"/>
    <w:rsid w:val="003162F3"/>
    <w:rsid w:val="0031704D"/>
    <w:rsid w:val="003269B6"/>
    <w:rsid w:val="0032766E"/>
    <w:rsid w:val="003316C3"/>
    <w:rsid w:val="00333062"/>
    <w:rsid w:val="00334F6A"/>
    <w:rsid w:val="003370BF"/>
    <w:rsid w:val="00340EAE"/>
    <w:rsid w:val="00342AC8"/>
    <w:rsid w:val="00344877"/>
    <w:rsid w:val="00345D71"/>
    <w:rsid w:val="003500E6"/>
    <w:rsid w:val="0035147E"/>
    <w:rsid w:val="0035176B"/>
    <w:rsid w:val="00351A5A"/>
    <w:rsid w:val="00353691"/>
    <w:rsid w:val="00357D63"/>
    <w:rsid w:val="00357E0F"/>
    <w:rsid w:val="003639EC"/>
    <w:rsid w:val="00363F41"/>
    <w:rsid w:val="00364142"/>
    <w:rsid w:val="00375A95"/>
    <w:rsid w:val="003865F8"/>
    <w:rsid w:val="00387C58"/>
    <w:rsid w:val="0039580F"/>
    <w:rsid w:val="003A0B2A"/>
    <w:rsid w:val="003A239F"/>
    <w:rsid w:val="003A2567"/>
    <w:rsid w:val="003A57D7"/>
    <w:rsid w:val="003B1879"/>
    <w:rsid w:val="003B1B60"/>
    <w:rsid w:val="003B226F"/>
    <w:rsid w:val="003B2911"/>
    <w:rsid w:val="003B3BCB"/>
    <w:rsid w:val="003B4550"/>
    <w:rsid w:val="003B4AFB"/>
    <w:rsid w:val="003B510E"/>
    <w:rsid w:val="003B78E5"/>
    <w:rsid w:val="003C35BF"/>
    <w:rsid w:val="003D0A87"/>
    <w:rsid w:val="003D62AD"/>
    <w:rsid w:val="003E3B16"/>
    <w:rsid w:val="003E4023"/>
    <w:rsid w:val="003E452F"/>
    <w:rsid w:val="003E60B1"/>
    <w:rsid w:val="003F00ED"/>
    <w:rsid w:val="003F4B93"/>
    <w:rsid w:val="003F684C"/>
    <w:rsid w:val="003F71D4"/>
    <w:rsid w:val="003F7D30"/>
    <w:rsid w:val="0040017C"/>
    <w:rsid w:val="00403430"/>
    <w:rsid w:val="0040739A"/>
    <w:rsid w:val="00407AF1"/>
    <w:rsid w:val="00412CC9"/>
    <w:rsid w:val="00420533"/>
    <w:rsid w:val="004221A9"/>
    <w:rsid w:val="00422F5E"/>
    <w:rsid w:val="0042486E"/>
    <w:rsid w:val="00436839"/>
    <w:rsid w:val="00436EB3"/>
    <w:rsid w:val="00437EF4"/>
    <w:rsid w:val="00441A04"/>
    <w:rsid w:val="00447F33"/>
    <w:rsid w:val="0045042A"/>
    <w:rsid w:val="0045270B"/>
    <w:rsid w:val="00455A1E"/>
    <w:rsid w:val="00455F86"/>
    <w:rsid w:val="00457D9D"/>
    <w:rsid w:val="00460EFD"/>
    <w:rsid w:val="00461253"/>
    <w:rsid w:val="00461975"/>
    <w:rsid w:val="00467FD0"/>
    <w:rsid w:val="0047350D"/>
    <w:rsid w:val="004760C8"/>
    <w:rsid w:val="004825D2"/>
    <w:rsid w:val="00482942"/>
    <w:rsid w:val="004842E2"/>
    <w:rsid w:val="00487858"/>
    <w:rsid w:val="00487C0D"/>
    <w:rsid w:val="00492438"/>
    <w:rsid w:val="00494193"/>
    <w:rsid w:val="00494BE3"/>
    <w:rsid w:val="00494DA1"/>
    <w:rsid w:val="004A0B7F"/>
    <w:rsid w:val="004A1F06"/>
    <w:rsid w:val="004A2814"/>
    <w:rsid w:val="004A7091"/>
    <w:rsid w:val="004B19B2"/>
    <w:rsid w:val="004B1D55"/>
    <w:rsid w:val="004B59D8"/>
    <w:rsid w:val="004C0622"/>
    <w:rsid w:val="004C4716"/>
    <w:rsid w:val="004C4925"/>
    <w:rsid w:val="004D10F9"/>
    <w:rsid w:val="004D227B"/>
    <w:rsid w:val="004D35AC"/>
    <w:rsid w:val="004D5F42"/>
    <w:rsid w:val="004D5F8A"/>
    <w:rsid w:val="004D60A4"/>
    <w:rsid w:val="004D7B23"/>
    <w:rsid w:val="004D7CA1"/>
    <w:rsid w:val="004E5E53"/>
    <w:rsid w:val="004E5EFE"/>
    <w:rsid w:val="004F29AF"/>
    <w:rsid w:val="004F2CE4"/>
    <w:rsid w:val="004F426A"/>
    <w:rsid w:val="004F6EED"/>
    <w:rsid w:val="005024D8"/>
    <w:rsid w:val="005042C2"/>
    <w:rsid w:val="005049D4"/>
    <w:rsid w:val="005117D0"/>
    <w:rsid w:val="00512CCF"/>
    <w:rsid w:val="00513C7D"/>
    <w:rsid w:val="00514859"/>
    <w:rsid w:val="005208D2"/>
    <w:rsid w:val="00521E46"/>
    <w:rsid w:val="0052470D"/>
    <w:rsid w:val="00525D56"/>
    <w:rsid w:val="00525EF0"/>
    <w:rsid w:val="00537546"/>
    <w:rsid w:val="00540BB6"/>
    <w:rsid w:val="0054374C"/>
    <w:rsid w:val="0054393E"/>
    <w:rsid w:val="00551020"/>
    <w:rsid w:val="005522AE"/>
    <w:rsid w:val="00552500"/>
    <w:rsid w:val="00552695"/>
    <w:rsid w:val="005627BE"/>
    <w:rsid w:val="0056312E"/>
    <w:rsid w:val="00567D88"/>
    <w:rsid w:val="00571F32"/>
    <w:rsid w:val="005751C0"/>
    <w:rsid w:val="005838BE"/>
    <w:rsid w:val="00583BA4"/>
    <w:rsid w:val="005930A6"/>
    <w:rsid w:val="00593F70"/>
    <w:rsid w:val="00595068"/>
    <w:rsid w:val="00595923"/>
    <w:rsid w:val="005A6C10"/>
    <w:rsid w:val="005A75A9"/>
    <w:rsid w:val="005B1BAB"/>
    <w:rsid w:val="005B24FB"/>
    <w:rsid w:val="005B273A"/>
    <w:rsid w:val="005B297E"/>
    <w:rsid w:val="005B7269"/>
    <w:rsid w:val="005C1093"/>
    <w:rsid w:val="005C1D10"/>
    <w:rsid w:val="005C3875"/>
    <w:rsid w:val="005C51F9"/>
    <w:rsid w:val="005D051D"/>
    <w:rsid w:val="005D0807"/>
    <w:rsid w:val="005D28CA"/>
    <w:rsid w:val="005E331B"/>
    <w:rsid w:val="005E4E5D"/>
    <w:rsid w:val="005E716E"/>
    <w:rsid w:val="005E75D1"/>
    <w:rsid w:val="005E7C4A"/>
    <w:rsid w:val="005F0BBC"/>
    <w:rsid w:val="005F15D5"/>
    <w:rsid w:val="005F498F"/>
    <w:rsid w:val="005F5013"/>
    <w:rsid w:val="005F635F"/>
    <w:rsid w:val="00601735"/>
    <w:rsid w:val="00601875"/>
    <w:rsid w:val="006032A5"/>
    <w:rsid w:val="00612A84"/>
    <w:rsid w:val="0061516E"/>
    <w:rsid w:val="0061652C"/>
    <w:rsid w:val="00621757"/>
    <w:rsid w:val="00622B89"/>
    <w:rsid w:val="00624BEE"/>
    <w:rsid w:val="00624C53"/>
    <w:rsid w:val="006251AE"/>
    <w:rsid w:val="0062544B"/>
    <w:rsid w:val="00625CDE"/>
    <w:rsid w:val="006309CD"/>
    <w:rsid w:val="0063127B"/>
    <w:rsid w:val="00634832"/>
    <w:rsid w:val="00640B7E"/>
    <w:rsid w:val="00643D08"/>
    <w:rsid w:val="006474D2"/>
    <w:rsid w:val="00653CB9"/>
    <w:rsid w:val="00655BB8"/>
    <w:rsid w:val="00664138"/>
    <w:rsid w:val="0066476B"/>
    <w:rsid w:val="0066698B"/>
    <w:rsid w:val="00666E6C"/>
    <w:rsid w:val="00667765"/>
    <w:rsid w:val="00670343"/>
    <w:rsid w:val="00670869"/>
    <w:rsid w:val="00671529"/>
    <w:rsid w:val="00676FD3"/>
    <w:rsid w:val="00681A9D"/>
    <w:rsid w:val="00682AE1"/>
    <w:rsid w:val="00682EFD"/>
    <w:rsid w:val="006839B3"/>
    <w:rsid w:val="00690126"/>
    <w:rsid w:val="006925FE"/>
    <w:rsid w:val="00692E26"/>
    <w:rsid w:val="00692EEA"/>
    <w:rsid w:val="00693631"/>
    <w:rsid w:val="00694A42"/>
    <w:rsid w:val="00694CE4"/>
    <w:rsid w:val="00696096"/>
    <w:rsid w:val="00696E28"/>
    <w:rsid w:val="006A057D"/>
    <w:rsid w:val="006A0D0E"/>
    <w:rsid w:val="006A64A5"/>
    <w:rsid w:val="006B0739"/>
    <w:rsid w:val="006B0B7B"/>
    <w:rsid w:val="006B1108"/>
    <w:rsid w:val="006B1C18"/>
    <w:rsid w:val="006B7358"/>
    <w:rsid w:val="006C06EA"/>
    <w:rsid w:val="006C39C7"/>
    <w:rsid w:val="006C5E4D"/>
    <w:rsid w:val="006C6714"/>
    <w:rsid w:val="006D26ED"/>
    <w:rsid w:val="006D3244"/>
    <w:rsid w:val="006D5021"/>
    <w:rsid w:val="006D5345"/>
    <w:rsid w:val="006E365F"/>
    <w:rsid w:val="006E4F7E"/>
    <w:rsid w:val="006E6574"/>
    <w:rsid w:val="006F23D9"/>
    <w:rsid w:val="007045E0"/>
    <w:rsid w:val="00704819"/>
    <w:rsid w:val="0070489D"/>
    <w:rsid w:val="007103BB"/>
    <w:rsid w:val="00713E5C"/>
    <w:rsid w:val="00715A11"/>
    <w:rsid w:val="00715DA8"/>
    <w:rsid w:val="007220A6"/>
    <w:rsid w:val="00722C00"/>
    <w:rsid w:val="0072508D"/>
    <w:rsid w:val="007268F9"/>
    <w:rsid w:val="00726C33"/>
    <w:rsid w:val="00733130"/>
    <w:rsid w:val="00733825"/>
    <w:rsid w:val="007351BB"/>
    <w:rsid w:val="0073774E"/>
    <w:rsid w:val="00744E74"/>
    <w:rsid w:val="007454B9"/>
    <w:rsid w:val="00746DA0"/>
    <w:rsid w:val="0074744E"/>
    <w:rsid w:val="0075431A"/>
    <w:rsid w:val="00754C4F"/>
    <w:rsid w:val="007567C8"/>
    <w:rsid w:val="00765034"/>
    <w:rsid w:val="007663E2"/>
    <w:rsid w:val="00766FD9"/>
    <w:rsid w:val="00767334"/>
    <w:rsid w:val="00767E3F"/>
    <w:rsid w:val="00774B63"/>
    <w:rsid w:val="00780B12"/>
    <w:rsid w:val="00782C24"/>
    <w:rsid w:val="00784BA8"/>
    <w:rsid w:val="00787028"/>
    <w:rsid w:val="00790788"/>
    <w:rsid w:val="007914AC"/>
    <w:rsid w:val="0079266A"/>
    <w:rsid w:val="00792915"/>
    <w:rsid w:val="00792E4F"/>
    <w:rsid w:val="007A09C4"/>
    <w:rsid w:val="007A3DAD"/>
    <w:rsid w:val="007A5CE8"/>
    <w:rsid w:val="007B0582"/>
    <w:rsid w:val="007B1578"/>
    <w:rsid w:val="007B2431"/>
    <w:rsid w:val="007B577C"/>
    <w:rsid w:val="007C003D"/>
    <w:rsid w:val="007C198D"/>
    <w:rsid w:val="007C3D44"/>
    <w:rsid w:val="007C52B0"/>
    <w:rsid w:val="007C5BE9"/>
    <w:rsid w:val="007D138B"/>
    <w:rsid w:val="007E1EF1"/>
    <w:rsid w:val="007E3686"/>
    <w:rsid w:val="007E7DA5"/>
    <w:rsid w:val="007F34C1"/>
    <w:rsid w:val="007F3CF2"/>
    <w:rsid w:val="007F4CB3"/>
    <w:rsid w:val="0080090D"/>
    <w:rsid w:val="00800B47"/>
    <w:rsid w:val="008030E1"/>
    <w:rsid w:val="00804467"/>
    <w:rsid w:val="008047A1"/>
    <w:rsid w:val="00804951"/>
    <w:rsid w:val="00804BCC"/>
    <w:rsid w:val="00805D04"/>
    <w:rsid w:val="008101D1"/>
    <w:rsid w:val="00811CCD"/>
    <w:rsid w:val="008126C7"/>
    <w:rsid w:val="00813312"/>
    <w:rsid w:val="00813813"/>
    <w:rsid w:val="00830BA2"/>
    <w:rsid w:val="0083396F"/>
    <w:rsid w:val="00834C41"/>
    <w:rsid w:val="00841DC7"/>
    <w:rsid w:val="0084201E"/>
    <w:rsid w:val="00842E33"/>
    <w:rsid w:val="0084336B"/>
    <w:rsid w:val="00844AEA"/>
    <w:rsid w:val="00847312"/>
    <w:rsid w:val="008515D2"/>
    <w:rsid w:val="00851EAD"/>
    <w:rsid w:val="00853FA8"/>
    <w:rsid w:val="00855A06"/>
    <w:rsid w:val="008561E9"/>
    <w:rsid w:val="00861701"/>
    <w:rsid w:val="00861B4E"/>
    <w:rsid w:val="0086218D"/>
    <w:rsid w:val="00865CAE"/>
    <w:rsid w:val="00866B2A"/>
    <w:rsid w:val="00873403"/>
    <w:rsid w:val="00884067"/>
    <w:rsid w:val="00885093"/>
    <w:rsid w:val="00886DEE"/>
    <w:rsid w:val="008876F7"/>
    <w:rsid w:val="008900F9"/>
    <w:rsid w:val="008922E4"/>
    <w:rsid w:val="00893758"/>
    <w:rsid w:val="00895042"/>
    <w:rsid w:val="00895B68"/>
    <w:rsid w:val="008969AA"/>
    <w:rsid w:val="008B38D9"/>
    <w:rsid w:val="008B61F8"/>
    <w:rsid w:val="008C2F50"/>
    <w:rsid w:val="008C700F"/>
    <w:rsid w:val="008D03AD"/>
    <w:rsid w:val="008D64E8"/>
    <w:rsid w:val="008D71FA"/>
    <w:rsid w:val="008E1393"/>
    <w:rsid w:val="008E42DE"/>
    <w:rsid w:val="008E49B4"/>
    <w:rsid w:val="008F1A61"/>
    <w:rsid w:val="008F4A90"/>
    <w:rsid w:val="008F71A9"/>
    <w:rsid w:val="00900F19"/>
    <w:rsid w:val="009102F7"/>
    <w:rsid w:val="0091156E"/>
    <w:rsid w:val="009214BB"/>
    <w:rsid w:val="0092251A"/>
    <w:rsid w:val="009230F7"/>
    <w:rsid w:val="0092386E"/>
    <w:rsid w:val="009270F3"/>
    <w:rsid w:val="009275EA"/>
    <w:rsid w:val="00933928"/>
    <w:rsid w:val="00933972"/>
    <w:rsid w:val="009370AA"/>
    <w:rsid w:val="00937CC1"/>
    <w:rsid w:val="009411B4"/>
    <w:rsid w:val="00941377"/>
    <w:rsid w:val="00942423"/>
    <w:rsid w:val="00942624"/>
    <w:rsid w:val="00945052"/>
    <w:rsid w:val="00945248"/>
    <w:rsid w:val="00947FC5"/>
    <w:rsid w:val="009501BB"/>
    <w:rsid w:val="009524B6"/>
    <w:rsid w:val="00960620"/>
    <w:rsid w:val="009618B7"/>
    <w:rsid w:val="00961F7B"/>
    <w:rsid w:val="0096222E"/>
    <w:rsid w:val="009622A9"/>
    <w:rsid w:val="0096387A"/>
    <w:rsid w:val="0096474C"/>
    <w:rsid w:val="00966372"/>
    <w:rsid w:val="009700F6"/>
    <w:rsid w:val="0097039C"/>
    <w:rsid w:val="00976CCE"/>
    <w:rsid w:val="009803C3"/>
    <w:rsid w:val="00981312"/>
    <w:rsid w:val="00987784"/>
    <w:rsid w:val="00987AC3"/>
    <w:rsid w:val="009922CA"/>
    <w:rsid w:val="00997BDC"/>
    <w:rsid w:val="009A3D4E"/>
    <w:rsid w:val="009A60BA"/>
    <w:rsid w:val="009A6128"/>
    <w:rsid w:val="009A6AE5"/>
    <w:rsid w:val="009A7AFB"/>
    <w:rsid w:val="009B3B41"/>
    <w:rsid w:val="009B5A6A"/>
    <w:rsid w:val="009C626D"/>
    <w:rsid w:val="009D0139"/>
    <w:rsid w:val="009D34C0"/>
    <w:rsid w:val="009D69CF"/>
    <w:rsid w:val="009D717D"/>
    <w:rsid w:val="009E13E6"/>
    <w:rsid w:val="009E3A5C"/>
    <w:rsid w:val="009E3E1A"/>
    <w:rsid w:val="009E4C80"/>
    <w:rsid w:val="009E61CD"/>
    <w:rsid w:val="009E7A96"/>
    <w:rsid w:val="009F3213"/>
    <w:rsid w:val="009F4B09"/>
    <w:rsid w:val="009F5CDC"/>
    <w:rsid w:val="00A0047E"/>
    <w:rsid w:val="00A01782"/>
    <w:rsid w:val="00A05BA0"/>
    <w:rsid w:val="00A107B1"/>
    <w:rsid w:val="00A10F18"/>
    <w:rsid w:val="00A1126C"/>
    <w:rsid w:val="00A11DB6"/>
    <w:rsid w:val="00A141B0"/>
    <w:rsid w:val="00A14683"/>
    <w:rsid w:val="00A151FF"/>
    <w:rsid w:val="00A204C5"/>
    <w:rsid w:val="00A207FF"/>
    <w:rsid w:val="00A20CB3"/>
    <w:rsid w:val="00A22108"/>
    <w:rsid w:val="00A2289F"/>
    <w:rsid w:val="00A23947"/>
    <w:rsid w:val="00A277E2"/>
    <w:rsid w:val="00A279AB"/>
    <w:rsid w:val="00A27B31"/>
    <w:rsid w:val="00A36F6C"/>
    <w:rsid w:val="00A44EF5"/>
    <w:rsid w:val="00A508C7"/>
    <w:rsid w:val="00A52710"/>
    <w:rsid w:val="00A56B84"/>
    <w:rsid w:val="00A57C3A"/>
    <w:rsid w:val="00A62AFC"/>
    <w:rsid w:val="00A6779E"/>
    <w:rsid w:val="00A705FB"/>
    <w:rsid w:val="00A72F26"/>
    <w:rsid w:val="00A7346A"/>
    <w:rsid w:val="00A77172"/>
    <w:rsid w:val="00A774DD"/>
    <w:rsid w:val="00A775CF"/>
    <w:rsid w:val="00A8376E"/>
    <w:rsid w:val="00A85E17"/>
    <w:rsid w:val="00A91356"/>
    <w:rsid w:val="00A93015"/>
    <w:rsid w:val="00A95680"/>
    <w:rsid w:val="00AA3F15"/>
    <w:rsid w:val="00AB0951"/>
    <w:rsid w:val="00AB1A3D"/>
    <w:rsid w:val="00AB2479"/>
    <w:rsid w:val="00AB4159"/>
    <w:rsid w:val="00AB6005"/>
    <w:rsid w:val="00AC354C"/>
    <w:rsid w:val="00AC3AFD"/>
    <w:rsid w:val="00AD0719"/>
    <w:rsid w:val="00AD0D03"/>
    <w:rsid w:val="00AD1BA1"/>
    <w:rsid w:val="00AD1D2E"/>
    <w:rsid w:val="00AD1F58"/>
    <w:rsid w:val="00AD64D0"/>
    <w:rsid w:val="00AD775E"/>
    <w:rsid w:val="00AE227F"/>
    <w:rsid w:val="00AE3723"/>
    <w:rsid w:val="00AF23F3"/>
    <w:rsid w:val="00AF6A76"/>
    <w:rsid w:val="00B024F3"/>
    <w:rsid w:val="00B040FA"/>
    <w:rsid w:val="00B06045"/>
    <w:rsid w:val="00B11048"/>
    <w:rsid w:val="00B24F42"/>
    <w:rsid w:val="00B37719"/>
    <w:rsid w:val="00B40103"/>
    <w:rsid w:val="00B414C2"/>
    <w:rsid w:val="00B41972"/>
    <w:rsid w:val="00B43D59"/>
    <w:rsid w:val="00B44449"/>
    <w:rsid w:val="00B505C3"/>
    <w:rsid w:val="00B51899"/>
    <w:rsid w:val="00B52EF4"/>
    <w:rsid w:val="00B53F55"/>
    <w:rsid w:val="00B62C66"/>
    <w:rsid w:val="00B6383F"/>
    <w:rsid w:val="00B645AE"/>
    <w:rsid w:val="00B669A8"/>
    <w:rsid w:val="00B73041"/>
    <w:rsid w:val="00B774C2"/>
    <w:rsid w:val="00B824F0"/>
    <w:rsid w:val="00B8742D"/>
    <w:rsid w:val="00B913CA"/>
    <w:rsid w:val="00B920AB"/>
    <w:rsid w:val="00B937B6"/>
    <w:rsid w:val="00B93BFD"/>
    <w:rsid w:val="00B9450D"/>
    <w:rsid w:val="00B973AF"/>
    <w:rsid w:val="00B977EA"/>
    <w:rsid w:val="00BA0BC9"/>
    <w:rsid w:val="00BA4767"/>
    <w:rsid w:val="00BA7B3A"/>
    <w:rsid w:val="00BB11FC"/>
    <w:rsid w:val="00BC195D"/>
    <w:rsid w:val="00BC25FF"/>
    <w:rsid w:val="00BC3B58"/>
    <w:rsid w:val="00BC7AE5"/>
    <w:rsid w:val="00BD35A3"/>
    <w:rsid w:val="00BE0FD3"/>
    <w:rsid w:val="00BE27ED"/>
    <w:rsid w:val="00BE4779"/>
    <w:rsid w:val="00BE7B3C"/>
    <w:rsid w:val="00BF00CE"/>
    <w:rsid w:val="00BF1024"/>
    <w:rsid w:val="00BF5311"/>
    <w:rsid w:val="00BF7452"/>
    <w:rsid w:val="00BF77FC"/>
    <w:rsid w:val="00BF7ECC"/>
    <w:rsid w:val="00C02C84"/>
    <w:rsid w:val="00C03015"/>
    <w:rsid w:val="00C0358D"/>
    <w:rsid w:val="00C07CA3"/>
    <w:rsid w:val="00C128B5"/>
    <w:rsid w:val="00C12AAA"/>
    <w:rsid w:val="00C14149"/>
    <w:rsid w:val="00C160AE"/>
    <w:rsid w:val="00C202C6"/>
    <w:rsid w:val="00C209BC"/>
    <w:rsid w:val="00C215C4"/>
    <w:rsid w:val="00C30815"/>
    <w:rsid w:val="00C30C1E"/>
    <w:rsid w:val="00C30EC5"/>
    <w:rsid w:val="00C31A9A"/>
    <w:rsid w:val="00C34F4A"/>
    <w:rsid w:val="00C35A27"/>
    <w:rsid w:val="00C406C4"/>
    <w:rsid w:val="00C41078"/>
    <w:rsid w:val="00C42A17"/>
    <w:rsid w:val="00C44231"/>
    <w:rsid w:val="00C44291"/>
    <w:rsid w:val="00C46369"/>
    <w:rsid w:val="00C47B2E"/>
    <w:rsid w:val="00C50431"/>
    <w:rsid w:val="00C66AA6"/>
    <w:rsid w:val="00C71855"/>
    <w:rsid w:val="00C71D6A"/>
    <w:rsid w:val="00C723BF"/>
    <w:rsid w:val="00C7378B"/>
    <w:rsid w:val="00C73E6A"/>
    <w:rsid w:val="00C76C8C"/>
    <w:rsid w:val="00C8194E"/>
    <w:rsid w:val="00C830F8"/>
    <w:rsid w:val="00C86BF1"/>
    <w:rsid w:val="00C87D1F"/>
    <w:rsid w:val="00C904DB"/>
    <w:rsid w:val="00C918D7"/>
    <w:rsid w:val="00C970B9"/>
    <w:rsid w:val="00C978E8"/>
    <w:rsid w:val="00CA0F3D"/>
    <w:rsid w:val="00CA17A3"/>
    <w:rsid w:val="00CA1B04"/>
    <w:rsid w:val="00CA5363"/>
    <w:rsid w:val="00CB291F"/>
    <w:rsid w:val="00CB4BE2"/>
    <w:rsid w:val="00CB5829"/>
    <w:rsid w:val="00CB59E3"/>
    <w:rsid w:val="00CC4AA6"/>
    <w:rsid w:val="00CC622B"/>
    <w:rsid w:val="00CC750A"/>
    <w:rsid w:val="00CC7F39"/>
    <w:rsid w:val="00CD0697"/>
    <w:rsid w:val="00CD2468"/>
    <w:rsid w:val="00CD2CB1"/>
    <w:rsid w:val="00CD34E7"/>
    <w:rsid w:val="00CD43F0"/>
    <w:rsid w:val="00CE0B05"/>
    <w:rsid w:val="00CE2D98"/>
    <w:rsid w:val="00CE562F"/>
    <w:rsid w:val="00CF0FC4"/>
    <w:rsid w:val="00CF4B54"/>
    <w:rsid w:val="00CF5BEC"/>
    <w:rsid w:val="00D02123"/>
    <w:rsid w:val="00D02A70"/>
    <w:rsid w:val="00D02E71"/>
    <w:rsid w:val="00D04C52"/>
    <w:rsid w:val="00D11D28"/>
    <w:rsid w:val="00D13E96"/>
    <w:rsid w:val="00D1557A"/>
    <w:rsid w:val="00D17850"/>
    <w:rsid w:val="00D21E76"/>
    <w:rsid w:val="00D306A4"/>
    <w:rsid w:val="00D34C93"/>
    <w:rsid w:val="00D36EA4"/>
    <w:rsid w:val="00D37B87"/>
    <w:rsid w:val="00D37FCF"/>
    <w:rsid w:val="00D42F72"/>
    <w:rsid w:val="00D435D2"/>
    <w:rsid w:val="00D47EF4"/>
    <w:rsid w:val="00D63235"/>
    <w:rsid w:val="00D64C20"/>
    <w:rsid w:val="00D65117"/>
    <w:rsid w:val="00D65E8A"/>
    <w:rsid w:val="00D75F6B"/>
    <w:rsid w:val="00D768EC"/>
    <w:rsid w:val="00D82162"/>
    <w:rsid w:val="00D8429F"/>
    <w:rsid w:val="00D84FBC"/>
    <w:rsid w:val="00D8788D"/>
    <w:rsid w:val="00D9275E"/>
    <w:rsid w:val="00D93743"/>
    <w:rsid w:val="00DA03B8"/>
    <w:rsid w:val="00DA1E34"/>
    <w:rsid w:val="00DA1F56"/>
    <w:rsid w:val="00DA37D6"/>
    <w:rsid w:val="00DA4F72"/>
    <w:rsid w:val="00DA55BF"/>
    <w:rsid w:val="00DB5AA2"/>
    <w:rsid w:val="00DC0AA1"/>
    <w:rsid w:val="00DC166E"/>
    <w:rsid w:val="00DC3BD2"/>
    <w:rsid w:val="00DC5AB3"/>
    <w:rsid w:val="00DC70A6"/>
    <w:rsid w:val="00DE4F78"/>
    <w:rsid w:val="00DE7EFE"/>
    <w:rsid w:val="00DE7FAE"/>
    <w:rsid w:val="00DF68D3"/>
    <w:rsid w:val="00E000D3"/>
    <w:rsid w:val="00E02C2B"/>
    <w:rsid w:val="00E02D92"/>
    <w:rsid w:val="00E0656E"/>
    <w:rsid w:val="00E07490"/>
    <w:rsid w:val="00E12DEF"/>
    <w:rsid w:val="00E12E82"/>
    <w:rsid w:val="00E15E7A"/>
    <w:rsid w:val="00E15FBC"/>
    <w:rsid w:val="00E1742E"/>
    <w:rsid w:val="00E203CE"/>
    <w:rsid w:val="00E215F8"/>
    <w:rsid w:val="00E236BF"/>
    <w:rsid w:val="00E24A5D"/>
    <w:rsid w:val="00E257C7"/>
    <w:rsid w:val="00E26E29"/>
    <w:rsid w:val="00E26E57"/>
    <w:rsid w:val="00E27A49"/>
    <w:rsid w:val="00E300A2"/>
    <w:rsid w:val="00E30C6D"/>
    <w:rsid w:val="00E32C52"/>
    <w:rsid w:val="00E369C9"/>
    <w:rsid w:val="00E37916"/>
    <w:rsid w:val="00E52109"/>
    <w:rsid w:val="00E553F1"/>
    <w:rsid w:val="00E5568E"/>
    <w:rsid w:val="00E556A0"/>
    <w:rsid w:val="00E56107"/>
    <w:rsid w:val="00E57D41"/>
    <w:rsid w:val="00E60BF2"/>
    <w:rsid w:val="00E62D22"/>
    <w:rsid w:val="00E63DE1"/>
    <w:rsid w:val="00E71C40"/>
    <w:rsid w:val="00E71C4C"/>
    <w:rsid w:val="00E730A9"/>
    <w:rsid w:val="00E75317"/>
    <w:rsid w:val="00E75A0E"/>
    <w:rsid w:val="00E767A5"/>
    <w:rsid w:val="00E8063C"/>
    <w:rsid w:val="00E82306"/>
    <w:rsid w:val="00E82A67"/>
    <w:rsid w:val="00E848F6"/>
    <w:rsid w:val="00E84F1F"/>
    <w:rsid w:val="00E85176"/>
    <w:rsid w:val="00E85B78"/>
    <w:rsid w:val="00E86A49"/>
    <w:rsid w:val="00E872BB"/>
    <w:rsid w:val="00E877EA"/>
    <w:rsid w:val="00E91EF3"/>
    <w:rsid w:val="00E95EC6"/>
    <w:rsid w:val="00E9721F"/>
    <w:rsid w:val="00E976D0"/>
    <w:rsid w:val="00EA1896"/>
    <w:rsid w:val="00EA59A3"/>
    <w:rsid w:val="00EA5DBE"/>
    <w:rsid w:val="00EA6792"/>
    <w:rsid w:val="00EB5E4D"/>
    <w:rsid w:val="00EB72A4"/>
    <w:rsid w:val="00EB7F79"/>
    <w:rsid w:val="00EC082A"/>
    <w:rsid w:val="00EC36D0"/>
    <w:rsid w:val="00EC5577"/>
    <w:rsid w:val="00EC5FE3"/>
    <w:rsid w:val="00EC677A"/>
    <w:rsid w:val="00ED1B0D"/>
    <w:rsid w:val="00ED223B"/>
    <w:rsid w:val="00ED260E"/>
    <w:rsid w:val="00ED42AD"/>
    <w:rsid w:val="00ED6C48"/>
    <w:rsid w:val="00EE71CB"/>
    <w:rsid w:val="00EF07F2"/>
    <w:rsid w:val="00EF5BFD"/>
    <w:rsid w:val="00F03519"/>
    <w:rsid w:val="00F041C4"/>
    <w:rsid w:val="00F04440"/>
    <w:rsid w:val="00F051F7"/>
    <w:rsid w:val="00F14299"/>
    <w:rsid w:val="00F2170F"/>
    <w:rsid w:val="00F322EF"/>
    <w:rsid w:val="00F32806"/>
    <w:rsid w:val="00F3643B"/>
    <w:rsid w:val="00F371A4"/>
    <w:rsid w:val="00F373E8"/>
    <w:rsid w:val="00F40B68"/>
    <w:rsid w:val="00F4305E"/>
    <w:rsid w:val="00F44F14"/>
    <w:rsid w:val="00F45644"/>
    <w:rsid w:val="00F46BAA"/>
    <w:rsid w:val="00F50731"/>
    <w:rsid w:val="00F51677"/>
    <w:rsid w:val="00F51B44"/>
    <w:rsid w:val="00F5247C"/>
    <w:rsid w:val="00F52F52"/>
    <w:rsid w:val="00F55BD5"/>
    <w:rsid w:val="00F62A76"/>
    <w:rsid w:val="00F64DD2"/>
    <w:rsid w:val="00F65F5D"/>
    <w:rsid w:val="00F6770E"/>
    <w:rsid w:val="00F67DB7"/>
    <w:rsid w:val="00F7228C"/>
    <w:rsid w:val="00F7362C"/>
    <w:rsid w:val="00F75F71"/>
    <w:rsid w:val="00F7632A"/>
    <w:rsid w:val="00F774A6"/>
    <w:rsid w:val="00F86A3A"/>
    <w:rsid w:val="00F87B1F"/>
    <w:rsid w:val="00F90A4E"/>
    <w:rsid w:val="00F91563"/>
    <w:rsid w:val="00F916DE"/>
    <w:rsid w:val="00F927C8"/>
    <w:rsid w:val="00F93405"/>
    <w:rsid w:val="00F95189"/>
    <w:rsid w:val="00FA080B"/>
    <w:rsid w:val="00FA0F22"/>
    <w:rsid w:val="00FA315D"/>
    <w:rsid w:val="00FA3FBB"/>
    <w:rsid w:val="00FA4BFB"/>
    <w:rsid w:val="00FA5E1C"/>
    <w:rsid w:val="00FA6F41"/>
    <w:rsid w:val="00FA70E7"/>
    <w:rsid w:val="00FB0151"/>
    <w:rsid w:val="00FB03B6"/>
    <w:rsid w:val="00FB16C3"/>
    <w:rsid w:val="00FB26C1"/>
    <w:rsid w:val="00FB4C46"/>
    <w:rsid w:val="00FB4C83"/>
    <w:rsid w:val="00FC4032"/>
    <w:rsid w:val="00FC4C21"/>
    <w:rsid w:val="00FD2D24"/>
    <w:rsid w:val="00FD55CA"/>
    <w:rsid w:val="00FE025F"/>
    <w:rsid w:val="00FE73E7"/>
    <w:rsid w:val="00FE7F7C"/>
    <w:rsid w:val="00FF3E16"/>
    <w:rsid w:val="00FF3FAE"/>
    <w:rsid w:val="00FF40E8"/>
    <w:rsid w:val="00FF4340"/>
    <w:rsid w:val="00FF721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A2039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972"/>
    <w:pPr>
      <w:spacing w:after="0" w:line="240" w:lineRule="auto"/>
    </w:pPr>
    <w:rPr>
      <w:rFonts w:ascii="Times New Roman" w:hAnsi="Times New Roman" w:cs="Times New Roman"/>
      <w:sz w:val="24"/>
      <w:szCs w:val="24"/>
      <w:lang w:eastAsia="en-GB"/>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uppressAutoHyphens/>
      <w:kinsoku w:val="0"/>
      <w:overflowPunct w:val="0"/>
      <w:autoSpaceDE w:val="0"/>
      <w:autoSpaceDN w:val="0"/>
      <w:adjustRightInd w:val="0"/>
      <w:snapToGrid w:val="0"/>
      <w:outlineLvl w:val="1"/>
    </w:pPr>
    <w:rPr>
      <w:rFonts w:eastAsiaTheme="minorHAnsi"/>
      <w:sz w:val="20"/>
      <w:szCs w:val="20"/>
      <w:lang w:eastAsia="en-US"/>
    </w:rPr>
  </w:style>
  <w:style w:type="paragraph" w:styleId="Heading3">
    <w:name w:val="heading 3"/>
    <w:basedOn w:val="Normal"/>
    <w:next w:val="Normal"/>
    <w:link w:val="Heading3Char"/>
    <w:semiHidden/>
    <w:rsid w:val="004A2814"/>
    <w:pPr>
      <w:suppressAutoHyphens/>
      <w:kinsoku w:val="0"/>
      <w:overflowPunct w:val="0"/>
      <w:autoSpaceDE w:val="0"/>
      <w:autoSpaceDN w:val="0"/>
      <w:adjustRightInd w:val="0"/>
      <w:snapToGrid w:val="0"/>
      <w:outlineLvl w:val="2"/>
    </w:pPr>
    <w:rPr>
      <w:rFonts w:eastAsiaTheme="minorHAnsi"/>
      <w:sz w:val="20"/>
      <w:szCs w:val="20"/>
      <w:lang w:eastAsia="en-US"/>
    </w:rPr>
  </w:style>
  <w:style w:type="paragraph" w:styleId="Heading4">
    <w:name w:val="heading 4"/>
    <w:basedOn w:val="Normal"/>
    <w:next w:val="Normal"/>
    <w:link w:val="Heading4Char"/>
    <w:semiHidden/>
    <w:rsid w:val="004A2814"/>
    <w:pPr>
      <w:suppressAutoHyphens/>
      <w:kinsoku w:val="0"/>
      <w:overflowPunct w:val="0"/>
      <w:autoSpaceDE w:val="0"/>
      <w:autoSpaceDN w:val="0"/>
      <w:adjustRightInd w:val="0"/>
      <w:snapToGrid w:val="0"/>
      <w:outlineLvl w:val="3"/>
    </w:pPr>
    <w:rPr>
      <w:rFonts w:eastAsiaTheme="minorHAnsi"/>
      <w:sz w:val="20"/>
      <w:szCs w:val="20"/>
      <w:lang w:eastAsia="en-US"/>
    </w:rPr>
  </w:style>
  <w:style w:type="paragraph" w:styleId="Heading5">
    <w:name w:val="heading 5"/>
    <w:basedOn w:val="Normal"/>
    <w:next w:val="Normal"/>
    <w:link w:val="Heading5Char"/>
    <w:semiHidden/>
    <w:rsid w:val="004A2814"/>
    <w:pPr>
      <w:suppressAutoHyphens/>
      <w:kinsoku w:val="0"/>
      <w:overflowPunct w:val="0"/>
      <w:autoSpaceDE w:val="0"/>
      <w:autoSpaceDN w:val="0"/>
      <w:adjustRightInd w:val="0"/>
      <w:snapToGrid w:val="0"/>
      <w:outlineLvl w:val="4"/>
    </w:pPr>
    <w:rPr>
      <w:rFonts w:eastAsiaTheme="minorHAnsi"/>
      <w:sz w:val="20"/>
      <w:szCs w:val="20"/>
      <w:lang w:eastAsia="en-US"/>
    </w:rPr>
  </w:style>
  <w:style w:type="paragraph" w:styleId="Heading6">
    <w:name w:val="heading 6"/>
    <w:basedOn w:val="Normal"/>
    <w:next w:val="Normal"/>
    <w:link w:val="Heading6Char"/>
    <w:semiHidden/>
    <w:rsid w:val="004A2814"/>
    <w:pPr>
      <w:suppressAutoHyphens/>
      <w:kinsoku w:val="0"/>
      <w:overflowPunct w:val="0"/>
      <w:autoSpaceDE w:val="0"/>
      <w:autoSpaceDN w:val="0"/>
      <w:adjustRightInd w:val="0"/>
      <w:snapToGrid w:val="0"/>
      <w:outlineLvl w:val="5"/>
    </w:pPr>
    <w:rPr>
      <w:rFonts w:eastAsiaTheme="minorHAnsi"/>
      <w:sz w:val="20"/>
      <w:szCs w:val="20"/>
      <w:lang w:eastAsia="en-US"/>
    </w:rPr>
  </w:style>
  <w:style w:type="paragraph" w:styleId="Heading7">
    <w:name w:val="heading 7"/>
    <w:basedOn w:val="Normal"/>
    <w:next w:val="Normal"/>
    <w:link w:val="Heading7Char"/>
    <w:semiHidden/>
    <w:rsid w:val="004A2814"/>
    <w:pPr>
      <w:suppressAutoHyphens/>
      <w:kinsoku w:val="0"/>
      <w:overflowPunct w:val="0"/>
      <w:autoSpaceDE w:val="0"/>
      <w:autoSpaceDN w:val="0"/>
      <w:adjustRightInd w:val="0"/>
      <w:snapToGrid w:val="0"/>
      <w:outlineLvl w:val="6"/>
    </w:pPr>
    <w:rPr>
      <w:rFonts w:eastAsiaTheme="minorHAnsi"/>
      <w:sz w:val="20"/>
      <w:szCs w:val="20"/>
      <w:lang w:eastAsia="en-US"/>
    </w:rPr>
  </w:style>
  <w:style w:type="paragraph" w:styleId="Heading8">
    <w:name w:val="heading 8"/>
    <w:basedOn w:val="Normal"/>
    <w:next w:val="Normal"/>
    <w:link w:val="Heading8Char"/>
    <w:semiHidden/>
    <w:rsid w:val="004A2814"/>
    <w:pPr>
      <w:suppressAutoHyphens/>
      <w:kinsoku w:val="0"/>
      <w:overflowPunct w:val="0"/>
      <w:autoSpaceDE w:val="0"/>
      <w:autoSpaceDN w:val="0"/>
      <w:adjustRightInd w:val="0"/>
      <w:snapToGrid w:val="0"/>
      <w:outlineLvl w:val="7"/>
    </w:pPr>
    <w:rPr>
      <w:rFonts w:eastAsiaTheme="minorHAnsi"/>
      <w:sz w:val="20"/>
      <w:szCs w:val="20"/>
      <w:lang w:eastAsia="en-US"/>
    </w:rPr>
  </w:style>
  <w:style w:type="paragraph" w:styleId="Heading9">
    <w:name w:val="heading 9"/>
    <w:basedOn w:val="Normal"/>
    <w:next w:val="Normal"/>
    <w:link w:val="Heading9Char"/>
    <w:semiHidden/>
    <w:rsid w:val="004A2814"/>
    <w:pPr>
      <w:suppressAutoHyphens/>
      <w:kinsoku w:val="0"/>
      <w:overflowPunct w:val="0"/>
      <w:autoSpaceDE w:val="0"/>
      <w:autoSpaceDN w:val="0"/>
      <w:adjustRightInd w:val="0"/>
      <w:snapToGrid w:val="0"/>
      <w:outlineLvl w:val="8"/>
    </w:pPr>
    <w:rPr>
      <w:rFonts w:eastAsiaTheme="minorHAns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uppressAutoHyphens/>
      <w:kinsoku w:val="0"/>
      <w:overflowPunct w:val="0"/>
      <w:autoSpaceDE w:val="0"/>
      <w:autoSpaceDN w:val="0"/>
      <w:adjustRightInd w:val="0"/>
      <w:snapToGrid w:val="0"/>
    </w:pPr>
    <w:rPr>
      <w:rFonts w:eastAsiaTheme="minorHAnsi"/>
      <w:b/>
      <w:sz w:val="18"/>
      <w:szCs w:val="20"/>
      <w:lang w:eastAsia="en-US"/>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uppressAutoHyphens/>
      <w:kinsoku w:val="0"/>
      <w:overflowPunct w:val="0"/>
      <w:autoSpaceDE w:val="0"/>
      <w:autoSpaceDN w:val="0"/>
      <w:adjustRightInd w:val="0"/>
      <w:snapToGrid w:val="0"/>
    </w:pPr>
    <w:rPr>
      <w:rFonts w:eastAsiaTheme="minorHAnsi"/>
      <w:sz w:val="16"/>
      <w:szCs w:val="20"/>
      <w:lang w:eastAsia="en-US"/>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Theme="minorHAnsi"/>
      <w:b/>
      <w:sz w:val="34"/>
      <w:szCs w:val="20"/>
      <w:lang w:eastAsia="en-US"/>
    </w:rPr>
  </w:style>
  <w:style w:type="paragraph" w:customStyle="1" w:styleId="HChG">
    <w:name w:val="_ H _Ch_G"/>
    <w:basedOn w:val="Normal"/>
    <w:next w:val="Normal"/>
    <w:link w:val="HChGChar"/>
    <w:qFormat/>
    <w:rsid w:val="004A2814"/>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Theme="minorHAnsi"/>
      <w:b/>
      <w:sz w:val="28"/>
      <w:szCs w:val="20"/>
      <w:lang w:eastAsia="en-US"/>
    </w:rPr>
  </w:style>
  <w:style w:type="paragraph" w:customStyle="1" w:styleId="H1G">
    <w:name w:val="_ H_1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Theme="minorHAnsi"/>
      <w:b/>
      <w:szCs w:val="20"/>
      <w:lang w:eastAsia="en-US"/>
    </w:rPr>
  </w:style>
  <w:style w:type="paragraph" w:customStyle="1" w:styleId="H23G">
    <w:name w:val="_ H_2/3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Theme="minorHAnsi"/>
      <w:b/>
      <w:sz w:val="20"/>
      <w:szCs w:val="20"/>
      <w:lang w:eastAsia="en-US"/>
    </w:rPr>
  </w:style>
  <w:style w:type="paragraph" w:customStyle="1" w:styleId="H4G">
    <w:name w:val="_ H_4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Theme="minorHAnsi"/>
      <w:i/>
      <w:sz w:val="20"/>
      <w:szCs w:val="20"/>
      <w:lang w:eastAsia="en-US"/>
    </w:rPr>
  </w:style>
  <w:style w:type="paragraph" w:customStyle="1" w:styleId="H56G">
    <w:name w:val="_ H_5/6_G"/>
    <w:basedOn w:val="Normal"/>
    <w:next w:val="Normal"/>
    <w:qFormat/>
    <w:rsid w:val="004A2814"/>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Theme="minorHAnsi"/>
      <w:sz w:val="20"/>
      <w:szCs w:val="20"/>
      <w:lang w:eastAsia="en-US"/>
    </w:rPr>
  </w:style>
  <w:style w:type="paragraph" w:customStyle="1" w:styleId="SingleTxtG">
    <w:name w:val="_ Single Txt_G"/>
    <w:basedOn w:val="Normal"/>
    <w:link w:val="SingleTxtGChar"/>
    <w:qFormat/>
    <w:rsid w:val="004A2814"/>
    <w:pPr>
      <w:suppressAutoHyphens/>
      <w:kinsoku w:val="0"/>
      <w:overflowPunct w:val="0"/>
      <w:autoSpaceDE w:val="0"/>
      <w:autoSpaceDN w:val="0"/>
      <w:adjustRightInd w:val="0"/>
      <w:snapToGrid w:val="0"/>
      <w:spacing w:after="120" w:line="240" w:lineRule="atLeast"/>
      <w:ind w:left="1134" w:right="1134"/>
      <w:jc w:val="both"/>
    </w:pPr>
    <w:rPr>
      <w:rFonts w:eastAsiaTheme="minorHAnsi"/>
      <w:sz w:val="20"/>
      <w:szCs w:val="20"/>
      <w:lang w:eastAsia="en-US"/>
    </w:rPr>
  </w:style>
  <w:style w:type="paragraph" w:customStyle="1" w:styleId="SLG">
    <w:name w:val="__S_L_G"/>
    <w:basedOn w:val="Normal"/>
    <w:next w:val="Normal"/>
    <w:rsid w:val="004A2814"/>
    <w:pPr>
      <w:keepNext/>
      <w:keepLines/>
      <w:suppressAutoHyphens/>
      <w:kinsoku w:val="0"/>
      <w:overflowPunct w:val="0"/>
      <w:autoSpaceDE w:val="0"/>
      <w:autoSpaceDN w:val="0"/>
      <w:adjustRightInd w:val="0"/>
      <w:snapToGrid w:val="0"/>
      <w:spacing w:before="240" w:after="240" w:line="580" w:lineRule="exact"/>
      <w:ind w:left="1134" w:right="1134"/>
    </w:pPr>
    <w:rPr>
      <w:rFonts w:eastAsiaTheme="minorHAnsi"/>
      <w:b/>
      <w:sz w:val="56"/>
      <w:szCs w:val="20"/>
      <w:lang w:eastAsia="en-US"/>
    </w:rPr>
  </w:style>
  <w:style w:type="paragraph" w:customStyle="1" w:styleId="SMG">
    <w:name w:val="__S_M_G"/>
    <w:basedOn w:val="Normal"/>
    <w:next w:val="Normal"/>
    <w:rsid w:val="004A2814"/>
    <w:pPr>
      <w:keepNext/>
      <w:keepLines/>
      <w:suppressAutoHyphens/>
      <w:kinsoku w:val="0"/>
      <w:overflowPunct w:val="0"/>
      <w:autoSpaceDE w:val="0"/>
      <w:autoSpaceDN w:val="0"/>
      <w:adjustRightInd w:val="0"/>
      <w:snapToGrid w:val="0"/>
      <w:spacing w:before="240" w:after="240" w:line="420" w:lineRule="exact"/>
      <w:ind w:left="1134" w:right="1134"/>
    </w:pPr>
    <w:rPr>
      <w:rFonts w:eastAsiaTheme="minorHAnsi"/>
      <w:b/>
      <w:sz w:val="40"/>
      <w:szCs w:val="20"/>
      <w:lang w:eastAsia="en-US"/>
    </w:rPr>
  </w:style>
  <w:style w:type="paragraph" w:customStyle="1" w:styleId="SSG">
    <w:name w:val="__S_S_G"/>
    <w:basedOn w:val="Normal"/>
    <w:next w:val="Normal"/>
    <w:rsid w:val="004A2814"/>
    <w:pPr>
      <w:keepNext/>
      <w:keepLines/>
      <w:suppressAutoHyphens/>
      <w:kinsoku w:val="0"/>
      <w:overflowPunct w:val="0"/>
      <w:autoSpaceDE w:val="0"/>
      <w:autoSpaceDN w:val="0"/>
      <w:adjustRightInd w:val="0"/>
      <w:snapToGrid w:val="0"/>
      <w:spacing w:before="240" w:after="240" w:line="300" w:lineRule="exact"/>
      <w:ind w:left="1134" w:right="1134"/>
    </w:pPr>
    <w:rPr>
      <w:rFonts w:eastAsiaTheme="minorHAnsi"/>
      <w:b/>
      <w:sz w:val="28"/>
      <w:szCs w:val="20"/>
      <w:lang w:eastAsia="en-US"/>
    </w:rPr>
  </w:style>
  <w:style w:type="paragraph" w:customStyle="1" w:styleId="XLargeG">
    <w:name w:val="__XLarge_G"/>
    <w:basedOn w:val="Normal"/>
    <w:next w:val="Normal"/>
    <w:rsid w:val="004A2814"/>
    <w:pPr>
      <w:keepNext/>
      <w:keepLines/>
      <w:suppressAutoHyphens/>
      <w:kinsoku w:val="0"/>
      <w:overflowPunct w:val="0"/>
      <w:autoSpaceDE w:val="0"/>
      <w:autoSpaceDN w:val="0"/>
      <w:adjustRightInd w:val="0"/>
      <w:snapToGrid w:val="0"/>
      <w:spacing w:before="240" w:after="240" w:line="420" w:lineRule="exact"/>
      <w:ind w:left="1134" w:right="1134"/>
    </w:pPr>
    <w:rPr>
      <w:rFonts w:eastAsiaTheme="minorHAnsi"/>
      <w:b/>
      <w:sz w:val="40"/>
      <w:szCs w:val="20"/>
      <w:lang w:eastAsia="en-US"/>
    </w:rPr>
  </w:style>
  <w:style w:type="paragraph" w:customStyle="1" w:styleId="Bullet1G">
    <w:name w:val="_Bullet 1_G"/>
    <w:basedOn w:val="Normal"/>
    <w:qFormat/>
    <w:rsid w:val="004A2814"/>
    <w:pPr>
      <w:numPr>
        <w:numId w:val="10"/>
      </w:numPr>
      <w:suppressAutoHyphens/>
      <w:kinsoku w:val="0"/>
      <w:overflowPunct w:val="0"/>
      <w:autoSpaceDE w:val="0"/>
      <w:autoSpaceDN w:val="0"/>
      <w:adjustRightInd w:val="0"/>
      <w:snapToGrid w:val="0"/>
      <w:spacing w:after="120" w:line="240" w:lineRule="atLeast"/>
      <w:ind w:right="1134"/>
      <w:jc w:val="both"/>
    </w:pPr>
    <w:rPr>
      <w:rFonts w:eastAsiaTheme="minorHAnsi"/>
      <w:sz w:val="20"/>
      <w:szCs w:val="20"/>
      <w:lang w:eastAsia="en-US"/>
    </w:rPr>
  </w:style>
  <w:style w:type="paragraph" w:customStyle="1" w:styleId="Bullet2G">
    <w:name w:val="_Bullet 2_G"/>
    <w:basedOn w:val="Normal"/>
    <w:qFormat/>
    <w:rsid w:val="004A2814"/>
    <w:pPr>
      <w:numPr>
        <w:numId w:val="11"/>
      </w:numPr>
      <w:suppressAutoHyphens/>
      <w:kinsoku w:val="0"/>
      <w:overflowPunct w:val="0"/>
      <w:autoSpaceDE w:val="0"/>
      <w:autoSpaceDN w:val="0"/>
      <w:adjustRightInd w:val="0"/>
      <w:snapToGrid w:val="0"/>
      <w:spacing w:after="120" w:line="240" w:lineRule="atLeast"/>
      <w:ind w:right="1134"/>
      <w:jc w:val="both"/>
    </w:pPr>
    <w:rPr>
      <w:rFonts w:eastAsiaTheme="minorHAnsi"/>
      <w:sz w:val="20"/>
      <w:szCs w:val="20"/>
      <w:lang w:eastAsia="en-US"/>
    </w:r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
    <w:basedOn w:val="Normal"/>
    <w:link w:val="FootnoteTextChar"/>
    <w:uiPriority w:val="99"/>
    <w:qFormat/>
    <w:rsid w:val="004A2814"/>
    <w:pPr>
      <w:tabs>
        <w:tab w:val="right" w:pos="1021"/>
      </w:tabs>
      <w:suppressAutoHyphens/>
      <w:kinsoku w:val="0"/>
      <w:overflowPunct w:val="0"/>
      <w:autoSpaceDE w:val="0"/>
      <w:autoSpaceDN w:val="0"/>
      <w:adjustRightInd w:val="0"/>
      <w:snapToGrid w:val="0"/>
      <w:spacing w:line="220" w:lineRule="exact"/>
      <w:ind w:left="1134" w:right="1134" w:hanging="1134"/>
    </w:pPr>
    <w:rPr>
      <w:rFonts w:eastAsiaTheme="minorHAnsi"/>
      <w:sz w:val="18"/>
      <w:szCs w:val="20"/>
      <w:lang w:eastAsia="en-US"/>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Footnotes refss,Footnote Ref,16 Point,Superscript 6 Point,Appel note de bas de p.,ftref,Ref,de nota al pie,callout,Footnote Reference/,Footnote Refernece,Texto de nota al pie,Appel note de bas de page,Footnote number,f,FZ"/>
    <w:link w:val="Char2"/>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uppressAutoHyphens/>
      <w:kinsoku w:val="0"/>
      <w:overflowPunct w:val="0"/>
      <w:autoSpaceDE w:val="0"/>
      <w:autoSpaceDN w:val="0"/>
      <w:adjustRightInd w:val="0"/>
      <w:snapToGrid w:val="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locked/>
    <w:rsid w:val="005B273A"/>
    <w:rPr>
      <w:rFonts w:ascii="Times New Roman" w:eastAsiaTheme="minorHAnsi" w:hAnsi="Times New Roman" w:cs="Times New Roman"/>
      <w:sz w:val="20"/>
      <w:szCs w:val="20"/>
      <w:lang w:eastAsia="en-US"/>
    </w:rPr>
  </w:style>
  <w:style w:type="paragraph" w:styleId="HTMLPreformatted">
    <w:name w:val="HTML Preformatted"/>
    <w:basedOn w:val="Normal"/>
    <w:link w:val="HTMLPreformattedChar"/>
    <w:uiPriority w:val="99"/>
    <w:semiHidden/>
    <w:unhideWhenUsed/>
    <w:rsid w:val="00D02A70"/>
    <w:pPr>
      <w:suppressAutoHyphens/>
      <w:kinsoku w:val="0"/>
      <w:overflowPunct w:val="0"/>
      <w:autoSpaceDE w:val="0"/>
      <w:autoSpaceDN w:val="0"/>
      <w:adjustRightInd w:val="0"/>
      <w:snapToGrid w:val="0"/>
    </w:pPr>
    <w:rPr>
      <w:rFonts w:ascii="Courier" w:eastAsiaTheme="minorHAnsi" w:hAnsi="Courier"/>
      <w:sz w:val="20"/>
      <w:szCs w:val="20"/>
      <w:lang w:eastAsia="en-US"/>
    </w:rPr>
  </w:style>
  <w:style w:type="character" w:customStyle="1" w:styleId="HTMLPreformattedChar">
    <w:name w:val="HTML Preformatted Char"/>
    <w:basedOn w:val="DefaultParagraphFont"/>
    <w:link w:val="HTMLPreformatted"/>
    <w:uiPriority w:val="99"/>
    <w:semiHidden/>
    <w:rsid w:val="00D02A70"/>
    <w:rPr>
      <w:rFonts w:ascii="Courier" w:eastAsiaTheme="minorHAnsi" w:hAnsi="Courier" w:cs="Times New Roman"/>
      <w:sz w:val="20"/>
      <w:szCs w:val="20"/>
      <w:lang w:eastAsia="en-US"/>
    </w:rPr>
  </w:style>
  <w:style w:type="paragraph" w:styleId="NormalWeb">
    <w:name w:val="Normal (Web)"/>
    <w:basedOn w:val="Normal"/>
    <w:uiPriority w:val="99"/>
    <w:unhideWhenUsed/>
    <w:rsid w:val="00C41078"/>
    <w:pPr>
      <w:spacing w:after="160" w:line="259" w:lineRule="auto"/>
    </w:pPr>
    <w:rPr>
      <w:rFonts w:eastAsiaTheme="minorHAnsi"/>
      <w:lang w:eastAsia="en-US"/>
    </w:rPr>
  </w:style>
  <w:style w:type="paragraph" w:styleId="Title">
    <w:name w:val="Title"/>
    <w:basedOn w:val="Normal"/>
    <w:next w:val="Normal"/>
    <w:link w:val="TitleChar"/>
    <w:uiPriority w:val="10"/>
    <w:qFormat/>
    <w:rsid w:val="000F17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7BF"/>
    <w:rPr>
      <w:rFonts w:asciiTheme="majorHAnsi" w:eastAsiaTheme="majorEastAsia" w:hAnsiTheme="majorHAnsi" w:cstheme="majorBidi"/>
      <w:spacing w:val="-10"/>
      <w:kern w:val="28"/>
      <w:sz w:val="56"/>
      <w:szCs w:val="56"/>
      <w:lang w:eastAsia="en-GB"/>
    </w:rPr>
  </w:style>
  <w:style w:type="character" w:customStyle="1" w:styleId="HChGChar">
    <w:name w:val="_ H _Ch_G Char"/>
    <w:link w:val="HChG"/>
    <w:rsid w:val="00B920AB"/>
    <w:rPr>
      <w:rFonts w:ascii="Times New Roman" w:eastAsiaTheme="minorHAnsi" w:hAnsi="Times New Roman" w:cs="Times New Roman"/>
      <w:b/>
      <w:sz w:val="28"/>
      <w:szCs w:val="20"/>
      <w:lang w:eastAsia="en-US"/>
    </w:rPr>
  </w:style>
  <w:style w:type="paragraph" w:styleId="ListParagraph">
    <w:name w:val="List Paragraph"/>
    <w:basedOn w:val="Normal"/>
    <w:uiPriority w:val="34"/>
    <w:qFormat/>
    <w:rsid w:val="00CD2468"/>
    <w:pPr>
      <w:ind w:left="720"/>
      <w:contextualSpacing/>
    </w:pPr>
    <w:rPr>
      <w:rFonts w:asciiTheme="minorHAnsi" w:eastAsiaTheme="minorHAnsi" w:hAnsiTheme="minorHAnsi" w:cstheme="minorBidi"/>
      <w:lang w:eastAsia="en-US"/>
    </w:rPr>
  </w:style>
  <w:style w:type="paragraph" w:customStyle="1" w:styleId="Char2">
    <w:name w:val="Char2"/>
    <w:basedOn w:val="Normal"/>
    <w:link w:val="FootnoteReference"/>
    <w:uiPriority w:val="99"/>
    <w:rsid w:val="003E4023"/>
    <w:pPr>
      <w:spacing w:after="160" w:line="240" w:lineRule="exact"/>
    </w:pPr>
    <w:rPr>
      <w:rFonts w:cstheme="minorBidi"/>
      <w:sz w:val="18"/>
      <w:szCs w:val="22"/>
      <w:vertAlign w:val="superscript"/>
      <w:lang w:eastAsia="zh-CN"/>
    </w:rPr>
  </w:style>
  <w:style w:type="character" w:customStyle="1" w:styleId="ilad">
    <w:name w:val="il_ad"/>
    <w:basedOn w:val="DefaultParagraphFont"/>
    <w:rsid w:val="008900F9"/>
  </w:style>
  <w:style w:type="character" w:styleId="CommentReference">
    <w:name w:val="annotation reference"/>
    <w:basedOn w:val="DefaultParagraphFont"/>
    <w:uiPriority w:val="99"/>
    <w:semiHidden/>
    <w:unhideWhenUsed/>
    <w:rsid w:val="00461975"/>
    <w:rPr>
      <w:sz w:val="16"/>
      <w:szCs w:val="16"/>
    </w:rPr>
  </w:style>
  <w:style w:type="paragraph" w:styleId="CommentText">
    <w:name w:val="annotation text"/>
    <w:basedOn w:val="Normal"/>
    <w:link w:val="CommentTextChar"/>
    <w:uiPriority w:val="99"/>
    <w:semiHidden/>
    <w:unhideWhenUsed/>
    <w:rsid w:val="00461975"/>
    <w:rPr>
      <w:sz w:val="20"/>
      <w:szCs w:val="20"/>
    </w:rPr>
  </w:style>
  <w:style w:type="character" w:customStyle="1" w:styleId="CommentTextChar">
    <w:name w:val="Comment Text Char"/>
    <w:basedOn w:val="DefaultParagraphFont"/>
    <w:link w:val="CommentText"/>
    <w:uiPriority w:val="99"/>
    <w:semiHidden/>
    <w:rsid w:val="0046197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1975"/>
    <w:rPr>
      <w:b/>
      <w:bCs/>
    </w:rPr>
  </w:style>
  <w:style w:type="character" w:customStyle="1" w:styleId="CommentSubjectChar">
    <w:name w:val="Comment Subject Char"/>
    <w:basedOn w:val="CommentTextChar"/>
    <w:link w:val="CommentSubject"/>
    <w:uiPriority w:val="99"/>
    <w:semiHidden/>
    <w:rsid w:val="00461975"/>
    <w:rPr>
      <w:rFonts w:ascii="Times New Roman" w:hAnsi="Times New Roman" w:cs="Times New Roman"/>
      <w:b/>
      <w:bCs/>
      <w:sz w:val="20"/>
      <w:szCs w:val="20"/>
      <w:lang w:eastAsia="en-GB"/>
    </w:rPr>
  </w:style>
  <w:style w:type="character" w:customStyle="1" w:styleId="normaltextrun1">
    <w:name w:val="normaltextrun1"/>
    <w:basedOn w:val="DefaultParagraphFont"/>
    <w:rsid w:val="00F32806"/>
  </w:style>
  <w:style w:type="paragraph" w:customStyle="1" w:styleId="paragraph">
    <w:name w:val="paragraph"/>
    <w:basedOn w:val="Normal"/>
    <w:rsid w:val="002F56B8"/>
    <w:rPr>
      <w:rFonts w:eastAsia="Times New Roman"/>
    </w:rPr>
  </w:style>
  <w:style w:type="character" w:customStyle="1" w:styleId="spellingerror">
    <w:name w:val="spellingerror"/>
    <w:basedOn w:val="DefaultParagraphFont"/>
    <w:rsid w:val="002F56B8"/>
  </w:style>
  <w:style w:type="character" w:customStyle="1" w:styleId="contextualspellingandgrammarerror">
    <w:name w:val="contextualspellingandgrammarerror"/>
    <w:basedOn w:val="DefaultParagraphFont"/>
    <w:rsid w:val="002F56B8"/>
  </w:style>
  <w:style w:type="character" w:customStyle="1" w:styleId="eop">
    <w:name w:val="eop"/>
    <w:basedOn w:val="DefaultParagraphFont"/>
    <w:rsid w:val="002F56B8"/>
  </w:style>
  <w:style w:type="character" w:styleId="Strong">
    <w:name w:val="Strong"/>
    <w:basedOn w:val="DefaultParagraphFont"/>
    <w:uiPriority w:val="22"/>
    <w:qFormat/>
    <w:rsid w:val="00F32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179">
      <w:bodyDiv w:val="1"/>
      <w:marLeft w:val="0"/>
      <w:marRight w:val="0"/>
      <w:marTop w:val="0"/>
      <w:marBottom w:val="0"/>
      <w:divBdr>
        <w:top w:val="none" w:sz="0" w:space="0" w:color="auto"/>
        <w:left w:val="none" w:sz="0" w:space="0" w:color="auto"/>
        <w:bottom w:val="none" w:sz="0" w:space="0" w:color="auto"/>
        <w:right w:val="none" w:sz="0" w:space="0" w:color="auto"/>
      </w:divBdr>
    </w:div>
    <w:div w:id="31003222">
      <w:bodyDiv w:val="1"/>
      <w:marLeft w:val="0"/>
      <w:marRight w:val="0"/>
      <w:marTop w:val="0"/>
      <w:marBottom w:val="0"/>
      <w:divBdr>
        <w:top w:val="none" w:sz="0" w:space="0" w:color="auto"/>
        <w:left w:val="none" w:sz="0" w:space="0" w:color="auto"/>
        <w:bottom w:val="none" w:sz="0" w:space="0" w:color="auto"/>
        <w:right w:val="none" w:sz="0" w:space="0" w:color="auto"/>
      </w:divBdr>
    </w:div>
    <w:div w:id="31614466">
      <w:bodyDiv w:val="1"/>
      <w:marLeft w:val="0"/>
      <w:marRight w:val="0"/>
      <w:marTop w:val="0"/>
      <w:marBottom w:val="0"/>
      <w:divBdr>
        <w:top w:val="none" w:sz="0" w:space="0" w:color="auto"/>
        <w:left w:val="none" w:sz="0" w:space="0" w:color="auto"/>
        <w:bottom w:val="none" w:sz="0" w:space="0" w:color="auto"/>
        <w:right w:val="none" w:sz="0" w:space="0" w:color="auto"/>
      </w:divBdr>
      <w:divsChild>
        <w:div w:id="1612980373">
          <w:marLeft w:val="0"/>
          <w:marRight w:val="0"/>
          <w:marTop w:val="0"/>
          <w:marBottom w:val="0"/>
          <w:divBdr>
            <w:top w:val="none" w:sz="0" w:space="0" w:color="auto"/>
            <w:left w:val="none" w:sz="0" w:space="0" w:color="auto"/>
            <w:bottom w:val="none" w:sz="0" w:space="0" w:color="auto"/>
            <w:right w:val="none" w:sz="0" w:space="0" w:color="auto"/>
          </w:divBdr>
          <w:divsChild>
            <w:div w:id="944919347">
              <w:marLeft w:val="0"/>
              <w:marRight w:val="0"/>
              <w:marTop w:val="0"/>
              <w:marBottom w:val="0"/>
              <w:divBdr>
                <w:top w:val="none" w:sz="0" w:space="0" w:color="auto"/>
                <w:left w:val="none" w:sz="0" w:space="0" w:color="auto"/>
                <w:bottom w:val="none" w:sz="0" w:space="0" w:color="auto"/>
                <w:right w:val="none" w:sz="0" w:space="0" w:color="auto"/>
              </w:divBdr>
              <w:divsChild>
                <w:div w:id="7678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1939">
      <w:bodyDiv w:val="1"/>
      <w:marLeft w:val="0"/>
      <w:marRight w:val="0"/>
      <w:marTop w:val="0"/>
      <w:marBottom w:val="0"/>
      <w:divBdr>
        <w:top w:val="none" w:sz="0" w:space="0" w:color="auto"/>
        <w:left w:val="none" w:sz="0" w:space="0" w:color="auto"/>
        <w:bottom w:val="none" w:sz="0" w:space="0" w:color="auto"/>
        <w:right w:val="none" w:sz="0" w:space="0" w:color="auto"/>
      </w:divBdr>
      <w:divsChild>
        <w:div w:id="676344892">
          <w:marLeft w:val="0"/>
          <w:marRight w:val="0"/>
          <w:marTop w:val="0"/>
          <w:marBottom w:val="0"/>
          <w:divBdr>
            <w:top w:val="none" w:sz="0" w:space="0" w:color="auto"/>
            <w:left w:val="none" w:sz="0" w:space="0" w:color="auto"/>
            <w:bottom w:val="none" w:sz="0" w:space="0" w:color="auto"/>
            <w:right w:val="none" w:sz="0" w:space="0" w:color="auto"/>
          </w:divBdr>
          <w:divsChild>
            <w:div w:id="321931817">
              <w:marLeft w:val="0"/>
              <w:marRight w:val="0"/>
              <w:marTop w:val="0"/>
              <w:marBottom w:val="0"/>
              <w:divBdr>
                <w:top w:val="none" w:sz="0" w:space="0" w:color="auto"/>
                <w:left w:val="none" w:sz="0" w:space="0" w:color="auto"/>
                <w:bottom w:val="none" w:sz="0" w:space="0" w:color="auto"/>
                <w:right w:val="none" w:sz="0" w:space="0" w:color="auto"/>
              </w:divBdr>
              <w:divsChild>
                <w:div w:id="19446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246">
      <w:bodyDiv w:val="1"/>
      <w:marLeft w:val="0"/>
      <w:marRight w:val="0"/>
      <w:marTop w:val="0"/>
      <w:marBottom w:val="0"/>
      <w:divBdr>
        <w:top w:val="none" w:sz="0" w:space="0" w:color="auto"/>
        <w:left w:val="none" w:sz="0" w:space="0" w:color="auto"/>
        <w:bottom w:val="none" w:sz="0" w:space="0" w:color="auto"/>
        <w:right w:val="none" w:sz="0" w:space="0" w:color="auto"/>
      </w:divBdr>
      <w:divsChild>
        <w:div w:id="1435787598">
          <w:marLeft w:val="0"/>
          <w:marRight w:val="0"/>
          <w:marTop w:val="0"/>
          <w:marBottom w:val="0"/>
          <w:divBdr>
            <w:top w:val="none" w:sz="0" w:space="0" w:color="auto"/>
            <w:left w:val="none" w:sz="0" w:space="0" w:color="auto"/>
            <w:bottom w:val="none" w:sz="0" w:space="0" w:color="auto"/>
            <w:right w:val="none" w:sz="0" w:space="0" w:color="auto"/>
          </w:divBdr>
          <w:divsChild>
            <w:div w:id="1998266923">
              <w:marLeft w:val="0"/>
              <w:marRight w:val="0"/>
              <w:marTop w:val="0"/>
              <w:marBottom w:val="0"/>
              <w:divBdr>
                <w:top w:val="none" w:sz="0" w:space="0" w:color="auto"/>
                <w:left w:val="none" w:sz="0" w:space="0" w:color="auto"/>
                <w:bottom w:val="none" w:sz="0" w:space="0" w:color="auto"/>
                <w:right w:val="none" w:sz="0" w:space="0" w:color="auto"/>
              </w:divBdr>
              <w:divsChild>
                <w:div w:id="19757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19488174">
      <w:bodyDiv w:val="1"/>
      <w:marLeft w:val="0"/>
      <w:marRight w:val="0"/>
      <w:marTop w:val="0"/>
      <w:marBottom w:val="0"/>
      <w:divBdr>
        <w:top w:val="none" w:sz="0" w:space="0" w:color="auto"/>
        <w:left w:val="none" w:sz="0" w:space="0" w:color="auto"/>
        <w:bottom w:val="none" w:sz="0" w:space="0" w:color="auto"/>
        <w:right w:val="none" w:sz="0" w:space="0" w:color="auto"/>
      </w:divBdr>
    </w:div>
    <w:div w:id="267465896">
      <w:bodyDiv w:val="1"/>
      <w:marLeft w:val="0"/>
      <w:marRight w:val="0"/>
      <w:marTop w:val="0"/>
      <w:marBottom w:val="0"/>
      <w:divBdr>
        <w:top w:val="none" w:sz="0" w:space="0" w:color="auto"/>
        <w:left w:val="none" w:sz="0" w:space="0" w:color="auto"/>
        <w:bottom w:val="none" w:sz="0" w:space="0" w:color="auto"/>
        <w:right w:val="none" w:sz="0" w:space="0" w:color="auto"/>
      </w:divBdr>
    </w:div>
    <w:div w:id="304774874">
      <w:bodyDiv w:val="1"/>
      <w:marLeft w:val="0"/>
      <w:marRight w:val="0"/>
      <w:marTop w:val="0"/>
      <w:marBottom w:val="0"/>
      <w:divBdr>
        <w:top w:val="none" w:sz="0" w:space="0" w:color="auto"/>
        <w:left w:val="none" w:sz="0" w:space="0" w:color="auto"/>
        <w:bottom w:val="none" w:sz="0" w:space="0" w:color="auto"/>
        <w:right w:val="none" w:sz="0" w:space="0" w:color="auto"/>
      </w:divBdr>
    </w:div>
    <w:div w:id="358775018">
      <w:bodyDiv w:val="1"/>
      <w:marLeft w:val="0"/>
      <w:marRight w:val="0"/>
      <w:marTop w:val="0"/>
      <w:marBottom w:val="0"/>
      <w:divBdr>
        <w:top w:val="none" w:sz="0" w:space="0" w:color="auto"/>
        <w:left w:val="none" w:sz="0" w:space="0" w:color="auto"/>
        <w:bottom w:val="none" w:sz="0" w:space="0" w:color="auto"/>
        <w:right w:val="none" w:sz="0" w:space="0" w:color="auto"/>
      </w:divBdr>
      <w:divsChild>
        <w:div w:id="1252739925">
          <w:marLeft w:val="0"/>
          <w:marRight w:val="0"/>
          <w:marTop w:val="0"/>
          <w:marBottom w:val="0"/>
          <w:divBdr>
            <w:top w:val="none" w:sz="0" w:space="0" w:color="auto"/>
            <w:left w:val="none" w:sz="0" w:space="0" w:color="auto"/>
            <w:bottom w:val="none" w:sz="0" w:space="0" w:color="auto"/>
            <w:right w:val="none" w:sz="0" w:space="0" w:color="auto"/>
          </w:divBdr>
          <w:divsChild>
            <w:div w:id="671569434">
              <w:marLeft w:val="0"/>
              <w:marRight w:val="0"/>
              <w:marTop w:val="0"/>
              <w:marBottom w:val="0"/>
              <w:divBdr>
                <w:top w:val="none" w:sz="0" w:space="0" w:color="auto"/>
                <w:left w:val="none" w:sz="0" w:space="0" w:color="auto"/>
                <w:bottom w:val="none" w:sz="0" w:space="0" w:color="auto"/>
                <w:right w:val="none" w:sz="0" w:space="0" w:color="auto"/>
              </w:divBdr>
              <w:divsChild>
                <w:div w:id="19236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40301">
      <w:bodyDiv w:val="1"/>
      <w:marLeft w:val="0"/>
      <w:marRight w:val="0"/>
      <w:marTop w:val="0"/>
      <w:marBottom w:val="0"/>
      <w:divBdr>
        <w:top w:val="none" w:sz="0" w:space="0" w:color="auto"/>
        <w:left w:val="none" w:sz="0" w:space="0" w:color="auto"/>
        <w:bottom w:val="none" w:sz="0" w:space="0" w:color="auto"/>
        <w:right w:val="none" w:sz="0" w:space="0" w:color="auto"/>
      </w:divBdr>
    </w:div>
    <w:div w:id="424693152">
      <w:bodyDiv w:val="1"/>
      <w:marLeft w:val="0"/>
      <w:marRight w:val="0"/>
      <w:marTop w:val="0"/>
      <w:marBottom w:val="0"/>
      <w:divBdr>
        <w:top w:val="none" w:sz="0" w:space="0" w:color="auto"/>
        <w:left w:val="none" w:sz="0" w:space="0" w:color="auto"/>
        <w:bottom w:val="none" w:sz="0" w:space="0" w:color="auto"/>
        <w:right w:val="none" w:sz="0" w:space="0" w:color="auto"/>
      </w:divBdr>
    </w:div>
    <w:div w:id="477310312">
      <w:bodyDiv w:val="1"/>
      <w:marLeft w:val="0"/>
      <w:marRight w:val="0"/>
      <w:marTop w:val="0"/>
      <w:marBottom w:val="0"/>
      <w:divBdr>
        <w:top w:val="none" w:sz="0" w:space="0" w:color="auto"/>
        <w:left w:val="none" w:sz="0" w:space="0" w:color="auto"/>
        <w:bottom w:val="none" w:sz="0" w:space="0" w:color="auto"/>
        <w:right w:val="none" w:sz="0" w:space="0" w:color="auto"/>
      </w:divBdr>
      <w:divsChild>
        <w:div w:id="82580472">
          <w:marLeft w:val="0"/>
          <w:marRight w:val="0"/>
          <w:marTop w:val="0"/>
          <w:marBottom w:val="0"/>
          <w:divBdr>
            <w:top w:val="none" w:sz="0" w:space="0" w:color="auto"/>
            <w:left w:val="none" w:sz="0" w:space="0" w:color="auto"/>
            <w:bottom w:val="none" w:sz="0" w:space="0" w:color="auto"/>
            <w:right w:val="none" w:sz="0" w:space="0" w:color="auto"/>
          </w:divBdr>
          <w:divsChild>
            <w:div w:id="1055202936">
              <w:marLeft w:val="0"/>
              <w:marRight w:val="0"/>
              <w:marTop w:val="0"/>
              <w:marBottom w:val="0"/>
              <w:divBdr>
                <w:top w:val="none" w:sz="0" w:space="0" w:color="auto"/>
                <w:left w:val="none" w:sz="0" w:space="0" w:color="auto"/>
                <w:bottom w:val="none" w:sz="0" w:space="0" w:color="auto"/>
                <w:right w:val="none" w:sz="0" w:space="0" w:color="auto"/>
              </w:divBdr>
              <w:divsChild>
                <w:div w:id="1205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5805">
      <w:bodyDiv w:val="1"/>
      <w:marLeft w:val="0"/>
      <w:marRight w:val="0"/>
      <w:marTop w:val="0"/>
      <w:marBottom w:val="0"/>
      <w:divBdr>
        <w:top w:val="none" w:sz="0" w:space="0" w:color="auto"/>
        <w:left w:val="none" w:sz="0" w:space="0" w:color="auto"/>
        <w:bottom w:val="none" w:sz="0" w:space="0" w:color="auto"/>
        <w:right w:val="none" w:sz="0" w:space="0" w:color="auto"/>
      </w:divBdr>
      <w:divsChild>
        <w:div w:id="353456685">
          <w:marLeft w:val="0"/>
          <w:marRight w:val="0"/>
          <w:marTop w:val="0"/>
          <w:marBottom w:val="0"/>
          <w:divBdr>
            <w:top w:val="none" w:sz="0" w:space="0" w:color="auto"/>
            <w:left w:val="none" w:sz="0" w:space="0" w:color="auto"/>
            <w:bottom w:val="none" w:sz="0" w:space="0" w:color="auto"/>
            <w:right w:val="none" w:sz="0" w:space="0" w:color="auto"/>
          </w:divBdr>
          <w:divsChild>
            <w:div w:id="420175626">
              <w:marLeft w:val="0"/>
              <w:marRight w:val="0"/>
              <w:marTop w:val="0"/>
              <w:marBottom w:val="0"/>
              <w:divBdr>
                <w:top w:val="none" w:sz="0" w:space="0" w:color="auto"/>
                <w:left w:val="none" w:sz="0" w:space="0" w:color="auto"/>
                <w:bottom w:val="none" w:sz="0" w:space="0" w:color="auto"/>
                <w:right w:val="none" w:sz="0" w:space="0" w:color="auto"/>
              </w:divBdr>
              <w:divsChild>
                <w:div w:id="2177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916">
      <w:bodyDiv w:val="1"/>
      <w:marLeft w:val="0"/>
      <w:marRight w:val="0"/>
      <w:marTop w:val="0"/>
      <w:marBottom w:val="0"/>
      <w:divBdr>
        <w:top w:val="none" w:sz="0" w:space="0" w:color="auto"/>
        <w:left w:val="none" w:sz="0" w:space="0" w:color="auto"/>
        <w:bottom w:val="none" w:sz="0" w:space="0" w:color="auto"/>
        <w:right w:val="none" w:sz="0" w:space="0" w:color="auto"/>
      </w:divBdr>
      <w:divsChild>
        <w:div w:id="1649279834">
          <w:marLeft w:val="0"/>
          <w:marRight w:val="0"/>
          <w:marTop w:val="0"/>
          <w:marBottom w:val="0"/>
          <w:divBdr>
            <w:top w:val="none" w:sz="0" w:space="0" w:color="auto"/>
            <w:left w:val="none" w:sz="0" w:space="0" w:color="auto"/>
            <w:bottom w:val="none" w:sz="0" w:space="0" w:color="auto"/>
            <w:right w:val="none" w:sz="0" w:space="0" w:color="auto"/>
          </w:divBdr>
          <w:divsChild>
            <w:div w:id="1856534292">
              <w:marLeft w:val="0"/>
              <w:marRight w:val="0"/>
              <w:marTop w:val="0"/>
              <w:marBottom w:val="0"/>
              <w:divBdr>
                <w:top w:val="none" w:sz="0" w:space="0" w:color="auto"/>
                <w:left w:val="none" w:sz="0" w:space="0" w:color="auto"/>
                <w:bottom w:val="none" w:sz="0" w:space="0" w:color="auto"/>
                <w:right w:val="none" w:sz="0" w:space="0" w:color="auto"/>
              </w:divBdr>
              <w:divsChild>
                <w:div w:id="17554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39193">
      <w:bodyDiv w:val="1"/>
      <w:marLeft w:val="0"/>
      <w:marRight w:val="0"/>
      <w:marTop w:val="0"/>
      <w:marBottom w:val="0"/>
      <w:divBdr>
        <w:top w:val="none" w:sz="0" w:space="0" w:color="auto"/>
        <w:left w:val="none" w:sz="0" w:space="0" w:color="auto"/>
        <w:bottom w:val="none" w:sz="0" w:space="0" w:color="auto"/>
        <w:right w:val="none" w:sz="0" w:space="0" w:color="auto"/>
      </w:divBdr>
    </w:div>
    <w:div w:id="529295143">
      <w:bodyDiv w:val="1"/>
      <w:marLeft w:val="0"/>
      <w:marRight w:val="0"/>
      <w:marTop w:val="0"/>
      <w:marBottom w:val="0"/>
      <w:divBdr>
        <w:top w:val="none" w:sz="0" w:space="0" w:color="auto"/>
        <w:left w:val="none" w:sz="0" w:space="0" w:color="auto"/>
        <w:bottom w:val="none" w:sz="0" w:space="0" w:color="auto"/>
        <w:right w:val="none" w:sz="0" w:space="0" w:color="auto"/>
      </w:divBdr>
      <w:divsChild>
        <w:div w:id="619648763">
          <w:marLeft w:val="0"/>
          <w:marRight w:val="0"/>
          <w:marTop w:val="0"/>
          <w:marBottom w:val="0"/>
          <w:divBdr>
            <w:top w:val="none" w:sz="0" w:space="0" w:color="auto"/>
            <w:left w:val="none" w:sz="0" w:space="0" w:color="auto"/>
            <w:bottom w:val="none" w:sz="0" w:space="0" w:color="auto"/>
            <w:right w:val="none" w:sz="0" w:space="0" w:color="auto"/>
          </w:divBdr>
          <w:divsChild>
            <w:div w:id="109670382">
              <w:marLeft w:val="0"/>
              <w:marRight w:val="0"/>
              <w:marTop w:val="0"/>
              <w:marBottom w:val="0"/>
              <w:divBdr>
                <w:top w:val="none" w:sz="0" w:space="0" w:color="auto"/>
                <w:left w:val="none" w:sz="0" w:space="0" w:color="auto"/>
                <w:bottom w:val="none" w:sz="0" w:space="0" w:color="auto"/>
                <w:right w:val="none" w:sz="0" w:space="0" w:color="auto"/>
              </w:divBdr>
              <w:divsChild>
                <w:div w:id="13625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0838">
      <w:bodyDiv w:val="1"/>
      <w:marLeft w:val="0"/>
      <w:marRight w:val="0"/>
      <w:marTop w:val="0"/>
      <w:marBottom w:val="0"/>
      <w:divBdr>
        <w:top w:val="none" w:sz="0" w:space="0" w:color="auto"/>
        <w:left w:val="none" w:sz="0" w:space="0" w:color="auto"/>
        <w:bottom w:val="none" w:sz="0" w:space="0" w:color="auto"/>
        <w:right w:val="none" w:sz="0" w:space="0" w:color="auto"/>
      </w:divBdr>
    </w:div>
    <w:div w:id="630675019">
      <w:bodyDiv w:val="1"/>
      <w:marLeft w:val="0"/>
      <w:marRight w:val="0"/>
      <w:marTop w:val="0"/>
      <w:marBottom w:val="0"/>
      <w:divBdr>
        <w:top w:val="none" w:sz="0" w:space="0" w:color="auto"/>
        <w:left w:val="none" w:sz="0" w:space="0" w:color="auto"/>
        <w:bottom w:val="none" w:sz="0" w:space="0" w:color="auto"/>
        <w:right w:val="none" w:sz="0" w:space="0" w:color="auto"/>
      </w:divBdr>
      <w:divsChild>
        <w:div w:id="1993411222">
          <w:marLeft w:val="0"/>
          <w:marRight w:val="0"/>
          <w:marTop w:val="0"/>
          <w:marBottom w:val="0"/>
          <w:divBdr>
            <w:top w:val="none" w:sz="0" w:space="0" w:color="auto"/>
            <w:left w:val="none" w:sz="0" w:space="0" w:color="auto"/>
            <w:bottom w:val="none" w:sz="0" w:space="0" w:color="auto"/>
            <w:right w:val="none" w:sz="0" w:space="0" w:color="auto"/>
          </w:divBdr>
          <w:divsChild>
            <w:div w:id="28771962">
              <w:marLeft w:val="0"/>
              <w:marRight w:val="0"/>
              <w:marTop w:val="0"/>
              <w:marBottom w:val="0"/>
              <w:divBdr>
                <w:top w:val="none" w:sz="0" w:space="0" w:color="auto"/>
                <w:left w:val="none" w:sz="0" w:space="0" w:color="auto"/>
                <w:bottom w:val="none" w:sz="0" w:space="0" w:color="auto"/>
                <w:right w:val="none" w:sz="0" w:space="0" w:color="auto"/>
              </w:divBdr>
              <w:divsChild>
                <w:div w:id="10553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5765">
      <w:bodyDiv w:val="1"/>
      <w:marLeft w:val="0"/>
      <w:marRight w:val="0"/>
      <w:marTop w:val="0"/>
      <w:marBottom w:val="0"/>
      <w:divBdr>
        <w:top w:val="none" w:sz="0" w:space="0" w:color="auto"/>
        <w:left w:val="none" w:sz="0" w:space="0" w:color="auto"/>
        <w:bottom w:val="none" w:sz="0" w:space="0" w:color="auto"/>
        <w:right w:val="none" w:sz="0" w:space="0" w:color="auto"/>
      </w:divBdr>
      <w:divsChild>
        <w:div w:id="673338415">
          <w:marLeft w:val="0"/>
          <w:marRight w:val="0"/>
          <w:marTop w:val="0"/>
          <w:marBottom w:val="0"/>
          <w:divBdr>
            <w:top w:val="none" w:sz="0" w:space="0" w:color="auto"/>
            <w:left w:val="none" w:sz="0" w:space="0" w:color="auto"/>
            <w:bottom w:val="none" w:sz="0" w:space="0" w:color="auto"/>
            <w:right w:val="none" w:sz="0" w:space="0" w:color="auto"/>
          </w:divBdr>
          <w:divsChild>
            <w:div w:id="1247152907">
              <w:marLeft w:val="0"/>
              <w:marRight w:val="0"/>
              <w:marTop w:val="0"/>
              <w:marBottom w:val="0"/>
              <w:divBdr>
                <w:top w:val="none" w:sz="0" w:space="0" w:color="auto"/>
                <w:left w:val="none" w:sz="0" w:space="0" w:color="auto"/>
                <w:bottom w:val="none" w:sz="0" w:space="0" w:color="auto"/>
                <w:right w:val="none" w:sz="0" w:space="0" w:color="auto"/>
              </w:divBdr>
              <w:divsChild>
                <w:div w:id="5374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9258">
      <w:bodyDiv w:val="1"/>
      <w:marLeft w:val="0"/>
      <w:marRight w:val="0"/>
      <w:marTop w:val="0"/>
      <w:marBottom w:val="0"/>
      <w:divBdr>
        <w:top w:val="none" w:sz="0" w:space="0" w:color="auto"/>
        <w:left w:val="none" w:sz="0" w:space="0" w:color="auto"/>
        <w:bottom w:val="none" w:sz="0" w:space="0" w:color="auto"/>
        <w:right w:val="none" w:sz="0" w:space="0" w:color="auto"/>
      </w:divBdr>
      <w:divsChild>
        <w:div w:id="224075305">
          <w:marLeft w:val="0"/>
          <w:marRight w:val="0"/>
          <w:marTop w:val="0"/>
          <w:marBottom w:val="0"/>
          <w:divBdr>
            <w:top w:val="none" w:sz="0" w:space="0" w:color="auto"/>
            <w:left w:val="none" w:sz="0" w:space="0" w:color="auto"/>
            <w:bottom w:val="none" w:sz="0" w:space="0" w:color="auto"/>
            <w:right w:val="none" w:sz="0" w:space="0" w:color="auto"/>
          </w:divBdr>
          <w:divsChild>
            <w:div w:id="764694334">
              <w:marLeft w:val="0"/>
              <w:marRight w:val="0"/>
              <w:marTop w:val="0"/>
              <w:marBottom w:val="0"/>
              <w:divBdr>
                <w:top w:val="none" w:sz="0" w:space="0" w:color="auto"/>
                <w:left w:val="none" w:sz="0" w:space="0" w:color="auto"/>
                <w:bottom w:val="none" w:sz="0" w:space="0" w:color="auto"/>
                <w:right w:val="none" w:sz="0" w:space="0" w:color="auto"/>
              </w:divBdr>
              <w:divsChild>
                <w:div w:id="15650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5703">
      <w:bodyDiv w:val="1"/>
      <w:marLeft w:val="0"/>
      <w:marRight w:val="0"/>
      <w:marTop w:val="0"/>
      <w:marBottom w:val="0"/>
      <w:divBdr>
        <w:top w:val="none" w:sz="0" w:space="0" w:color="auto"/>
        <w:left w:val="none" w:sz="0" w:space="0" w:color="auto"/>
        <w:bottom w:val="none" w:sz="0" w:space="0" w:color="auto"/>
        <w:right w:val="none" w:sz="0" w:space="0" w:color="auto"/>
      </w:divBdr>
    </w:div>
    <w:div w:id="719093246">
      <w:bodyDiv w:val="1"/>
      <w:marLeft w:val="0"/>
      <w:marRight w:val="0"/>
      <w:marTop w:val="0"/>
      <w:marBottom w:val="0"/>
      <w:divBdr>
        <w:top w:val="none" w:sz="0" w:space="0" w:color="auto"/>
        <w:left w:val="none" w:sz="0" w:space="0" w:color="auto"/>
        <w:bottom w:val="none" w:sz="0" w:space="0" w:color="auto"/>
        <w:right w:val="none" w:sz="0" w:space="0" w:color="auto"/>
      </w:divBdr>
      <w:divsChild>
        <w:div w:id="598562429">
          <w:marLeft w:val="0"/>
          <w:marRight w:val="0"/>
          <w:marTop w:val="0"/>
          <w:marBottom w:val="0"/>
          <w:divBdr>
            <w:top w:val="none" w:sz="0" w:space="0" w:color="auto"/>
            <w:left w:val="none" w:sz="0" w:space="0" w:color="auto"/>
            <w:bottom w:val="none" w:sz="0" w:space="0" w:color="auto"/>
            <w:right w:val="none" w:sz="0" w:space="0" w:color="auto"/>
          </w:divBdr>
          <w:divsChild>
            <w:div w:id="1198466528">
              <w:marLeft w:val="0"/>
              <w:marRight w:val="0"/>
              <w:marTop w:val="0"/>
              <w:marBottom w:val="0"/>
              <w:divBdr>
                <w:top w:val="none" w:sz="0" w:space="0" w:color="auto"/>
                <w:left w:val="none" w:sz="0" w:space="0" w:color="auto"/>
                <w:bottom w:val="none" w:sz="0" w:space="0" w:color="auto"/>
                <w:right w:val="none" w:sz="0" w:space="0" w:color="auto"/>
              </w:divBdr>
              <w:divsChild>
                <w:div w:id="1551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7595">
      <w:bodyDiv w:val="1"/>
      <w:marLeft w:val="0"/>
      <w:marRight w:val="0"/>
      <w:marTop w:val="0"/>
      <w:marBottom w:val="0"/>
      <w:divBdr>
        <w:top w:val="none" w:sz="0" w:space="0" w:color="auto"/>
        <w:left w:val="none" w:sz="0" w:space="0" w:color="auto"/>
        <w:bottom w:val="none" w:sz="0" w:space="0" w:color="auto"/>
        <w:right w:val="none" w:sz="0" w:space="0" w:color="auto"/>
      </w:divBdr>
      <w:divsChild>
        <w:div w:id="454519169">
          <w:marLeft w:val="0"/>
          <w:marRight w:val="0"/>
          <w:marTop w:val="0"/>
          <w:marBottom w:val="0"/>
          <w:divBdr>
            <w:top w:val="none" w:sz="0" w:space="0" w:color="auto"/>
            <w:left w:val="none" w:sz="0" w:space="0" w:color="auto"/>
            <w:bottom w:val="none" w:sz="0" w:space="0" w:color="auto"/>
            <w:right w:val="none" w:sz="0" w:space="0" w:color="auto"/>
          </w:divBdr>
          <w:divsChild>
            <w:div w:id="180977593">
              <w:marLeft w:val="0"/>
              <w:marRight w:val="0"/>
              <w:marTop w:val="0"/>
              <w:marBottom w:val="0"/>
              <w:divBdr>
                <w:top w:val="none" w:sz="0" w:space="0" w:color="auto"/>
                <w:left w:val="none" w:sz="0" w:space="0" w:color="auto"/>
                <w:bottom w:val="none" w:sz="0" w:space="0" w:color="auto"/>
                <w:right w:val="none" w:sz="0" w:space="0" w:color="auto"/>
              </w:divBdr>
              <w:divsChild>
                <w:div w:id="386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58217">
      <w:bodyDiv w:val="1"/>
      <w:marLeft w:val="0"/>
      <w:marRight w:val="0"/>
      <w:marTop w:val="0"/>
      <w:marBottom w:val="0"/>
      <w:divBdr>
        <w:top w:val="none" w:sz="0" w:space="0" w:color="auto"/>
        <w:left w:val="none" w:sz="0" w:space="0" w:color="auto"/>
        <w:bottom w:val="none" w:sz="0" w:space="0" w:color="auto"/>
        <w:right w:val="none" w:sz="0" w:space="0" w:color="auto"/>
      </w:divBdr>
    </w:div>
    <w:div w:id="752891701">
      <w:bodyDiv w:val="1"/>
      <w:marLeft w:val="0"/>
      <w:marRight w:val="0"/>
      <w:marTop w:val="0"/>
      <w:marBottom w:val="0"/>
      <w:divBdr>
        <w:top w:val="none" w:sz="0" w:space="0" w:color="auto"/>
        <w:left w:val="none" w:sz="0" w:space="0" w:color="auto"/>
        <w:bottom w:val="none" w:sz="0" w:space="0" w:color="auto"/>
        <w:right w:val="none" w:sz="0" w:space="0" w:color="auto"/>
      </w:divBdr>
      <w:divsChild>
        <w:div w:id="507214504">
          <w:marLeft w:val="0"/>
          <w:marRight w:val="0"/>
          <w:marTop w:val="0"/>
          <w:marBottom w:val="0"/>
          <w:divBdr>
            <w:top w:val="none" w:sz="0" w:space="0" w:color="auto"/>
            <w:left w:val="none" w:sz="0" w:space="0" w:color="auto"/>
            <w:bottom w:val="none" w:sz="0" w:space="0" w:color="auto"/>
            <w:right w:val="none" w:sz="0" w:space="0" w:color="auto"/>
          </w:divBdr>
          <w:divsChild>
            <w:div w:id="1756049489">
              <w:marLeft w:val="0"/>
              <w:marRight w:val="0"/>
              <w:marTop w:val="0"/>
              <w:marBottom w:val="0"/>
              <w:divBdr>
                <w:top w:val="none" w:sz="0" w:space="0" w:color="auto"/>
                <w:left w:val="none" w:sz="0" w:space="0" w:color="auto"/>
                <w:bottom w:val="none" w:sz="0" w:space="0" w:color="auto"/>
                <w:right w:val="none" w:sz="0" w:space="0" w:color="auto"/>
              </w:divBdr>
              <w:divsChild>
                <w:div w:id="454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54037">
      <w:bodyDiv w:val="1"/>
      <w:marLeft w:val="0"/>
      <w:marRight w:val="0"/>
      <w:marTop w:val="0"/>
      <w:marBottom w:val="0"/>
      <w:divBdr>
        <w:top w:val="none" w:sz="0" w:space="0" w:color="auto"/>
        <w:left w:val="none" w:sz="0" w:space="0" w:color="auto"/>
        <w:bottom w:val="none" w:sz="0" w:space="0" w:color="auto"/>
        <w:right w:val="none" w:sz="0" w:space="0" w:color="auto"/>
      </w:divBdr>
      <w:divsChild>
        <w:div w:id="1341619020">
          <w:marLeft w:val="0"/>
          <w:marRight w:val="0"/>
          <w:marTop w:val="0"/>
          <w:marBottom w:val="0"/>
          <w:divBdr>
            <w:top w:val="none" w:sz="0" w:space="0" w:color="auto"/>
            <w:left w:val="none" w:sz="0" w:space="0" w:color="auto"/>
            <w:bottom w:val="none" w:sz="0" w:space="0" w:color="auto"/>
            <w:right w:val="none" w:sz="0" w:space="0" w:color="auto"/>
          </w:divBdr>
          <w:divsChild>
            <w:div w:id="380715588">
              <w:marLeft w:val="0"/>
              <w:marRight w:val="0"/>
              <w:marTop w:val="0"/>
              <w:marBottom w:val="0"/>
              <w:divBdr>
                <w:top w:val="none" w:sz="0" w:space="0" w:color="auto"/>
                <w:left w:val="none" w:sz="0" w:space="0" w:color="auto"/>
                <w:bottom w:val="none" w:sz="0" w:space="0" w:color="auto"/>
                <w:right w:val="none" w:sz="0" w:space="0" w:color="auto"/>
              </w:divBdr>
              <w:divsChild>
                <w:div w:id="5467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9510">
      <w:bodyDiv w:val="1"/>
      <w:marLeft w:val="0"/>
      <w:marRight w:val="0"/>
      <w:marTop w:val="0"/>
      <w:marBottom w:val="0"/>
      <w:divBdr>
        <w:top w:val="none" w:sz="0" w:space="0" w:color="auto"/>
        <w:left w:val="none" w:sz="0" w:space="0" w:color="auto"/>
        <w:bottom w:val="none" w:sz="0" w:space="0" w:color="auto"/>
        <w:right w:val="none" w:sz="0" w:space="0" w:color="auto"/>
      </w:divBdr>
    </w:div>
    <w:div w:id="778332244">
      <w:bodyDiv w:val="1"/>
      <w:marLeft w:val="0"/>
      <w:marRight w:val="0"/>
      <w:marTop w:val="0"/>
      <w:marBottom w:val="0"/>
      <w:divBdr>
        <w:top w:val="none" w:sz="0" w:space="0" w:color="auto"/>
        <w:left w:val="none" w:sz="0" w:space="0" w:color="auto"/>
        <w:bottom w:val="none" w:sz="0" w:space="0" w:color="auto"/>
        <w:right w:val="none" w:sz="0" w:space="0" w:color="auto"/>
      </w:divBdr>
      <w:divsChild>
        <w:div w:id="1585919671">
          <w:marLeft w:val="0"/>
          <w:marRight w:val="0"/>
          <w:marTop w:val="0"/>
          <w:marBottom w:val="0"/>
          <w:divBdr>
            <w:top w:val="none" w:sz="0" w:space="0" w:color="auto"/>
            <w:left w:val="none" w:sz="0" w:space="0" w:color="auto"/>
            <w:bottom w:val="none" w:sz="0" w:space="0" w:color="auto"/>
            <w:right w:val="none" w:sz="0" w:space="0" w:color="auto"/>
          </w:divBdr>
          <w:divsChild>
            <w:div w:id="791247496">
              <w:marLeft w:val="0"/>
              <w:marRight w:val="0"/>
              <w:marTop w:val="0"/>
              <w:marBottom w:val="0"/>
              <w:divBdr>
                <w:top w:val="none" w:sz="0" w:space="0" w:color="auto"/>
                <w:left w:val="none" w:sz="0" w:space="0" w:color="auto"/>
                <w:bottom w:val="none" w:sz="0" w:space="0" w:color="auto"/>
                <w:right w:val="none" w:sz="0" w:space="0" w:color="auto"/>
              </w:divBdr>
              <w:divsChild>
                <w:div w:id="3970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2875">
      <w:bodyDiv w:val="1"/>
      <w:marLeft w:val="0"/>
      <w:marRight w:val="0"/>
      <w:marTop w:val="0"/>
      <w:marBottom w:val="0"/>
      <w:divBdr>
        <w:top w:val="none" w:sz="0" w:space="0" w:color="auto"/>
        <w:left w:val="none" w:sz="0" w:space="0" w:color="auto"/>
        <w:bottom w:val="none" w:sz="0" w:space="0" w:color="auto"/>
        <w:right w:val="none" w:sz="0" w:space="0" w:color="auto"/>
      </w:divBdr>
      <w:divsChild>
        <w:div w:id="362293859">
          <w:marLeft w:val="0"/>
          <w:marRight w:val="0"/>
          <w:marTop w:val="0"/>
          <w:marBottom w:val="0"/>
          <w:divBdr>
            <w:top w:val="none" w:sz="0" w:space="0" w:color="auto"/>
            <w:left w:val="none" w:sz="0" w:space="0" w:color="auto"/>
            <w:bottom w:val="none" w:sz="0" w:space="0" w:color="auto"/>
            <w:right w:val="none" w:sz="0" w:space="0" w:color="auto"/>
          </w:divBdr>
          <w:divsChild>
            <w:div w:id="1953049250">
              <w:marLeft w:val="0"/>
              <w:marRight w:val="0"/>
              <w:marTop w:val="0"/>
              <w:marBottom w:val="0"/>
              <w:divBdr>
                <w:top w:val="none" w:sz="0" w:space="0" w:color="auto"/>
                <w:left w:val="none" w:sz="0" w:space="0" w:color="auto"/>
                <w:bottom w:val="none" w:sz="0" w:space="0" w:color="auto"/>
                <w:right w:val="none" w:sz="0" w:space="0" w:color="auto"/>
              </w:divBdr>
              <w:divsChild>
                <w:div w:id="2963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946">
      <w:bodyDiv w:val="1"/>
      <w:marLeft w:val="0"/>
      <w:marRight w:val="0"/>
      <w:marTop w:val="0"/>
      <w:marBottom w:val="0"/>
      <w:divBdr>
        <w:top w:val="none" w:sz="0" w:space="0" w:color="auto"/>
        <w:left w:val="none" w:sz="0" w:space="0" w:color="auto"/>
        <w:bottom w:val="none" w:sz="0" w:space="0" w:color="auto"/>
        <w:right w:val="none" w:sz="0" w:space="0" w:color="auto"/>
      </w:divBdr>
      <w:divsChild>
        <w:div w:id="657925137">
          <w:marLeft w:val="0"/>
          <w:marRight w:val="0"/>
          <w:marTop w:val="0"/>
          <w:marBottom w:val="0"/>
          <w:divBdr>
            <w:top w:val="none" w:sz="0" w:space="0" w:color="auto"/>
            <w:left w:val="none" w:sz="0" w:space="0" w:color="auto"/>
            <w:bottom w:val="none" w:sz="0" w:space="0" w:color="auto"/>
            <w:right w:val="none" w:sz="0" w:space="0" w:color="auto"/>
          </w:divBdr>
          <w:divsChild>
            <w:div w:id="689599857">
              <w:marLeft w:val="0"/>
              <w:marRight w:val="0"/>
              <w:marTop w:val="0"/>
              <w:marBottom w:val="0"/>
              <w:divBdr>
                <w:top w:val="none" w:sz="0" w:space="0" w:color="auto"/>
                <w:left w:val="none" w:sz="0" w:space="0" w:color="auto"/>
                <w:bottom w:val="none" w:sz="0" w:space="0" w:color="auto"/>
                <w:right w:val="none" w:sz="0" w:space="0" w:color="auto"/>
              </w:divBdr>
              <w:divsChild>
                <w:div w:id="415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7072">
      <w:bodyDiv w:val="1"/>
      <w:marLeft w:val="0"/>
      <w:marRight w:val="0"/>
      <w:marTop w:val="0"/>
      <w:marBottom w:val="0"/>
      <w:divBdr>
        <w:top w:val="none" w:sz="0" w:space="0" w:color="auto"/>
        <w:left w:val="none" w:sz="0" w:space="0" w:color="auto"/>
        <w:bottom w:val="none" w:sz="0" w:space="0" w:color="auto"/>
        <w:right w:val="none" w:sz="0" w:space="0" w:color="auto"/>
      </w:divBdr>
    </w:div>
    <w:div w:id="979069928">
      <w:bodyDiv w:val="1"/>
      <w:marLeft w:val="0"/>
      <w:marRight w:val="0"/>
      <w:marTop w:val="0"/>
      <w:marBottom w:val="0"/>
      <w:divBdr>
        <w:top w:val="none" w:sz="0" w:space="0" w:color="auto"/>
        <w:left w:val="none" w:sz="0" w:space="0" w:color="auto"/>
        <w:bottom w:val="none" w:sz="0" w:space="0" w:color="auto"/>
        <w:right w:val="none" w:sz="0" w:space="0" w:color="auto"/>
      </w:divBdr>
    </w:div>
    <w:div w:id="990984457">
      <w:bodyDiv w:val="1"/>
      <w:marLeft w:val="0"/>
      <w:marRight w:val="0"/>
      <w:marTop w:val="0"/>
      <w:marBottom w:val="0"/>
      <w:divBdr>
        <w:top w:val="none" w:sz="0" w:space="0" w:color="auto"/>
        <w:left w:val="none" w:sz="0" w:space="0" w:color="auto"/>
        <w:bottom w:val="none" w:sz="0" w:space="0" w:color="auto"/>
        <w:right w:val="none" w:sz="0" w:space="0" w:color="auto"/>
      </w:divBdr>
      <w:divsChild>
        <w:div w:id="89543821">
          <w:marLeft w:val="0"/>
          <w:marRight w:val="0"/>
          <w:marTop w:val="0"/>
          <w:marBottom w:val="0"/>
          <w:divBdr>
            <w:top w:val="none" w:sz="0" w:space="0" w:color="auto"/>
            <w:left w:val="none" w:sz="0" w:space="0" w:color="auto"/>
            <w:bottom w:val="none" w:sz="0" w:space="0" w:color="auto"/>
            <w:right w:val="none" w:sz="0" w:space="0" w:color="auto"/>
          </w:divBdr>
          <w:divsChild>
            <w:div w:id="1684894314">
              <w:marLeft w:val="0"/>
              <w:marRight w:val="0"/>
              <w:marTop w:val="0"/>
              <w:marBottom w:val="0"/>
              <w:divBdr>
                <w:top w:val="none" w:sz="0" w:space="0" w:color="auto"/>
                <w:left w:val="none" w:sz="0" w:space="0" w:color="auto"/>
                <w:bottom w:val="none" w:sz="0" w:space="0" w:color="auto"/>
                <w:right w:val="none" w:sz="0" w:space="0" w:color="auto"/>
              </w:divBdr>
              <w:divsChild>
                <w:div w:id="1360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48877">
      <w:bodyDiv w:val="1"/>
      <w:marLeft w:val="0"/>
      <w:marRight w:val="0"/>
      <w:marTop w:val="0"/>
      <w:marBottom w:val="0"/>
      <w:divBdr>
        <w:top w:val="none" w:sz="0" w:space="0" w:color="auto"/>
        <w:left w:val="none" w:sz="0" w:space="0" w:color="auto"/>
        <w:bottom w:val="none" w:sz="0" w:space="0" w:color="auto"/>
        <w:right w:val="none" w:sz="0" w:space="0" w:color="auto"/>
      </w:divBdr>
    </w:div>
    <w:div w:id="1014651521">
      <w:bodyDiv w:val="1"/>
      <w:marLeft w:val="0"/>
      <w:marRight w:val="0"/>
      <w:marTop w:val="0"/>
      <w:marBottom w:val="0"/>
      <w:divBdr>
        <w:top w:val="none" w:sz="0" w:space="0" w:color="auto"/>
        <w:left w:val="none" w:sz="0" w:space="0" w:color="auto"/>
        <w:bottom w:val="none" w:sz="0" w:space="0" w:color="auto"/>
        <w:right w:val="none" w:sz="0" w:space="0" w:color="auto"/>
      </w:divBdr>
    </w:div>
    <w:div w:id="1036849497">
      <w:bodyDiv w:val="1"/>
      <w:marLeft w:val="0"/>
      <w:marRight w:val="0"/>
      <w:marTop w:val="0"/>
      <w:marBottom w:val="0"/>
      <w:divBdr>
        <w:top w:val="none" w:sz="0" w:space="0" w:color="auto"/>
        <w:left w:val="none" w:sz="0" w:space="0" w:color="auto"/>
        <w:bottom w:val="none" w:sz="0" w:space="0" w:color="auto"/>
        <w:right w:val="none" w:sz="0" w:space="0" w:color="auto"/>
      </w:divBdr>
      <w:divsChild>
        <w:div w:id="60755243">
          <w:marLeft w:val="0"/>
          <w:marRight w:val="0"/>
          <w:marTop w:val="0"/>
          <w:marBottom w:val="0"/>
          <w:divBdr>
            <w:top w:val="none" w:sz="0" w:space="0" w:color="auto"/>
            <w:left w:val="none" w:sz="0" w:space="0" w:color="auto"/>
            <w:bottom w:val="none" w:sz="0" w:space="0" w:color="auto"/>
            <w:right w:val="none" w:sz="0" w:space="0" w:color="auto"/>
          </w:divBdr>
          <w:divsChild>
            <w:div w:id="1539465366">
              <w:marLeft w:val="0"/>
              <w:marRight w:val="0"/>
              <w:marTop w:val="0"/>
              <w:marBottom w:val="0"/>
              <w:divBdr>
                <w:top w:val="none" w:sz="0" w:space="0" w:color="auto"/>
                <w:left w:val="none" w:sz="0" w:space="0" w:color="auto"/>
                <w:bottom w:val="none" w:sz="0" w:space="0" w:color="auto"/>
                <w:right w:val="none" w:sz="0" w:space="0" w:color="auto"/>
              </w:divBdr>
              <w:divsChild>
                <w:div w:id="21354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80758">
      <w:bodyDiv w:val="1"/>
      <w:marLeft w:val="0"/>
      <w:marRight w:val="0"/>
      <w:marTop w:val="0"/>
      <w:marBottom w:val="0"/>
      <w:divBdr>
        <w:top w:val="none" w:sz="0" w:space="0" w:color="auto"/>
        <w:left w:val="none" w:sz="0" w:space="0" w:color="auto"/>
        <w:bottom w:val="none" w:sz="0" w:space="0" w:color="auto"/>
        <w:right w:val="none" w:sz="0" w:space="0" w:color="auto"/>
      </w:divBdr>
    </w:div>
    <w:div w:id="1100488106">
      <w:bodyDiv w:val="1"/>
      <w:marLeft w:val="0"/>
      <w:marRight w:val="0"/>
      <w:marTop w:val="0"/>
      <w:marBottom w:val="0"/>
      <w:divBdr>
        <w:top w:val="none" w:sz="0" w:space="0" w:color="auto"/>
        <w:left w:val="none" w:sz="0" w:space="0" w:color="auto"/>
        <w:bottom w:val="none" w:sz="0" w:space="0" w:color="auto"/>
        <w:right w:val="none" w:sz="0" w:space="0" w:color="auto"/>
      </w:divBdr>
    </w:div>
    <w:div w:id="1101801837">
      <w:bodyDiv w:val="1"/>
      <w:marLeft w:val="0"/>
      <w:marRight w:val="0"/>
      <w:marTop w:val="0"/>
      <w:marBottom w:val="0"/>
      <w:divBdr>
        <w:top w:val="none" w:sz="0" w:space="0" w:color="auto"/>
        <w:left w:val="none" w:sz="0" w:space="0" w:color="auto"/>
        <w:bottom w:val="none" w:sz="0" w:space="0" w:color="auto"/>
        <w:right w:val="none" w:sz="0" w:space="0" w:color="auto"/>
      </w:divBdr>
    </w:div>
    <w:div w:id="1109935103">
      <w:bodyDiv w:val="1"/>
      <w:marLeft w:val="0"/>
      <w:marRight w:val="0"/>
      <w:marTop w:val="0"/>
      <w:marBottom w:val="0"/>
      <w:divBdr>
        <w:top w:val="none" w:sz="0" w:space="0" w:color="auto"/>
        <w:left w:val="none" w:sz="0" w:space="0" w:color="auto"/>
        <w:bottom w:val="none" w:sz="0" w:space="0" w:color="auto"/>
        <w:right w:val="none" w:sz="0" w:space="0" w:color="auto"/>
      </w:divBdr>
      <w:divsChild>
        <w:div w:id="237712836">
          <w:marLeft w:val="0"/>
          <w:marRight w:val="0"/>
          <w:marTop w:val="0"/>
          <w:marBottom w:val="0"/>
          <w:divBdr>
            <w:top w:val="none" w:sz="0" w:space="0" w:color="auto"/>
            <w:left w:val="none" w:sz="0" w:space="0" w:color="auto"/>
            <w:bottom w:val="none" w:sz="0" w:space="0" w:color="auto"/>
            <w:right w:val="none" w:sz="0" w:space="0" w:color="auto"/>
          </w:divBdr>
          <w:divsChild>
            <w:div w:id="1921328771">
              <w:marLeft w:val="0"/>
              <w:marRight w:val="0"/>
              <w:marTop w:val="0"/>
              <w:marBottom w:val="0"/>
              <w:divBdr>
                <w:top w:val="none" w:sz="0" w:space="0" w:color="auto"/>
                <w:left w:val="none" w:sz="0" w:space="0" w:color="auto"/>
                <w:bottom w:val="none" w:sz="0" w:space="0" w:color="auto"/>
                <w:right w:val="none" w:sz="0" w:space="0" w:color="auto"/>
              </w:divBdr>
              <w:divsChild>
                <w:div w:id="1145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8059">
      <w:bodyDiv w:val="1"/>
      <w:marLeft w:val="0"/>
      <w:marRight w:val="0"/>
      <w:marTop w:val="0"/>
      <w:marBottom w:val="0"/>
      <w:divBdr>
        <w:top w:val="none" w:sz="0" w:space="0" w:color="auto"/>
        <w:left w:val="none" w:sz="0" w:space="0" w:color="auto"/>
        <w:bottom w:val="none" w:sz="0" w:space="0" w:color="auto"/>
        <w:right w:val="none" w:sz="0" w:space="0" w:color="auto"/>
      </w:divBdr>
      <w:divsChild>
        <w:div w:id="359357768">
          <w:marLeft w:val="0"/>
          <w:marRight w:val="0"/>
          <w:marTop w:val="0"/>
          <w:marBottom w:val="0"/>
          <w:divBdr>
            <w:top w:val="none" w:sz="0" w:space="0" w:color="auto"/>
            <w:left w:val="none" w:sz="0" w:space="0" w:color="auto"/>
            <w:bottom w:val="none" w:sz="0" w:space="0" w:color="auto"/>
            <w:right w:val="none" w:sz="0" w:space="0" w:color="auto"/>
          </w:divBdr>
          <w:divsChild>
            <w:div w:id="1406301866">
              <w:marLeft w:val="0"/>
              <w:marRight w:val="0"/>
              <w:marTop w:val="0"/>
              <w:marBottom w:val="0"/>
              <w:divBdr>
                <w:top w:val="none" w:sz="0" w:space="0" w:color="auto"/>
                <w:left w:val="none" w:sz="0" w:space="0" w:color="auto"/>
                <w:bottom w:val="none" w:sz="0" w:space="0" w:color="auto"/>
                <w:right w:val="none" w:sz="0" w:space="0" w:color="auto"/>
              </w:divBdr>
              <w:divsChild>
                <w:div w:id="18748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5481">
          <w:marLeft w:val="0"/>
          <w:marRight w:val="0"/>
          <w:marTop w:val="0"/>
          <w:marBottom w:val="0"/>
          <w:divBdr>
            <w:top w:val="none" w:sz="0" w:space="0" w:color="auto"/>
            <w:left w:val="none" w:sz="0" w:space="0" w:color="auto"/>
            <w:bottom w:val="none" w:sz="0" w:space="0" w:color="auto"/>
            <w:right w:val="none" w:sz="0" w:space="0" w:color="auto"/>
          </w:divBdr>
          <w:divsChild>
            <w:div w:id="1157914590">
              <w:marLeft w:val="0"/>
              <w:marRight w:val="0"/>
              <w:marTop w:val="0"/>
              <w:marBottom w:val="0"/>
              <w:divBdr>
                <w:top w:val="none" w:sz="0" w:space="0" w:color="auto"/>
                <w:left w:val="none" w:sz="0" w:space="0" w:color="auto"/>
                <w:bottom w:val="none" w:sz="0" w:space="0" w:color="auto"/>
                <w:right w:val="none" w:sz="0" w:space="0" w:color="auto"/>
              </w:divBdr>
              <w:divsChild>
                <w:div w:id="10639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377">
      <w:bodyDiv w:val="1"/>
      <w:marLeft w:val="0"/>
      <w:marRight w:val="0"/>
      <w:marTop w:val="0"/>
      <w:marBottom w:val="0"/>
      <w:divBdr>
        <w:top w:val="none" w:sz="0" w:space="0" w:color="auto"/>
        <w:left w:val="none" w:sz="0" w:space="0" w:color="auto"/>
        <w:bottom w:val="none" w:sz="0" w:space="0" w:color="auto"/>
        <w:right w:val="none" w:sz="0" w:space="0" w:color="auto"/>
      </w:divBdr>
      <w:divsChild>
        <w:div w:id="1634751943">
          <w:marLeft w:val="0"/>
          <w:marRight w:val="0"/>
          <w:marTop w:val="0"/>
          <w:marBottom w:val="0"/>
          <w:divBdr>
            <w:top w:val="none" w:sz="0" w:space="0" w:color="auto"/>
            <w:left w:val="none" w:sz="0" w:space="0" w:color="auto"/>
            <w:bottom w:val="none" w:sz="0" w:space="0" w:color="auto"/>
            <w:right w:val="none" w:sz="0" w:space="0" w:color="auto"/>
          </w:divBdr>
          <w:divsChild>
            <w:div w:id="401946116">
              <w:marLeft w:val="0"/>
              <w:marRight w:val="0"/>
              <w:marTop w:val="0"/>
              <w:marBottom w:val="0"/>
              <w:divBdr>
                <w:top w:val="none" w:sz="0" w:space="0" w:color="auto"/>
                <w:left w:val="none" w:sz="0" w:space="0" w:color="auto"/>
                <w:bottom w:val="none" w:sz="0" w:space="0" w:color="auto"/>
                <w:right w:val="none" w:sz="0" w:space="0" w:color="auto"/>
              </w:divBdr>
              <w:divsChild>
                <w:div w:id="10174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3091">
      <w:bodyDiv w:val="1"/>
      <w:marLeft w:val="0"/>
      <w:marRight w:val="0"/>
      <w:marTop w:val="0"/>
      <w:marBottom w:val="0"/>
      <w:divBdr>
        <w:top w:val="none" w:sz="0" w:space="0" w:color="auto"/>
        <w:left w:val="none" w:sz="0" w:space="0" w:color="auto"/>
        <w:bottom w:val="none" w:sz="0" w:space="0" w:color="auto"/>
        <w:right w:val="none" w:sz="0" w:space="0" w:color="auto"/>
      </w:divBdr>
      <w:divsChild>
        <w:div w:id="2010522268">
          <w:marLeft w:val="0"/>
          <w:marRight w:val="0"/>
          <w:marTop w:val="0"/>
          <w:marBottom w:val="0"/>
          <w:divBdr>
            <w:top w:val="none" w:sz="0" w:space="0" w:color="auto"/>
            <w:left w:val="none" w:sz="0" w:space="0" w:color="auto"/>
            <w:bottom w:val="none" w:sz="0" w:space="0" w:color="auto"/>
            <w:right w:val="none" w:sz="0" w:space="0" w:color="auto"/>
          </w:divBdr>
          <w:divsChild>
            <w:div w:id="1342005681">
              <w:marLeft w:val="0"/>
              <w:marRight w:val="0"/>
              <w:marTop w:val="0"/>
              <w:marBottom w:val="0"/>
              <w:divBdr>
                <w:top w:val="none" w:sz="0" w:space="0" w:color="auto"/>
                <w:left w:val="none" w:sz="0" w:space="0" w:color="auto"/>
                <w:bottom w:val="none" w:sz="0" w:space="0" w:color="auto"/>
                <w:right w:val="none" w:sz="0" w:space="0" w:color="auto"/>
              </w:divBdr>
              <w:divsChild>
                <w:div w:id="16160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751">
      <w:bodyDiv w:val="1"/>
      <w:marLeft w:val="0"/>
      <w:marRight w:val="0"/>
      <w:marTop w:val="0"/>
      <w:marBottom w:val="0"/>
      <w:divBdr>
        <w:top w:val="none" w:sz="0" w:space="0" w:color="auto"/>
        <w:left w:val="none" w:sz="0" w:space="0" w:color="auto"/>
        <w:bottom w:val="none" w:sz="0" w:space="0" w:color="auto"/>
        <w:right w:val="none" w:sz="0" w:space="0" w:color="auto"/>
      </w:divBdr>
      <w:divsChild>
        <w:div w:id="549004192">
          <w:marLeft w:val="0"/>
          <w:marRight w:val="0"/>
          <w:marTop w:val="0"/>
          <w:marBottom w:val="0"/>
          <w:divBdr>
            <w:top w:val="none" w:sz="0" w:space="0" w:color="auto"/>
            <w:left w:val="none" w:sz="0" w:space="0" w:color="auto"/>
            <w:bottom w:val="none" w:sz="0" w:space="0" w:color="auto"/>
            <w:right w:val="none" w:sz="0" w:space="0" w:color="auto"/>
          </w:divBdr>
          <w:divsChild>
            <w:div w:id="817651146">
              <w:marLeft w:val="0"/>
              <w:marRight w:val="0"/>
              <w:marTop w:val="0"/>
              <w:marBottom w:val="0"/>
              <w:divBdr>
                <w:top w:val="none" w:sz="0" w:space="0" w:color="auto"/>
                <w:left w:val="none" w:sz="0" w:space="0" w:color="auto"/>
                <w:bottom w:val="none" w:sz="0" w:space="0" w:color="auto"/>
                <w:right w:val="none" w:sz="0" w:space="0" w:color="auto"/>
              </w:divBdr>
              <w:divsChild>
                <w:div w:id="752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5787">
      <w:bodyDiv w:val="1"/>
      <w:marLeft w:val="0"/>
      <w:marRight w:val="0"/>
      <w:marTop w:val="0"/>
      <w:marBottom w:val="0"/>
      <w:divBdr>
        <w:top w:val="none" w:sz="0" w:space="0" w:color="auto"/>
        <w:left w:val="none" w:sz="0" w:space="0" w:color="auto"/>
        <w:bottom w:val="none" w:sz="0" w:space="0" w:color="auto"/>
        <w:right w:val="none" w:sz="0" w:space="0" w:color="auto"/>
      </w:divBdr>
      <w:divsChild>
        <w:div w:id="314992282">
          <w:marLeft w:val="0"/>
          <w:marRight w:val="0"/>
          <w:marTop w:val="0"/>
          <w:marBottom w:val="0"/>
          <w:divBdr>
            <w:top w:val="none" w:sz="0" w:space="0" w:color="auto"/>
            <w:left w:val="none" w:sz="0" w:space="0" w:color="auto"/>
            <w:bottom w:val="none" w:sz="0" w:space="0" w:color="auto"/>
            <w:right w:val="none" w:sz="0" w:space="0" w:color="auto"/>
          </w:divBdr>
          <w:divsChild>
            <w:div w:id="1987468412">
              <w:marLeft w:val="0"/>
              <w:marRight w:val="0"/>
              <w:marTop w:val="0"/>
              <w:marBottom w:val="0"/>
              <w:divBdr>
                <w:top w:val="none" w:sz="0" w:space="0" w:color="auto"/>
                <w:left w:val="none" w:sz="0" w:space="0" w:color="auto"/>
                <w:bottom w:val="none" w:sz="0" w:space="0" w:color="auto"/>
                <w:right w:val="none" w:sz="0" w:space="0" w:color="auto"/>
              </w:divBdr>
              <w:divsChild>
                <w:div w:id="17518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5468">
      <w:bodyDiv w:val="1"/>
      <w:marLeft w:val="0"/>
      <w:marRight w:val="0"/>
      <w:marTop w:val="0"/>
      <w:marBottom w:val="0"/>
      <w:divBdr>
        <w:top w:val="none" w:sz="0" w:space="0" w:color="auto"/>
        <w:left w:val="none" w:sz="0" w:space="0" w:color="auto"/>
        <w:bottom w:val="none" w:sz="0" w:space="0" w:color="auto"/>
        <w:right w:val="none" w:sz="0" w:space="0" w:color="auto"/>
      </w:divBdr>
    </w:div>
    <w:div w:id="1297180911">
      <w:bodyDiv w:val="1"/>
      <w:marLeft w:val="0"/>
      <w:marRight w:val="0"/>
      <w:marTop w:val="0"/>
      <w:marBottom w:val="0"/>
      <w:divBdr>
        <w:top w:val="none" w:sz="0" w:space="0" w:color="auto"/>
        <w:left w:val="none" w:sz="0" w:space="0" w:color="auto"/>
        <w:bottom w:val="none" w:sz="0" w:space="0" w:color="auto"/>
        <w:right w:val="none" w:sz="0" w:space="0" w:color="auto"/>
      </w:divBdr>
    </w:div>
    <w:div w:id="1322853498">
      <w:bodyDiv w:val="1"/>
      <w:marLeft w:val="0"/>
      <w:marRight w:val="0"/>
      <w:marTop w:val="0"/>
      <w:marBottom w:val="0"/>
      <w:divBdr>
        <w:top w:val="none" w:sz="0" w:space="0" w:color="auto"/>
        <w:left w:val="none" w:sz="0" w:space="0" w:color="auto"/>
        <w:bottom w:val="none" w:sz="0" w:space="0" w:color="auto"/>
        <w:right w:val="none" w:sz="0" w:space="0" w:color="auto"/>
      </w:divBdr>
      <w:divsChild>
        <w:div w:id="1817184719">
          <w:marLeft w:val="0"/>
          <w:marRight w:val="0"/>
          <w:marTop w:val="0"/>
          <w:marBottom w:val="0"/>
          <w:divBdr>
            <w:top w:val="none" w:sz="0" w:space="0" w:color="auto"/>
            <w:left w:val="none" w:sz="0" w:space="0" w:color="auto"/>
            <w:bottom w:val="none" w:sz="0" w:space="0" w:color="auto"/>
            <w:right w:val="none" w:sz="0" w:space="0" w:color="auto"/>
          </w:divBdr>
          <w:divsChild>
            <w:div w:id="1827164041">
              <w:marLeft w:val="0"/>
              <w:marRight w:val="0"/>
              <w:marTop w:val="0"/>
              <w:marBottom w:val="0"/>
              <w:divBdr>
                <w:top w:val="none" w:sz="0" w:space="0" w:color="auto"/>
                <w:left w:val="none" w:sz="0" w:space="0" w:color="auto"/>
                <w:bottom w:val="none" w:sz="0" w:space="0" w:color="auto"/>
                <w:right w:val="none" w:sz="0" w:space="0" w:color="auto"/>
              </w:divBdr>
              <w:divsChild>
                <w:div w:id="5063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878">
      <w:bodyDiv w:val="1"/>
      <w:marLeft w:val="0"/>
      <w:marRight w:val="0"/>
      <w:marTop w:val="0"/>
      <w:marBottom w:val="0"/>
      <w:divBdr>
        <w:top w:val="none" w:sz="0" w:space="0" w:color="auto"/>
        <w:left w:val="none" w:sz="0" w:space="0" w:color="auto"/>
        <w:bottom w:val="none" w:sz="0" w:space="0" w:color="auto"/>
        <w:right w:val="none" w:sz="0" w:space="0" w:color="auto"/>
      </w:divBdr>
    </w:div>
    <w:div w:id="1353920619">
      <w:bodyDiv w:val="1"/>
      <w:marLeft w:val="0"/>
      <w:marRight w:val="0"/>
      <w:marTop w:val="0"/>
      <w:marBottom w:val="0"/>
      <w:divBdr>
        <w:top w:val="none" w:sz="0" w:space="0" w:color="auto"/>
        <w:left w:val="none" w:sz="0" w:space="0" w:color="auto"/>
        <w:bottom w:val="none" w:sz="0" w:space="0" w:color="auto"/>
        <w:right w:val="none" w:sz="0" w:space="0" w:color="auto"/>
      </w:divBdr>
    </w:div>
    <w:div w:id="1408847124">
      <w:bodyDiv w:val="1"/>
      <w:marLeft w:val="0"/>
      <w:marRight w:val="0"/>
      <w:marTop w:val="0"/>
      <w:marBottom w:val="0"/>
      <w:divBdr>
        <w:top w:val="none" w:sz="0" w:space="0" w:color="auto"/>
        <w:left w:val="none" w:sz="0" w:space="0" w:color="auto"/>
        <w:bottom w:val="none" w:sz="0" w:space="0" w:color="auto"/>
        <w:right w:val="none" w:sz="0" w:space="0" w:color="auto"/>
      </w:divBdr>
    </w:div>
    <w:div w:id="1494562717">
      <w:bodyDiv w:val="1"/>
      <w:marLeft w:val="0"/>
      <w:marRight w:val="0"/>
      <w:marTop w:val="0"/>
      <w:marBottom w:val="0"/>
      <w:divBdr>
        <w:top w:val="none" w:sz="0" w:space="0" w:color="auto"/>
        <w:left w:val="none" w:sz="0" w:space="0" w:color="auto"/>
        <w:bottom w:val="none" w:sz="0" w:space="0" w:color="auto"/>
        <w:right w:val="none" w:sz="0" w:space="0" w:color="auto"/>
      </w:divBdr>
    </w:div>
    <w:div w:id="1533806884">
      <w:bodyDiv w:val="1"/>
      <w:marLeft w:val="0"/>
      <w:marRight w:val="0"/>
      <w:marTop w:val="0"/>
      <w:marBottom w:val="0"/>
      <w:divBdr>
        <w:top w:val="none" w:sz="0" w:space="0" w:color="auto"/>
        <w:left w:val="none" w:sz="0" w:space="0" w:color="auto"/>
        <w:bottom w:val="none" w:sz="0" w:space="0" w:color="auto"/>
        <w:right w:val="none" w:sz="0" w:space="0" w:color="auto"/>
      </w:divBdr>
      <w:divsChild>
        <w:div w:id="1250307725">
          <w:marLeft w:val="0"/>
          <w:marRight w:val="0"/>
          <w:marTop w:val="0"/>
          <w:marBottom w:val="0"/>
          <w:divBdr>
            <w:top w:val="none" w:sz="0" w:space="0" w:color="auto"/>
            <w:left w:val="none" w:sz="0" w:space="0" w:color="auto"/>
            <w:bottom w:val="none" w:sz="0" w:space="0" w:color="auto"/>
            <w:right w:val="none" w:sz="0" w:space="0" w:color="auto"/>
          </w:divBdr>
          <w:divsChild>
            <w:div w:id="790854943">
              <w:marLeft w:val="0"/>
              <w:marRight w:val="0"/>
              <w:marTop w:val="0"/>
              <w:marBottom w:val="0"/>
              <w:divBdr>
                <w:top w:val="none" w:sz="0" w:space="0" w:color="auto"/>
                <w:left w:val="none" w:sz="0" w:space="0" w:color="auto"/>
                <w:bottom w:val="none" w:sz="0" w:space="0" w:color="auto"/>
                <w:right w:val="none" w:sz="0" w:space="0" w:color="auto"/>
              </w:divBdr>
              <w:divsChild>
                <w:div w:id="4455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1600">
      <w:bodyDiv w:val="1"/>
      <w:marLeft w:val="0"/>
      <w:marRight w:val="0"/>
      <w:marTop w:val="0"/>
      <w:marBottom w:val="0"/>
      <w:divBdr>
        <w:top w:val="none" w:sz="0" w:space="0" w:color="auto"/>
        <w:left w:val="none" w:sz="0" w:space="0" w:color="auto"/>
        <w:bottom w:val="none" w:sz="0" w:space="0" w:color="auto"/>
        <w:right w:val="none" w:sz="0" w:space="0" w:color="auto"/>
      </w:divBdr>
    </w:div>
    <w:div w:id="1598826745">
      <w:bodyDiv w:val="1"/>
      <w:marLeft w:val="0"/>
      <w:marRight w:val="0"/>
      <w:marTop w:val="0"/>
      <w:marBottom w:val="0"/>
      <w:divBdr>
        <w:top w:val="none" w:sz="0" w:space="0" w:color="auto"/>
        <w:left w:val="none" w:sz="0" w:space="0" w:color="auto"/>
        <w:bottom w:val="none" w:sz="0" w:space="0" w:color="auto"/>
        <w:right w:val="none" w:sz="0" w:space="0" w:color="auto"/>
      </w:divBdr>
      <w:divsChild>
        <w:div w:id="2133014474">
          <w:marLeft w:val="0"/>
          <w:marRight w:val="0"/>
          <w:marTop w:val="0"/>
          <w:marBottom w:val="0"/>
          <w:divBdr>
            <w:top w:val="none" w:sz="0" w:space="0" w:color="auto"/>
            <w:left w:val="none" w:sz="0" w:space="0" w:color="auto"/>
            <w:bottom w:val="none" w:sz="0" w:space="0" w:color="auto"/>
            <w:right w:val="none" w:sz="0" w:space="0" w:color="auto"/>
          </w:divBdr>
          <w:divsChild>
            <w:div w:id="1040861035">
              <w:marLeft w:val="0"/>
              <w:marRight w:val="0"/>
              <w:marTop w:val="0"/>
              <w:marBottom w:val="0"/>
              <w:divBdr>
                <w:top w:val="none" w:sz="0" w:space="0" w:color="auto"/>
                <w:left w:val="none" w:sz="0" w:space="0" w:color="auto"/>
                <w:bottom w:val="none" w:sz="0" w:space="0" w:color="auto"/>
                <w:right w:val="none" w:sz="0" w:space="0" w:color="auto"/>
              </w:divBdr>
              <w:divsChild>
                <w:div w:id="19245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45404">
      <w:bodyDiv w:val="1"/>
      <w:marLeft w:val="0"/>
      <w:marRight w:val="0"/>
      <w:marTop w:val="0"/>
      <w:marBottom w:val="0"/>
      <w:divBdr>
        <w:top w:val="none" w:sz="0" w:space="0" w:color="auto"/>
        <w:left w:val="none" w:sz="0" w:space="0" w:color="auto"/>
        <w:bottom w:val="none" w:sz="0" w:space="0" w:color="auto"/>
        <w:right w:val="none" w:sz="0" w:space="0" w:color="auto"/>
      </w:divBdr>
    </w:div>
    <w:div w:id="1725181305">
      <w:bodyDiv w:val="1"/>
      <w:marLeft w:val="0"/>
      <w:marRight w:val="0"/>
      <w:marTop w:val="0"/>
      <w:marBottom w:val="0"/>
      <w:divBdr>
        <w:top w:val="none" w:sz="0" w:space="0" w:color="auto"/>
        <w:left w:val="none" w:sz="0" w:space="0" w:color="auto"/>
        <w:bottom w:val="none" w:sz="0" w:space="0" w:color="auto"/>
        <w:right w:val="none" w:sz="0" w:space="0" w:color="auto"/>
      </w:divBdr>
    </w:div>
    <w:div w:id="1839809588">
      <w:bodyDiv w:val="1"/>
      <w:marLeft w:val="0"/>
      <w:marRight w:val="0"/>
      <w:marTop w:val="0"/>
      <w:marBottom w:val="0"/>
      <w:divBdr>
        <w:top w:val="none" w:sz="0" w:space="0" w:color="auto"/>
        <w:left w:val="none" w:sz="0" w:space="0" w:color="auto"/>
        <w:bottom w:val="none" w:sz="0" w:space="0" w:color="auto"/>
        <w:right w:val="none" w:sz="0" w:space="0" w:color="auto"/>
      </w:divBdr>
    </w:div>
    <w:div w:id="1890529980">
      <w:bodyDiv w:val="1"/>
      <w:marLeft w:val="0"/>
      <w:marRight w:val="0"/>
      <w:marTop w:val="0"/>
      <w:marBottom w:val="0"/>
      <w:divBdr>
        <w:top w:val="none" w:sz="0" w:space="0" w:color="auto"/>
        <w:left w:val="none" w:sz="0" w:space="0" w:color="auto"/>
        <w:bottom w:val="none" w:sz="0" w:space="0" w:color="auto"/>
        <w:right w:val="none" w:sz="0" w:space="0" w:color="auto"/>
      </w:divBdr>
      <w:divsChild>
        <w:div w:id="573972121">
          <w:marLeft w:val="0"/>
          <w:marRight w:val="0"/>
          <w:marTop w:val="0"/>
          <w:marBottom w:val="0"/>
          <w:divBdr>
            <w:top w:val="none" w:sz="0" w:space="0" w:color="auto"/>
            <w:left w:val="none" w:sz="0" w:space="0" w:color="auto"/>
            <w:bottom w:val="none" w:sz="0" w:space="0" w:color="auto"/>
            <w:right w:val="none" w:sz="0" w:space="0" w:color="auto"/>
          </w:divBdr>
          <w:divsChild>
            <w:div w:id="614866583">
              <w:marLeft w:val="0"/>
              <w:marRight w:val="0"/>
              <w:marTop w:val="0"/>
              <w:marBottom w:val="0"/>
              <w:divBdr>
                <w:top w:val="none" w:sz="0" w:space="0" w:color="auto"/>
                <w:left w:val="none" w:sz="0" w:space="0" w:color="auto"/>
                <w:bottom w:val="none" w:sz="0" w:space="0" w:color="auto"/>
                <w:right w:val="none" w:sz="0" w:space="0" w:color="auto"/>
              </w:divBdr>
              <w:divsChild>
                <w:div w:id="11845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17934">
      <w:bodyDiv w:val="1"/>
      <w:marLeft w:val="0"/>
      <w:marRight w:val="0"/>
      <w:marTop w:val="0"/>
      <w:marBottom w:val="0"/>
      <w:divBdr>
        <w:top w:val="none" w:sz="0" w:space="0" w:color="auto"/>
        <w:left w:val="none" w:sz="0" w:space="0" w:color="auto"/>
        <w:bottom w:val="none" w:sz="0" w:space="0" w:color="auto"/>
        <w:right w:val="none" w:sz="0" w:space="0" w:color="auto"/>
      </w:divBdr>
    </w:div>
    <w:div w:id="1971592173">
      <w:bodyDiv w:val="1"/>
      <w:marLeft w:val="0"/>
      <w:marRight w:val="0"/>
      <w:marTop w:val="0"/>
      <w:marBottom w:val="0"/>
      <w:divBdr>
        <w:top w:val="none" w:sz="0" w:space="0" w:color="auto"/>
        <w:left w:val="none" w:sz="0" w:space="0" w:color="auto"/>
        <w:bottom w:val="none" w:sz="0" w:space="0" w:color="auto"/>
        <w:right w:val="none" w:sz="0" w:space="0" w:color="auto"/>
      </w:divBdr>
    </w:div>
    <w:div w:id="1980764285">
      <w:bodyDiv w:val="1"/>
      <w:marLeft w:val="0"/>
      <w:marRight w:val="0"/>
      <w:marTop w:val="0"/>
      <w:marBottom w:val="0"/>
      <w:divBdr>
        <w:top w:val="none" w:sz="0" w:space="0" w:color="auto"/>
        <w:left w:val="none" w:sz="0" w:space="0" w:color="auto"/>
        <w:bottom w:val="none" w:sz="0" w:space="0" w:color="auto"/>
        <w:right w:val="none" w:sz="0" w:space="0" w:color="auto"/>
      </w:divBdr>
    </w:div>
    <w:div w:id="1990474025">
      <w:bodyDiv w:val="1"/>
      <w:marLeft w:val="0"/>
      <w:marRight w:val="0"/>
      <w:marTop w:val="0"/>
      <w:marBottom w:val="0"/>
      <w:divBdr>
        <w:top w:val="none" w:sz="0" w:space="0" w:color="auto"/>
        <w:left w:val="none" w:sz="0" w:space="0" w:color="auto"/>
        <w:bottom w:val="none" w:sz="0" w:space="0" w:color="auto"/>
        <w:right w:val="none" w:sz="0" w:space="0" w:color="auto"/>
      </w:divBdr>
      <w:divsChild>
        <w:div w:id="1610315570">
          <w:marLeft w:val="0"/>
          <w:marRight w:val="0"/>
          <w:marTop w:val="0"/>
          <w:marBottom w:val="0"/>
          <w:divBdr>
            <w:top w:val="none" w:sz="0" w:space="0" w:color="auto"/>
            <w:left w:val="none" w:sz="0" w:space="0" w:color="auto"/>
            <w:bottom w:val="none" w:sz="0" w:space="0" w:color="auto"/>
            <w:right w:val="none" w:sz="0" w:space="0" w:color="auto"/>
          </w:divBdr>
          <w:divsChild>
            <w:div w:id="1822770740">
              <w:marLeft w:val="0"/>
              <w:marRight w:val="0"/>
              <w:marTop w:val="0"/>
              <w:marBottom w:val="0"/>
              <w:divBdr>
                <w:top w:val="none" w:sz="0" w:space="0" w:color="auto"/>
                <w:left w:val="none" w:sz="0" w:space="0" w:color="auto"/>
                <w:bottom w:val="none" w:sz="0" w:space="0" w:color="auto"/>
                <w:right w:val="none" w:sz="0" w:space="0" w:color="auto"/>
              </w:divBdr>
              <w:divsChild>
                <w:div w:id="11737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3049">
      <w:bodyDiv w:val="1"/>
      <w:marLeft w:val="0"/>
      <w:marRight w:val="0"/>
      <w:marTop w:val="0"/>
      <w:marBottom w:val="0"/>
      <w:divBdr>
        <w:top w:val="none" w:sz="0" w:space="0" w:color="auto"/>
        <w:left w:val="none" w:sz="0" w:space="0" w:color="auto"/>
        <w:bottom w:val="none" w:sz="0" w:space="0" w:color="auto"/>
        <w:right w:val="none" w:sz="0" w:space="0" w:color="auto"/>
      </w:divBdr>
      <w:divsChild>
        <w:div w:id="1965307073">
          <w:marLeft w:val="0"/>
          <w:marRight w:val="0"/>
          <w:marTop w:val="0"/>
          <w:marBottom w:val="0"/>
          <w:divBdr>
            <w:top w:val="none" w:sz="0" w:space="0" w:color="auto"/>
            <w:left w:val="none" w:sz="0" w:space="0" w:color="auto"/>
            <w:bottom w:val="none" w:sz="0" w:space="0" w:color="auto"/>
            <w:right w:val="none" w:sz="0" w:space="0" w:color="auto"/>
          </w:divBdr>
          <w:divsChild>
            <w:div w:id="2041660113">
              <w:marLeft w:val="0"/>
              <w:marRight w:val="0"/>
              <w:marTop w:val="0"/>
              <w:marBottom w:val="0"/>
              <w:divBdr>
                <w:top w:val="none" w:sz="0" w:space="0" w:color="auto"/>
                <w:left w:val="none" w:sz="0" w:space="0" w:color="auto"/>
                <w:bottom w:val="none" w:sz="0" w:space="0" w:color="auto"/>
                <w:right w:val="none" w:sz="0" w:space="0" w:color="auto"/>
              </w:divBdr>
              <w:divsChild>
                <w:div w:id="8356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66533">
      <w:bodyDiv w:val="1"/>
      <w:marLeft w:val="0"/>
      <w:marRight w:val="0"/>
      <w:marTop w:val="0"/>
      <w:marBottom w:val="0"/>
      <w:divBdr>
        <w:top w:val="none" w:sz="0" w:space="0" w:color="auto"/>
        <w:left w:val="none" w:sz="0" w:space="0" w:color="auto"/>
        <w:bottom w:val="none" w:sz="0" w:space="0" w:color="auto"/>
        <w:right w:val="none" w:sz="0" w:space="0" w:color="auto"/>
      </w:divBdr>
    </w:div>
    <w:div w:id="2084376768">
      <w:bodyDiv w:val="1"/>
      <w:marLeft w:val="0"/>
      <w:marRight w:val="0"/>
      <w:marTop w:val="0"/>
      <w:marBottom w:val="0"/>
      <w:divBdr>
        <w:top w:val="none" w:sz="0" w:space="0" w:color="auto"/>
        <w:left w:val="none" w:sz="0" w:space="0" w:color="auto"/>
        <w:bottom w:val="none" w:sz="0" w:space="0" w:color="auto"/>
        <w:right w:val="none" w:sz="0" w:space="0" w:color="auto"/>
      </w:divBdr>
    </w:div>
    <w:div w:id="209446787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23">
          <w:marLeft w:val="0"/>
          <w:marRight w:val="0"/>
          <w:marTop w:val="0"/>
          <w:marBottom w:val="0"/>
          <w:divBdr>
            <w:top w:val="none" w:sz="0" w:space="0" w:color="auto"/>
            <w:left w:val="none" w:sz="0" w:space="0" w:color="auto"/>
            <w:bottom w:val="none" w:sz="0" w:space="0" w:color="auto"/>
            <w:right w:val="none" w:sz="0" w:space="0" w:color="auto"/>
          </w:divBdr>
          <w:divsChild>
            <w:div w:id="2116711752">
              <w:marLeft w:val="0"/>
              <w:marRight w:val="0"/>
              <w:marTop w:val="0"/>
              <w:marBottom w:val="0"/>
              <w:divBdr>
                <w:top w:val="none" w:sz="0" w:space="0" w:color="auto"/>
                <w:left w:val="none" w:sz="0" w:space="0" w:color="auto"/>
                <w:bottom w:val="none" w:sz="0" w:space="0" w:color="auto"/>
                <w:right w:val="none" w:sz="0" w:space="0" w:color="auto"/>
              </w:divBdr>
              <w:divsChild>
                <w:div w:id="11381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7815">
      <w:bodyDiv w:val="1"/>
      <w:marLeft w:val="0"/>
      <w:marRight w:val="0"/>
      <w:marTop w:val="0"/>
      <w:marBottom w:val="0"/>
      <w:divBdr>
        <w:top w:val="none" w:sz="0" w:space="0" w:color="auto"/>
        <w:left w:val="none" w:sz="0" w:space="0" w:color="auto"/>
        <w:bottom w:val="none" w:sz="0" w:space="0" w:color="auto"/>
        <w:right w:val="none" w:sz="0" w:space="0" w:color="auto"/>
      </w:divBdr>
      <w:divsChild>
        <w:div w:id="865296074">
          <w:marLeft w:val="0"/>
          <w:marRight w:val="0"/>
          <w:marTop w:val="0"/>
          <w:marBottom w:val="0"/>
          <w:divBdr>
            <w:top w:val="none" w:sz="0" w:space="0" w:color="auto"/>
            <w:left w:val="none" w:sz="0" w:space="0" w:color="auto"/>
            <w:bottom w:val="none" w:sz="0" w:space="0" w:color="auto"/>
            <w:right w:val="none" w:sz="0" w:space="0" w:color="auto"/>
          </w:divBdr>
          <w:divsChild>
            <w:div w:id="349262905">
              <w:marLeft w:val="0"/>
              <w:marRight w:val="0"/>
              <w:marTop w:val="0"/>
              <w:marBottom w:val="0"/>
              <w:divBdr>
                <w:top w:val="none" w:sz="0" w:space="0" w:color="auto"/>
                <w:left w:val="none" w:sz="0" w:space="0" w:color="auto"/>
                <w:bottom w:val="none" w:sz="0" w:space="0" w:color="auto"/>
                <w:right w:val="none" w:sz="0" w:space="0" w:color="auto"/>
              </w:divBdr>
              <w:divsChild>
                <w:div w:id="19323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migrationpolicy.org/article/foreign-fighters-will-revoking-citizenship-mitigate-threat" TargetMode="External"/><Relationship Id="rId3" Type="http://schemas.openxmlformats.org/officeDocument/2006/relationships/hyperlink" Target="https://ec.europa.eu/home-affairs/sites/homeaffairs/files/ran_br_a4_m10_en.pdf" TargetMode="External"/><Relationship Id="rId7" Type="http://schemas.openxmlformats.org/officeDocument/2006/relationships/hyperlink" Target="https://www.neustart.at/at/en/" TargetMode="External"/><Relationship Id="rId2" Type="http://schemas.openxmlformats.org/officeDocument/2006/relationships/hyperlink" Target="http://www.austria.org/overview/" TargetMode="External"/><Relationship Id="rId1" Type="http://schemas.openxmlformats.org/officeDocument/2006/relationships/hyperlink" Target="http://hdr.undp.org/sites/default/files/Country-Profiles/AUT.pdf" TargetMode="External"/><Relationship Id="rId6" Type="http://schemas.openxmlformats.org/officeDocument/2006/relationships/hyperlink" Target="https://www.boja.at/english/" TargetMode="External"/><Relationship Id="rId5" Type="http://schemas.openxmlformats.org/officeDocument/2006/relationships/hyperlink" Target="https://ec.europa.eu/home-affairs/what-we-do/networks/radicalisation_awareness_network_en" TargetMode="External"/><Relationship Id="rId4" Type="http://schemas.openxmlformats.org/officeDocument/2006/relationships/hyperlink" Target="https://www.thegctf.org/About-us/GCTF-documents" TargetMode="External"/><Relationship Id="rId9" Type="http://schemas.openxmlformats.org/officeDocument/2006/relationships/hyperlink" Target="http://www.europarl.europa.eu/RegData/etudes/etudes/join/2011/433829/EXPO-SEDE_ET%282011%2943382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DF31CBBF7A584FA19AD56CB46024A1" ma:contentTypeVersion="2" ma:contentTypeDescription="Create a new document." ma:contentTypeScope="" ma:versionID="bbfcc9a8428d24cc798183c93fc40732">
  <xsd:schema xmlns:xsd="http://www.w3.org/2001/XMLSchema" xmlns:xs="http://www.w3.org/2001/XMLSchema" xmlns:p="http://schemas.microsoft.com/office/2006/metadata/properties" xmlns:ns1="http://schemas.microsoft.com/sharepoint/v3" targetNamespace="http://schemas.microsoft.com/office/2006/metadata/properties" ma:root="true" ma:fieldsID="ab5cc954a3619c31cc2cca71e7629d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F8AE12-CE0A-4BCD-B0D5-BB07EBE2DC17}">
  <ds:schemaRefs>
    <ds:schemaRef ds:uri="http://schemas.openxmlformats.org/officeDocument/2006/bibliography"/>
  </ds:schemaRefs>
</ds:datastoreItem>
</file>

<file path=customXml/itemProps2.xml><?xml version="1.0" encoding="utf-8"?>
<ds:datastoreItem xmlns:ds="http://schemas.openxmlformats.org/officeDocument/2006/customXml" ds:itemID="{D7AF5770-E55E-4FB8-99F6-EA47A9290850}"/>
</file>

<file path=customXml/itemProps3.xml><?xml version="1.0" encoding="utf-8"?>
<ds:datastoreItem xmlns:ds="http://schemas.openxmlformats.org/officeDocument/2006/customXml" ds:itemID="{0E0ABDEC-45D3-481E-BDF9-CE0BD4B0F59F}"/>
</file>

<file path=customXml/itemProps4.xml><?xml version="1.0" encoding="utf-8"?>
<ds:datastoreItem xmlns:ds="http://schemas.openxmlformats.org/officeDocument/2006/customXml" ds:itemID="{2BAE1D22-C7A1-4847-96BD-F570C0F8CDBA}"/>
</file>

<file path=docProps/app.xml><?xml version="1.0" encoding="utf-8"?>
<Properties xmlns="http://schemas.openxmlformats.org/officeDocument/2006/extended-properties" xmlns:vt="http://schemas.openxmlformats.org/officeDocument/2006/docPropsVTypes">
  <Template>Normal.dotm</Template>
  <TotalTime>0</TotalTime>
  <Pages>17</Pages>
  <Words>9699</Words>
  <Characters>55288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A/HRC/39/50/Add.2</vt:lpstr>
    </vt:vector>
  </TitlesOfParts>
  <Company>DCM</Company>
  <LinksUpToDate>false</LinksUpToDate>
  <CharactersWithSpaces>64858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use of mercenaries as a means of violating human rights and impeding the exercise of the right of peoples to self-determination - Visit to Austria</dc:title>
  <dc:subject>1811739</dc:subject>
  <dc:creator>MOSES OKELLO</dc:creator>
  <cp:keywords/>
  <dc:description/>
  <cp:lastModifiedBy>LANZ Veronique</cp:lastModifiedBy>
  <cp:revision>2</cp:revision>
  <cp:lastPrinted>2019-06-26T08:58:00Z</cp:lastPrinted>
  <dcterms:created xsi:type="dcterms:W3CDTF">2019-09-02T09:50:00Z</dcterms:created>
  <dcterms:modified xsi:type="dcterms:W3CDTF">2019-09-02T09:50:00Z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0x01010069DF31CBBF7A584FA19AD56CB46024A1</vt:lpwstr>
  </property>
</Properties>
</file>