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881C1" w14:textId="77777777" w:rsidR="00EC720E" w:rsidRPr="005E651D" w:rsidRDefault="00EC720E" w:rsidP="00EC720E">
      <w:pPr>
        <w:jc w:val="center"/>
        <w:rPr>
          <w:rFonts w:cstheme="minorHAnsi"/>
          <w:b/>
        </w:rPr>
      </w:pPr>
    </w:p>
    <w:p w14:paraId="0FEFEB83" w14:textId="77777777" w:rsidR="00EC720E" w:rsidRPr="005E651D" w:rsidRDefault="00EC720E" w:rsidP="00EC720E">
      <w:pPr>
        <w:jc w:val="center"/>
        <w:rPr>
          <w:rFonts w:cstheme="minorHAnsi"/>
          <w:b/>
        </w:rPr>
      </w:pPr>
    </w:p>
    <w:p w14:paraId="0B698844" w14:textId="77777777" w:rsidR="00EC720E" w:rsidRPr="005E651D" w:rsidRDefault="00EC720E" w:rsidP="00EC720E">
      <w:pPr>
        <w:jc w:val="center"/>
        <w:rPr>
          <w:rFonts w:cstheme="minorHAnsi"/>
          <w:b/>
        </w:rPr>
      </w:pPr>
    </w:p>
    <w:p w14:paraId="66358A8B" w14:textId="77777777" w:rsidR="00EC720E" w:rsidRPr="005E651D" w:rsidRDefault="00EC720E" w:rsidP="00EC720E">
      <w:pPr>
        <w:jc w:val="center"/>
        <w:rPr>
          <w:rFonts w:cstheme="minorHAnsi"/>
          <w:b/>
        </w:rPr>
      </w:pPr>
    </w:p>
    <w:p w14:paraId="30CCBD56" w14:textId="77777777" w:rsidR="00EC720E" w:rsidRPr="005E651D" w:rsidRDefault="00EC720E" w:rsidP="00EC720E">
      <w:pPr>
        <w:jc w:val="center"/>
        <w:rPr>
          <w:rFonts w:cstheme="minorHAnsi"/>
          <w:b/>
        </w:rPr>
      </w:pPr>
    </w:p>
    <w:p w14:paraId="551EE53C" w14:textId="77777777" w:rsidR="00EC720E" w:rsidRPr="005E651D" w:rsidRDefault="00EC720E" w:rsidP="00EC720E">
      <w:pPr>
        <w:jc w:val="center"/>
        <w:rPr>
          <w:rFonts w:cstheme="minorHAnsi"/>
          <w:b/>
        </w:rPr>
      </w:pPr>
    </w:p>
    <w:p w14:paraId="184579FA" w14:textId="77777777" w:rsidR="00EC720E" w:rsidRPr="005E651D" w:rsidRDefault="00EC720E" w:rsidP="00EC720E">
      <w:pPr>
        <w:jc w:val="center"/>
        <w:rPr>
          <w:rFonts w:cstheme="minorHAnsi"/>
          <w:b/>
        </w:rPr>
      </w:pPr>
    </w:p>
    <w:p w14:paraId="67771065" w14:textId="77777777" w:rsidR="00EC720E" w:rsidRPr="005E651D" w:rsidRDefault="00EC720E" w:rsidP="00EC720E">
      <w:pPr>
        <w:jc w:val="center"/>
        <w:rPr>
          <w:rFonts w:cstheme="minorHAnsi"/>
          <w:b/>
        </w:rPr>
      </w:pPr>
    </w:p>
    <w:p w14:paraId="5A66E47C" w14:textId="77777777" w:rsidR="00EC720E" w:rsidRPr="005E651D" w:rsidRDefault="00EC720E" w:rsidP="00EC720E">
      <w:pPr>
        <w:jc w:val="center"/>
        <w:rPr>
          <w:rFonts w:cstheme="minorHAnsi"/>
          <w:b/>
        </w:rPr>
      </w:pPr>
    </w:p>
    <w:p w14:paraId="72F76AE6" w14:textId="77777777" w:rsidR="00FB4D52" w:rsidRPr="00CD014D" w:rsidRDefault="00FB4D52" w:rsidP="00FB4D52">
      <w:pPr>
        <w:spacing w:line="276" w:lineRule="auto"/>
        <w:jc w:val="center"/>
        <w:rPr>
          <w:rFonts w:ascii="Times New Roman" w:hAnsi="Times New Roman" w:cs="Times New Roman"/>
          <w:b/>
          <w:sz w:val="30"/>
        </w:rPr>
      </w:pPr>
      <w:r w:rsidRPr="00CD014D">
        <w:rPr>
          <w:rFonts w:ascii="Times New Roman" w:hAnsi="Times New Roman" w:cs="Times New Roman"/>
          <w:b/>
          <w:sz w:val="30"/>
        </w:rPr>
        <w:t>Alternative Report on Bangladesh</w:t>
      </w:r>
    </w:p>
    <w:p w14:paraId="18CCFCFB" w14:textId="77777777" w:rsidR="00FB4D52" w:rsidRPr="00CD014D" w:rsidRDefault="00FB4D52" w:rsidP="00FB4D52">
      <w:pPr>
        <w:spacing w:line="276" w:lineRule="auto"/>
        <w:jc w:val="center"/>
        <w:rPr>
          <w:rFonts w:ascii="Times New Roman" w:hAnsi="Times New Roman" w:cs="Times New Roman"/>
          <w:b/>
          <w:sz w:val="30"/>
        </w:rPr>
      </w:pPr>
      <w:r w:rsidRPr="00CD014D">
        <w:rPr>
          <w:rFonts w:ascii="Times New Roman" w:hAnsi="Times New Roman" w:cs="Times New Roman"/>
          <w:b/>
          <w:sz w:val="30"/>
        </w:rPr>
        <w:t>Submitted to the Committee against Torture</w:t>
      </w:r>
    </w:p>
    <w:p w14:paraId="0B11F3BE" w14:textId="77777777" w:rsidR="00FB4D52" w:rsidRDefault="00FB4D52" w:rsidP="00FB4D52">
      <w:pPr>
        <w:spacing w:line="276" w:lineRule="auto"/>
        <w:jc w:val="center"/>
        <w:rPr>
          <w:rFonts w:ascii="Times New Roman" w:hAnsi="Times New Roman" w:cs="Times New Roman"/>
          <w:b/>
          <w:sz w:val="28"/>
        </w:rPr>
      </w:pPr>
    </w:p>
    <w:p w14:paraId="4AC0693C" w14:textId="77777777" w:rsidR="00FB4D52" w:rsidRDefault="00FB4D52" w:rsidP="00FB4D52">
      <w:pPr>
        <w:spacing w:line="276" w:lineRule="auto"/>
        <w:jc w:val="center"/>
        <w:rPr>
          <w:rFonts w:ascii="Times New Roman" w:hAnsi="Times New Roman" w:cs="Times New Roman"/>
          <w:b/>
          <w:sz w:val="28"/>
        </w:rPr>
      </w:pPr>
    </w:p>
    <w:p w14:paraId="53CA8358" w14:textId="5291F8E4" w:rsidR="00EC720E" w:rsidRPr="005E651D" w:rsidRDefault="00B36153" w:rsidP="00FB4D52">
      <w:pPr>
        <w:jc w:val="center"/>
        <w:rPr>
          <w:rFonts w:cstheme="minorHAnsi"/>
          <w:b/>
        </w:rPr>
      </w:pPr>
      <w:hyperlink r:id="rId8" w:history="1">
        <w:r w:rsidR="00FB4D52" w:rsidRPr="00CD014D">
          <w:rPr>
            <w:rStyle w:val="Hyperlink"/>
            <w:rFonts w:ascii="Times New Roman" w:hAnsi="Times New Roman" w:cs="Times New Roman"/>
            <w:b/>
            <w:color w:val="000000" w:themeColor="text1"/>
          </w:rPr>
          <w:t>67th CAT session (22 July – 9August 2019)</w:t>
        </w:r>
      </w:hyperlink>
    </w:p>
    <w:p w14:paraId="15DF9532" w14:textId="77777777" w:rsidR="00EC720E" w:rsidRPr="005E651D" w:rsidRDefault="00EC720E" w:rsidP="00EC720E">
      <w:pPr>
        <w:jc w:val="center"/>
        <w:rPr>
          <w:rFonts w:cstheme="minorHAnsi"/>
          <w:b/>
        </w:rPr>
      </w:pPr>
    </w:p>
    <w:p w14:paraId="17EBC763" w14:textId="77777777" w:rsidR="00EC720E" w:rsidRPr="005E651D" w:rsidRDefault="00EC720E" w:rsidP="00EC720E">
      <w:pPr>
        <w:jc w:val="center"/>
        <w:rPr>
          <w:rFonts w:cstheme="minorHAnsi"/>
          <w:b/>
        </w:rPr>
      </w:pPr>
    </w:p>
    <w:p w14:paraId="0AD0D667" w14:textId="77777777" w:rsidR="00EC720E" w:rsidRPr="005E651D" w:rsidRDefault="00EC720E" w:rsidP="00EC720E">
      <w:pPr>
        <w:jc w:val="center"/>
        <w:rPr>
          <w:rFonts w:cstheme="minorHAnsi"/>
          <w:b/>
        </w:rPr>
      </w:pPr>
    </w:p>
    <w:p w14:paraId="70F8339E" w14:textId="14D49153" w:rsidR="00EC720E" w:rsidRPr="005E651D" w:rsidRDefault="00FB4D52" w:rsidP="00EC720E">
      <w:pPr>
        <w:jc w:val="center"/>
        <w:rPr>
          <w:rFonts w:cstheme="minorHAnsi"/>
          <w:b/>
          <w:noProof/>
        </w:rPr>
      </w:pPr>
      <w:r>
        <w:rPr>
          <w:rFonts w:cstheme="minorHAnsi"/>
          <w:b/>
          <w:noProof/>
        </w:rPr>
        <w:drawing>
          <wp:inline distT="0" distB="0" distL="0" distR="0" wp14:anchorId="39D7D8A5" wp14:editId="27432F25">
            <wp:extent cx="1828800" cy="1221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K Small Logo.png"/>
                    <pic:cNvPicPr/>
                  </pic:nvPicPr>
                  <pic:blipFill>
                    <a:blip r:embed="rId9">
                      <a:extLst>
                        <a:ext uri="{28A0092B-C50C-407E-A947-70E740481C1C}">
                          <a14:useLocalDpi xmlns:a14="http://schemas.microsoft.com/office/drawing/2010/main" val="0"/>
                        </a:ext>
                      </a:extLst>
                    </a:blip>
                    <a:stretch>
                      <a:fillRect/>
                    </a:stretch>
                  </pic:blipFill>
                  <pic:spPr>
                    <a:xfrm>
                      <a:off x="0" y="0"/>
                      <a:ext cx="1837741" cy="1227136"/>
                    </a:xfrm>
                    <a:prstGeom prst="rect">
                      <a:avLst/>
                    </a:prstGeom>
                  </pic:spPr>
                </pic:pic>
              </a:graphicData>
            </a:graphic>
          </wp:inline>
        </w:drawing>
      </w:r>
      <w:r w:rsidR="00EC720E" w:rsidRPr="005E651D">
        <w:rPr>
          <w:rFonts w:cstheme="minorHAnsi"/>
          <w:b/>
        </w:rPr>
        <w:br w:type="page"/>
      </w:r>
    </w:p>
    <w:p w14:paraId="316B88D7" w14:textId="74CBAF64" w:rsidR="003D5CB3" w:rsidRPr="005E651D" w:rsidRDefault="00EC720E" w:rsidP="00EC720E">
      <w:pPr>
        <w:pStyle w:val="TOC1"/>
        <w:jc w:val="center"/>
        <w:rPr>
          <w:rFonts w:cstheme="minorHAnsi"/>
          <w:b/>
        </w:rPr>
      </w:pPr>
      <w:r w:rsidRPr="005E651D">
        <w:rPr>
          <w:rFonts w:cstheme="minorHAnsi"/>
          <w:b/>
          <w:sz w:val="24"/>
        </w:rPr>
        <w:lastRenderedPageBreak/>
        <w:t>Table of Contents</w:t>
      </w:r>
    </w:p>
    <w:p w14:paraId="510F3ABC" w14:textId="03E0DCB8" w:rsidR="008B34C0" w:rsidRPr="005E651D" w:rsidRDefault="003D5CB3">
      <w:pPr>
        <w:pStyle w:val="TOC1"/>
        <w:rPr>
          <w:rFonts w:eastAsiaTheme="minorEastAsia" w:cstheme="minorHAnsi"/>
          <w:szCs w:val="22"/>
        </w:rPr>
      </w:pPr>
      <w:r w:rsidRPr="005E651D">
        <w:rPr>
          <w:rFonts w:cstheme="minorHAnsi"/>
        </w:rPr>
        <w:fldChar w:fldCharType="begin"/>
      </w:r>
      <w:r w:rsidRPr="005E651D">
        <w:rPr>
          <w:rFonts w:cstheme="minorHAnsi"/>
        </w:rPr>
        <w:instrText xml:space="preserve"> TOC \o "1-4" \h \z \u </w:instrText>
      </w:r>
      <w:r w:rsidRPr="005E651D">
        <w:rPr>
          <w:rFonts w:cstheme="minorHAnsi"/>
        </w:rPr>
        <w:fldChar w:fldCharType="separate"/>
      </w:r>
      <w:hyperlink w:anchor="_Toc11945105" w:history="1">
        <w:r w:rsidR="008B34C0" w:rsidRPr="005E651D">
          <w:rPr>
            <w:rStyle w:val="Hyperlink"/>
            <w:rFonts w:cstheme="minorHAnsi"/>
          </w:rPr>
          <w:t>I.</w:t>
        </w:r>
        <w:r w:rsidR="008B34C0" w:rsidRPr="005E651D">
          <w:rPr>
            <w:rFonts w:eastAsiaTheme="minorEastAsia" w:cstheme="minorHAnsi"/>
            <w:szCs w:val="22"/>
          </w:rPr>
          <w:tab/>
        </w:r>
        <w:r w:rsidR="008B34C0" w:rsidRPr="005E651D">
          <w:rPr>
            <w:rStyle w:val="Hyperlink"/>
            <w:rFonts w:cstheme="minorHAnsi"/>
          </w:rPr>
          <w:t>Introduction</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_Toc11945105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1</w:t>
        </w:r>
        <w:r w:rsidR="008B34C0" w:rsidRPr="005E651D">
          <w:rPr>
            <w:rFonts w:cstheme="minorHAnsi"/>
            <w:webHidden/>
          </w:rPr>
          <w:fldChar w:fldCharType="end"/>
        </w:r>
      </w:hyperlink>
    </w:p>
    <w:p w14:paraId="504D2E3D" w14:textId="031BED12" w:rsidR="008B34C0" w:rsidRPr="005E651D" w:rsidRDefault="00B36153">
      <w:pPr>
        <w:pStyle w:val="TOC1"/>
        <w:rPr>
          <w:rFonts w:eastAsiaTheme="minorEastAsia" w:cstheme="minorHAnsi"/>
          <w:szCs w:val="22"/>
        </w:rPr>
      </w:pPr>
      <w:hyperlink w:anchor="_Toc11945106" w:history="1">
        <w:r w:rsidR="008B34C0" w:rsidRPr="005E651D">
          <w:rPr>
            <w:rStyle w:val="Hyperlink"/>
            <w:rFonts w:cstheme="minorHAnsi"/>
          </w:rPr>
          <w:t>II.</w:t>
        </w:r>
        <w:r w:rsidR="008B34C0" w:rsidRPr="005E651D">
          <w:rPr>
            <w:rFonts w:eastAsiaTheme="minorEastAsia" w:cstheme="minorHAnsi"/>
            <w:szCs w:val="22"/>
          </w:rPr>
          <w:tab/>
        </w:r>
        <w:r w:rsidR="008B34C0" w:rsidRPr="005E651D">
          <w:rPr>
            <w:rStyle w:val="Hyperlink"/>
            <w:rFonts w:cstheme="minorHAnsi"/>
          </w:rPr>
          <w:t>Structural Violations of the Convention Against Torture</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_Toc11945106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2</w:t>
        </w:r>
        <w:r w:rsidR="008B34C0" w:rsidRPr="005E651D">
          <w:rPr>
            <w:rFonts w:cstheme="minorHAnsi"/>
            <w:webHidden/>
          </w:rPr>
          <w:fldChar w:fldCharType="end"/>
        </w:r>
      </w:hyperlink>
    </w:p>
    <w:p w14:paraId="3BF3C23C" w14:textId="0796A008" w:rsidR="008B34C0" w:rsidRPr="005E651D" w:rsidRDefault="00B36153">
      <w:pPr>
        <w:pStyle w:val="TOC2"/>
        <w:tabs>
          <w:tab w:val="left" w:pos="1440"/>
        </w:tabs>
        <w:rPr>
          <w:rFonts w:eastAsiaTheme="minorEastAsia" w:cstheme="minorHAnsi"/>
          <w:szCs w:val="22"/>
        </w:rPr>
      </w:pPr>
      <w:hyperlink w:anchor="_Toc11945107" w:history="1">
        <w:r w:rsidR="008B34C0" w:rsidRPr="005E651D">
          <w:rPr>
            <w:rStyle w:val="Hyperlink"/>
            <w:rFonts w:cstheme="minorHAnsi"/>
          </w:rPr>
          <w:t>A.</w:t>
        </w:r>
        <w:r w:rsidR="008B34C0" w:rsidRPr="005E651D">
          <w:rPr>
            <w:rFonts w:eastAsiaTheme="minorEastAsia" w:cstheme="minorHAnsi"/>
            <w:szCs w:val="22"/>
          </w:rPr>
          <w:tab/>
        </w:r>
        <w:r w:rsidR="008B34C0" w:rsidRPr="005E651D">
          <w:rPr>
            <w:rStyle w:val="Hyperlink"/>
            <w:rFonts w:cstheme="minorHAnsi"/>
          </w:rPr>
          <w:t>Shortcomings in the Implementation of the Torture and Custodial Death (Prevention) Act of 2013</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_Toc11945107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3</w:t>
        </w:r>
        <w:r w:rsidR="008B34C0" w:rsidRPr="005E651D">
          <w:rPr>
            <w:rFonts w:cstheme="minorHAnsi"/>
            <w:webHidden/>
          </w:rPr>
          <w:fldChar w:fldCharType="end"/>
        </w:r>
      </w:hyperlink>
    </w:p>
    <w:p w14:paraId="116F5D1A" w14:textId="66F4D614" w:rsidR="008B34C0" w:rsidRPr="005E651D" w:rsidRDefault="00B36153">
      <w:pPr>
        <w:pStyle w:val="TOC3"/>
        <w:tabs>
          <w:tab w:val="left" w:pos="2160"/>
        </w:tabs>
        <w:rPr>
          <w:rFonts w:eastAsiaTheme="minorEastAsia" w:cstheme="minorHAnsi"/>
          <w:szCs w:val="22"/>
        </w:rPr>
      </w:pPr>
      <w:hyperlink w:anchor="_Toc11945108" w:history="1">
        <w:r w:rsidR="008B34C0" w:rsidRPr="005E651D">
          <w:rPr>
            <w:rStyle w:val="Hyperlink"/>
            <w:rFonts w:cstheme="minorHAnsi"/>
          </w:rPr>
          <w:t>1.</w:t>
        </w:r>
        <w:r w:rsidR="008B34C0" w:rsidRPr="005E651D">
          <w:rPr>
            <w:rFonts w:eastAsiaTheme="minorEastAsia" w:cstheme="minorHAnsi"/>
            <w:szCs w:val="22"/>
          </w:rPr>
          <w:tab/>
        </w:r>
        <w:r w:rsidR="008B34C0" w:rsidRPr="005E651D">
          <w:rPr>
            <w:rStyle w:val="Hyperlink"/>
            <w:rFonts w:cstheme="minorHAnsi"/>
          </w:rPr>
          <w:t>Inability to File Complaints</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_Toc11945108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4</w:t>
        </w:r>
        <w:r w:rsidR="008B34C0" w:rsidRPr="005E651D">
          <w:rPr>
            <w:rFonts w:cstheme="minorHAnsi"/>
            <w:webHidden/>
          </w:rPr>
          <w:fldChar w:fldCharType="end"/>
        </w:r>
      </w:hyperlink>
    </w:p>
    <w:p w14:paraId="78537819" w14:textId="1C06305C" w:rsidR="008B34C0" w:rsidRPr="005E651D" w:rsidRDefault="00B36153">
      <w:pPr>
        <w:pStyle w:val="TOC3"/>
        <w:tabs>
          <w:tab w:val="left" w:pos="2160"/>
        </w:tabs>
        <w:rPr>
          <w:rFonts w:eastAsiaTheme="minorEastAsia" w:cstheme="minorHAnsi"/>
          <w:szCs w:val="22"/>
        </w:rPr>
      </w:pPr>
      <w:hyperlink w:anchor="_Toc11945109" w:history="1">
        <w:r w:rsidR="008B34C0" w:rsidRPr="005E651D">
          <w:rPr>
            <w:rStyle w:val="Hyperlink"/>
            <w:rFonts w:cstheme="minorHAnsi"/>
          </w:rPr>
          <w:t>2.</w:t>
        </w:r>
        <w:r w:rsidR="008B34C0" w:rsidRPr="005E651D">
          <w:rPr>
            <w:rFonts w:eastAsiaTheme="minorEastAsia" w:cstheme="minorHAnsi"/>
            <w:szCs w:val="22"/>
          </w:rPr>
          <w:tab/>
        </w:r>
        <w:r w:rsidR="008B34C0" w:rsidRPr="005E651D">
          <w:rPr>
            <w:rStyle w:val="Hyperlink"/>
            <w:rFonts w:cstheme="minorHAnsi"/>
          </w:rPr>
          <w:t>Failure to Ensure “Prompt and Impartial” Investigation</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_Toc11945109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5</w:t>
        </w:r>
        <w:r w:rsidR="008B34C0" w:rsidRPr="005E651D">
          <w:rPr>
            <w:rFonts w:cstheme="minorHAnsi"/>
            <w:webHidden/>
          </w:rPr>
          <w:fldChar w:fldCharType="end"/>
        </w:r>
      </w:hyperlink>
    </w:p>
    <w:p w14:paraId="35334620" w14:textId="412F8FD2" w:rsidR="008B34C0" w:rsidRPr="005E651D" w:rsidRDefault="00B36153">
      <w:pPr>
        <w:pStyle w:val="TOC3"/>
        <w:tabs>
          <w:tab w:val="left" w:pos="2160"/>
        </w:tabs>
        <w:rPr>
          <w:rFonts w:eastAsiaTheme="minorEastAsia" w:cstheme="minorHAnsi"/>
          <w:szCs w:val="22"/>
        </w:rPr>
      </w:pPr>
      <w:hyperlink w:anchor="_Toc11945110" w:history="1">
        <w:r w:rsidR="008B34C0" w:rsidRPr="005E651D">
          <w:rPr>
            <w:rStyle w:val="Hyperlink"/>
            <w:rFonts w:cstheme="minorHAnsi"/>
          </w:rPr>
          <w:t>3.</w:t>
        </w:r>
        <w:r w:rsidR="008B34C0" w:rsidRPr="005E651D">
          <w:rPr>
            <w:rFonts w:eastAsiaTheme="minorEastAsia" w:cstheme="minorHAnsi"/>
            <w:szCs w:val="22"/>
          </w:rPr>
          <w:tab/>
        </w:r>
        <w:r w:rsidR="008B34C0" w:rsidRPr="005E651D">
          <w:rPr>
            <w:rStyle w:val="Hyperlink"/>
            <w:rFonts w:cstheme="minorHAnsi"/>
          </w:rPr>
          <w:t>Prolonged Pre-Trial Detention</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_Toc11945110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6</w:t>
        </w:r>
        <w:r w:rsidR="008B34C0" w:rsidRPr="005E651D">
          <w:rPr>
            <w:rFonts w:cstheme="minorHAnsi"/>
            <w:webHidden/>
          </w:rPr>
          <w:fldChar w:fldCharType="end"/>
        </w:r>
      </w:hyperlink>
    </w:p>
    <w:p w14:paraId="0B161AF6" w14:textId="24871988" w:rsidR="008B34C0" w:rsidRPr="005E651D" w:rsidRDefault="00B36153">
      <w:pPr>
        <w:pStyle w:val="TOC2"/>
        <w:tabs>
          <w:tab w:val="left" w:pos="1440"/>
        </w:tabs>
        <w:rPr>
          <w:rFonts w:eastAsiaTheme="minorEastAsia" w:cstheme="minorHAnsi"/>
          <w:szCs w:val="22"/>
        </w:rPr>
      </w:pPr>
      <w:hyperlink w:anchor="_Toc11945111" w:history="1">
        <w:r w:rsidR="008B34C0" w:rsidRPr="005E651D">
          <w:rPr>
            <w:rStyle w:val="Hyperlink"/>
            <w:rFonts w:cstheme="minorHAnsi"/>
          </w:rPr>
          <w:t>B.</w:t>
        </w:r>
        <w:r w:rsidR="008B34C0" w:rsidRPr="005E651D">
          <w:rPr>
            <w:rFonts w:eastAsiaTheme="minorEastAsia" w:cstheme="minorHAnsi"/>
            <w:szCs w:val="22"/>
          </w:rPr>
          <w:tab/>
        </w:r>
        <w:r w:rsidR="008B34C0" w:rsidRPr="005E651D">
          <w:rPr>
            <w:rStyle w:val="Hyperlink"/>
            <w:rFonts w:cstheme="minorHAnsi"/>
          </w:rPr>
          <w:t>Deficiencies of the NHRC as an Investigative Body</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_Toc11945111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8</w:t>
        </w:r>
        <w:r w:rsidR="008B34C0" w:rsidRPr="005E651D">
          <w:rPr>
            <w:rFonts w:cstheme="minorHAnsi"/>
            <w:webHidden/>
          </w:rPr>
          <w:fldChar w:fldCharType="end"/>
        </w:r>
      </w:hyperlink>
    </w:p>
    <w:p w14:paraId="6A1500F8" w14:textId="7202481D" w:rsidR="008B34C0" w:rsidRPr="005E651D" w:rsidRDefault="00B36153">
      <w:pPr>
        <w:pStyle w:val="TOC2"/>
        <w:tabs>
          <w:tab w:val="left" w:pos="1440"/>
        </w:tabs>
        <w:rPr>
          <w:rFonts w:eastAsiaTheme="minorEastAsia" w:cstheme="minorHAnsi"/>
          <w:szCs w:val="22"/>
        </w:rPr>
      </w:pPr>
      <w:hyperlink w:anchor="_Toc11945112" w:history="1">
        <w:r w:rsidR="008B34C0" w:rsidRPr="005E651D">
          <w:rPr>
            <w:rStyle w:val="Hyperlink"/>
            <w:rFonts w:cstheme="minorHAnsi"/>
          </w:rPr>
          <w:t>C.</w:t>
        </w:r>
        <w:r w:rsidR="008B34C0" w:rsidRPr="005E651D">
          <w:rPr>
            <w:rFonts w:eastAsiaTheme="minorEastAsia" w:cstheme="minorHAnsi"/>
            <w:szCs w:val="22"/>
          </w:rPr>
          <w:tab/>
        </w:r>
        <w:r w:rsidR="008B34C0" w:rsidRPr="005E651D">
          <w:rPr>
            <w:rStyle w:val="Hyperlink"/>
            <w:rFonts w:cstheme="minorHAnsi"/>
          </w:rPr>
          <w:t>Arbitrary Arrest and Detention</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_Toc11945112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10</w:t>
        </w:r>
        <w:r w:rsidR="008B34C0" w:rsidRPr="005E651D">
          <w:rPr>
            <w:rFonts w:cstheme="minorHAnsi"/>
            <w:webHidden/>
          </w:rPr>
          <w:fldChar w:fldCharType="end"/>
        </w:r>
      </w:hyperlink>
    </w:p>
    <w:p w14:paraId="42D30D60" w14:textId="415DE051" w:rsidR="008B34C0" w:rsidRPr="005E651D" w:rsidRDefault="00B36153">
      <w:pPr>
        <w:pStyle w:val="TOC2"/>
        <w:tabs>
          <w:tab w:val="left" w:pos="1440"/>
        </w:tabs>
        <w:rPr>
          <w:rFonts w:eastAsiaTheme="minorEastAsia" w:cstheme="minorHAnsi"/>
          <w:szCs w:val="22"/>
        </w:rPr>
      </w:pPr>
      <w:hyperlink w:anchor="_Toc11945113" w:history="1">
        <w:r w:rsidR="008B34C0" w:rsidRPr="005E651D">
          <w:rPr>
            <w:rStyle w:val="Hyperlink"/>
            <w:rFonts w:cstheme="minorHAnsi"/>
          </w:rPr>
          <w:t>D.</w:t>
        </w:r>
        <w:r w:rsidR="008B34C0" w:rsidRPr="005E651D">
          <w:rPr>
            <w:rFonts w:eastAsiaTheme="minorEastAsia" w:cstheme="minorHAnsi"/>
            <w:szCs w:val="22"/>
          </w:rPr>
          <w:tab/>
        </w:r>
        <w:r w:rsidR="008B34C0" w:rsidRPr="005E651D">
          <w:rPr>
            <w:rStyle w:val="Hyperlink"/>
            <w:rFonts w:cstheme="minorHAnsi"/>
          </w:rPr>
          <w:t>Abuse of Remand</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_Toc11945113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12</w:t>
        </w:r>
        <w:r w:rsidR="008B34C0" w:rsidRPr="005E651D">
          <w:rPr>
            <w:rFonts w:cstheme="minorHAnsi"/>
            <w:webHidden/>
          </w:rPr>
          <w:fldChar w:fldCharType="end"/>
        </w:r>
      </w:hyperlink>
    </w:p>
    <w:p w14:paraId="35B4E934" w14:textId="30B278F4" w:rsidR="008B34C0" w:rsidRPr="005E651D" w:rsidRDefault="00B36153">
      <w:pPr>
        <w:pStyle w:val="TOC1"/>
        <w:rPr>
          <w:rFonts w:eastAsiaTheme="minorEastAsia" w:cstheme="minorHAnsi"/>
          <w:szCs w:val="22"/>
        </w:rPr>
      </w:pPr>
      <w:hyperlink w:anchor="_Toc11945114" w:history="1">
        <w:r w:rsidR="008B34C0" w:rsidRPr="005E651D">
          <w:rPr>
            <w:rStyle w:val="Hyperlink"/>
            <w:rFonts w:cstheme="minorHAnsi"/>
          </w:rPr>
          <w:t>III.</w:t>
        </w:r>
        <w:r w:rsidR="008B34C0" w:rsidRPr="005E651D">
          <w:rPr>
            <w:rFonts w:eastAsiaTheme="minorEastAsia" w:cstheme="minorHAnsi"/>
            <w:szCs w:val="22"/>
          </w:rPr>
          <w:tab/>
        </w:r>
        <w:r w:rsidR="008B34C0" w:rsidRPr="005E651D">
          <w:rPr>
            <w:rStyle w:val="Hyperlink"/>
            <w:rFonts w:cstheme="minorHAnsi"/>
          </w:rPr>
          <w:t>Acts that Violate the Convention against Torture</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_Toc11945114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13</w:t>
        </w:r>
        <w:r w:rsidR="008B34C0" w:rsidRPr="005E651D">
          <w:rPr>
            <w:rFonts w:cstheme="minorHAnsi"/>
            <w:webHidden/>
          </w:rPr>
          <w:fldChar w:fldCharType="end"/>
        </w:r>
      </w:hyperlink>
    </w:p>
    <w:p w14:paraId="786334BF" w14:textId="0919A5D4" w:rsidR="008B34C0" w:rsidRPr="005E651D" w:rsidRDefault="00B36153">
      <w:pPr>
        <w:pStyle w:val="TOC2"/>
        <w:tabs>
          <w:tab w:val="left" w:pos="1440"/>
        </w:tabs>
        <w:rPr>
          <w:rFonts w:eastAsiaTheme="minorEastAsia" w:cstheme="minorHAnsi"/>
          <w:szCs w:val="22"/>
        </w:rPr>
      </w:pPr>
      <w:hyperlink w:anchor="_Toc11945115" w:history="1">
        <w:r w:rsidR="008B34C0" w:rsidRPr="005E651D">
          <w:rPr>
            <w:rStyle w:val="Hyperlink"/>
            <w:rFonts w:cstheme="minorHAnsi"/>
          </w:rPr>
          <w:t>A.</w:t>
        </w:r>
        <w:r w:rsidR="008B34C0" w:rsidRPr="005E651D">
          <w:rPr>
            <w:rFonts w:eastAsiaTheme="minorEastAsia" w:cstheme="minorHAnsi"/>
            <w:szCs w:val="22"/>
          </w:rPr>
          <w:tab/>
        </w:r>
        <w:r w:rsidR="008B34C0" w:rsidRPr="005E651D">
          <w:rPr>
            <w:rStyle w:val="Hyperlink"/>
            <w:rFonts w:cstheme="minorHAnsi"/>
          </w:rPr>
          <w:t>Excessive Use of Force</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_Toc11945115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14</w:t>
        </w:r>
        <w:r w:rsidR="008B34C0" w:rsidRPr="005E651D">
          <w:rPr>
            <w:rFonts w:cstheme="minorHAnsi"/>
            <w:webHidden/>
          </w:rPr>
          <w:fldChar w:fldCharType="end"/>
        </w:r>
      </w:hyperlink>
    </w:p>
    <w:p w14:paraId="10EB80D2" w14:textId="2C0F1EB4" w:rsidR="008B34C0" w:rsidRPr="005E651D" w:rsidRDefault="00B36153">
      <w:pPr>
        <w:pStyle w:val="TOC2"/>
        <w:tabs>
          <w:tab w:val="left" w:pos="1440"/>
        </w:tabs>
        <w:rPr>
          <w:rFonts w:eastAsiaTheme="minorEastAsia" w:cstheme="minorHAnsi"/>
          <w:szCs w:val="22"/>
        </w:rPr>
      </w:pPr>
      <w:hyperlink w:anchor="_Toc11945116" w:history="1">
        <w:r w:rsidR="008B34C0" w:rsidRPr="005E651D">
          <w:rPr>
            <w:rStyle w:val="Hyperlink"/>
            <w:rFonts w:cstheme="minorHAnsi"/>
          </w:rPr>
          <w:t>B.</w:t>
        </w:r>
        <w:r w:rsidR="008B34C0" w:rsidRPr="005E651D">
          <w:rPr>
            <w:rFonts w:eastAsiaTheme="minorEastAsia" w:cstheme="minorHAnsi"/>
            <w:szCs w:val="22"/>
          </w:rPr>
          <w:tab/>
        </w:r>
        <w:r w:rsidR="008B34C0" w:rsidRPr="005E651D">
          <w:rPr>
            <w:rStyle w:val="Hyperlink"/>
            <w:rFonts w:cstheme="minorHAnsi"/>
          </w:rPr>
          <w:t>Extrajudicial Killing</w:t>
        </w:r>
        <w:bookmarkStart w:id="0" w:name="_GoBack"/>
        <w:bookmarkEnd w:id="0"/>
        <w:r w:rsidR="008B34C0" w:rsidRPr="005E651D">
          <w:rPr>
            <w:rStyle w:val="Hyperlink"/>
            <w:rFonts w:cstheme="minorHAnsi"/>
          </w:rPr>
          <w:t>s</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_Toc11945116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16</w:t>
        </w:r>
        <w:r w:rsidR="008B34C0" w:rsidRPr="005E651D">
          <w:rPr>
            <w:rFonts w:cstheme="minorHAnsi"/>
            <w:webHidden/>
          </w:rPr>
          <w:fldChar w:fldCharType="end"/>
        </w:r>
      </w:hyperlink>
    </w:p>
    <w:p w14:paraId="35B9AE77" w14:textId="0B8595AF" w:rsidR="008B34C0" w:rsidRPr="005E651D" w:rsidRDefault="00B36153">
      <w:pPr>
        <w:pStyle w:val="TOC2"/>
        <w:tabs>
          <w:tab w:val="left" w:pos="1440"/>
        </w:tabs>
        <w:rPr>
          <w:rFonts w:eastAsiaTheme="minorEastAsia" w:cstheme="minorHAnsi"/>
          <w:szCs w:val="22"/>
        </w:rPr>
      </w:pPr>
      <w:hyperlink w:anchor="_Toc11945117" w:history="1">
        <w:r w:rsidR="008B34C0" w:rsidRPr="005E651D">
          <w:rPr>
            <w:rStyle w:val="Hyperlink"/>
            <w:rFonts w:cstheme="minorHAnsi"/>
          </w:rPr>
          <w:t>C.</w:t>
        </w:r>
        <w:r w:rsidR="008B34C0" w:rsidRPr="005E651D">
          <w:rPr>
            <w:rFonts w:eastAsiaTheme="minorEastAsia" w:cstheme="minorHAnsi"/>
            <w:szCs w:val="22"/>
          </w:rPr>
          <w:tab/>
        </w:r>
        <w:r w:rsidR="008B34C0" w:rsidRPr="005E651D">
          <w:rPr>
            <w:rStyle w:val="Hyperlink"/>
            <w:rFonts w:cstheme="minorHAnsi"/>
          </w:rPr>
          <w:t>Enforced Disappearances</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_Toc11945117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19</w:t>
        </w:r>
        <w:r w:rsidR="008B34C0" w:rsidRPr="005E651D">
          <w:rPr>
            <w:rFonts w:cstheme="minorHAnsi"/>
            <w:webHidden/>
          </w:rPr>
          <w:fldChar w:fldCharType="end"/>
        </w:r>
      </w:hyperlink>
    </w:p>
    <w:p w14:paraId="2F66CB38" w14:textId="60ED0D76" w:rsidR="008B34C0" w:rsidRPr="005E651D" w:rsidRDefault="00B36153">
      <w:pPr>
        <w:pStyle w:val="TOC2"/>
        <w:tabs>
          <w:tab w:val="left" w:pos="1440"/>
        </w:tabs>
        <w:rPr>
          <w:rFonts w:eastAsiaTheme="minorEastAsia" w:cstheme="minorHAnsi"/>
          <w:szCs w:val="22"/>
        </w:rPr>
      </w:pPr>
      <w:hyperlink w:anchor="_Toc11945118" w:history="1">
        <w:r w:rsidR="008B34C0" w:rsidRPr="005E651D">
          <w:rPr>
            <w:rStyle w:val="Hyperlink"/>
            <w:rFonts w:cstheme="minorHAnsi"/>
          </w:rPr>
          <w:t>D.</w:t>
        </w:r>
        <w:r w:rsidR="008B34C0" w:rsidRPr="005E651D">
          <w:rPr>
            <w:rFonts w:eastAsiaTheme="minorEastAsia" w:cstheme="minorHAnsi"/>
            <w:szCs w:val="22"/>
          </w:rPr>
          <w:tab/>
        </w:r>
        <w:r w:rsidR="008B34C0" w:rsidRPr="005E651D">
          <w:rPr>
            <w:rStyle w:val="Hyperlink"/>
            <w:rFonts w:cstheme="minorHAnsi"/>
          </w:rPr>
          <w:t>Sexual Violence and Rape</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_Toc11945118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24</w:t>
        </w:r>
        <w:r w:rsidR="008B34C0" w:rsidRPr="005E651D">
          <w:rPr>
            <w:rFonts w:cstheme="minorHAnsi"/>
            <w:webHidden/>
          </w:rPr>
          <w:fldChar w:fldCharType="end"/>
        </w:r>
      </w:hyperlink>
    </w:p>
    <w:p w14:paraId="158F01D5" w14:textId="11243CD3" w:rsidR="008B34C0" w:rsidRPr="005E651D" w:rsidRDefault="00B36153">
      <w:pPr>
        <w:pStyle w:val="TOC2"/>
        <w:tabs>
          <w:tab w:val="left" w:pos="1440"/>
        </w:tabs>
        <w:rPr>
          <w:rFonts w:eastAsiaTheme="minorEastAsia" w:cstheme="minorHAnsi"/>
          <w:szCs w:val="22"/>
        </w:rPr>
      </w:pPr>
      <w:hyperlink w:anchor="_Toc11945119" w:history="1">
        <w:r w:rsidR="008B34C0" w:rsidRPr="005E651D">
          <w:rPr>
            <w:rStyle w:val="Hyperlink"/>
            <w:rFonts w:cstheme="minorHAnsi"/>
          </w:rPr>
          <w:t>E.</w:t>
        </w:r>
        <w:r w:rsidR="008B34C0" w:rsidRPr="005E651D">
          <w:rPr>
            <w:rFonts w:eastAsiaTheme="minorEastAsia" w:cstheme="minorHAnsi"/>
            <w:szCs w:val="22"/>
          </w:rPr>
          <w:tab/>
        </w:r>
        <w:r w:rsidR="008B34C0" w:rsidRPr="005E651D">
          <w:rPr>
            <w:rStyle w:val="Hyperlink"/>
            <w:rFonts w:cstheme="minorHAnsi"/>
          </w:rPr>
          <w:t>Inadequate Prison Conditions</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_Toc11945119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25</w:t>
        </w:r>
        <w:r w:rsidR="008B34C0" w:rsidRPr="005E651D">
          <w:rPr>
            <w:rFonts w:cstheme="minorHAnsi"/>
            <w:webHidden/>
          </w:rPr>
          <w:fldChar w:fldCharType="end"/>
        </w:r>
      </w:hyperlink>
    </w:p>
    <w:p w14:paraId="2A45FDBB" w14:textId="4CFD4D24" w:rsidR="008B34C0" w:rsidRPr="005E651D" w:rsidRDefault="00B36153">
      <w:pPr>
        <w:pStyle w:val="TOC1"/>
        <w:rPr>
          <w:rFonts w:eastAsiaTheme="minorEastAsia" w:cstheme="minorHAnsi"/>
          <w:szCs w:val="22"/>
        </w:rPr>
      </w:pPr>
      <w:hyperlink w:anchor="_Toc11945120" w:history="1">
        <w:r w:rsidR="008B34C0" w:rsidRPr="005E651D">
          <w:rPr>
            <w:rStyle w:val="Hyperlink"/>
            <w:rFonts w:cstheme="minorHAnsi"/>
          </w:rPr>
          <w:t>IV.</w:t>
        </w:r>
        <w:r w:rsidR="008B34C0" w:rsidRPr="005E651D">
          <w:rPr>
            <w:rFonts w:eastAsiaTheme="minorEastAsia" w:cstheme="minorHAnsi"/>
            <w:szCs w:val="22"/>
          </w:rPr>
          <w:tab/>
        </w:r>
        <w:r w:rsidR="008B34C0" w:rsidRPr="005E651D">
          <w:rPr>
            <w:rStyle w:val="Hyperlink"/>
            <w:rFonts w:cstheme="minorHAnsi"/>
          </w:rPr>
          <w:t>Observations &amp; Recommendations</w:t>
        </w:r>
        <w:r w:rsidR="008B34C0" w:rsidRPr="005E651D">
          <w:rPr>
            <w:rFonts w:cstheme="minorHAnsi"/>
            <w:webHidden/>
          </w:rPr>
          <w:tab/>
        </w:r>
        <w:r w:rsidR="008B34C0" w:rsidRPr="005E651D">
          <w:rPr>
            <w:rFonts w:cstheme="minorHAnsi"/>
            <w:webHidden/>
          </w:rPr>
          <w:fldChar w:fldCharType="begin"/>
        </w:r>
        <w:r w:rsidR="008B34C0" w:rsidRPr="005E651D">
          <w:rPr>
            <w:rFonts w:cstheme="minorHAnsi"/>
            <w:webHidden/>
          </w:rPr>
          <w:instrText xml:space="preserve"> PAGEREF _Toc11945120 \h </w:instrText>
        </w:r>
        <w:r w:rsidR="008B34C0" w:rsidRPr="005E651D">
          <w:rPr>
            <w:rFonts w:cstheme="minorHAnsi"/>
            <w:webHidden/>
          </w:rPr>
        </w:r>
        <w:r w:rsidR="008B34C0" w:rsidRPr="005E651D">
          <w:rPr>
            <w:rFonts w:cstheme="minorHAnsi"/>
            <w:webHidden/>
          </w:rPr>
          <w:fldChar w:fldCharType="separate"/>
        </w:r>
        <w:r w:rsidR="00D96A88">
          <w:rPr>
            <w:rFonts w:cstheme="minorHAnsi"/>
            <w:webHidden/>
          </w:rPr>
          <w:t>27</w:t>
        </w:r>
        <w:r w:rsidR="008B34C0" w:rsidRPr="005E651D">
          <w:rPr>
            <w:rFonts w:cstheme="minorHAnsi"/>
            <w:webHidden/>
          </w:rPr>
          <w:fldChar w:fldCharType="end"/>
        </w:r>
      </w:hyperlink>
    </w:p>
    <w:p w14:paraId="7154FC60" w14:textId="2461A54D" w:rsidR="00D31330" w:rsidRPr="005E651D" w:rsidRDefault="003D5CB3">
      <w:pPr>
        <w:rPr>
          <w:rFonts w:cstheme="minorHAnsi"/>
        </w:rPr>
        <w:sectPr w:rsidR="00D31330" w:rsidRPr="005E651D" w:rsidSect="00D31330">
          <w:footerReference w:type="default" r:id="rId10"/>
          <w:headerReference w:type="first" r:id="rId11"/>
          <w:pgSz w:w="12240" w:h="15840" w:code="1"/>
          <w:pgMar w:top="1440" w:right="1440" w:bottom="1440" w:left="1440" w:header="720" w:footer="720" w:gutter="0"/>
          <w:pgNumType w:fmt="lowerRoman" w:start="1"/>
          <w:cols w:space="720"/>
          <w:titlePg/>
          <w:docGrid w:linePitch="360"/>
        </w:sectPr>
      </w:pPr>
      <w:r w:rsidRPr="005E651D">
        <w:rPr>
          <w:rFonts w:cstheme="minorHAnsi"/>
        </w:rPr>
        <w:fldChar w:fldCharType="end"/>
      </w:r>
      <w:r w:rsidR="00D31330" w:rsidRPr="005E651D">
        <w:rPr>
          <w:rFonts w:cstheme="minorHAnsi"/>
        </w:rPr>
        <w:br w:type="page"/>
      </w:r>
    </w:p>
    <w:p w14:paraId="5604C942" w14:textId="5774585C" w:rsidR="0012116C" w:rsidRPr="005E651D" w:rsidRDefault="0012116C" w:rsidP="0012116C">
      <w:pPr>
        <w:rPr>
          <w:rFonts w:cstheme="minorHAnsi"/>
        </w:rPr>
      </w:pPr>
      <w:r w:rsidRPr="005E651D">
        <w:rPr>
          <w:rFonts w:cstheme="minorHAnsi"/>
        </w:rPr>
        <w:lastRenderedPageBreak/>
        <w:tab/>
        <w:t xml:space="preserve">This report, submitted to the United Nations Committee Against Torture (the </w:t>
      </w:r>
      <w:r w:rsidR="009F4B78" w:rsidRPr="005E651D">
        <w:rPr>
          <w:rFonts w:cstheme="minorHAnsi"/>
        </w:rPr>
        <w:t xml:space="preserve">“CAT” or the </w:t>
      </w:r>
      <w:r w:rsidRPr="005E651D">
        <w:rPr>
          <w:rFonts w:cstheme="minorHAnsi"/>
        </w:rPr>
        <w:t xml:space="preserve">“Committee”) ahead of its upcoming review of Bangladesh, </w:t>
      </w:r>
      <w:r w:rsidR="007314EB" w:rsidRPr="005E651D">
        <w:rPr>
          <w:rFonts w:cstheme="minorHAnsi"/>
        </w:rPr>
        <w:t xml:space="preserve">addresses </w:t>
      </w:r>
      <w:r w:rsidRPr="005E651D">
        <w:rPr>
          <w:rFonts w:cstheme="minorHAnsi"/>
        </w:rPr>
        <w:t xml:space="preserve">the </w:t>
      </w:r>
      <w:r w:rsidR="00BA716A" w:rsidRPr="005E651D">
        <w:rPr>
          <w:rFonts w:cstheme="minorHAnsi"/>
        </w:rPr>
        <w:t>S</w:t>
      </w:r>
      <w:r w:rsidR="001D73E4" w:rsidRPr="005E651D">
        <w:rPr>
          <w:rFonts w:cstheme="minorHAnsi"/>
        </w:rPr>
        <w:t>tate p</w:t>
      </w:r>
      <w:r w:rsidR="00BA716A" w:rsidRPr="005E651D">
        <w:rPr>
          <w:rFonts w:cstheme="minorHAnsi"/>
        </w:rPr>
        <w:t xml:space="preserve">arty’s </w:t>
      </w:r>
      <w:r w:rsidRPr="005E651D">
        <w:rPr>
          <w:rFonts w:cstheme="minorHAnsi"/>
        </w:rPr>
        <w:t xml:space="preserve">numerous violations of the Convention against Torture and Cruel, Inhuman or Degrading Treatment or </w:t>
      </w:r>
      <w:r w:rsidR="006635F7" w:rsidRPr="005E651D">
        <w:rPr>
          <w:rFonts w:cstheme="minorHAnsi"/>
        </w:rPr>
        <w:t xml:space="preserve">Punishment (the “Convention”). </w:t>
      </w:r>
      <w:r w:rsidRPr="005E651D">
        <w:rPr>
          <w:rFonts w:cstheme="minorHAnsi"/>
        </w:rPr>
        <w:t xml:space="preserve">Robert F. Kennedy Human Rights </w:t>
      </w:r>
      <w:r w:rsidR="00F64DAC" w:rsidRPr="005E651D">
        <w:rPr>
          <w:rFonts w:cstheme="minorHAnsi"/>
        </w:rPr>
        <w:t>provides</w:t>
      </w:r>
      <w:r w:rsidRPr="005E651D">
        <w:rPr>
          <w:rFonts w:cstheme="minorHAnsi"/>
        </w:rPr>
        <w:t xml:space="preserve"> this report </w:t>
      </w:r>
      <w:r w:rsidR="00F64DAC" w:rsidRPr="005E651D">
        <w:rPr>
          <w:rFonts w:cstheme="minorHAnsi"/>
        </w:rPr>
        <w:t xml:space="preserve">to </w:t>
      </w:r>
      <w:r w:rsidRPr="005E651D">
        <w:rPr>
          <w:rFonts w:cstheme="minorHAnsi"/>
        </w:rPr>
        <w:t xml:space="preserve">inform the Committee’s </w:t>
      </w:r>
      <w:r w:rsidR="00133192" w:rsidRPr="005E651D">
        <w:rPr>
          <w:rFonts w:cstheme="minorHAnsi"/>
        </w:rPr>
        <w:t>review</w:t>
      </w:r>
      <w:r w:rsidR="009E34D7" w:rsidRPr="005E651D">
        <w:rPr>
          <w:rFonts w:cstheme="minorHAnsi"/>
        </w:rPr>
        <w:t>.</w:t>
      </w:r>
    </w:p>
    <w:p w14:paraId="75E23150" w14:textId="2718891C" w:rsidR="004861E3" w:rsidRPr="005E651D" w:rsidRDefault="004861E3" w:rsidP="0012116C">
      <w:pPr>
        <w:rPr>
          <w:rFonts w:cstheme="minorHAnsi"/>
        </w:rPr>
      </w:pPr>
    </w:p>
    <w:p w14:paraId="7350CCBD" w14:textId="536ABBA7" w:rsidR="004861E3" w:rsidRPr="005E651D" w:rsidRDefault="004861E3" w:rsidP="004861E3">
      <w:pPr>
        <w:rPr>
          <w:rFonts w:cstheme="minorHAnsi"/>
        </w:rPr>
      </w:pPr>
      <w:r w:rsidRPr="005E651D">
        <w:rPr>
          <w:rFonts w:cstheme="minorHAnsi"/>
        </w:rPr>
        <w:tab/>
      </w:r>
      <w:r w:rsidR="00FB4D52" w:rsidRPr="00BD6421">
        <w:rPr>
          <w:rFonts w:ascii="Times New Roman" w:hAnsi="Times New Roman" w:cs="Times New Roman"/>
        </w:rPr>
        <w:t>Robert F. Kennedy Human Rights is a non-governmental organization based in Washington, D.C. Founded in 1968 as a living memorial, it strives to achieve Robert F. Kennedy’s vision of a more just and peaceful world. Robert F. Kennedy Human Rights’ core programs focus on the power of the individual and providing sustained advocacy, litigation, and capacity-building support to grassroots leaders to advance social justice movements around the globe.</w:t>
      </w:r>
    </w:p>
    <w:p w14:paraId="5411D303" w14:textId="77777777" w:rsidR="0012116C" w:rsidRPr="005E651D" w:rsidRDefault="0012116C" w:rsidP="0012116C">
      <w:pPr>
        <w:rPr>
          <w:rFonts w:cstheme="minorHAnsi"/>
        </w:rPr>
      </w:pPr>
    </w:p>
    <w:p w14:paraId="07E87730" w14:textId="653229EE" w:rsidR="000A34FC" w:rsidRPr="005E651D" w:rsidRDefault="00092FB3" w:rsidP="00287964">
      <w:pPr>
        <w:pStyle w:val="Heading1"/>
        <w:rPr>
          <w:rFonts w:asciiTheme="minorHAnsi" w:hAnsiTheme="minorHAnsi" w:cstheme="minorHAnsi"/>
        </w:rPr>
      </w:pPr>
      <w:bookmarkStart w:id="1" w:name="_Toc11053832"/>
      <w:bookmarkStart w:id="2" w:name="_Toc11879525"/>
      <w:bookmarkStart w:id="3" w:name="_Toc11883186"/>
      <w:bookmarkStart w:id="4" w:name="_Toc11922664"/>
      <w:bookmarkStart w:id="5" w:name="_Toc11945105"/>
      <w:r w:rsidRPr="005E651D">
        <w:rPr>
          <w:rFonts w:asciiTheme="minorHAnsi" w:hAnsiTheme="minorHAnsi" w:cstheme="minorHAnsi"/>
        </w:rPr>
        <w:t>Introduction</w:t>
      </w:r>
      <w:bookmarkEnd w:id="1"/>
      <w:bookmarkEnd w:id="2"/>
      <w:bookmarkEnd w:id="3"/>
      <w:bookmarkEnd w:id="4"/>
      <w:bookmarkEnd w:id="5"/>
    </w:p>
    <w:p w14:paraId="23E2F952" w14:textId="2AD39CBA" w:rsidR="00F44FB8" w:rsidRPr="005E651D" w:rsidRDefault="000A34FC" w:rsidP="004861E3">
      <w:pPr>
        <w:pStyle w:val="BodyText"/>
        <w:rPr>
          <w:rFonts w:cstheme="minorHAnsi"/>
        </w:rPr>
      </w:pPr>
      <w:r w:rsidRPr="005E651D">
        <w:rPr>
          <w:rFonts w:cstheme="minorHAnsi"/>
        </w:rPr>
        <w:tab/>
      </w:r>
      <w:r w:rsidR="0012116C" w:rsidRPr="005E651D">
        <w:rPr>
          <w:rFonts w:cstheme="minorHAnsi"/>
        </w:rPr>
        <w:t>I</w:t>
      </w:r>
      <w:r w:rsidR="006D1058" w:rsidRPr="005E651D">
        <w:rPr>
          <w:rFonts w:cstheme="minorHAnsi"/>
        </w:rPr>
        <w:t>n 1998, after much urging from national and international non-governmental organizations</w:t>
      </w:r>
      <w:r w:rsidR="0087517C" w:rsidRPr="005E651D">
        <w:rPr>
          <w:rFonts w:cstheme="minorHAnsi"/>
        </w:rPr>
        <w:t xml:space="preserve"> (“NGOs”)</w:t>
      </w:r>
      <w:r w:rsidR="006D1058" w:rsidRPr="005E651D">
        <w:rPr>
          <w:rFonts w:cstheme="minorHAnsi"/>
        </w:rPr>
        <w:t xml:space="preserve">, the </w:t>
      </w:r>
      <w:r w:rsidR="0012116C" w:rsidRPr="005E651D">
        <w:rPr>
          <w:rFonts w:cstheme="minorHAnsi"/>
        </w:rPr>
        <w:t>Government</w:t>
      </w:r>
      <w:r w:rsidR="0087517C" w:rsidRPr="005E651D">
        <w:rPr>
          <w:rFonts w:cstheme="minorHAnsi"/>
        </w:rPr>
        <w:t xml:space="preserve"> </w:t>
      </w:r>
      <w:r w:rsidR="001C1C51" w:rsidRPr="005E651D">
        <w:rPr>
          <w:rFonts w:cstheme="minorHAnsi"/>
        </w:rPr>
        <w:t xml:space="preserve">of Bangladesh </w:t>
      </w:r>
      <w:r w:rsidR="00A604F7" w:rsidRPr="005E651D">
        <w:rPr>
          <w:rFonts w:cstheme="minorHAnsi"/>
        </w:rPr>
        <w:t>(</w:t>
      </w:r>
      <w:r w:rsidR="006D1058" w:rsidRPr="005E651D">
        <w:rPr>
          <w:rFonts w:cstheme="minorHAnsi"/>
        </w:rPr>
        <w:t xml:space="preserve">the </w:t>
      </w:r>
      <w:r w:rsidR="00A604F7" w:rsidRPr="005E651D">
        <w:rPr>
          <w:rFonts w:cstheme="minorHAnsi"/>
        </w:rPr>
        <w:t>“Government”) r</w:t>
      </w:r>
      <w:r w:rsidR="006D1058" w:rsidRPr="005E651D">
        <w:rPr>
          <w:rFonts w:cstheme="minorHAnsi"/>
        </w:rPr>
        <w:t>atified the Convention</w:t>
      </w:r>
      <w:r w:rsidR="006635F7" w:rsidRPr="005E651D">
        <w:rPr>
          <w:rFonts w:cstheme="minorHAnsi"/>
        </w:rPr>
        <w:t>.</w:t>
      </w:r>
      <w:r w:rsidR="00BD0411" w:rsidRPr="005E651D">
        <w:rPr>
          <w:rFonts w:cstheme="minorHAnsi"/>
        </w:rPr>
        <w:t xml:space="preserve"> The Convention</w:t>
      </w:r>
      <w:r w:rsidR="006D1058" w:rsidRPr="005E651D">
        <w:rPr>
          <w:rFonts w:cstheme="minorHAnsi"/>
        </w:rPr>
        <w:t xml:space="preserve"> </w:t>
      </w:r>
      <w:r w:rsidR="00BD0411" w:rsidRPr="005E651D">
        <w:rPr>
          <w:rFonts w:cstheme="minorHAnsi"/>
        </w:rPr>
        <w:t xml:space="preserve">obligates </w:t>
      </w:r>
      <w:r w:rsidR="004D7DD9" w:rsidRPr="005E651D">
        <w:rPr>
          <w:rFonts w:cstheme="minorHAnsi"/>
        </w:rPr>
        <w:t>the S</w:t>
      </w:r>
      <w:r w:rsidR="006D1058" w:rsidRPr="005E651D">
        <w:rPr>
          <w:rFonts w:cstheme="minorHAnsi"/>
        </w:rPr>
        <w:t xml:space="preserve">tate, </w:t>
      </w:r>
      <w:r w:rsidR="006D1058" w:rsidRPr="005E651D">
        <w:rPr>
          <w:rFonts w:cstheme="minorHAnsi"/>
          <w:i/>
        </w:rPr>
        <w:t>inter alia</w:t>
      </w:r>
      <w:r w:rsidR="006D1058" w:rsidRPr="005E651D">
        <w:rPr>
          <w:rFonts w:cstheme="minorHAnsi"/>
        </w:rPr>
        <w:t xml:space="preserve">, to </w:t>
      </w:r>
      <w:r w:rsidR="00140046" w:rsidRPr="005E651D">
        <w:rPr>
          <w:rFonts w:cstheme="minorHAnsi"/>
        </w:rPr>
        <w:t xml:space="preserve">take </w:t>
      </w:r>
      <w:r w:rsidR="001659D5" w:rsidRPr="005E651D">
        <w:rPr>
          <w:rFonts w:cstheme="minorHAnsi"/>
        </w:rPr>
        <w:t>“</w:t>
      </w:r>
      <w:r w:rsidR="00140046" w:rsidRPr="005E651D">
        <w:rPr>
          <w:rFonts w:cstheme="minorHAnsi"/>
        </w:rPr>
        <w:t>effective legislative, administrative, judicial</w:t>
      </w:r>
      <w:r w:rsidR="00B548D3" w:rsidRPr="005E651D">
        <w:rPr>
          <w:rFonts w:cstheme="minorHAnsi"/>
        </w:rPr>
        <w:t>,</w:t>
      </w:r>
      <w:r w:rsidR="00140046" w:rsidRPr="005E651D">
        <w:rPr>
          <w:rFonts w:cstheme="minorHAnsi"/>
        </w:rPr>
        <w:t xml:space="preserve"> or other measures to prevent acts of torture</w:t>
      </w:r>
      <w:r w:rsidR="001659D5" w:rsidRPr="005E651D">
        <w:rPr>
          <w:rFonts w:cstheme="minorHAnsi"/>
        </w:rPr>
        <w:t>”</w:t>
      </w:r>
      <w:r w:rsidR="00583DDF" w:rsidRPr="005E651D">
        <w:rPr>
          <w:rFonts w:cstheme="minorHAnsi"/>
        </w:rPr>
        <w:t xml:space="preserve"> and </w:t>
      </w:r>
      <w:r w:rsidR="001659D5" w:rsidRPr="005E651D">
        <w:rPr>
          <w:rFonts w:cstheme="minorHAnsi"/>
        </w:rPr>
        <w:t>“</w:t>
      </w:r>
      <w:r w:rsidR="00583DDF" w:rsidRPr="005E651D">
        <w:rPr>
          <w:rFonts w:cstheme="minorHAnsi"/>
        </w:rPr>
        <w:t>other acts of cruel, inhuman or degrading treatment or punishment</w:t>
      </w:r>
      <w:r w:rsidR="001659D5" w:rsidRPr="005E651D">
        <w:rPr>
          <w:rFonts w:cstheme="minorHAnsi"/>
        </w:rPr>
        <w:t>”</w:t>
      </w:r>
      <w:r w:rsidR="00D94CBF" w:rsidRPr="005E651D">
        <w:rPr>
          <w:rFonts w:cstheme="minorHAnsi"/>
        </w:rPr>
        <w:t xml:space="preserve"> </w:t>
      </w:r>
      <w:r w:rsidR="00140046" w:rsidRPr="005E651D">
        <w:rPr>
          <w:rFonts w:cstheme="minorHAnsi"/>
        </w:rPr>
        <w:t>in any territory under its jurisdiction</w:t>
      </w:r>
      <w:r w:rsidR="00D94CBF" w:rsidRPr="005E651D">
        <w:rPr>
          <w:rFonts w:cstheme="minorHAnsi"/>
        </w:rPr>
        <w:t xml:space="preserve"> that are </w:t>
      </w:r>
      <w:r w:rsidR="008A1AC2" w:rsidRPr="005E651D">
        <w:rPr>
          <w:rFonts w:cstheme="minorHAnsi"/>
        </w:rPr>
        <w:t xml:space="preserve">“inflicted </w:t>
      </w:r>
      <w:r w:rsidR="00D94CBF" w:rsidRPr="005E651D">
        <w:rPr>
          <w:rFonts w:cstheme="minorHAnsi"/>
        </w:rPr>
        <w:t>by or at the instigation of or with the consent</w:t>
      </w:r>
      <w:r w:rsidR="00583DDF" w:rsidRPr="005E651D">
        <w:rPr>
          <w:rFonts w:cstheme="minorHAnsi"/>
        </w:rPr>
        <w:t xml:space="preserve"> or </w:t>
      </w:r>
      <w:r w:rsidR="008A1AC2" w:rsidRPr="005E651D">
        <w:rPr>
          <w:rFonts w:cstheme="minorHAnsi"/>
        </w:rPr>
        <w:t xml:space="preserve">acquiescence </w:t>
      </w:r>
      <w:r w:rsidR="00D94CBF" w:rsidRPr="005E651D">
        <w:rPr>
          <w:rFonts w:cstheme="minorHAnsi"/>
        </w:rPr>
        <w:t>of a public official or</w:t>
      </w:r>
      <w:r w:rsidR="008A1AC2" w:rsidRPr="005E651D">
        <w:rPr>
          <w:rFonts w:cstheme="minorHAnsi"/>
        </w:rPr>
        <w:t xml:space="preserve"> other</w:t>
      </w:r>
      <w:r w:rsidR="00D94CBF" w:rsidRPr="005E651D">
        <w:rPr>
          <w:rFonts w:cstheme="minorHAnsi"/>
        </w:rPr>
        <w:t xml:space="preserve"> person acting in an official capacity.</w:t>
      </w:r>
      <w:r w:rsidR="008A1AC2" w:rsidRPr="005E651D">
        <w:rPr>
          <w:rFonts w:cstheme="minorHAnsi"/>
        </w:rPr>
        <w:t>”</w:t>
      </w:r>
      <w:r w:rsidR="005D1DAC" w:rsidRPr="005E651D">
        <w:rPr>
          <w:rStyle w:val="FootnoteReference"/>
          <w:rFonts w:cstheme="minorHAnsi"/>
          <w:szCs w:val="22"/>
        </w:rPr>
        <w:footnoteReference w:id="2"/>
      </w:r>
      <w:r w:rsidR="00D94CBF" w:rsidRPr="005E651D">
        <w:rPr>
          <w:rFonts w:cstheme="minorHAnsi"/>
        </w:rPr>
        <w:t xml:space="preserve"> </w:t>
      </w:r>
      <w:r w:rsidR="00307BD3" w:rsidRPr="005E651D">
        <w:rPr>
          <w:rFonts w:cstheme="minorHAnsi"/>
        </w:rPr>
        <w:t>This non-derogable prohibition</w:t>
      </w:r>
      <w:r w:rsidR="00307BD3" w:rsidRPr="005E651D">
        <w:rPr>
          <w:rStyle w:val="FootnoteReference"/>
          <w:rFonts w:cstheme="minorHAnsi"/>
          <w:szCs w:val="22"/>
        </w:rPr>
        <w:footnoteReference w:id="3"/>
      </w:r>
      <w:r w:rsidR="00307BD3" w:rsidRPr="005E651D">
        <w:rPr>
          <w:rFonts w:cstheme="minorHAnsi"/>
        </w:rPr>
        <w:t xml:space="preserve"> obligates Bangladesh to cease all acts of torture and ill-treatment committed within its jurisdiction, and to provide effective redress and compensation where such acts have occurred.</w:t>
      </w:r>
      <w:r w:rsidR="0030327C" w:rsidRPr="005E651D">
        <w:rPr>
          <w:rStyle w:val="FootnoteReference"/>
          <w:rFonts w:cstheme="minorHAnsi"/>
          <w:szCs w:val="22"/>
        </w:rPr>
        <w:footnoteReference w:id="4"/>
      </w:r>
      <w:r w:rsidR="00307BD3" w:rsidRPr="005E651D">
        <w:rPr>
          <w:rFonts w:cstheme="minorHAnsi"/>
        </w:rPr>
        <w:t xml:space="preserve"> </w:t>
      </w:r>
      <w:r w:rsidR="00BD2A76" w:rsidRPr="005E651D">
        <w:rPr>
          <w:rFonts w:cstheme="minorHAnsi"/>
        </w:rPr>
        <w:t>Bangl</w:t>
      </w:r>
      <w:r w:rsidR="00806C94" w:rsidRPr="005E651D">
        <w:rPr>
          <w:rFonts w:cstheme="minorHAnsi"/>
        </w:rPr>
        <w:t xml:space="preserve">adesh has not yet been reviewed by the </w:t>
      </w:r>
      <w:r w:rsidR="009F4B78" w:rsidRPr="005E651D">
        <w:rPr>
          <w:rFonts w:cstheme="minorHAnsi"/>
        </w:rPr>
        <w:t>CAT</w:t>
      </w:r>
      <w:r w:rsidR="00BD2A76" w:rsidRPr="005E651D">
        <w:rPr>
          <w:rFonts w:cstheme="minorHAnsi"/>
        </w:rPr>
        <w:t xml:space="preserve"> and has failed, for over 20 years, to submit a report to the CAT in accordance with its treaty obligations</w:t>
      </w:r>
      <w:r w:rsidR="001C523A" w:rsidRPr="005E651D">
        <w:rPr>
          <w:rFonts w:cstheme="minorHAnsi"/>
        </w:rPr>
        <w:t>.</w:t>
      </w:r>
      <w:r w:rsidR="007604C8" w:rsidRPr="005E651D">
        <w:rPr>
          <w:rStyle w:val="FootnoteReference"/>
          <w:rFonts w:cstheme="minorHAnsi"/>
          <w:szCs w:val="22"/>
        </w:rPr>
        <w:footnoteReference w:id="5"/>
      </w:r>
      <w:r w:rsidR="00BD2A76" w:rsidRPr="005E651D">
        <w:rPr>
          <w:rFonts w:cstheme="minorHAnsi"/>
        </w:rPr>
        <w:t xml:space="preserve"> </w:t>
      </w:r>
      <w:r w:rsidR="001C523A" w:rsidRPr="005E651D">
        <w:rPr>
          <w:rFonts w:cstheme="minorHAnsi"/>
        </w:rPr>
        <w:t xml:space="preserve">During this time, </w:t>
      </w:r>
      <w:r w:rsidR="0073703C" w:rsidRPr="005E651D">
        <w:rPr>
          <w:rFonts w:cstheme="minorHAnsi"/>
        </w:rPr>
        <w:t>numerous UN bodies, UN</w:t>
      </w:r>
      <w:r w:rsidR="00DE3C90" w:rsidRPr="005E651D">
        <w:rPr>
          <w:rFonts w:cstheme="minorHAnsi"/>
        </w:rPr>
        <w:t xml:space="preserve"> Member States, </w:t>
      </w:r>
      <w:r w:rsidR="00806C94" w:rsidRPr="005E651D">
        <w:rPr>
          <w:rFonts w:cstheme="minorHAnsi"/>
        </w:rPr>
        <w:t>and</w:t>
      </w:r>
      <w:r w:rsidR="00F52CEE" w:rsidRPr="005E651D">
        <w:rPr>
          <w:rFonts w:cstheme="minorHAnsi"/>
        </w:rPr>
        <w:t xml:space="preserve"> human rights</w:t>
      </w:r>
      <w:r w:rsidR="00806C94" w:rsidRPr="005E651D">
        <w:rPr>
          <w:rFonts w:cstheme="minorHAnsi"/>
        </w:rPr>
        <w:t xml:space="preserve"> experts </w:t>
      </w:r>
      <w:r w:rsidR="00BD2A76" w:rsidRPr="005E651D">
        <w:rPr>
          <w:rFonts w:cstheme="minorHAnsi"/>
        </w:rPr>
        <w:t>have</w:t>
      </w:r>
      <w:r w:rsidR="00FB4D52">
        <w:rPr>
          <w:rFonts w:cstheme="minorHAnsi"/>
        </w:rPr>
        <w:t xml:space="preserve"> taken note</w:t>
      </w:r>
      <w:r w:rsidR="00452A3A" w:rsidRPr="005E651D">
        <w:rPr>
          <w:rFonts w:cstheme="minorHAnsi"/>
        </w:rPr>
        <w:t xml:space="preserve"> of the</w:t>
      </w:r>
      <w:r w:rsidR="00806C94" w:rsidRPr="005E651D">
        <w:rPr>
          <w:rFonts w:cstheme="minorHAnsi"/>
        </w:rPr>
        <w:t xml:space="preserve"> </w:t>
      </w:r>
      <w:r w:rsidR="0087517C" w:rsidRPr="005E651D">
        <w:rPr>
          <w:rFonts w:cstheme="minorHAnsi"/>
        </w:rPr>
        <w:t>torture and violence</w:t>
      </w:r>
      <w:r w:rsidR="00BD2A76" w:rsidRPr="005E651D">
        <w:rPr>
          <w:rFonts w:cstheme="minorHAnsi"/>
        </w:rPr>
        <w:t xml:space="preserve"> that </w:t>
      </w:r>
      <w:r w:rsidR="00ED28FF" w:rsidRPr="005E651D">
        <w:rPr>
          <w:rFonts w:cstheme="minorHAnsi"/>
        </w:rPr>
        <w:t>continue</w:t>
      </w:r>
      <w:r w:rsidR="00140046" w:rsidRPr="005E651D">
        <w:rPr>
          <w:rFonts w:cstheme="minorHAnsi"/>
        </w:rPr>
        <w:t xml:space="preserve"> to pervade</w:t>
      </w:r>
      <w:r w:rsidR="0087517C" w:rsidRPr="005E651D">
        <w:rPr>
          <w:rFonts w:cstheme="minorHAnsi"/>
        </w:rPr>
        <w:t xml:space="preserve"> law enforcement agencies</w:t>
      </w:r>
      <w:r w:rsidR="00BD2A76" w:rsidRPr="005E651D">
        <w:rPr>
          <w:rFonts w:cstheme="minorHAnsi"/>
        </w:rPr>
        <w:t xml:space="preserve"> in Bangladesh </w:t>
      </w:r>
      <w:r w:rsidR="0087517C" w:rsidRPr="005E651D">
        <w:rPr>
          <w:rFonts w:cstheme="minorHAnsi"/>
        </w:rPr>
        <w:t xml:space="preserve">(“LEAs”) </w:t>
      </w:r>
      <w:r w:rsidR="00BD2A76" w:rsidRPr="005E651D">
        <w:rPr>
          <w:rFonts w:cstheme="minorHAnsi"/>
        </w:rPr>
        <w:t xml:space="preserve">and </w:t>
      </w:r>
      <w:r w:rsidR="00140046" w:rsidRPr="005E651D">
        <w:rPr>
          <w:rFonts w:cstheme="minorHAnsi"/>
        </w:rPr>
        <w:t xml:space="preserve">have </w:t>
      </w:r>
      <w:r w:rsidR="00452A3A" w:rsidRPr="005E651D">
        <w:rPr>
          <w:rFonts w:cstheme="minorHAnsi"/>
        </w:rPr>
        <w:t>denounced</w:t>
      </w:r>
      <w:r w:rsidR="006D1058" w:rsidRPr="005E651D">
        <w:rPr>
          <w:rFonts w:cstheme="minorHAnsi"/>
        </w:rPr>
        <w:t xml:space="preserve"> </w:t>
      </w:r>
      <w:r w:rsidR="00BD2A76" w:rsidRPr="005E651D">
        <w:rPr>
          <w:rFonts w:cstheme="minorHAnsi"/>
        </w:rPr>
        <w:t xml:space="preserve">the </w:t>
      </w:r>
      <w:r w:rsidR="006D1058" w:rsidRPr="005E651D">
        <w:rPr>
          <w:rFonts w:cstheme="minorHAnsi"/>
        </w:rPr>
        <w:t>culture</w:t>
      </w:r>
      <w:r w:rsidR="00BD2A76" w:rsidRPr="005E651D">
        <w:rPr>
          <w:rFonts w:cstheme="minorHAnsi"/>
        </w:rPr>
        <w:t xml:space="preserve"> of impunity in which these officials</w:t>
      </w:r>
      <w:r w:rsidR="00140046" w:rsidRPr="005E651D">
        <w:rPr>
          <w:rFonts w:cstheme="minorHAnsi"/>
        </w:rPr>
        <w:t xml:space="preserve"> continue</w:t>
      </w:r>
      <w:r w:rsidR="0030327C" w:rsidRPr="005E651D">
        <w:rPr>
          <w:rFonts w:cstheme="minorHAnsi"/>
        </w:rPr>
        <w:t xml:space="preserve"> to</w:t>
      </w:r>
      <w:r w:rsidR="00BD2A76" w:rsidRPr="005E651D">
        <w:rPr>
          <w:rFonts w:cstheme="minorHAnsi"/>
        </w:rPr>
        <w:t xml:space="preserve"> operate.</w:t>
      </w:r>
      <w:r w:rsidR="00DE3C90" w:rsidRPr="005E651D">
        <w:rPr>
          <w:rStyle w:val="FootnoteReference"/>
          <w:rFonts w:cstheme="minorHAnsi"/>
          <w:szCs w:val="22"/>
        </w:rPr>
        <w:footnoteReference w:id="6"/>
      </w:r>
      <w:r w:rsidR="00BD2A76" w:rsidRPr="005E651D">
        <w:rPr>
          <w:rFonts w:cstheme="minorHAnsi"/>
        </w:rPr>
        <w:t xml:space="preserve"> </w:t>
      </w:r>
      <w:r w:rsidR="006D1058" w:rsidRPr="005E651D">
        <w:rPr>
          <w:rFonts w:cstheme="minorHAnsi"/>
        </w:rPr>
        <w:t xml:space="preserve">As the recently concluded third cycle of the Universal Periodic Review (“UPR”) of Bangladesh </w:t>
      </w:r>
      <w:r w:rsidR="00140046" w:rsidRPr="005E651D">
        <w:rPr>
          <w:rFonts w:cstheme="minorHAnsi"/>
        </w:rPr>
        <w:t xml:space="preserve">has again revealed, the country </w:t>
      </w:r>
      <w:r w:rsidR="00EC2B73" w:rsidRPr="005E651D">
        <w:rPr>
          <w:rFonts w:cstheme="minorHAnsi"/>
        </w:rPr>
        <w:t>continues to v</w:t>
      </w:r>
      <w:r w:rsidR="00F51CC5" w:rsidRPr="005E651D">
        <w:rPr>
          <w:rFonts w:cstheme="minorHAnsi"/>
        </w:rPr>
        <w:t>iolate</w:t>
      </w:r>
      <w:r w:rsidR="00140046" w:rsidRPr="005E651D">
        <w:rPr>
          <w:rFonts w:cstheme="minorHAnsi"/>
        </w:rPr>
        <w:t xml:space="preserve"> its </w:t>
      </w:r>
      <w:r w:rsidR="003F4E51" w:rsidRPr="005E651D">
        <w:rPr>
          <w:rFonts w:cstheme="minorHAnsi"/>
        </w:rPr>
        <w:t>obligations</w:t>
      </w:r>
      <w:r w:rsidR="00140046" w:rsidRPr="005E651D">
        <w:rPr>
          <w:rFonts w:cstheme="minorHAnsi"/>
        </w:rPr>
        <w:t xml:space="preserve"> under the Convention</w:t>
      </w:r>
      <w:r w:rsidR="00305ACF" w:rsidRPr="005E651D">
        <w:rPr>
          <w:rFonts w:cstheme="minorHAnsi"/>
        </w:rPr>
        <w:t>.</w:t>
      </w:r>
    </w:p>
    <w:p w14:paraId="02403181" w14:textId="7894E206" w:rsidR="001030A2" w:rsidRPr="005E651D" w:rsidRDefault="00F44FB8" w:rsidP="004861E3">
      <w:pPr>
        <w:pStyle w:val="BodyText"/>
        <w:rPr>
          <w:rFonts w:cstheme="minorHAnsi"/>
          <w:szCs w:val="22"/>
        </w:rPr>
      </w:pPr>
      <w:r w:rsidRPr="005E651D">
        <w:rPr>
          <w:rFonts w:cstheme="minorHAnsi"/>
        </w:rPr>
        <w:tab/>
      </w:r>
      <w:r w:rsidR="0073703C" w:rsidRPr="005E651D">
        <w:rPr>
          <w:rFonts w:cstheme="minorHAnsi"/>
        </w:rPr>
        <w:t>UN</w:t>
      </w:r>
      <w:r w:rsidR="0083436B" w:rsidRPr="005E651D">
        <w:rPr>
          <w:rFonts w:cstheme="minorHAnsi"/>
        </w:rPr>
        <w:t xml:space="preserve"> bodies, </w:t>
      </w:r>
      <w:r w:rsidR="0073703C" w:rsidRPr="005E651D">
        <w:rPr>
          <w:rFonts w:cstheme="minorHAnsi"/>
        </w:rPr>
        <w:t>UN</w:t>
      </w:r>
      <w:r w:rsidR="00134095" w:rsidRPr="005E651D">
        <w:rPr>
          <w:rFonts w:cstheme="minorHAnsi"/>
        </w:rPr>
        <w:t xml:space="preserve"> M</w:t>
      </w:r>
      <w:r w:rsidR="004D7DD9" w:rsidRPr="005E651D">
        <w:rPr>
          <w:rFonts w:cstheme="minorHAnsi"/>
        </w:rPr>
        <w:t>ember S</w:t>
      </w:r>
      <w:r w:rsidR="0083436B" w:rsidRPr="005E651D">
        <w:rPr>
          <w:rFonts w:cstheme="minorHAnsi"/>
        </w:rPr>
        <w:t xml:space="preserve">tates, and domestic and international NGOs have </w:t>
      </w:r>
      <w:r w:rsidR="006E59FC" w:rsidRPr="005E651D">
        <w:rPr>
          <w:rFonts w:cstheme="minorHAnsi"/>
        </w:rPr>
        <w:t xml:space="preserve">documented and denounced regular violations of the Convention </w:t>
      </w:r>
      <w:r w:rsidR="004D7DD9" w:rsidRPr="005E651D">
        <w:rPr>
          <w:rFonts w:cstheme="minorHAnsi"/>
        </w:rPr>
        <w:t xml:space="preserve">by </w:t>
      </w:r>
      <w:r w:rsidR="00134095" w:rsidRPr="005E651D">
        <w:rPr>
          <w:rFonts w:cstheme="minorHAnsi"/>
        </w:rPr>
        <w:t>Bangladesh</w:t>
      </w:r>
      <w:r w:rsidRPr="005E651D">
        <w:rPr>
          <w:rFonts w:cstheme="minorHAnsi"/>
        </w:rPr>
        <w:t xml:space="preserve"> officials. </w:t>
      </w:r>
      <w:r w:rsidR="00FB4D52">
        <w:rPr>
          <w:rFonts w:cstheme="minorHAnsi"/>
        </w:rPr>
        <w:t>M</w:t>
      </w:r>
      <w:r w:rsidR="006A12F6" w:rsidRPr="005E651D">
        <w:rPr>
          <w:rFonts w:cstheme="minorHAnsi"/>
        </w:rPr>
        <w:t>any</w:t>
      </w:r>
      <w:r w:rsidR="00271166" w:rsidRPr="005E651D">
        <w:rPr>
          <w:rFonts w:cstheme="minorHAnsi"/>
        </w:rPr>
        <w:t xml:space="preserve"> of the Government’s violations of the Convention </w:t>
      </w:r>
      <w:r w:rsidR="00BD4286" w:rsidRPr="005E651D">
        <w:rPr>
          <w:rFonts w:cstheme="minorHAnsi"/>
        </w:rPr>
        <w:t>are</w:t>
      </w:r>
      <w:r w:rsidR="00271166" w:rsidRPr="005E651D">
        <w:rPr>
          <w:rFonts w:cstheme="minorHAnsi"/>
        </w:rPr>
        <w:t xml:space="preserve"> a result of authoritarian tactics designed to instill fear and </w:t>
      </w:r>
      <w:r w:rsidR="00A56C38" w:rsidRPr="005E651D">
        <w:rPr>
          <w:rFonts w:cstheme="minorHAnsi"/>
        </w:rPr>
        <w:t xml:space="preserve">maintain control of the </w:t>
      </w:r>
      <w:r w:rsidR="00BD4286" w:rsidRPr="005E651D">
        <w:rPr>
          <w:rFonts w:cstheme="minorHAnsi"/>
        </w:rPr>
        <w:t>population</w:t>
      </w:r>
      <w:r w:rsidR="00FB4D52">
        <w:rPr>
          <w:rFonts w:cstheme="minorHAnsi"/>
        </w:rPr>
        <w:t>. Fighting</w:t>
      </w:r>
      <w:r w:rsidR="00271166" w:rsidRPr="005E651D">
        <w:rPr>
          <w:rFonts w:cstheme="minorHAnsi"/>
        </w:rPr>
        <w:t xml:space="preserve"> between the</w:t>
      </w:r>
      <w:r w:rsidR="002D571B" w:rsidRPr="005E651D">
        <w:rPr>
          <w:rFonts w:cstheme="minorHAnsi"/>
        </w:rPr>
        <w:t xml:space="preserve"> ruling party, the Awami League</w:t>
      </w:r>
      <w:r w:rsidR="00271166" w:rsidRPr="005E651D">
        <w:rPr>
          <w:rFonts w:cstheme="minorHAnsi"/>
        </w:rPr>
        <w:t xml:space="preserve"> led by Prime Minister </w:t>
      </w:r>
      <w:r w:rsidR="00271166" w:rsidRPr="005E651D">
        <w:rPr>
          <w:rFonts w:cstheme="minorHAnsi"/>
        </w:rPr>
        <w:lastRenderedPageBreak/>
        <w:t xml:space="preserve">Sheikh Hasina Wazed, and the opposition party, the Bangladesh National Party (“BNP”) led by </w:t>
      </w:r>
      <w:proofErr w:type="spellStart"/>
      <w:r w:rsidR="00271166" w:rsidRPr="005E651D">
        <w:rPr>
          <w:rFonts w:cstheme="minorHAnsi"/>
        </w:rPr>
        <w:t>Khaleda</w:t>
      </w:r>
      <w:proofErr w:type="spellEnd"/>
      <w:r w:rsidR="00271166" w:rsidRPr="005E651D">
        <w:rPr>
          <w:rFonts w:cstheme="minorHAnsi"/>
        </w:rPr>
        <w:t xml:space="preserve"> Zia, </w:t>
      </w:r>
      <w:r w:rsidR="00FB4D52">
        <w:rPr>
          <w:rFonts w:cstheme="minorHAnsi"/>
        </w:rPr>
        <w:t>recently led to increased violence ahead of the</w:t>
      </w:r>
      <w:r w:rsidR="00271166" w:rsidRPr="005E651D">
        <w:rPr>
          <w:rFonts w:cstheme="minorHAnsi"/>
        </w:rPr>
        <w:t xml:space="preserve"> December 2018 national election.</w:t>
      </w:r>
      <w:r w:rsidR="00271166" w:rsidRPr="005E651D">
        <w:rPr>
          <w:rStyle w:val="FootnoteReference"/>
          <w:rFonts w:cstheme="minorHAnsi"/>
        </w:rPr>
        <w:footnoteReference w:id="7"/>
      </w:r>
      <w:r w:rsidR="00271166" w:rsidRPr="005E651D">
        <w:rPr>
          <w:rFonts w:cstheme="minorHAnsi"/>
        </w:rPr>
        <w:t xml:space="preserve"> </w:t>
      </w:r>
      <w:r w:rsidR="00B02D28" w:rsidRPr="005E651D">
        <w:rPr>
          <w:rFonts w:cstheme="minorHAnsi"/>
        </w:rPr>
        <w:t>Officers loyal to or affiliated with the Awami League</w:t>
      </w:r>
      <w:r w:rsidR="00790A02" w:rsidRPr="005E651D">
        <w:rPr>
          <w:rFonts w:cstheme="minorHAnsi"/>
        </w:rPr>
        <w:t xml:space="preserve"> </w:t>
      </w:r>
      <w:r w:rsidR="00B02D28" w:rsidRPr="005E651D">
        <w:rPr>
          <w:rFonts w:cstheme="minorHAnsi"/>
        </w:rPr>
        <w:t>continue to populate LEA top positions,</w:t>
      </w:r>
      <w:r w:rsidR="00B02D28" w:rsidRPr="005E651D">
        <w:rPr>
          <w:rStyle w:val="FootnoteReference"/>
          <w:rFonts w:cstheme="minorHAnsi"/>
          <w:szCs w:val="22"/>
        </w:rPr>
        <w:footnoteReference w:id="8"/>
      </w:r>
      <w:r w:rsidR="00B02D28" w:rsidRPr="005E651D">
        <w:rPr>
          <w:rFonts w:cstheme="minorHAnsi"/>
        </w:rPr>
        <w:t xml:space="preserve"> enabling impunity and further driving the politically</w:t>
      </w:r>
      <w:r w:rsidR="00A56C38" w:rsidRPr="005E651D">
        <w:rPr>
          <w:rFonts w:cstheme="minorHAnsi"/>
        </w:rPr>
        <w:t>-</w:t>
      </w:r>
      <w:r w:rsidR="00B02D28" w:rsidRPr="005E651D">
        <w:rPr>
          <w:rFonts w:cstheme="minorHAnsi"/>
        </w:rPr>
        <w:t xml:space="preserve">infused violations of the Convention. </w:t>
      </w:r>
      <w:r w:rsidR="00BD4185" w:rsidRPr="005E651D">
        <w:rPr>
          <w:rFonts w:cstheme="minorHAnsi"/>
        </w:rPr>
        <w:t>The incidence of these</w:t>
      </w:r>
      <w:r w:rsidR="00BD4185" w:rsidRPr="005E651D" w:rsidDel="00C439E3">
        <w:rPr>
          <w:rFonts w:cstheme="minorHAnsi"/>
        </w:rPr>
        <w:t xml:space="preserve"> </w:t>
      </w:r>
      <w:r w:rsidR="00C439E3" w:rsidRPr="005E651D">
        <w:rPr>
          <w:rFonts w:cstheme="minorHAnsi"/>
        </w:rPr>
        <w:t xml:space="preserve">violations </w:t>
      </w:r>
      <w:r w:rsidR="00BD4185" w:rsidRPr="005E651D">
        <w:rPr>
          <w:rFonts w:cstheme="minorHAnsi"/>
        </w:rPr>
        <w:t>has increased since the creation of t</w:t>
      </w:r>
      <w:r w:rsidR="00BD4185" w:rsidRPr="005E651D">
        <w:rPr>
          <w:rFonts w:cstheme="minorHAnsi"/>
          <w:szCs w:val="22"/>
        </w:rPr>
        <w:t>he</w:t>
      </w:r>
      <w:r w:rsidR="001030A2" w:rsidRPr="005E651D">
        <w:rPr>
          <w:rFonts w:cstheme="minorHAnsi"/>
          <w:szCs w:val="22"/>
        </w:rPr>
        <w:t xml:space="preserve"> Rapid Action Battalion (the “RAB”)</w:t>
      </w:r>
      <w:r w:rsidR="007B7753" w:rsidRPr="005E651D">
        <w:rPr>
          <w:rFonts w:cstheme="minorHAnsi"/>
          <w:szCs w:val="22"/>
        </w:rPr>
        <w:t xml:space="preserve"> in</w:t>
      </w:r>
      <w:r w:rsidR="002B7804" w:rsidRPr="005E651D">
        <w:rPr>
          <w:rFonts w:cstheme="minorHAnsi"/>
          <w:szCs w:val="22"/>
        </w:rPr>
        <w:t xml:space="preserve"> 2004</w:t>
      </w:r>
      <w:r w:rsidR="00003AA5" w:rsidRPr="005E651D">
        <w:rPr>
          <w:rFonts w:cstheme="minorHAnsi"/>
          <w:szCs w:val="22"/>
        </w:rPr>
        <w:t xml:space="preserve"> as</w:t>
      </w:r>
      <w:r w:rsidR="001030A2" w:rsidRPr="005E651D">
        <w:rPr>
          <w:rFonts w:cstheme="minorHAnsi"/>
          <w:szCs w:val="22"/>
        </w:rPr>
        <w:t xml:space="preserve"> an “elite” counterterrorism unit composed of members from the armed forces</w:t>
      </w:r>
      <w:r w:rsidR="00221A21" w:rsidRPr="005E651D">
        <w:rPr>
          <w:rFonts w:cstheme="minorHAnsi"/>
          <w:szCs w:val="22"/>
        </w:rPr>
        <w:t>,</w:t>
      </w:r>
      <w:r w:rsidR="001030A2" w:rsidRPr="005E651D">
        <w:rPr>
          <w:rFonts w:cstheme="minorHAnsi"/>
          <w:szCs w:val="22"/>
        </w:rPr>
        <w:t xml:space="preserve"> the police</w:t>
      </w:r>
      <w:r w:rsidR="00221A21" w:rsidRPr="005E651D">
        <w:rPr>
          <w:rFonts w:cstheme="minorHAnsi"/>
          <w:szCs w:val="22"/>
        </w:rPr>
        <w:t xml:space="preserve">, and </w:t>
      </w:r>
      <w:r w:rsidR="001030A2" w:rsidRPr="005E651D">
        <w:rPr>
          <w:rFonts w:cstheme="minorHAnsi"/>
          <w:szCs w:val="22"/>
        </w:rPr>
        <w:t>other LEAs.</w:t>
      </w:r>
      <w:r w:rsidR="001030A2" w:rsidRPr="005E651D">
        <w:rPr>
          <w:rStyle w:val="FootnoteReference"/>
          <w:rFonts w:cstheme="minorHAnsi"/>
          <w:szCs w:val="22"/>
        </w:rPr>
        <w:footnoteReference w:id="9"/>
      </w:r>
      <w:r w:rsidR="001030A2" w:rsidRPr="005E651D">
        <w:rPr>
          <w:rFonts w:cstheme="minorHAnsi"/>
          <w:szCs w:val="22"/>
        </w:rPr>
        <w:tab/>
      </w:r>
    </w:p>
    <w:p w14:paraId="6B92BEF3" w14:textId="6C403B42" w:rsidR="00B82F00" w:rsidRPr="005E651D" w:rsidRDefault="001030A2" w:rsidP="004861E3">
      <w:pPr>
        <w:pStyle w:val="BodyText"/>
        <w:rPr>
          <w:rFonts w:cstheme="minorHAnsi"/>
        </w:rPr>
      </w:pPr>
      <w:r w:rsidRPr="005E651D">
        <w:rPr>
          <w:rFonts w:cstheme="minorHAnsi"/>
          <w:szCs w:val="22"/>
        </w:rPr>
        <w:tab/>
      </w:r>
      <w:r w:rsidR="0055652B" w:rsidRPr="005E651D">
        <w:rPr>
          <w:rFonts w:cstheme="minorHAnsi"/>
        </w:rPr>
        <w:t>Both</w:t>
      </w:r>
      <w:r w:rsidR="006635F7" w:rsidRPr="005E651D">
        <w:rPr>
          <w:rFonts w:cstheme="minorHAnsi"/>
        </w:rPr>
        <w:t xml:space="preserve"> historically and </w:t>
      </w:r>
      <w:r w:rsidR="00EC3C32" w:rsidRPr="005E651D">
        <w:rPr>
          <w:rFonts w:cstheme="minorHAnsi"/>
        </w:rPr>
        <w:t xml:space="preserve">during </w:t>
      </w:r>
      <w:r w:rsidR="00271166" w:rsidRPr="005E651D">
        <w:rPr>
          <w:rFonts w:cstheme="minorHAnsi"/>
        </w:rPr>
        <w:t>the most recent election</w:t>
      </w:r>
      <w:r w:rsidR="00FA4ED2" w:rsidRPr="005E651D">
        <w:rPr>
          <w:rFonts w:cstheme="minorHAnsi"/>
        </w:rPr>
        <w:t>s</w:t>
      </w:r>
      <w:r w:rsidR="00271166" w:rsidRPr="005E651D">
        <w:rPr>
          <w:rFonts w:cstheme="minorHAnsi"/>
        </w:rPr>
        <w:t>,</w:t>
      </w:r>
      <w:r w:rsidR="00271166" w:rsidRPr="005E651D">
        <w:rPr>
          <w:rFonts w:cstheme="minorHAnsi"/>
          <w:szCs w:val="22"/>
        </w:rPr>
        <w:t xml:space="preserve"> </w:t>
      </w:r>
      <w:r w:rsidR="00B6787E" w:rsidRPr="005E651D">
        <w:rPr>
          <w:rFonts w:cstheme="minorHAnsi"/>
          <w:szCs w:val="22"/>
        </w:rPr>
        <w:t>S</w:t>
      </w:r>
      <w:r w:rsidRPr="005E651D">
        <w:rPr>
          <w:rFonts w:cstheme="minorHAnsi"/>
          <w:szCs w:val="22"/>
        </w:rPr>
        <w:t xml:space="preserve">tate actors, including </w:t>
      </w:r>
      <w:r w:rsidRPr="005E651D">
        <w:rPr>
          <w:rFonts w:cstheme="minorHAnsi"/>
        </w:rPr>
        <w:t>LEAs</w:t>
      </w:r>
      <w:r w:rsidR="00271166" w:rsidRPr="005E651D">
        <w:rPr>
          <w:rFonts w:cstheme="minorHAnsi"/>
        </w:rPr>
        <w:t xml:space="preserve">, </w:t>
      </w:r>
      <w:r w:rsidRPr="005E651D">
        <w:rPr>
          <w:rFonts w:cstheme="minorHAnsi"/>
        </w:rPr>
        <w:t xml:space="preserve">have </w:t>
      </w:r>
      <w:r w:rsidR="007005E2" w:rsidRPr="005E651D">
        <w:rPr>
          <w:rFonts w:cstheme="minorHAnsi"/>
        </w:rPr>
        <w:t>participated in the</w:t>
      </w:r>
      <w:r w:rsidR="006E59FC" w:rsidRPr="005E651D">
        <w:rPr>
          <w:rFonts w:cstheme="minorHAnsi"/>
        </w:rPr>
        <w:t xml:space="preserve"> excessive use of force</w:t>
      </w:r>
      <w:r w:rsidR="007326E4" w:rsidRPr="005E651D">
        <w:rPr>
          <w:rFonts w:cstheme="minorHAnsi"/>
        </w:rPr>
        <w:t xml:space="preserve"> against civilians</w:t>
      </w:r>
      <w:r w:rsidR="006E59FC" w:rsidRPr="005E651D">
        <w:rPr>
          <w:rFonts w:cstheme="minorHAnsi"/>
        </w:rPr>
        <w:t>, extrajudicial killing</w:t>
      </w:r>
      <w:r w:rsidR="001C523A" w:rsidRPr="005E651D">
        <w:rPr>
          <w:rFonts w:cstheme="minorHAnsi"/>
        </w:rPr>
        <w:t>s</w:t>
      </w:r>
      <w:r w:rsidR="00410A43" w:rsidRPr="005E651D">
        <w:rPr>
          <w:rFonts w:cstheme="minorHAnsi"/>
        </w:rPr>
        <w:t xml:space="preserve">, </w:t>
      </w:r>
      <w:r w:rsidR="006E59FC" w:rsidRPr="005E651D">
        <w:rPr>
          <w:rFonts w:cstheme="minorHAnsi"/>
        </w:rPr>
        <w:t xml:space="preserve">enforced disappearances, sexual violence and rape, and </w:t>
      </w:r>
      <w:r w:rsidR="00E21298" w:rsidRPr="005E651D">
        <w:rPr>
          <w:rFonts w:cstheme="minorHAnsi"/>
        </w:rPr>
        <w:t xml:space="preserve">the </w:t>
      </w:r>
      <w:r w:rsidR="0055652B" w:rsidRPr="005E651D">
        <w:rPr>
          <w:rFonts w:cstheme="minorHAnsi"/>
        </w:rPr>
        <w:t>imposition</w:t>
      </w:r>
      <w:r w:rsidR="00E21298" w:rsidRPr="005E651D">
        <w:rPr>
          <w:rFonts w:cstheme="minorHAnsi"/>
        </w:rPr>
        <w:t xml:space="preserve"> of </w:t>
      </w:r>
      <w:r w:rsidR="006E59FC" w:rsidRPr="005E651D">
        <w:rPr>
          <w:rFonts w:cstheme="minorHAnsi"/>
        </w:rPr>
        <w:t>inadequate prison conditions</w:t>
      </w:r>
      <w:r w:rsidR="00B6787E" w:rsidRPr="005E651D">
        <w:rPr>
          <w:rFonts w:cstheme="minorHAnsi"/>
        </w:rPr>
        <w:t>.</w:t>
      </w:r>
      <w:r w:rsidR="006E59FC" w:rsidRPr="005E651D">
        <w:rPr>
          <w:rFonts w:cstheme="minorHAnsi"/>
        </w:rPr>
        <w:t xml:space="preserve"> </w:t>
      </w:r>
      <w:r w:rsidR="00B6787E" w:rsidRPr="005E651D">
        <w:rPr>
          <w:rFonts w:cstheme="minorHAnsi"/>
        </w:rPr>
        <w:t>A</w:t>
      </w:r>
      <w:r w:rsidR="006E59FC" w:rsidRPr="005E651D">
        <w:rPr>
          <w:rFonts w:cstheme="minorHAnsi"/>
        </w:rPr>
        <w:t>ll of</w:t>
      </w:r>
      <w:r w:rsidR="00B6787E" w:rsidRPr="005E651D">
        <w:rPr>
          <w:rFonts w:cstheme="minorHAnsi"/>
        </w:rPr>
        <w:t xml:space="preserve"> these acts have </w:t>
      </w:r>
      <w:r w:rsidR="00D71474" w:rsidRPr="005E651D">
        <w:rPr>
          <w:rFonts w:cstheme="minorHAnsi"/>
        </w:rPr>
        <w:t xml:space="preserve">previously </w:t>
      </w:r>
      <w:r w:rsidR="006E59FC" w:rsidRPr="005E651D">
        <w:rPr>
          <w:rFonts w:cstheme="minorHAnsi"/>
        </w:rPr>
        <w:t xml:space="preserve">been </w:t>
      </w:r>
      <w:r w:rsidR="001C523A" w:rsidRPr="005E651D">
        <w:rPr>
          <w:rFonts w:cstheme="minorHAnsi"/>
        </w:rPr>
        <w:t>denounced</w:t>
      </w:r>
      <w:r w:rsidR="00B325A5" w:rsidRPr="005E651D">
        <w:rPr>
          <w:rFonts w:cstheme="minorHAnsi"/>
        </w:rPr>
        <w:t xml:space="preserve"> </w:t>
      </w:r>
      <w:r w:rsidR="006E59FC" w:rsidRPr="005E651D">
        <w:rPr>
          <w:rFonts w:cstheme="minorHAnsi"/>
        </w:rPr>
        <w:t xml:space="preserve">by </w:t>
      </w:r>
      <w:r w:rsidR="00790A02" w:rsidRPr="005E651D">
        <w:rPr>
          <w:rFonts w:cstheme="minorHAnsi"/>
        </w:rPr>
        <w:t xml:space="preserve">the </w:t>
      </w:r>
      <w:r w:rsidR="006E59FC" w:rsidRPr="005E651D">
        <w:rPr>
          <w:rFonts w:cstheme="minorHAnsi"/>
        </w:rPr>
        <w:t>CAT</w:t>
      </w:r>
      <w:r w:rsidR="00161D0C" w:rsidRPr="005E651D">
        <w:rPr>
          <w:rFonts w:cstheme="minorHAnsi"/>
        </w:rPr>
        <w:t xml:space="preserve"> in </w:t>
      </w:r>
      <w:r w:rsidR="00DB0ECD" w:rsidRPr="005E651D">
        <w:rPr>
          <w:rFonts w:cstheme="minorHAnsi"/>
        </w:rPr>
        <w:t>State p</w:t>
      </w:r>
      <w:r w:rsidR="00B17659" w:rsidRPr="005E651D">
        <w:rPr>
          <w:rFonts w:cstheme="minorHAnsi"/>
        </w:rPr>
        <w:t>arty</w:t>
      </w:r>
      <w:r w:rsidR="00161D0C" w:rsidRPr="005E651D">
        <w:rPr>
          <w:rFonts w:cstheme="minorHAnsi"/>
        </w:rPr>
        <w:t xml:space="preserve"> reviews</w:t>
      </w:r>
      <w:r w:rsidR="006E59FC" w:rsidRPr="005E651D">
        <w:rPr>
          <w:rFonts w:cstheme="minorHAnsi"/>
        </w:rPr>
        <w:t>.</w:t>
      </w:r>
      <w:r w:rsidR="002D571B" w:rsidRPr="005E651D">
        <w:rPr>
          <w:rFonts w:cstheme="minorHAnsi"/>
        </w:rPr>
        <w:t xml:space="preserve"> </w:t>
      </w:r>
      <w:r w:rsidR="007E2D70" w:rsidRPr="005E651D">
        <w:rPr>
          <w:rFonts w:cstheme="minorHAnsi"/>
        </w:rPr>
        <w:t>Concerningly, these attacks frequently target human rights defenders, journalists, political opponents, and student activists</w:t>
      </w:r>
      <w:r w:rsidR="00477E91" w:rsidRPr="005E651D">
        <w:rPr>
          <w:rFonts w:cstheme="minorHAnsi"/>
        </w:rPr>
        <w:t xml:space="preserve">, </w:t>
      </w:r>
      <w:r w:rsidR="004C1E59" w:rsidRPr="005E651D">
        <w:rPr>
          <w:rFonts w:cstheme="minorHAnsi"/>
        </w:rPr>
        <w:t>with the effect of</w:t>
      </w:r>
      <w:r w:rsidR="009437FB" w:rsidRPr="005E651D">
        <w:rPr>
          <w:rFonts w:cstheme="minorHAnsi"/>
        </w:rPr>
        <w:t xml:space="preserve"> </w:t>
      </w:r>
      <w:r w:rsidR="004C1E59" w:rsidRPr="005E651D">
        <w:rPr>
          <w:rFonts w:cstheme="minorHAnsi"/>
        </w:rPr>
        <w:t>suppressing</w:t>
      </w:r>
      <w:r w:rsidR="00477E91" w:rsidRPr="005E651D">
        <w:rPr>
          <w:rFonts w:cstheme="minorHAnsi"/>
        </w:rPr>
        <w:t xml:space="preserve"> freedom</w:t>
      </w:r>
      <w:r w:rsidR="00410A43" w:rsidRPr="005E651D">
        <w:rPr>
          <w:rFonts w:cstheme="minorHAnsi"/>
        </w:rPr>
        <w:t>s</w:t>
      </w:r>
      <w:r w:rsidR="00477E91" w:rsidRPr="005E651D">
        <w:rPr>
          <w:rFonts w:cstheme="minorHAnsi"/>
        </w:rPr>
        <w:t xml:space="preserve"> of speech, assembly, and association</w:t>
      </w:r>
      <w:r w:rsidR="006D267B" w:rsidRPr="005E651D">
        <w:rPr>
          <w:rFonts w:cstheme="minorHAnsi"/>
        </w:rPr>
        <w:t xml:space="preserve"> in Bangladesh</w:t>
      </w:r>
      <w:r w:rsidR="00477E91" w:rsidRPr="005E651D">
        <w:rPr>
          <w:rFonts w:cstheme="minorHAnsi"/>
        </w:rPr>
        <w:t>.</w:t>
      </w:r>
      <w:r w:rsidR="002D571B" w:rsidRPr="005E651D">
        <w:rPr>
          <w:rFonts w:cstheme="minorHAnsi"/>
        </w:rPr>
        <w:t xml:space="preserve"> </w:t>
      </w:r>
      <w:r w:rsidR="00281CA8" w:rsidRPr="005E651D">
        <w:rPr>
          <w:rFonts w:cstheme="minorHAnsi"/>
        </w:rPr>
        <w:t>This report</w:t>
      </w:r>
      <w:r w:rsidR="00D71474" w:rsidRPr="005E651D">
        <w:rPr>
          <w:rFonts w:cstheme="minorHAnsi"/>
        </w:rPr>
        <w:t xml:space="preserve"> provides</w:t>
      </w:r>
      <w:r w:rsidR="00281CA8" w:rsidRPr="005E651D">
        <w:rPr>
          <w:rFonts w:cstheme="minorHAnsi"/>
        </w:rPr>
        <w:t xml:space="preserve"> information on and examples of these violations of the Convention</w:t>
      </w:r>
      <w:r w:rsidR="00B26824" w:rsidRPr="005E651D">
        <w:rPr>
          <w:rFonts w:cstheme="minorHAnsi"/>
        </w:rPr>
        <w:t>,</w:t>
      </w:r>
      <w:r w:rsidR="00B17659" w:rsidRPr="005E651D">
        <w:rPr>
          <w:rFonts w:cstheme="minorHAnsi"/>
        </w:rPr>
        <w:t xml:space="preserve"> and </w:t>
      </w:r>
      <w:r w:rsidR="00B26824" w:rsidRPr="005E651D">
        <w:rPr>
          <w:rFonts w:cstheme="minorHAnsi"/>
        </w:rPr>
        <w:t xml:space="preserve">in turn </w:t>
      </w:r>
      <w:r w:rsidR="00B17659" w:rsidRPr="005E651D">
        <w:rPr>
          <w:rFonts w:cstheme="minorHAnsi"/>
        </w:rPr>
        <w:t xml:space="preserve">illustrates </w:t>
      </w:r>
      <w:r w:rsidR="00B26824" w:rsidRPr="005E651D">
        <w:rPr>
          <w:rFonts w:cstheme="minorHAnsi"/>
        </w:rPr>
        <w:t>Bangladesh’s numerous</w:t>
      </w:r>
      <w:r w:rsidR="00B17659" w:rsidRPr="005E651D">
        <w:rPr>
          <w:rFonts w:cstheme="minorHAnsi"/>
        </w:rPr>
        <w:t xml:space="preserve"> violations </w:t>
      </w:r>
      <w:r w:rsidR="00B26824" w:rsidRPr="005E651D">
        <w:rPr>
          <w:rFonts w:cstheme="minorHAnsi"/>
        </w:rPr>
        <w:t>of its obligations under</w:t>
      </w:r>
      <w:r w:rsidR="00B17659" w:rsidRPr="005E651D">
        <w:rPr>
          <w:rFonts w:cstheme="minorHAnsi"/>
        </w:rPr>
        <w:t xml:space="preserve"> the Convention</w:t>
      </w:r>
      <w:r w:rsidR="004861E3" w:rsidRPr="005E651D">
        <w:rPr>
          <w:rFonts w:cstheme="minorHAnsi"/>
        </w:rPr>
        <w:t>.</w:t>
      </w:r>
      <w:r w:rsidR="00B26824" w:rsidRPr="005E651D">
        <w:rPr>
          <w:rFonts w:cstheme="minorHAnsi"/>
        </w:rPr>
        <w:t xml:space="preserve"> </w:t>
      </w:r>
    </w:p>
    <w:p w14:paraId="4E832E12" w14:textId="7F5723F4" w:rsidR="00E5518A" w:rsidRPr="005E651D" w:rsidRDefault="00E45756" w:rsidP="00B827ED">
      <w:pPr>
        <w:pStyle w:val="BodyTextFirstIndent"/>
        <w:ind w:firstLine="720"/>
        <w:rPr>
          <w:rFonts w:cstheme="minorHAnsi"/>
          <w:szCs w:val="22"/>
        </w:rPr>
      </w:pPr>
      <w:r w:rsidRPr="005E651D">
        <w:rPr>
          <w:rFonts w:cstheme="minorHAnsi"/>
        </w:rPr>
        <w:t>Building upon the information and examples provided below,</w:t>
      </w:r>
      <w:r w:rsidR="00B6199E" w:rsidRPr="005E651D">
        <w:rPr>
          <w:rFonts w:cstheme="minorHAnsi"/>
        </w:rPr>
        <w:t xml:space="preserve"> at the end of this report, we provide a series of recommendations for the Government of Bangladesh</w:t>
      </w:r>
      <w:r w:rsidR="009128C8" w:rsidRPr="005E651D">
        <w:rPr>
          <w:rFonts w:cstheme="minorHAnsi"/>
        </w:rPr>
        <w:t xml:space="preserve">, for the purpose of </w:t>
      </w:r>
      <w:r w:rsidR="00B6199E" w:rsidRPr="005E651D">
        <w:rPr>
          <w:rFonts w:cstheme="minorHAnsi"/>
        </w:rPr>
        <w:t>curb</w:t>
      </w:r>
      <w:r w:rsidR="009128C8" w:rsidRPr="005E651D">
        <w:rPr>
          <w:rFonts w:cstheme="minorHAnsi"/>
        </w:rPr>
        <w:t>ing</w:t>
      </w:r>
      <w:r w:rsidR="00B6199E" w:rsidRPr="005E651D">
        <w:rPr>
          <w:rFonts w:cstheme="minorHAnsi"/>
        </w:rPr>
        <w:t xml:space="preserve"> instances of torture and ill treatment in the country and </w:t>
      </w:r>
      <w:r w:rsidR="009128C8" w:rsidRPr="005E651D">
        <w:rPr>
          <w:rFonts w:cstheme="minorHAnsi"/>
        </w:rPr>
        <w:t>assisting</w:t>
      </w:r>
      <w:r w:rsidR="00B6199E" w:rsidRPr="005E651D">
        <w:rPr>
          <w:rFonts w:cstheme="minorHAnsi"/>
        </w:rPr>
        <w:t xml:space="preserve"> the Government in complying with its obligations under the Convention.</w:t>
      </w:r>
    </w:p>
    <w:p w14:paraId="10054353" w14:textId="2477E4AE" w:rsidR="00D04EC5" w:rsidRPr="005E651D" w:rsidRDefault="00092FB3" w:rsidP="00D04EC5">
      <w:pPr>
        <w:pStyle w:val="Heading1"/>
        <w:rPr>
          <w:rFonts w:asciiTheme="minorHAnsi" w:hAnsiTheme="minorHAnsi" w:cstheme="minorHAnsi"/>
        </w:rPr>
      </w:pPr>
      <w:bookmarkStart w:id="6" w:name="_Toc11053833"/>
      <w:bookmarkStart w:id="7" w:name="_Toc11879526"/>
      <w:bookmarkStart w:id="8" w:name="_Toc11883187"/>
      <w:bookmarkStart w:id="9" w:name="_Toc11922665"/>
      <w:bookmarkStart w:id="10" w:name="_Toc11945106"/>
      <w:r w:rsidRPr="005E651D">
        <w:rPr>
          <w:rFonts w:asciiTheme="minorHAnsi" w:hAnsiTheme="minorHAnsi" w:cstheme="minorHAnsi"/>
        </w:rPr>
        <w:t xml:space="preserve">Structural Violations of the Convention </w:t>
      </w:r>
      <w:proofErr w:type="gramStart"/>
      <w:r w:rsidRPr="005E651D">
        <w:rPr>
          <w:rFonts w:asciiTheme="minorHAnsi" w:hAnsiTheme="minorHAnsi" w:cstheme="minorHAnsi"/>
        </w:rPr>
        <w:t>Against</w:t>
      </w:r>
      <w:proofErr w:type="gramEnd"/>
      <w:r w:rsidRPr="005E651D">
        <w:rPr>
          <w:rFonts w:asciiTheme="minorHAnsi" w:hAnsiTheme="minorHAnsi" w:cstheme="minorHAnsi"/>
        </w:rPr>
        <w:t xml:space="preserve"> Torture</w:t>
      </w:r>
      <w:bookmarkEnd w:id="6"/>
      <w:bookmarkEnd w:id="7"/>
      <w:bookmarkEnd w:id="8"/>
      <w:bookmarkEnd w:id="9"/>
      <w:bookmarkEnd w:id="10"/>
    </w:p>
    <w:p w14:paraId="34F4892A" w14:textId="6056EB37" w:rsidR="00602F2B" w:rsidRPr="005E651D" w:rsidRDefault="00D04EC5" w:rsidP="00287964">
      <w:pPr>
        <w:rPr>
          <w:rFonts w:cstheme="minorHAnsi"/>
          <w:szCs w:val="22"/>
        </w:rPr>
      </w:pPr>
      <w:r w:rsidRPr="005E651D">
        <w:rPr>
          <w:rFonts w:cstheme="minorHAnsi"/>
          <w:szCs w:val="22"/>
        </w:rPr>
        <w:tab/>
      </w:r>
      <w:r w:rsidR="00602F2B" w:rsidRPr="005E651D">
        <w:rPr>
          <w:rFonts w:cstheme="minorHAnsi"/>
          <w:szCs w:val="22"/>
        </w:rPr>
        <w:t>Pursuant to Article 2(1)</w:t>
      </w:r>
      <w:r w:rsidR="007A2D1F" w:rsidRPr="005E651D">
        <w:rPr>
          <w:rFonts w:cstheme="minorHAnsi"/>
          <w:szCs w:val="22"/>
        </w:rPr>
        <w:t xml:space="preserve"> of the Convention</w:t>
      </w:r>
      <w:r w:rsidR="0087517C" w:rsidRPr="005E651D">
        <w:rPr>
          <w:rFonts w:cstheme="minorHAnsi"/>
          <w:szCs w:val="22"/>
        </w:rPr>
        <w:t xml:space="preserve">, the Government </w:t>
      </w:r>
      <w:r w:rsidR="00602F2B" w:rsidRPr="005E651D">
        <w:rPr>
          <w:rFonts w:cstheme="minorHAnsi"/>
          <w:szCs w:val="22"/>
        </w:rPr>
        <w:t xml:space="preserve">is obligated to “take effective legislative, administrative, judicial or other measures to prevent acts of torture in any territory under its jurisdiction.” Although the Government has </w:t>
      </w:r>
      <w:r w:rsidR="00B827ED" w:rsidRPr="005E651D">
        <w:rPr>
          <w:rFonts w:cstheme="minorHAnsi"/>
          <w:szCs w:val="22"/>
        </w:rPr>
        <w:t xml:space="preserve">undertaken some </w:t>
      </w:r>
      <w:r w:rsidR="00602F2B" w:rsidRPr="005E651D">
        <w:rPr>
          <w:rFonts w:cstheme="minorHAnsi"/>
          <w:szCs w:val="22"/>
        </w:rPr>
        <w:t xml:space="preserve">efforts to codify </w:t>
      </w:r>
      <w:r w:rsidR="00AA1191" w:rsidRPr="005E651D">
        <w:rPr>
          <w:rFonts w:cstheme="minorHAnsi"/>
          <w:szCs w:val="22"/>
        </w:rPr>
        <w:t>some</w:t>
      </w:r>
      <w:r w:rsidR="00602F2B" w:rsidRPr="005E651D">
        <w:rPr>
          <w:rFonts w:cstheme="minorHAnsi"/>
          <w:szCs w:val="22"/>
        </w:rPr>
        <w:t xml:space="preserve"> </w:t>
      </w:r>
      <w:r w:rsidR="00B1566E" w:rsidRPr="005E651D">
        <w:rPr>
          <w:rFonts w:cstheme="minorHAnsi"/>
          <w:szCs w:val="22"/>
        </w:rPr>
        <w:t>of its</w:t>
      </w:r>
      <w:r w:rsidR="00602F2B" w:rsidRPr="005E651D">
        <w:rPr>
          <w:rFonts w:cstheme="minorHAnsi"/>
          <w:szCs w:val="22"/>
        </w:rPr>
        <w:t xml:space="preserve"> obligations under the Convention, in practice, the Government has fallen far short in implementing and ensuring </w:t>
      </w:r>
      <w:r w:rsidR="00B827ED" w:rsidRPr="005E651D">
        <w:rPr>
          <w:rFonts w:cstheme="minorHAnsi"/>
          <w:szCs w:val="22"/>
        </w:rPr>
        <w:t>compliance with the Convention.</w:t>
      </w:r>
    </w:p>
    <w:p w14:paraId="6385B176" w14:textId="1AF5E66B" w:rsidR="003D1AAF" w:rsidRPr="005E651D" w:rsidRDefault="003D1AAF" w:rsidP="00287964">
      <w:pPr>
        <w:rPr>
          <w:rFonts w:cstheme="minorHAnsi"/>
          <w:szCs w:val="22"/>
        </w:rPr>
      </w:pPr>
    </w:p>
    <w:p w14:paraId="243EEB13" w14:textId="10E74CEE" w:rsidR="00602F2B" w:rsidRPr="005E651D" w:rsidRDefault="007D2A79" w:rsidP="00287964">
      <w:pPr>
        <w:pStyle w:val="Heading2"/>
        <w:rPr>
          <w:rFonts w:asciiTheme="minorHAnsi" w:hAnsiTheme="minorHAnsi" w:cstheme="minorHAnsi"/>
        </w:rPr>
      </w:pPr>
      <w:bookmarkStart w:id="11" w:name="_Toc11053834"/>
      <w:bookmarkStart w:id="12" w:name="_Toc11879527"/>
      <w:bookmarkStart w:id="13" w:name="_Toc11883188"/>
      <w:bookmarkStart w:id="14" w:name="_Toc11922666"/>
      <w:bookmarkStart w:id="15" w:name="_Toc11945107"/>
      <w:r w:rsidRPr="005E651D">
        <w:rPr>
          <w:rFonts w:asciiTheme="minorHAnsi" w:hAnsiTheme="minorHAnsi" w:cstheme="minorHAnsi"/>
        </w:rPr>
        <w:lastRenderedPageBreak/>
        <w:t xml:space="preserve">Shortcomings </w:t>
      </w:r>
      <w:r w:rsidR="004B4FFA" w:rsidRPr="005E651D">
        <w:rPr>
          <w:rFonts w:asciiTheme="minorHAnsi" w:hAnsiTheme="minorHAnsi" w:cstheme="minorHAnsi"/>
        </w:rPr>
        <w:t xml:space="preserve">in the Implementation </w:t>
      </w:r>
      <w:r w:rsidRPr="005E651D">
        <w:rPr>
          <w:rFonts w:asciiTheme="minorHAnsi" w:hAnsiTheme="minorHAnsi" w:cstheme="minorHAnsi"/>
        </w:rPr>
        <w:t>of the Torture and Custodial Death (Prevention) Act of 2013</w:t>
      </w:r>
      <w:bookmarkEnd w:id="11"/>
      <w:bookmarkEnd w:id="12"/>
      <w:bookmarkEnd w:id="13"/>
      <w:bookmarkEnd w:id="14"/>
      <w:bookmarkEnd w:id="15"/>
    </w:p>
    <w:p w14:paraId="23FF6D82" w14:textId="72B42E18" w:rsidR="00A93BE7" w:rsidRPr="005E651D" w:rsidRDefault="00602F2B" w:rsidP="00287964">
      <w:pPr>
        <w:rPr>
          <w:rFonts w:cstheme="minorHAnsi"/>
          <w:szCs w:val="22"/>
        </w:rPr>
      </w:pPr>
      <w:r w:rsidRPr="005E651D">
        <w:rPr>
          <w:rFonts w:cstheme="minorHAnsi"/>
          <w:szCs w:val="22"/>
        </w:rPr>
        <w:tab/>
      </w:r>
      <w:r w:rsidR="006A5ABE" w:rsidRPr="005E651D">
        <w:rPr>
          <w:rFonts w:cstheme="minorHAnsi"/>
          <w:szCs w:val="22"/>
        </w:rPr>
        <w:t>While</w:t>
      </w:r>
      <w:r w:rsidR="00A07080" w:rsidRPr="005E651D">
        <w:rPr>
          <w:rFonts w:cstheme="minorHAnsi"/>
          <w:szCs w:val="22"/>
        </w:rPr>
        <w:t xml:space="preserve"> the </w:t>
      </w:r>
      <w:r w:rsidR="00A21E9F" w:rsidRPr="005E651D">
        <w:rPr>
          <w:rFonts w:cstheme="minorHAnsi"/>
          <w:szCs w:val="22"/>
        </w:rPr>
        <w:t xml:space="preserve">Constitution of Bangladesh </w:t>
      </w:r>
      <w:r w:rsidR="00A07080" w:rsidRPr="005E651D">
        <w:rPr>
          <w:rFonts w:cstheme="minorHAnsi"/>
          <w:szCs w:val="22"/>
        </w:rPr>
        <w:t xml:space="preserve">first </w:t>
      </w:r>
      <w:r w:rsidR="00A21E9F" w:rsidRPr="005E651D">
        <w:rPr>
          <w:rFonts w:cstheme="minorHAnsi"/>
          <w:szCs w:val="22"/>
        </w:rPr>
        <w:t xml:space="preserve">introduced the word “torture” into the </w:t>
      </w:r>
      <w:r w:rsidR="00D04EC5" w:rsidRPr="005E651D">
        <w:rPr>
          <w:rFonts w:cstheme="minorHAnsi"/>
          <w:szCs w:val="22"/>
        </w:rPr>
        <w:t>country’s legal canon</w:t>
      </w:r>
      <w:r w:rsidR="009915B0" w:rsidRPr="005E651D">
        <w:rPr>
          <w:rFonts w:cstheme="minorHAnsi"/>
          <w:szCs w:val="22"/>
        </w:rPr>
        <w:t xml:space="preserve"> in 1972</w:t>
      </w:r>
      <w:r w:rsidR="00A21E9F" w:rsidRPr="005E651D">
        <w:rPr>
          <w:rFonts w:cstheme="minorHAnsi"/>
          <w:szCs w:val="22"/>
        </w:rPr>
        <w:t>,</w:t>
      </w:r>
      <w:r w:rsidR="00A21E9F" w:rsidRPr="005E651D">
        <w:rPr>
          <w:rStyle w:val="FootnoteReference"/>
          <w:rFonts w:cstheme="minorHAnsi"/>
          <w:szCs w:val="22"/>
        </w:rPr>
        <w:footnoteReference w:id="10"/>
      </w:r>
      <w:r w:rsidR="00A21E9F" w:rsidRPr="005E651D">
        <w:rPr>
          <w:rFonts w:cstheme="minorHAnsi"/>
          <w:szCs w:val="22"/>
        </w:rPr>
        <w:t xml:space="preserve"> </w:t>
      </w:r>
      <w:r w:rsidR="00A17BAC" w:rsidRPr="005E651D">
        <w:rPr>
          <w:rFonts w:cstheme="minorHAnsi"/>
          <w:szCs w:val="22"/>
        </w:rPr>
        <w:t>“</w:t>
      </w:r>
      <w:r w:rsidR="00A21E9F" w:rsidRPr="005E651D">
        <w:rPr>
          <w:rFonts w:cstheme="minorHAnsi"/>
          <w:szCs w:val="22"/>
        </w:rPr>
        <w:t>torture</w:t>
      </w:r>
      <w:r w:rsidR="00A17BAC" w:rsidRPr="005E651D">
        <w:rPr>
          <w:rFonts w:cstheme="minorHAnsi"/>
          <w:szCs w:val="22"/>
        </w:rPr>
        <w:t>” was not defined</w:t>
      </w:r>
      <w:r w:rsidR="00A21E9F" w:rsidRPr="005E651D">
        <w:rPr>
          <w:rFonts w:cstheme="minorHAnsi"/>
          <w:szCs w:val="22"/>
        </w:rPr>
        <w:t xml:space="preserve"> </w:t>
      </w:r>
      <w:r w:rsidR="003103A9" w:rsidRPr="005E651D">
        <w:rPr>
          <w:rFonts w:cstheme="minorHAnsi"/>
          <w:szCs w:val="22"/>
        </w:rPr>
        <w:t>in Bangladesh</w:t>
      </w:r>
      <w:r w:rsidR="005A4B9F" w:rsidRPr="005E651D">
        <w:rPr>
          <w:rFonts w:cstheme="minorHAnsi"/>
          <w:szCs w:val="22"/>
        </w:rPr>
        <w:t>i</w:t>
      </w:r>
      <w:r w:rsidR="003103A9" w:rsidRPr="005E651D">
        <w:rPr>
          <w:rFonts w:cstheme="minorHAnsi"/>
          <w:szCs w:val="22"/>
        </w:rPr>
        <w:t xml:space="preserve"> law </w:t>
      </w:r>
      <w:r w:rsidR="00A21E9F" w:rsidRPr="005E651D">
        <w:rPr>
          <w:rFonts w:cstheme="minorHAnsi"/>
          <w:szCs w:val="22"/>
        </w:rPr>
        <w:t xml:space="preserve">until the </w:t>
      </w:r>
      <w:r w:rsidR="00614DD3" w:rsidRPr="005E651D">
        <w:rPr>
          <w:rFonts w:cstheme="minorHAnsi"/>
          <w:szCs w:val="22"/>
        </w:rPr>
        <w:t xml:space="preserve">2013 passage </w:t>
      </w:r>
      <w:r w:rsidR="00A21E9F" w:rsidRPr="005E651D">
        <w:rPr>
          <w:rFonts w:cstheme="minorHAnsi"/>
          <w:szCs w:val="22"/>
        </w:rPr>
        <w:t>of the Torture and Custodial Death (Prevention) Act</w:t>
      </w:r>
      <w:r w:rsidR="00B17659" w:rsidRPr="005E651D">
        <w:rPr>
          <w:rFonts w:cstheme="minorHAnsi"/>
          <w:szCs w:val="22"/>
        </w:rPr>
        <w:t xml:space="preserve"> (the “Act”)</w:t>
      </w:r>
      <w:r w:rsidR="0035533C" w:rsidRPr="005E651D">
        <w:rPr>
          <w:rFonts w:cstheme="minorHAnsi"/>
          <w:szCs w:val="22"/>
        </w:rPr>
        <w:t xml:space="preserve">. </w:t>
      </w:r>
      <w:r w:rsidR="00A07080" w:rsidRPr="005E651D">
        <w:rPr>
          <w:rFonts w:cstheme="minorHAnsi"/>
          <w:szCs w:val="22"/>
        </w:rPr>
        <w:t xml:space="preserve">The </w:t>
      </w:r>
      <w:r w:rsidR="00B17659" w:rsidRPr="005E651D">
        <w:rPr>
          <w:rFonts w:cstheme="minorHAnsi"/>
          <w:szCs w:val="22"/>
        </w:rPr>
        <w:t>Act</w:t>
      </w:r>
      <w:r w:rsidR="00A07080" w:rsidRPr="005E651D">
        <w:rPr>
          <w:rFonts w:cstheme="minorHAnsi"/>
          <w:szCs w:val="22"/>
        </w:rPr>
        <w:t xml:space="preserve"> was</w:t>
      </w:r>
      <w:r w:rsidR="00A21E9F" w:rsidRPr="005E651D">
        <w:rPr>
          <w:rFonts w:cstheme="minorHAnsi"/>
          <w:szCs w:val="22"/>
        </w:rPr>
        <w:t xml:space="preserve"> enacted expressly for the purpose of implementing Bangladesh’s obligations as a signatory to the Convention</w:t>
      </w:r>
      <w:r w:rsidR="00A82F67" w:rsidRPr="005E651D">
        <w:rPr>
          <w:rFonts w:cstheme="minorHAnsi"/>
          <w:szCs w:val="22"/>
        </w:rPr>
        <w:t xml:space="preserve"> and </w:t>
      </w:r>
      <w:r w:rsidR="00F90A0B" w:rsidRPr="005E651D">
        <w:rPr>
          <w:rFonts w:cstheme="minorHAnsi"/>
          <w:szCs w:val="22"/>
        </w:rPr>
        <w:t xml:space="preserve">adopted a definition of “torture” that largely </w:t>
      </w:r>
      <w:r w:rsidR="00300DA2" w:rsidRPr="005E651D">
        <w:rPr>
          <w:rFonts w:cstheme="minorHAnsi"/>
          <w:szCs w:val="22"/>
        </w:rPr>
        <w:t xml:space="preserve">follows </w:t>
      </w:r>
      <w:r w:rsidR="00F90A0B" w:rsidRPr="005E651D">
        <w:rPr>
          <w:rFonts w:cstheme="minorHAnsi"/>
          <w:szCs w:val="22"/>
        </w:rPr>
        <w:t>Article 1 of the Convention</w:t>
      </w:r>
      <w:r w:rsidR="007A261F" w:rsidRPr="005E651D">
        <w:rPr>
          <w:rFonts w:cstheme="minorHAnsi"/>
          <w:szCs w:val="22"/>
        </w:rPr>
        <w:t>.</w:t>
      </w:r>
      <w:r w:rsidR="00051A3C" w:rsidRPr="005E651D">
        <w:rPr>
          <w:rStyle w:val="FootnoteReference"/>
          <w:rFonts w:cstheme="minorHAnsi"/>
          <w:szCs w:val="22"/>
        </w:rPr>
        <w:footnoteReference w:id="11"/>
      </w:r>
      <w:r w:rsidR="0035533C" w:rsidRPr="005E651D">
        <w:rPr>
          <w:rFonts w:cstheme="minorHAnsi"/>
          <w:szCs w:val="22"/>
        </w:rPr>
        <w:t xml:space="preserve"> </w:t>
      </w:r>
      <w:r w:rsidR="006A5ABE" w:rsidRPr="005E651D">
        <w:rPr>
          <w:rFonts w:cstheme="minorHAnsi"/>
          <w:szCs w:val="22"/>
        </w:rPr>
        <w:t>Since its enactment,</w:t>
      </w:r>
      <w:r w:rsidR="00343456" w:rsidRPr="005E651D">
        <w:rPr>
          <w:rFonts w:cstheme="minorHAnsi"/>
          <w:szCs w:val="22"/>
        </w:rPr>
        <w:t xml:space="preserve"> however,</w:t>
      </w:r>
      <w:r w:rsidR="006A5ABE" w:rsidRPr="005E651D">
        <w:rPr>
          <w:rFonts w:cstheme="minorHAnsi"/>
          <w:szCs w:val="22"/>
        </w:rPr>
        <w:t xml:space="preserve"> security forces </w:t>
      </w:r>
      <w:r w:rsidR="00FC7CC2" w:rsidRPr="005E651D">
        <w:rPr>
          <w:rFonts w:cstheme="minorHAnsi"/>
          <w:szCs w:val="22"/>
        </w:rPr>
        <w:t>have</w:t>
      </w:r>
      <w:r w:rsidR="00D54B75" w:rsidRPr="005E651D">
        <w:rPr>
          <w:rFonts w:cstheme="minorHAnsi"/>
          <w:szCs w:val="22"/>
        </w:rPr>
        <w:t xml:space="preserve"> </w:t>
      </w:r>
      <w:r w:rsidR="00FC7CC2" w:rsidRPr="005E651D">
        <w:rPr>
          <w:rFonts w:cstheme="minorHAnsi"/>
          <w:szCs w:val="22"/>
        </w:rPr>
        <w:t>sought to</w:t>
      </w:r>
      <w:r w:rsidR="00031C26" w:rsidRPr="005E651D">
        <w:rPr>
          <w:rFonts w:cstheme="minorHAnsi"/>
          <w:szCs w:val="22"/>
        </w:rPr>
        <w:t xml:space="preserve"> limit the Act’</w:t>
      </w:r>
      <w:r w:rsidR="002908D1" w:rsidRPr="005E651D">
        <w:rPr>
          <w:rFonts w:cstheme="minorHAnsi"/>
          <w:szCs w:val="22"/>
        </w:rPr>
        <w:t>s applicability</w:t>
      </w:r>
      <w:r w:rsidR="006A5ABE" w:rsidRPr="005E651D">
        <w:rPr>
          <w:rFonts w:cstheme="minorHAnsi"/>
          <w:szCs w:val="22"/>
        </w:rPr>
        <w:t>, such as by lobbying for the removal of certain entities from the definition of “law enforcement agency”</w:t>
      </w:r>
      <w:r w:rsidR="00307604" w:rsidRPr="005E651D">
        <w:rPr>
          <w:rFonts w:cstheme="minorHAnsi"/>
          <w:szCs w:val="22"/>
        </w:rPr>
        <w:t>—</w:t>
      </w:r>
      <w:r w:rsidR="002B1401" w:rsidRPr="005E651D">
        <w:rPr>
          <w:rFonts w:cstheme="minorHAnsi"/>
          <w:szCs w:val="22"/>
        </w:rPr>
        <w:t>namely,</w:t>
      </w:r>
      <w:r w:rsidR="00D20E83" w:rsidRPr="005E651D">
        <w:rPr>
          <w:rFonts w:cstheme="minorHAnsi"/>
          <w:szCs w:val="22"/>
        </w:rPr>
        <w:t xml:space="preserve"> </w:t>
      </w:r>
      <w:r w:rsidR="008B513D" w:rsidRPr="005E651D">
        <w:rPr>
          <w:rFonts w:cstheme="minorHAnsi"/>
          <w:szCs w:val="22"/>
        </w:rPr>
        <w:t xml:space="preserve">removal of the </w:t>
      </w:r>
      <w:r w:rsidR="00307604" w:rsidRPr="005E651D">
        <w:rPr>
          <w:rFonts w:cstheme="minorHAnsi"/>
          <w:szCs w:val="22"/>
        </w:rPr>
        <w:t>RAB</w:t>
      </w:r>
      <w:r w:rsidR="00FC7CC2" w:rsidRPr="005E651D">
        <w:rPr>
          <w:rFonts w:cstheme="minorHAnsi"/>
          <w:szCs w:val="22"/>
        </w:rPr>
        <w:t>,</w:t>
      </w:r>
      <w:r w:rsidR="008B513D" w:rsidRPr="005E651D">
        <w:rPr>
          <w:rFonts w:cstheme="minorHAnsi"/>
          <w:szCs w:val="22"/>
        </w:rPr>
        <w:t xml:space="preserve"> the </w:t>
      </w:r>
      <w:r w:rsidR="00FC7CC2" w:rsidRPr="005E651D">
        <w:rPr>
          <w:rFonts w:cstheme="minorHAnsi"/>
          <w:szCs w:val="22"/>
        </w:rPr>
        <w:t xml:space="preserve">Criminal Investigation Department, </w:t>
      </w:r>
      <w:r w:rsidR="001A27A9" w:rsidRPr="005E651D">
        <w:rPr>
          <w:rFonts w:cstheme="minorHAnsi"/>
          <w:szCs w:val="22"/>
        </w:rPr>
        <w:t xml:space="preserve">and the </w:t>
      </w:r>
      <w:r w:rsidR="00FC7CC2" w:rsidRPr="005E651D">
        <w:rPr>
          <w:rFonts w:cstheme="minorHAnsi"/>
          <w:szCs w:val="22"/>
        </w:rPr>
        <w:t>Special Branch and Detective Branch</w:t>
      </w:r>
      <w:r w:rsidR="00543EED" w:rsidRPr="005E651D">
        <w:rPr>
          <w:rFonts w:cstheme="minorHAnsi"/>
          <w:szCs w:val="22"/>
        </w:rPr>
        <w:t xml:space="preserve"> of Bangladesh Police</w:t>
      </w:r>
      <w:r w:rsidR="00307604" w:rsidRPr="005E651D">
        <w:rPr>
          <w:rFonts w:cstheme="minorHAnsi"/>
          <w:szCs w:val="22"/>
        </w:rPr>
        <w:t>—</w:t>
      </w:r>
      <w:r w:rsidR="006A5ABE" w:rsidRPr="005E651D">
        <w:rPr>
          <w:rFonts w:cstheme="minorHAnsi"/>
          <w:szCs w:val="22"/>
        </w:rPr>
        <w:t xml:space="preserve">and limiting the scope of </w:t>
      </w:r>
      <w:r w:rsidR="005E2C0C" w:rsidRPr="005E651D">
        <w:rPr>
          <w:rFonts w:cstheme="minorHAnsi"/>
          <w:szCs w:val="22"/>
        </w:rPr>
        <w:t>“</w:t>
      </w:r>
      <w:r w:rsidR="006A5ABE" w:rsidRPr="005E651D">
        <w:rPr>
          <w:rFonts w:cstheme="minorHAnsi"/>
          <w:szCs w:val="22"/>
        </w:rPr>
        <w:t>torture</w:t>
      </w:r>
      <w:r w:rsidR="005E2C0C" w:rsidRPr="005E651D">
        <w:rPr>
          <w:rFonts w:cstheme="minorHAnsi"/>
          <w:szCs w:val="22"/>
        </w:rPr>
        <w:t>”</w:t>
      </w:r>
      <w:r w:rsidR="006A5ABE" w:rsidRPr="005E651D">
        <w:rPr>
          <w:rFonts w:cstheme="minorHAnsi"/>
          <w:szCs w:val="22"/>
        </w:rPr>
        <w:t xml:space="preserve"> </w:t>
      </w:r>
      <w:r w:rsidR="004B0303" w:rsidRPr="005E651D">
        <w:rPr>
          <w:rFonts w:cstheme="minorHAnsi"/>
          <w:szCs w:val="22"/>
        </w:rPr>
        <w:t xml:space="preserve">to </w:t>
      </w:r>
      <w:r w:rsidR="008D3F3D" w:rsidRPr="005E651D">
        <w:rPr>
          <w:rFonts w:cstheme="minorHAnsi"/>
          <w:szCs w:val="22"/>
        </w:rPr>
        <w:t xml:space="preserve">only cover acts causing </w:t>
      </w:r>
      <w:r w:rsidR="004B0303" w:rsidRPr="005E651D">
        <w:rPr>
          <w:rFonts w:cstheme="minorHAnsi"/>
          <w:szCs w:val="22"/>
        </w:rPr>
        <w:t>physical pain to obtain information or a confession.</w:t>
      </w:r>
      <w:r w:rsidR="00FC7CC2" w:rsidRPr="005E651D">
        <w:rPr>
          <w:rStyle w:val="FootnoteReference"/>
          <w:rFonts w:cstheme="minorHAnsi"/>
          <w:szCs w:val="22"/>
        </w:rPr>
        <w:footnoteReference w:id="12"/>
      </w:r>
      <w:r w:rsidR="00FC7CC2" w:rsidRPr="005E651D">
        <w:rPr>
          <w:rFonts w:cstheme="minorHAnsi"/>
          <w:szCs w:val="22"/>
        </w:rPr>
        <w:t xml:space="preserve"> These amendments, if accepted, would be in clear contravention of Article</w:t>
      </w:r>
      <w:r w:rsidR="004B0303" w:rsidRPr="005E651D">
        <w:rPr>
          <w:rFonts w:cstheme="minorHAnsi"/>
          <w:szCs w:val="22"/>
        </w:rPr>
        <w:t>s</w:t>
      </w:r>
      <w:r w:rsidR="00FC7CC2" w:rsidRPr="005E651D">
        <w:rPr>
          <w:rFonts w:cstheme="minorHAnsi"/>
          <w:szCs w:val="22"/>
        </w:rPr>
        <w:t xml:space="preserve"> 1</w:t>
      </w:r>
      <w:r w:rsidR="004B0303" w:rsidRPr="005E651D">
        <w:rPr>
          <w:rFonts w:cstheme="minorHAnsi"/>
          <w:szCs w:val="22"/>
        </w:rPr>
        <w:t xml:space="preserve"> and 4</w:t>
      </w:r>
      <w:r w:rsidR="00FC7CC2" w:rsidRPr="005E651D">
        <w:rPr>
          <w:rFonts w:cstheme="minorHAnsi"/>
          <w:szCs w:val="22"/>
        </w:rPr>
        <w:t xml:space="preserve"> of the </w:t>
      </w:r>
      <w:r w:rsidR="001055C6" w:rsidRPr="005E651D">
        <w:rPr>
          <w:rFonts w:cstheme="minorHAnsi"/>
          <w:szCs w:val="22"/>
        </w:rPr>
        <w:t>Convention</w:t>
      </w:r>
      <w:r w:rsidR="008D3F3D" w:rsidRPr="005E651D">
        <w:rPr>
          <w:rFonts w:cstheme="minorHAnsi"/>
          <w:szCs w:val="22"/>
        </w:rPr>
        <w:t>.</w:t>
      </w:r>
      <w:r w:rsidR="00FC7CC2" w:rsidRPr="005E651D">
        <w:rPr>
          <w:rStyle w:val="FootnoteReference"/>
          <w:rFonts w:cstheme="minorHAnsi"/>
          <w:szCs w:val="22"/>
        </w:rPr>
        <w:footnoteReference w:id="13"/>
      </w:r>
      <w:r w:rsidR="00FC7CC2" w:rsidRPr="005E651D">
        <w:rPr>
          <w:rFonts w:cstheme="minorHAnsi"/>
          <w:szCs w:val="22"/>
        </w:rPr>
        <w:t xml:space="preserve"> </w:t>
      </w:r>
    </w:p>
    <w:p w14:paraId="09529167" w14:textId="77777777" w:rsidR="00293118" w:rsidRPr="005E651D" w:rsidRDefault="00293118" w:rsidP="00287964">
      <w:pPr>
        <w:rPr>
          <w:rFonts w:cstheme="minorHAnsi"/>
          <w:szCs w:val="22"/>
        </w:rPr>
      </w:pPr>
    </w:p>
    <w:p w14:paraId="29521E0B" w14:textId="4B9311FA" w:rsidR="00EF448A" w:rsidRPr="005E651D" w:rsidRDefault="00B5307C" w:rsidP="00EF448A">
      <w:pPr>
        <w:rPr>
          <w:rFonts w:cstheme="minorHAnsi"/>
          <w:szCs w:val="22"/>
        </w:rPr>
      </w:pPr>
      <w:r w:rsidRPr="005E651D">
        <w:rPr>
          <w:rFonts w:cstheme="minorHAnsi"/>
          <w:szCs w:val="22"/>
        </w:rPr>
        <w:tab/>
      </w:r>
      <w:r w:rsidR="001B5F79" w:rsidRPr="005E651D">
        <w:rPr>
          <w:rFonts w:cstheme="minorHAnsi"/>
          <w:szCs w:val="22"/>
        </w:rPr>
        <w:t xml:space="preserve">Well over three years after the enactment of the Act, </w:t>
      </w:r>
      <w:r w:rsidR="0035533C" w:rsidRPr="005E651D">
        <w:rPr>
          <w:rFonts w:cstheme="minorHAnsi"/>
          <w:szCs w:val="22"/>
        </w:rPr>
        <w:t>Bangladesh was unable to report that it had any ongoing investigations into cases of torture</w:t>
      </w:r>
      <w:r w:rsidR="001B5F79" w:rsidRPr="005E651D">
        <w:rPr>
          <w:rFonts w:cstheme="minorHAnsi"/>
          <w:szCs w:val="22"/>
        </w:rPr>
        <w:t>. As detailed in the March 2017</w:t>
      </w:r>
      <w:r w:rsidR="0035533C" w:rsidRPr="005E651D">
        <w:rPr>
          <w:rFonts w:cstheme="minorHAnsi"/>
          <w:szCs w:val="22"/>
        </w:rPr>
        <w:t xml:space="preserve"> </w:t>
      </w:r>
      <w:r w:rsidR="00B97139" w:rsidRPr="005E651D">
        <w:rPr>
          <w:rFonts w:cstheme="minorHAnsi"/>
          <w:szCs w:val="22"/>
        </w:rPr>
        <w:t xml:space="preserve">UN Human Rights Committee </w:t>
      </w:r>
      <w:r w:rsidR="0035533C" w:rsidRPr="005E651D">
        <w:rPr>
          <w:rFonts w:cstheme="minorHAnsi"/>
          <w:szCs w:val="22"/>
        </w:rPr>
        <w:t>evaluation</w:t>
      </w:r>
      <w:r w:rsidR="001B5F79" w:rsidRPr="005E651D">
        <w:rPr>
          <w:rFonts w:cstheme="minorHAnsi"/>
          <w:szCs w:val="22"/>
        </w:rPr>
        <w:t>, t</w:t>
      </w:r>
      <w:r w:rsidR="00BB58D0" w:rsidRPr="005E651D">
        <w:rPr>
          <w:rFonts w:cstheme="minorHAnsi"/>
          <w:szCs w:val="22"/>
        </w:rPr>
        <w:t>he Government failed to enforce</w:t>
      </w:r>
      <w:r w:rsidR="001B5F79" w:rsidRPr="005E651D">
        <w:rPr>
          <w:rFonts w:cstheme="minorHAnsi"/>
          <w:szCs w:val="22"/>
        </w:rPr>
        <w:t xml:space="preserve"> the Act </w:t>
      </w:r>
      <w:r w:rsidR="008B513D" w:rsidRPr="005E651D">
        <w:rPr>
          <w:rFonts w:cstheme="minorHAnsi"/>
          <w:szCs w:val="22"/>
        </w:rPr>
        <w:t>despite contemporaneous reports of widespread acts of torture and other forms of ill-treatment</w:t>
      </w:r>
      <w:r w:rsidR="0035533C" w:rsidRPr="005E651D" w:rsidDel="008B513D">
        <w:rPr>
          <w:rFonts w:cstheme="minorHAnsi"/>
          <w:szCs w:val="22"/>
        </w:rPr>
        <w:t>.</w:t>
      </w:r>
      <w:r w:rsidR="0035533C" w:rsidRPr="005E651D">
        <w:rPr>
          <w:rStyle w:val="FootnoteReference"/>
          <w:rFonts w:cstheme="minorHAnsi"/>
          <w:szCs w:val="22"/>
        </w:rPr>
        <w:footnoteReference w:id="14"/>
      </w:r>
      <w:r w:rsidR="00771F32" w:rsidRPr="005E651D">
        <w:rPr>
          <w:rFonts w:cstheme="minorHAnsi"/>
          <w:szCs w:val="22"/>
        </w:rPr>
        <w:t xml:space="preserve"> </w:t>
      </w:r>
      <w:r w:rsidR="0035533C" w:rsidRPr="005E651D">
        <w:rPr>
          <w:rFonts w:cstheme="minorHAnsi"/>
          <w:szCs w:val="22"/>
        </w:rPr>
        <w:t>As e</w:t>
      </w:r>
      <w:r w:rsidR="00420F45" w:rsidRPr="005E651D">
        <w:rPr>
          <w:rFonts w:cstheme="minorHAnsi"/>
          <w:szCs w:val="22"/>
        </w:rPr>
        <w:t>xplored below, the G</w:t>
      </w:r>
      <w:r w:rsidR="0035533C" w:rsidRPr="005E651D">
        <w:rPr>
          <w:rFonts w:cstheme="minorHAnsi"/>
          <w:szCs w:val="22"/>
        </w:rPr>
        <w:t xml:space="preserve">overnment’s implementation of the Act falls far short of the </w:t>
      </w:r>
      <w:r w:rsidR="00774E04" w:rsidRPr="005E651D">
        <w:rPr>
          <w:rFonts w:cstheme="minorHAnsi"/>
          <w:szCs w:val="22"/>
        </w:rPr>
        <w:t>country’s</w:t>
      </w:r>
      <w:r w:rsidR="0035533C" w:rsidRPr="005E651D">
        <w:rPr>
          <w:rFonts w:cstheme="minorHAnsi"/>
          <w:szCs w:val="22"/>
        </w:rPr>
        <w:t xml:space="preserve"> obligations under the Convention on numerous fronts, </w:t>
      </w:r>
      <w:r w:rsidR="00940C4D" w:rsidRPr="005E651D">
        <w:rPr>
          <w:rFonts w:cstheme="minorHAnsi"/>
          <w:szCs w:val="22"/>
        </w:rPr>
        <w:t xml:space="preserve">including </w:t>
      </w:r>
      <w:r w:rsidR="0035533C" w:rsidRPr="005E651D">
        <w:rPr>
          <w:rFonts w:cstheme="minorHAnsi"/>
          <w:szCs w:val="22"/>
        </w:rPr>
        <w:t>the inability of victims to file com</w:t>
      </w:r>
      <w:r w:rsidR="005C6D71" w:rsidRPr="005E651D">
        <w:rPr>
          <w:rFonts w:cstheme="minorHAnsi"/>
          <w:szCs w:val="22"/>
        </w:rPr>
        <w:t>plaints</w:t>
      </w:r>
      <w:r w:rsidR="00940C4D" w:rsidRPr="005E651D">
        <w:rPr>
          <w:rFonts w:cstheme="minorHAnsi"/>
          <w:szCs w:val="22"/>
        </w:rPr>
        <w:t xml:space="preserve">, </w:t>
      </w:r>
      <w:r w:rsidR="005C6D71" w:rsidRPr="005E651D">
        <w:rPr>
          <w:rFonts w:cstheme="minorHAnsi"/>
          <w:szCs w:val="22"/>
        </w:rPr>
        <w:t>the failure of the G</w:t>
      </w:r>
      <w:r w:rsidR="0035533C" w:rsidRPr="005E651D">
        <w:rPr>
          <w:rFonts w:cstheme="minorHAnsi"/>
          <w:szCs w:val="22"/>
        </w:rPr>
        <w:t>overnment to ensure prompt and impartial investigations into alleged acts of torture</w:t>
      </w:r>
      <w:r w:rsidR="00940C4D" w:rsidRPr="005E651D">
        <w:rPr>
          <w:rFonts w:cstheme="minorHAnsi"/>
          <w:szCs w:val="22"/>
        </w:rPr>
        <w:t xml:space="preserve">, and </w:t>
      </w:r>
      <w:r w:rsidR="00D508C7" w:rsidRPr="005E651D">
        <w:rPr>
          <w:rFonts w:cstheme="minorHAnsi"/>
          <w:szCs w:val="22"/>
        </w:rPr>
        <w:t xml:space="preserve">frequent </w:t>
      </w:r>
      <w:r w:rsidR="00940C4D" w:rsidRPr="005E651D">
        <w:rPr>
          <w:rFonts w:cstheme="minorHAnsi"/>
          <w:szCs w:val="22"/>
        </w:rPr>
        <w:t>prolonged pre-trial detention.</w:t>
      </w:r>
    </w:p>
    <w:p w14:paraId="0E3BD51C" w14:textId="77777777" w:rsidR="0032128F" w:rsidRPr="005E651D" w:rsidRDefault="0032128F" w:rsidP="00287964">
      <w:pPr>
        <w:rPr>
          <w:rFonts w:cstheme="minorHAnsi"/>
          <w:szCs w:val="22"/>
        </w:rPr>
      </w:pPr>
    </w:p>
    <w:p w14:paraId="1A74CF9F" w14:textId="278A43E3" w:rsidR="005A5DB0" w:rsidRPr="005E651D" w:rsidRDefault="00CE01AB" w:rsidP="009915B0">
      <w:pPr>
        <w:pStyle w:val="Heading3"/>
        <w:rPr>
          <w:rFonts w:asciiTheme="minorHAnsi" w:hAnsiTheme="minorHAnsi" w:cstheme="minorHAnsi"/>
        </w:rPr>
      </w:pPr>
      <w:bookmarkStart w:id="16" w:name="_Toc11053835"/>
      <w:bookmarkStart w:id="17" w:name="_Toc11879528"/>
      <w:bookmarkStart w:id="18" w:name="_Toc11883189"/>
      <w:bookmarkStart w:id="19" w:name="_Toc11922667"/>
      <w:bookmarkStart w:id="20" w:name="_Toc11945108"/>
      <w:r w:rsidRPr="005E651D">
        <w:rPr>
          <w:rFonts w:asciiTheme="minorHAnsi" w:hAnsiTheme="minorHAnsi" w:cstheme="minorHAnsi"/>
        </w:rPr>
        <w:lastRenderedPageBreak/>
        <w:t>Inability to File Complaints</w:t>
      </w:r>
      <w:bookmarkEnd w:id="16"/>
      <w:bookmarkEnd w:id="17"/>
      <w:bookmarkEnd w:id="18"/>
      <w:bookmarkEnd w:id="19"/>
      <w:bookmarkEnd w:id="20"/>
    </w:p>
    <w:p w14:paraId="0A3B9A59" w14:textId="54AEDDF3" w:rsidR="00CE01AB" w:rsidRPr="005E651D" w:rsidRDefault="005A5DB0" w:rsidP="004772D9">
      <w:pPr>
        <w:rPr>
          <w:rFonts w:cstheme="minorHAnsi"/>
          <w:szCs w:val="22"/>
        </w:rPr>
      </w:pPr>
      <w:r w:rsidRPr="005E651D">
        <w:rPr>
          <w:rFonts w:cstheme="minorHAnsi"/>
          <w:szCs w:val="22"/>
        </w:rPr>
        <w:tab/>
      </w:r>
      <w:r w:rsidR="0040670A" w:rsidRPr="005E651D">
        <w:rPr>
          <w:rFonts w:cstheme="minorHAnsi"/>
          <w:szCs w:val="22"/>
        </w:rPr>
        <w:t>U</w:t>
      </w:r>
      <w:r w:rsidR="001D1272" w:rsidRPr="005E651D">
        <w:rPr>
          <w:rFonts w:cstheme="minorHAnsi"/>
          <w:szCs w:val="22"/>
        </w:rPr>
        <w:t xml:space="preserve">nder Article 13 of the </w:t>
      </w:r>
      <w:r w:rsidR="00DD7F74" w:rsidRPr="005E651D">
        <w:rPr>
          <w:rFonts w:cstheme="minorHAnsi"/>
          <w:szCs w:val="22"/>
        </w:rPr>
        <w:t>Convention</w:t>
      </w:r>
      <w:r w:rsidR="00DB0ECD" w:rsidRPr="005E651D">
        <w:rPr>
          <w:rFonts w:cstheme="minorHAnsi"/>
          <w:szCs w:val="22"/>
        </w:rPr>
        <w:t>, each State p</w:t>
      </w:r>
      <w:r w:rsidR="001D1272" w:rsidRPr="005E651D">
        <w:rPr>
          <w:rFonts w:cstheme="minorHAnsi"/>
          <w:szCs w:val="22"/>
        </w:rPr>
        <w:t xml:space="preserve">arty must ensure that any individual who alleges </w:t>
      </w:r>
      <w:r w:rsidR="0071776D" w:rsidRPr="005E651D">
        <w:rPr>
          <w:rFonts w:cstheme="minorHAnsi"/>
          <w:szCs w:val="22"/>
        </w:rPr>
        <w:t xml:space="preserve">that </w:t>
      </w:r>
      <w:r w:rsidR="001D1272" w:rsidRPr="005E651D">
        <w:rPr>
          <w:rFonts w:cstheme="minorHAnsi"/>
          <w:szCs w:val="22"/>
        </w:rPr>
        <w:t xml:space="preserve">he or she was a victim of torture </w:t>
      </w:r>
      <w:r w:rsidR="00781A17" w:rsidRPr="005E651D">
        <w:rPr>
          <w:rFonts w:cstheme="minorHAnsi"/>
          <w:szCs w:val="22"/>
        </w:rPr>
        <w:t>has</w:t>
      </w:r>
      <w:r w:rsidR="001D1272" w:rsidRPr="005E651D">
        <w:rPr>
          <w:rFonts w:cstheme="minorHAnsi"/>
          <w:szCs w:val="22"/>
        </w:rPr>
        <w:t xml:space="preserve"> a right to complain and </w:t>
      </w:r>
      <w:r w:rsidR="004B4FFA" w:rsidRPr="005E651D">
        <w:rPr>
          <w:rFonts w:cstheme="minorHAnsi"/>
          <w:szCs w:val="22"/>
        </w:rPr>
        <w:t xml:space="preserve">to </w:t>
      </w:r>
      <w:r w:rsidR="001D1272" w:rsidRPr="005E651D">
        <w:rPr>
          <w:rFonts w:cstheme="minorHAnsi"/>
          <w:szCs w:val="22"/>
        </w:rPr>
        <w:t xml:space="preserve">have his or her case promptly and impartially examined by competent authorities. </w:t>
      </w:r>
      <w:r w:rsidR="00CE01AB" w:rsidRPr="005E651D">
        <w:rPr>
          <w:rFonts w:cstheme="minorHAnsi"/>
          <w:szCs w:val="22"/>
        </w:rPr>
        <w:t>While aggrieved persons are supposed to be able to file complaints directly to poli</w:t>
      </w:r>
      <w:r w:rsidR="00B83194" w:rsidRPr="005E651D">
        <w:rPr>
          <w:rFonts w:cstheme="minorHAnsi"/>
          <w:szCs w:val="22"/>
        </w:rPr>
        <w:t xml:space="preserve">ce through the “General Diary” </w:t>
      </w:r>
      <w:r w:rsidR="00CE01AB" w:rsidRPr="005E651D">
        <w:rPr>
          <w:rFonts w:cstheme="minorHAnsi"/>
          <w:szCs w:val="22"/>
        </w:rPr>
        <w:t>system, Bangladesh’s police</w:t>
      </w:r>
      <w:r w:rsidR="00E41F07" w:rsidRPr="005E651D">
        <w:rPr>
          <w:rFonts w:cstheme="minorHAnsi"/>
          <w:szCs w:val="22"/>
        </w:rPr>
        <w:t xml:space="preserve"> and other </w:t>
      </w:r>
      <w:r w:rsidR="00AC4E25" w:rsidRPr="005E651D">
        <w:rPr>
          <w:rFonts w:cstheme="minorHAnsi"/>
          <w:szCs w:val="22"/>
        </w:rPr>
        <w:t>LEA</w:t>
      </w:r>
      <w:r w:rsidR="007C1AA7" w:rsidRPr="005E651D">
        <w:rPr>
          <w:rFonts w:cstheme="minorHAnsi"/>
          <w:szCs w:val="22"/>
        </w:rPr>
        <w:t>s</w:t>
      </w:r>
      <w:r w:rsidR="00CE01AB" w:rsidRPr="005E651D">
        <w:rPr>
          <w:rFonts w:cstheme="minorHAnsi"/>
          <w:szCs w:val="22"/>
        </w:rPr>
        <w:t xml:space="preserve"> systematically refuse to register complaints concerning enforced disappearances or other forms of</w:t>
      </w:r>
      <w:r w:rsidR="003E5BB9" w:rsidRPr="005E651D">
        <w:rPr>
          <w:rFonts w:cstheme="minorHAnsi"/>
          <w:szCs w:val="22"/>
        </w:rPr>
        <w:t xml:space="preserve"> torture or</w:t>
      </w:r>
      <w:r w:rsidR="00CE01AB" w:rsidRPr="005E651D">
        <w:rPr>
          <w:rFonts w:cstheme="minorHAnsi"/>
          <w:szCs w:val="22"/>
        </w:rPr>
        <w:t xml:space="preserve"> ill-treatment, insisting that the complainant instead list the individual(s) as “missing” or “kidnapped” and refusing to record the name of the</w:t>
      </w:r>
      <w:r w:rsidR="00853DC4" w:rsidRPr="005E651D">
        <w:rPr>
          <w:rFonts w:cstheme="minorHAnsi"/>
          <w:szCs w:val="22"/>
        </w:rPr>
        <w:t xml:space="preserve"> </w:t>
      </w:r>
      <w:r w:rsidR="00EE3D08" w:rsidRPr="005E651D">
        <w:rPr>
          <w:rFonts w:cstheme="minorHAnsi"/>
          <w:szCs w:val="22"/>
        </w:rPr>
        <w:t xml:space="preserve">accused </w:t>
      </w:r>
      <w:r w:rsidR="00853DC4" w:rsidRPr="005E651D">
        <w:rPr>
          <w:rFonts w:cstheme="minorHAnsi"/>
          <w:szCs w:val="22"/>
        </w:rPr>
        <w:t xml:space="preserve">law enforcement </w:t>
      </w:r>
      <w:r w:rsidR="00581D49" w:rsidRPr="005E651D">
        <w:rPr>
          <w:rFonts w:cstheme="minorHAnsi"/>
          <w:szCs w:val="22"/>
        </w:rPr>
        <w:t>official</w:t>
      </w:r>
      <w:r w:rsidR="00487AFA" w:rsidRPr="005E651D">
        <w:rPr>
          <w:rFonts w:cstheme="minorHAnsi"/>
          <w:szCs w:val="22"/>
        </w:rPr>
        <w:t xml:space="preserve"> or agency</w:t>
      </w:r>
      <w:r w:rsidR="00CE01AB" w:rsidRPr="005E651D">
        <w:rPr>
          <w:rFonts w:cstheme="minorHAnsi"/>
          <w:szCs w:val="22"/>
        </w:rPr>
        <w:t>.</w:t>
      </w:r>
      <w:r w:rsidR="00CE01AB" w:rsidRPr="005E651D">
        <w:rPr>
          <w:rStyle w:val="FootnoteReference"/>
          <w:rFonts w:cstheme="minorHAnsi"/>
          <w:szCs w:val="22"/>
        </w:rPr>
        <w:footnoteReference w:id="15"/>
      </w:r>
      <w:r w:rsidR="00F12F4B" w:rsidRPr="005E651D">
        <w:rPr>
          <w:rFonts w:cstheme="minorHAnsi"/>
          <w:szCs w:val="22"/>
        </w:rPr>
        <w:t xml:space="preserve"> </w:t>
      </w:r>
      <w:r w:rsidR="00CE01AB" w:rsidRPr="005E651D">
        <w:rPr>
          <w:rFonts w:cstheme="minorHAnsi"/>
          <w:szCs w:val="22"/>
        </w:rPr>
        <w:t xml:space="preserve">Thus, complainants either are altogether unable to file complaints or are forced to file inaccurate complaints that </w:t>
      </w:r>
      <w:r w:rsidR="00D26321" w:rsidRPr="005E651D">
        <w:rPr>
          <w:rFonts w:cstheme="minorHAnsi"/>
          <w:szCs w:val="22"/>
        </w:rPr>
        <w:t>diminish the potential liability of</w:t>
      </w:r>
      <w:r w:rsidR="00CE01AB" w:rsidRPr="005E651D">
        <w:rPr>
          <w:rFonts w:cstheme="minorHAnsi"/>
          <w:szCs w:val="22"/>
        </w:rPr>
        <w:t xml:space="preserve"> the </w:t>
      </w:r>
      <w:r w:rsidR="00D26321" w:rsidRPr="005E651D">
        <w:rPr>
          <w:rFonts w:cstheme="minorHAnsi"/>
          <w:szCs w:val="22"/>
        </w:rPr>
        <w:t>LEAs</w:t>
      </w:r>
      <w:r w:rsidR="00CE01AB" w:rsidRPr="005E651D">
        <w:rPr>
          <w:rFonts w:cstheme="minorHAnsi"/>
          <w:szCs w:val="22"/>
        </w:rPr>
        <w:t>.</w:t>
      </w:r>
      <w:r w:rsidR="00CE01AB" w:rsidRPr="005E651D">
        <w:rPr>
          <w:rStyle w:val="FootnoteReference"/>
          <w:rFonts w:cstheme="minorHAnsi"/>
          <w:szCs w:val="22"/>
        </w:rPr>
        <w:footnoteReference w:id="16"/>
      </w:r>
    </w:p>
    <w:p w14:paraId="168DFECA" w14:textId="77777777" w:rsidR="00293118" w:rsidRPr="005E651D" w:rsidRDefault="00293118" w:rsidP="004772D9">
      <w:pPr>
        <w:rPr>
          <w:rFonts w:cstheme="minorHAnsi"/>
          <w:szCs w:val="22"/>
        </w:rPr>
      </w:pPr>
    </w:p>
    <w:p w14:paraId="23CCA742" w14:textId="0B621851" w:rsidR="002D37CA" w:rsidRPr="005E651D" w:rsidRDefault="00D609BE" w:rsidP="00410A43">
      <w:pPr>
        <w:pStyle w:val="BodyText"/>
        <w:rPr>
          <w:rFonts w:cstheme="minorHAnsi"/>
        </w:rPr>
      </w:pPr>
      <w:r w:rsidRPr="005E651D">
        <w:rPr>
          <w:rFonts w:cstheme="minorHAnsi"/>
        </w:rPr>
        <w:tab/>
      </w:r>
      <w:r w:rsidR="00CA1017" w:rsidRPr="005E651D">
        <w:rPr>
          <w:rFonts w:cstheme="minorHAnsi"/>
        </w:rPr>
        <w:t>As Bangladesh</w:t>
      </w:r>
      <w:r w:rsidR="00F336BF" w:rsidRPr="005E651D">
        <w:rPr>
          <w:rFonts w:cstheme="minorHAnsi"/>
        </w:rPr>
        <w:t>i</w:t>
      </w:r>
      <w:r w:rsidR="00CA1017" w:rsidRPr="005E651D">
        <w:rPr>
          <w:rFonts w:cstheme="minorHAnsi"/>
        </w:rPr>
        <w:t xml:space="preserve"> NGO Odhikar </w:t>
      </w:r>
      <w:r w:rsidR="004772D9" w:rsidRPr="005E651D">
        <w:rPr>
          <w:rFonts w:cstheme="minorHAnsi"/>
        </w:rPr>
        <w:t xml:space="preserve">(“Odhikar”) </w:t>
      </w:r>
      <w:r w:rsidR="00CA1017" w:rsidRPr="005E651D">
        <w:rPr>
          <w:rFonts w:cstheme="minorHAnsi"/>
        </w:rPr>
        <w:t xml:space="preserve">and </w:t>
      </w:r>
      <w:r w:rsidR="008F52FA" w:rsidRPr="005E651D">
        <w:rPr>
          <w:rFonts w:cstheme="minorHAnsi"/>
        </w:rPr>
        <w:t xml:space="preserve">the World Organization </w:t>
      </w:r>
      <w:proofErr w:type="gramStart"/>
      <w:r w:rsidR="008F52FA" w:rsidRPr="005E651D">
        <w:rPr>
          <w:rFonts w:cstheme="minorHAnsi"/>
        </w:rPr>
        <w:t>Against</w:t>
      </w:r>
      <w:proofErr w:type="gramEnd"/>
      <w:r w:rsidR="008F52FA" w:rsidRPr="005E651D">
        <w:rPr>
          <w:rFonts w:cstheme="minorHAnsi"/>
        </w:rPr>
        <w:t xml:space="preserve"> Torture (“</w:t>
      </w:r>
      <w:r w:rsidR="00CA1017" w:rsidRPr="005E651D">
        <w:rPr>
          <w:rFonts w:cstheme="minorHAnsi"/>
        </w:rPr>
        <w:t>OMCT</w:t>
      </w:r>
      <w:r w:rsidR="008F52FA" w:rsidRPr="005E651D">
        <w:rPr>
          <w:rFonts w:cstheme="minorHAnsi"/>
        </w:rPr>
        <w:t>”)</w:t>
      </w:r>
      <w:r w:rsidR="00CA1017" w:rsidRPr="005E651D">
        <w:rPr>
          <w:rFonts w:cstheme="minorHAnsi"/>
        </w:rPr>
        <w:t xml:space="preserve"> have documented, victims of torture and family members who manage to </w:t>
      </w:r>
      <w:r w:rsidR="002E1682" w:rsidRPr="005E651D">
        <w:rPr>
          <w:rFonts w:cstheme="minorHAnsi"/>
        </w:rPr>
        <w:t xml:space="preserve">successfully </w:t>
      </w:r>
      <w:r w:rsidR="00CA1017" w:rsidRPr="005E651D">
        <w:rPr>
          <w:rFonts w:cstheme="minorHAnsi"/>
        </w:rPr>
        <w:t xml:space="preserve">file complaints often receive threats after doing so, and </w:t>
      </w:r>
      <w:r w:rsidR="00C62049" w:rsidRPr="005E651D">
        <w:rPr>
          <w:rFonts w:cstheme="minorHAnsi"/>
        </w:rPr>
        <w:t>often</w:t>
      </w:r>
      <w:r w:rsidR="00CA1017" w:rsidRPr="005E651D">
        <w:rPr>
          <w:rFonts w:cstheme="minorHAnsi"/>
        </w:rPr>
        <w:t xml:space="preserve"> are offered money to withdraw </w:t>
      </w:r>
      <w:r w:rsidR="00C62049" w:rsidRPr="005E651D">
        <w:rPr>
          <w:rFonts w:cstheme="minorHAnsi"/>
        </w:rPr>
        <w:t>the</w:t>
      </w:r>
      <w:r w:rsidR="00CA1017" w:rsidRPr="005E651D">
        <w:rPr>
          <w:rFonts w:cstheme="minorHAnsi"/>
        </w:rPr>
        <w:t xml:space="preserve"> complaints.</w:t>
      </w:r>
      <w:r w:rsidR="00CA1017" w:rsidRPr="005E651D">
        <w:rPr>
          <w:rStyle w:val="FootnoteReference"/>
          <w:rFonts w:cstheme="minorHAnsi"/>
          <w:szCs w:val="22"/>
        </w:rPr>
        <w:footnoteReference w:id="17"/>
      </w:r>
      <w:r w:rsidR="00CA1017" w:rsidRPr="005E651D">
        <w:rPr>
          <w:rFonts w:cstheme="minorHAnsi"/>
        </w:rPr>
        <w:t xml:space="preserve"> </w:t>
      </w:r>
      <w:r w:rsidR="006D5BFA" w:rsidRPr="005E651D">
        <w:rPr>
          <w:rFonts w:cstheme="minorHAnsi"/>
        </w:rPr>
        <w:t>T</w:t>
      </w:r>
      <w:r w:rsidR="00F62883" w:rsidRPr="005E651D">
        <w:rPr>
          <w:rFonts w:cstheme="minorHAnsi"/>
        </w:rPr>
        <w:t>he Act does not provide a form of protection for third parties or witnesses</w:t>
      </w:r>
      <w:r w:rsidR="006442BF" w:rsidRPr="005E651D">
        <w:rPr>
          <w:rFonts w:cstheme="minorHAnsi"/>
        </w:rPr>
        <w:t xml:space="preserve">, who </w:t>
      </w:r>
      <w:r w:rsidR="007E2DB3" w:rsidRPr="005E651D">
        <w:rPr>
          <w:rFonts w:cstheme="minorHAnsi"/>
        </w:rPr>
        <w:t xml:space="preserve">reportedly </w:t>
      </w:r>
      <w:r w:rsidR="006442BF" w:rsidRPr="005E651D">
        <w:rPr>
          <w:rFonts w:cstheme="minorHAnsi"/>
        </w:rPr>
        <w:t>are</w:t>
      </w:r>
      <w:r w:rsidR="00C62049" w:rsidRPr="005E651D">
        <w:rPr>
          <w:rFonts w:cstheme="minorHAnsi"/>
        </w:rPr>
        <w:t xml:space="preserve"> </w:t>
      </w:r>
      <w:r w:rsidR="006442BF" w:rsidRPr="005E651D">
        <w:rPr>
          <w:rFonts w:cstheme="minorHAnsi"/>
        </w:rPr>
        <w:t xml:space="preserve">often intimidated </w:t>
      </w:r>
      <w:r w:rsidR="00F62883" w:rsidRPr="005E651D">
        <w:rPr>
          <w:rFonts w:cstheme="minorHAnsi"/>
        </w:rPr>
        <w:t>through surveillance by</w:t>
      </w:r>
      <w:r w:rsidR="00311AE6" w:rsidRPr="005E651D">
        <w:rPr>
          <w:rFonts w:cstheme="minorHAnsi"/>
        </w:rPr>
        <w:t xml:space="preserve"> LEAs</w:t>
      </w:r>
      <w:r w:rsidR="006442BF" w:rsidRPr="005E651D">
        <w:rPr>
          <w:rFonts w:cstheme="minorHAnsi"/>
        </w:rPr>
        <w:t>.</w:t>
      </w:r>
      <w:r w:rsidR="00F62883" w:rsidRPr="005E651D">
        <w:rPr>
          <w:rStyle w:val="FootnoteReference"/>
          <w:rFonts w:cstheme="minorHAnsi"/>
          <w:szCs w:val="22"/>
        </w:rPr>
        <w:footnoteReference w:id="18"/>
      </w:r>
      <w:r w:rsidR="00F33B28" w:rsidRPr="005E651D">
        <w:rPr>
          <w:rFonts w:cstheme="minorHAnsi"/>
        </w:rPr>
        <w:t xml:space="preserve"> </w:t>
      </w:r>
      <w:r w:rsidR="00F02758" w:rsidRPr="005E651D">
        <w:rPr>
          <w:rFonts w:cstheme="minorHAnsi"/>
        </w:rPr>
        <w:t xml:space="preserve">Below are examples of the difficulty </w:t>
      </w:r>
      <w:r w:rsidR="00DA79B3" w:rsidRPr="005E651D">
        <w:rPr>
          <w:rFonts w:cstheme="minorHAnsi"/>
        </w:rPr>
        <w:t xml:space="preserve">that </w:t>
      </w:r>
      <w:r w:rsidR="00F02758" w:rsidRPr="005E651D">
        <w:rPr>
          <w:rFonts w:cstheme="minorHAnsi"/>
        </w:rPr>
        <w:t>families and friends face in filing complaints</w:t>
      </w:r>
      <w:r w:rsidR="004B38CD" w:rsidRPr="005E651D">
        <w:rPr>
          <w:rFonts w:cstheme="minorHAnsi"/>
        </w:rPr>
        <w:t>:</w:t>
      </w:r>
    </w:p>
    <w:p w14:paraId="44E5B9A2" w14:textId="2FD58D87" w:rsidR="00941D90" w:rsidRPr="005E651D" w:rsidRDefault="002D37CA" w:rsidP="00941D90">
      <w:pPr>
        <w:pStyle w:val="ListParagraph"/>
        <w:numPr>
          <w:ilvl w:val="0"/>
          <w:numId w:val="50"/>
        </w:numPr>
        <w:ind w:left="900" w:right="720"/>
        <w:rPr>
          <w:rFonts w:cstheme="minorHAnsi"/>
          <w:szCs w:val="22"/>
        </w:rPr>
      </w:pPr>
      <w:r w:rsidRPr="00894F47">
        <w:rPr>
          <w:rFonts w:cstheme="minorHAnsi"/>
          <w:szCs w:val="22"/>
        </w:rPr>
        <w:t>Shamim Mahmud, 23,</w:t>
      </w:r>
      <w:r w:rsidRPr="005E651D">
        <w:rPr>
          <w:rFonts w:cstheme="minorHAnsi"/>
          <w:szCs w:val="22"/>
        </w:rPr>
        <w:t xml:space="preserve"> a second-year college student and a Jamaat-e-Islami </w:t>
      </w:r>
      <w:r w:rsidR="008164D0" w:rsidRPr="005E651D">
        <w:rPr>
          <w:rFonts w:cstheme="minorHAnsi"/>
          <w:szCs w:val="22"/>
        </w:rPr>
        <w:t>(opposition party)</w:t>
      </w:r>
      <w:r w:rsidRPr="005E651D">
        <w:rPr>
          <w:rFonts w:cstheme="minorHAnsi"/>
          <w:szCs w:val="22"/>
        </w:rPr>
        <w:t xml:space="preserve"> student activist was sitting at a grocery store reading a newspaper when he </w:t>
      </w:r>
      <w:r w:rsidR="000572F5" w:rsidRPr="005E651D">
        <w:rPr>
          <w:rFonts w:cstheme="minorHAnsi"/>
          <w:szCs w:val="22"/>
        </w:rPr>
        <w:t>taken away</w:t>
      </w:r>
      <w:r w:rsidRPr="005E651D">
        <w:rPr>
          <w:rFonts w:cstheme="minorHAnsi"/>
          <w:szCs w:val="22"/>
        </w:rPr>
        <w:t xml:space="preserve"> at gunpoint by </w:t>
      </w:r>
      <w:r w:rsidR="000572F5" w:rsidRPr="005E651D">
        <w:rPr>
          <w:rFonts w:cstheme="minorHAnsi"/>
          <w:szCs w:val="22"/>
        </w:rPr>
        <w:t xml:space="preserve">men in </w:t>
      </w:r>
      <w:r w:rsidRPr="005E651D">
        <w:rPr>
          <w:rFonts w:cstheme="minorHAnsi"/>
          <w:szCs w:val="22"/>
        </w:rPr>
        <w:t>plainclothes</w:t>
      </w:r>
      <w:r w:rsidR="00894F47">
        <w:rPr>
          <w:rFonts w:cstheme="minorHAnsi"/>
          <w:szCs w:val="22"/>
        </w:rPr>
        <w:t xml:space="preserve"> in 2016</w:t>
      </w:r>
      <w:r w:rsidRPr="005E651D">
        <w:rPr>
          <w:rFonts w:cstheme="minorHAnsi"/>
          <w:szCs w:val="22"/>
        </w:rPr>
        <w:t>. Eyewitnesses tried to rescue Shamim but the men claimed they were police and threatened to shoot anyone who interfere</w:t>
      </w:r>
      <w:r w:rsidR="00C90243" w:rsidRPr="005E651D">
        <w:rPr>
          <w:rFonts w:cstheme="minorHAnsi"/>
          <w:szCs w:val="22"/>
        </w:rPr>
        <w:t>d</w:t>
      </w:r>
      <w:r w:rsidRPr="005E651D">
        <w:rPr>
          <w:rFonts w:cstheme="minorHAnsi"/>
          <w:szCs w:val="22"/>
        </w:rPr>
        <w:t xml:space="preserve"> in their “operation.” Family members went to the local police station but officials would not permit them to file a General Diary application and denied any involvement in the abduction. Instead, the officials criticized Shamim’s father for permitting his son to be involved in Jamaat</w:t>
      </w:r>
      <w:r w:rsidR="008164D0" w:rsidRPr="005E651D">
        <w:rPr>
          <w:rFonts w:cstheme="minorHAnsi"/>
          <w:szCs w:val="22"/>
        </w:rPr>
        <w:t>-e-Islami</w:t>
      </w:r>
      <w:r w:rsidRPr="005E651D">
        <w:rPr>
          <w:rFonts w:cstheme="minorHAnsi"/>
          <w:szCs w:val="22"/>
        </w:rPr>
        <w:t xml:space="preserve"> student politics. Shamim’s family continued to search for Shamim at the local RAB office and other police stations, and </w:t>
      </w:r>
      <w:r w:rsidR="00C90243" w:rsidRPr="005E651D">
        <w:rPr>
          <w:rFonts w:cstheme="minorHAnsi"/>
          <w:szCs w:val="22"/>
        </w:rPr>
        <w:t>even sought</w:t>
      </w:r>
      <w:r w:rsidRPr="005E651D">
        <w:rPr>
          <w:rFonts w:cstheme="minorHAnsi"/>
          <w:szCs w:val="22"/>
        </w:rPr>
        <w:t xml:space="preserve"> assistance </w:t>
      </w:r>
      <w:r w:rsidR="00C90243" w:rsidRPr="005E651D">
        <w:rPr>
          <w:rFonts w:cstheme="minorHAnsi"/>
          <w:szCs w:val="22"/>
        </w:rPr>
        <w:t>from</w:t>
      </w:r>
      <w:r w:rsidRPr="005E651D">
        <w:rPr>
          <w:rFonts w:cstheme="minorHAnsi"/>
          <w:szCs w:val="22"/>
        </w:rPr>
        <w:t xml:space="preserve"> a local member of parliament. No one could provide information concerning Shamim’s whereabouts, and none offered assistance. Three weeks later, Shamim’s body was found along with another individual’s near a cremation ground with bullet wounds and clear signs of torture.</w:t>
      </w:r>
      <w:r w:rsidRPr="005E651D">
        <w:rPr>
          <w:rStyle w:val="FootnoteReference"/>
          <w:rFonts w:cstheme="minorHAnsi"/>
          <w:szCs w:val="22"/>
        </w:rPr>
        <w:footnoteReference w:id="19"/>
      </w:r>
      <w:r w:rsidRPr="005E651D">
        <w:rPr>
          <w:rFonts w:cstheme="minorHAnsi"/>
          <w:szCs w:val="22"/>
        </w:rPr>
        <w:t xml:space="preserve"> </w:t>
      </w:r>
    </w:p>
    <w:p w14:paraId="4B23CE11" w14:textId="77777777" w:rsidR="00941D90" w:rsidRPr="005E651D" w:rsidRDefault="00941D90" w:rsidP="00941D90">
      <w:pPr>
        <w:pStyle w:val="ListParagraph"/>
        <w:ind w:left="900" w:right="720"/>
        <w:rPr>
          <w:rFonts w:cstheme="minorHAnsi"/>
          <w:szCs w:val="22"/>
        </w:rPr>
      </w:pPr>
    </w:p>
    <w:p w14:paraId="7675F83B" w14:textId="16F865E4" w:rsidR="00D32F6E" w:rsidRPr="005E651D" w:rsidRDefault="000F6A0E" w:rsidP="00431608">
      <w:pPr>
        <w:pStyle w:val="ListParagraph"/>
        <w:numPr>
          <w:ilvl w:val="0"/>
          <w:numId w:val="50"/>
        </w:numPr>
        <w:ind w:left="900" w:right="720"/>
        <w:rPr>
          <w:rFonts w:cstheme="minorHAnsi"/>
          <w:szCs w:val="22"/>
        </w:rPr>
      </w:pPr>
      <w:r w:rsidRPr="005E651D">
        <w:rPr>
          <w:rFonts w:cstheme="minorHAnsi"/>
          <w:szCs w:val="22"/>
        </w:rPr>
        <w:t>In Ma</w:t>
      </w:r>
      <w:r w:rsidR="00714A99" w:rsidRPr="005E651D">
        <w:rPr>
          <w:rFonts w:cstheme="minorHAnsi"/>
          <w:szCs w:val="22"/>
        </w:rPr>
        <w:t>y</w:t>
      </w:r>
      <w:r w:rsidRPr="005E651D">
        <w:rPr>
          <w:rFonts w:cstheme="minorHAnsi"/>
          <w:szCs w:val="22"/>
        </w:rPr>
        <w:t xml:space="preserve"> 2016, </w:t>
      </w:r>
      <w:r w:rsidR="002D37CA" w:rsidRPr="005E651D">
        <w:rPr>
          <w:rFonts w:cstheme="minorHAnsi"/>
          <w:szCs w:val="22"/>
        </w:rPr>
        <w:t xml:space="preserve">Moulana Mohammad Akhter Hossain, a 28-year-old imam, </w:t>
      </w:r>
      <w:r w:rsidRPr="005E651D">
        <w:rPr>
          <w:rFonts w:cstheme="minorHAnsi"/>
          <w:szCs w:val="22"/>
        </w:rPr>
        <w:t>and</w:t>
      </w:r>
      <w:r w:rsidR="002D37CA" w:rsidRPr="005E651D">
        <w:rPr>
          <w:rFonts w:cstheme="minorHAnsi"/>
          <w:szCs w:val="22"/>
        </w:rPr>
        <w:t xml:space="preserve"> his brother</w:t>
      </w:r>
      <w:r w:rsidRPr="005E651D">
        <w:rPr>
          <w:rFonts w:cstheme="minorHAnsi"/>
          <w:szCs w:val="22"/>
        </w:rPr>
        <w:t xml:space="preserve"> were abducted</w:t>
      </w:r>
      <w:r w:rsidR="002D37CA" w:rsidRPr="005E651D">
        <w:rPr>
          <w:rFonts w:cstheme="minorHAnsi"/>
          <w:szCs w:val="22"/>
        </w:rPr>
        <w:t xml:space="preserve"> by plain-clothes law enforcement</w:t>
      </w:r>
      <w:r w:rsidRPr="005E651D">
        <w:rPr>
          <w:rFonts w:cstheme="minorHAnsi"/>
          <w:szCs w:val="22"/>
        </w:rPr>
        <w:t>.</w:t>
      </w:r>
      <w:r w:rsidR="002D37CA" w:rsidRPr="005E651D">
        <w:rPr>
          <w:rFonts w:cstheme="minorHAnsi"/>
          <w:szCs w:val="22"/>
        </w:rPr>
        <w:t xml:space="preserve"> They were told that they </w:t>
      </w:r>
      <w:r w:rsidR="002D37CA" w:rsidRPr="005E651D">
        <w:rPr>
          <w:rFonts w:cstheme="minorHAnsi"/>
          <w:szCs w:val="22"/>
        </w:rPr>
        <w:lastRenderedPageBreak/>
        <w:t>needed to be questioned about the Union Parishad elections that had just taken place. Akhter’s brother was released the following day</w:t>
      </w:r>
      <w:r w:rsidR="00F02758" w:rsidRPr="005E651D">
        <w:rPr>
          <w:rFonts w:cstheme="minorHAnsi"/>
          <w:szCs w:val="22"/>
        </w:rPr>
        <w:t>,</w:t>
      </w:r>
      <w:r w:rsidR="002D37CA" w:rsidRPr="005E651D">
        <w:rPr>
          <w:rFonts w:cstheme="minorHAnsi"/>
          <w:szCs w:val="22"/>
        </w:rPr>
        <w:t xml:space="preserve"> but Akhter was kept in custody. The family searched for Akhter at the police station as well as the local </w:t>
      </w:r>
      <w:r w:rsidR="00307604" w:rsidRPr="005E651D">
        <w:rPr>
          <w:rFonts w:cstheme="minorHAnsi"/>
          <w:szCs w:val="22"/>
        </w:rPr>
        <w:t>Detective Branch</w:t>
      </w:r>
      <w:r w:rsidR="002D37CA" w:rsidRPr="005E651D">
        <w:rPr>
          <w:rFonts w:cstheme="minorHAnsi"/>
          <w:szCs w:val="22"/>
        </w:rPr>
        <w:t xml:space="preserve"> and RAB offices, but all denied involvement in his detention. When the brother sought to file a General Diary application with the local police, he was told he could only file a missing person complaint. Two months after the brothers had been abducted, police told the family that Akhter had been arrested in Dhaka and alleged he was a member of the Jamaat-ul-Mujahideen, a terrorist organization.</w:t>
      </w:r>
      <w:r w:rsidR="002D37CA" w:rsidRPr="005E651D">
        <w:rPr>
          <w:rStyle w:val="FootnoteReference"/>
          <w:rFonts w:cstheme="minorHAnsi"/>
          <w:szCs w:val="22"/>
        </w:rPr>
        <w:footnoteReference w:id="20"/>
      </w:r>
      <w:r w:rsidR="002D37CA" w:rsidRPr="005E651D">
        <w:rPr>
          <w:rFonts w:cstheme="minorHAnsi"/>
          <w:szCs w:val="22"/>
        </w:rPr>
        <w:t xml:space="preserve"> </w:t>
      </w:r>
    </w:p>
    <w:p w14:paraId="1AB526B6" w14:textId="77777777" w:rsidR="002D37CA" w:rsidRPr="005E651D" w:rsidRDefault="002D37CA" w:rsidP="00422BE1">
      <w:pPr>
        <w:ind w:left="720" w:right="720"/>
        <w:rPr>
          <w:rFonts w:cstheme="minorHAnsi"/>
          <w:szCs w:val="22"/>
        </w:rPr>
      </w:pPr>
    </w:p>
    <w:p w14:paraId="6A83E70F" w14:textId="3B525E3C" w:rsidR="00F3456B" w:rsidRPr="005E651D" w:rsidRDefault="00F3456B" w:rsidP="009915B0">
      <w:pPr>
        <w:pStyle w:val="Heading3"/>
        <w:rPr>
          <w:rFonts w:asciiTheme="minorHAnsi" w:hAnsiTheme="minorHAnsi" w:cstheme="minorHAnsi"/>
        </w:rPr>
      </w:pPr>
      <w:bookmarkStart w:id="21" w:name="_Toc11053836"/>
      <w:bookmarkStart w:id="22" w:name="_Toc11879529"/>
      <w:bookmarkStart w:id="23" w:name="_Toc11883190"/>
      <w:bookmarkStart w:id="24" w:name="_Toc11922668"/>
      <w:bookmarkStart w:id="25" w:name="_Toc11945109"/>
      <w:r w:rsidRPr="005E651D">
        <w:rPr>
          <w:rFonts w:asciiTheme="minorHAnsi" w:hAnsiTheme="minorHAnsi" w:cstheme="minorHAnsi"/>
        </w:rPr>
        <w:t>Failure to Ensure “Prompt and Impartial” Investigation</w:t>
      </w:r>
      <w:bookmarkEnd w:id="21"/>
      <w:bookmarkEnd w:id="22"/>
      <w:bookmarkEnd w:id="23"/>
      <w:bookmarkEnd w:id="24"/>
      <w:bookmarkEnd w:id="25"/>
    </w:p>
    <w:p w14:paraId="6F9D09BB" w14:textId="6983F6BF" w:rsidR="009A2390" w:rsidRPr="005E651D" w:rsidRDefault="00F3456B" w:rsidP="00A27708">
      <w:pPr>
        <w:rPr>
          <w:rFonts w:cstheme="minorHAnsi"/>
          <w:szCs w:val="22"/>
        </w:rPr>
      </w:pPr>
      <w:r w:rsidRPr="005E651D">
        <w:rPr>
          <w:rFonts w:cstheme="minorHAnsi"/>
          <w:szCs w:val="22"/>
        </w:rPr>
        <w:tab/>
      </w:r>
      <w:r w:rsidR="00864288" w:rsidRPr="005E651D">
        <w:rPr>
          <w:rFonts w:cstheme="minorHAnsi"/>
          <w:szCs w:val="22"/>
        </w:rPr>
        <w:t xml:space="preserve">Article 12 of the Convention </w:t>
      </w:r>
      <w:r w:rsidR="00B66FF9" w:rsidRPr="005E651D">
        <w:rPr>
          <w:rFonts w:cstheme="minorHAnsi"/>
          <w:szCs w:val="22"/>
        </w:rPr>
        <w:t>requires</w:t>
      </w:r>
      <w:r w:rsidR="00864288" w:rsidRPr="005E651D">
        <w:rPr>
          <w:rFonts w:cstheme="minorHAnsi"/>
          <w:szCs w:val="22"/>
        </w:rPr>
        <w:t xml:space="preserve"> that State parties </w:t>
      </w:r>
      <w:r w:rsidR="005F6B8F" w:rsidRPr="005E651D">
        <w:rPr>
          <w:rFonts w:cstheme="minorHAnsi"/>
          <w:szCs w:val="22"/>
        </w:rPr>
        <w:t xml:space="preserve">ensure that “competent authorities </w:t>
      </w:r>
      <w:r w:rsidR="00723798" w:rsidRPr="005E651D">
        <w:rPr>
          <w:rFonts w:cstheme="minorHAnsi"/>
          <w:szCs w:val="22"/>
        </w:rPr>
        <w:t xml:space="preserve">proceed to a </w:t>
      </w:r>
      <w:r w:rsidR="00864288" w:rsidRPr="005E651D">
        <w:rPr>
          <w:rFonts w:cstheme="minorHAnsi"/>
          <w:szCs w:val="22"/>
        </w:rPr>
        <w:t>prompt and impart</w:t>
      </w:r>
      <w:r w:rsidR="00ED7ECE" w:rsidRPr="005E651D">
        <w:rPr>
          <w:rFonts w:cstheme="minorHAnsi"/>
          <w:szCs w:val="22"/>
        </w:rPr>
        <w:t>ial investigation</w:t>
      </w:r>
      <w:r w:rsidR="00864288" w:rsidRPr="005E651D">
        <w:rPr>
          <w:rFonts w:cstheme="minorHAnsi"/>
          <w:szCs w:val="22"/>
        </w:rPr>
        <w:t xml:space="preserve">, where there is reasonable ground to believe that an act of torture has been </w:t>
      </w:r>
      <w:r w:rsidR="003236CF" w:rsidRPr="005E651D">
        <w:rPr>
          <w:rFonts w:cstheme="minorHAnsi"/>
          <w:szCs w:val="22"/>
        </w:rPr>
        <w:t>committ</w:t>
      </w:r>
      <w:r w:rsidR="00864288" w:rsidRPr="005E651D">
        <w:rPr>
          <w:rFonts w:cstheme="minorHAnsi"/>
          <w:szCs w:val="22"/>
        </w:rPr>
        <w:t>ed</w:t>
      </w:r>
      <w:r w:rsidR="00723798" w:rsidRPr="005E651D">
        <w:rPr>
          <w:rFonts w:cstheme="minorHAnsi"/>
          <w:szCs w:val="22"/>
        </w:rPr>
        <w:t xml:space="preserve"> </w:t>
      </w:r>
      <w:r w:rsidR="00864288" w:rsidRPr="005E651D">
        <w:rPr>
          <w:rFonts w:cstheme="minorHAnsi"/>
          <w:szCs w:val="22"/>
        </w:rPr>
        <w:t>in any territory under its jurisdiction.”</w:t>
      </w:r>
      <w:r w:rsidR="00864288" w:rsidRPr="005E651D">
        <w:rPr>
          <w:rStyle w:val="FootnoteReference"/>
          <w:rFonts w:cstheme="minorHAnsi"/>
          <w:szCs w:val="22"/>
        </w:rPr>
        <w:footnoteReference w:id="21"/>
      </w:r>
      <w:r w:rsidR="001D0BDA" w:rsidRPr="005E651D">
        <w:rPr>
          <w:rFonts w:cstheme="minorHAnsi"/>
          <w:szCs w:val="22"/>
        </w:rPr>
        <w:t xml:space="preserve"> </w:t>
      </w:r>
      <w:r w:rsidRPr="005E651D">
        <w:rPr>
          <w:rFonts w:cstheme="minorHAnsi"/>
          <w:szCs w:val="22"/>
        </w:rPr>
        <w:t xml:space="preserve">A fundamental </w:t>
      </w:r>
      <w:r w:rsidR="00315ED3" w:rsidRPr="005E651D">
        <w:rPr>
          <w:rFonts w:cstheme="minorHAnsi"/>
          <w:szCs w:val="22"/>
        </w:rPr>
        <w:t>shortcoming</w:t>
      </w:r>
      <w:r w:rsidR="00B17659" w:rsidRPr="005E651D">
        <w:rPr>
          <w:rFonts w:cstheme="minorHAnsi"/>
          <w:szCs w:val="22"/>
        </w:rPr>
        <w:t xml:space="preserve"> of the </w:t>
      </w:r>
      <w:r w:rsidRPr="005E651D">
        <w:rPr>
          <w:rFonts w:cstheme="minorHAnsi"/>
          <w:szCs w:val="22"/>
        </w:rPr>
        <w:t xml:space="preserve">Act, both on its face and in practice, is that it places primary investigative authority with the police and other </w:t>
      </w:r>
      <w:r w:rsidR="00D75A7A" w:rsidRPr="005E651D">
        <w:rPr>
          <w:rFonts w:cstheme="minorHAnsi"/>
          <w:szCs w:val="22"/>
        </w:rPr>
        <w:t>LEAs</w:t>
      </w:r>
      <w:r w:rsidRPr="005E651D">
        <w:rPr>
          <w:rFonts w:cstheme="minorHAnsi"/>
          <w:szCs w:val="22"/>
        </w:rPr>
        <w:t xml:space="preserve"> that </w:t>
      </w:r>
      <w:r w:rsidR="00FC3840" w:rsidRPr="005E651D">
        <w:rPr>
          <w:rFonts w:cstheme="minorHAnsi"/>
          <w:szCs w:val="22"/>
        </w:rPr>
        <w:t xml:space="preserve">often </w:t>
      </w:r>
      <w:r w:rsidRPr="005E651D">
        <w:rPr>
          <w:rFonts w:cstheme="minorHAnsi"/>
          <w:szCs w:val="22"/>
        </w:rPr>
        <w:t xml:space="preserve">are the very perpetrators of the alleged acts of torture or ill-treatment. If an aggrieved person </w:t>
      </w:r>
      <w:r w:rsidR="00713B2E" w:rsidRPr="005E651D">
        <w:rPr>
          <w:rFonts w:cstheme="minorHAnsi"/>
          <w:szCs w:val="22"/>
        </w:rPr>
        <w:t>believes</w:t>
      </w:r>
      <w:r w:rsidRPr="005E651D">
        <w:rPr>
          <w:rFonts w:cstheme="minorHAnsi"/>
          <w:szCs w:val="22"/>
        </w:rPr>
        <w:t xml:space="preserve"> that an independent investigation is not po</w:t>
      </w:r>
      <w:r w:rsidR="00CF25DA" w:rsidRPr="005E651D">
        <w:rPr>
          <w:rFonts w:cstheme="minorHAnsi"/>
          <w:szCs w:val="22"/>
        </w:rPr>
        <w:t>ssible by the police, then the c</w:t>
      </w:r>
      <w:r w:rsidRPr="005E651D">
        <w:rPr>
          <w:rFonts w:cstheme="minorHAnsi"/>
          <w:szCs w:val="22"/>
        </w:rPr>
        <w:t>ourt</w:t>
      </w:r>
      <w:r w:rsidR="00CF25DA" w:rsidRPr="005E651D">
        <w:rPr>
          <w:rFonts w:cstheme="minorHAnsi"/>
          <w:szCs w:val="22"/>
        </w:rPr>
        <w:t>s</w:t>
      </w:r>
      <w:r w:rsidRPr="005E651D">
        <w:rPr>
          <w:rFonts w:cstheme="minorHAnsi"/>
          <w:szCs w:val="22"/>
        </w:rPr>
        <w:t>, upon finding such pleadings credible, can order a judicial investigation.</w:t>
      </w:r>
      <w:r w:rsidRPr="005E651D">
        <w:rPr>
          <w:rStyle w:val="FootnoteReference"/>
          <w:rFonts w:cstheme="minorHAnsi"/>
          <w:szCs w:val="22"/>
        </w:rPr>
        <w:footnoteReference w:id="22"/>
      </w:r>
      <w:r w:rsidRPr="005E651D">
        <w:rPr>
          <w:rFonts w:cstheme="minorHAnsi"/>
          <w:szCs w:val="22"/>
        </w:rPr>
        <w:t xml:space="preserve"> </w:t>
      </w:r>
      <w:r w:rsidR="00FC3840" w:rsidRPr="005E651D">
        <w:rPr>
          <w:rFonts w:cstheme="minorHAnsi"/>
          <w:szCs w:val="22"/>
        </w:rPr>
        <w:t>However, the</w:t>
      </w:r>
      <w:r w:rsidRPr="005E651D">
        <w:rPr>
          <w:rFonts w:cstheme="minorHAnsi"/>
          <w:szCs w:val="22"/>
        </w:rPr>
        <w:t xml:space="preserve"> requirement that judicial investigation in lieu of police investigation be petitioned for, rather than guaranteed, means that investigations of torture </w:t>
      </w:r>
      <w:r w:rsidR="00FC3840" w:rsidRPr="005E651D">
        <w:rPr>
          <w:rFonts w:cstheme="minorHAnsi"/>
          <w:szCs w:val="22"/>
        </w:rPr>
        <w:t>continue to be delegated</w:t>
      </w:r>
      <w:r w:rsidRPr="005E651D">
        <w:rPr>
          <w:rFonts w:cstheme="minorHAnsi"/>
          <w:szCs w:val="22"/>
        </w:rPr>
        <w:t xml:space="preserve"> most commonly to the bodies that are responsible for these crimes, </w:t>
      </w:r>
      <w:r w:rsidR="003236CF" w:rsidRPr="005E651D">
        <w:rPr>
          <w:rFonts w:cstheme="minorHAnsi"/>
          <w:szCs w:val="22"/>
        </w:rPr>
        <w:t>often leading to</w:t>
      </w:r>
      <w:r w:rsidRPr="005E651D">
        <w:rPr>
          <w:rFonts w:cstheme="minorHAnsi"/>
          <w:szCs w:val="22"/>
        </w:rPr>
        <w:t xml:space="preserve"> impunity and inaction.</w:t>
      </w:r>
      <w:r w:rsidR="00936AE1" w:rsidRPr="005E651D">
        <w:rPr>
          <w:rFonts w:cstheme="minorHAnsi"/>
          <w:szCs w:val="22"/>
        </w:rPr>
        <w:t xml:space="preserve"> </w:t>
      </w:r>
      <w:r w:rsidRPr="005E651D">
        <w:rPr>
          <w:rFonts w:cstheme="minorHAnsi"/>
          <w:szCs w:val="22"/>
        </w:rPr>
        <w:t>Further, although an investigation ostensibly must be concluded within 90 working days of recording the complaint, with a possible extension where “reasonable grounds” are pleaded,</w:t>
      </w:r>
      <w:r w:rsidRPr="005E651D">
        <w:rPr>
          <w:rStyle w:val="FootnoteReference"/>
          <w:rFonts w:cstheme="minorHAnsi"/>
          <w:szCs w:val="22"/>
        </w:rPr>
        <w:footnoteReference w:id="23"/>
      </w:r>
      <w:r w:rsidRPr="005E651D">
        <w:rPr>
          <w:rFonts w:cstheme="minorHAnsi"/>
          <w:szCs w:val="22"/>
        </w:rPr>
        <w:t xml:space="preserve"> the Act fails to prescribe a procedure should the investigation not be completed within the defined time limit</w:t>
      </w:r>
      <w:r w:rsidR="00D75A7A" w:rsidRPr="005E651D">
        <w:rPr>
          <w:rFonts w:cstheme="minorHAnsi"/>
          <w:szCs w:val="22"/>
        </w:rPr>
        <w:t>,</w:t>
      </w:r>
      <w:r w:rsidRPr="005E651D">
        <w:rPr>
          <w:rFonts w:cstheme="minorHAnsi"/>
          <w:szCs w:val="22"/>
        </w:rPr>
        <w:t xml:space="preserve"> and</w:t>
      </w:r>
      <w:r w:rsidR="00D75A7A" w:rsidRPr="005E651D">
        <w:rPr>
          <w:rFonts w:cstheme="minorHAnsi"/>
          <w:szCs w:val="22"/>
        </w:rPr>
        <w:t xml:space="preserve"> it</w:t>
      </w:r>
      <w:r w:rsidRPr="005E651D">
        <w:rPr>
          <w:rFonts w:cstheme="minorHAnsi"/>
          <w:szCs w:val="22"/>
        </w:rPr>
        <w:t xml:space="preserve"> does not provide a punishment for misconduct or failure to execute a competent investigation. </w:t>
      </w:r>
    </w:p>
    <w:p w14:paraId="4B0082DB" w14:textId="77777777" w:rsidR="009A2390" w:rsidRPr="005E651D" w:rsidRDefault="009A2390" w:rsidP="00F3456B">
      <w:pPr>
        <w:rPr>
          <w:rFonts w:cstheme="minorHAnsi"/>
          <w:szCs w:val="22"/>
        </w:rPr>
      </w:pPr>
    </w:p>
    <w:p w14:paraId="2921C6F0" w14:textId="02AFF7FE" w:rsidR="00964B90" w:rsidRPr="005E651D" w:rsidRDefault="00936AE1" w:rsidP="00FE168F">
      <w:pPr>
        <w:rPr>
          <w:rFonts w:cstheme="minorHAnsi"/>
          <w:szCs w:val="22"/>
        </w:rPr>
      </w:pPr>
      <w:r w:rsidRPr="005E651D">
        <w:rPr>
          <w:rFonts w:cstheme="minorHAnsi"/>
          <w:szCs w:val="22"/>
        </w:rPr>
        <w:tab/>
      </w:r>
      <w:r w:rsidR="00A82298" w:rsidRPr="005E651D">
        <w:rPr>
          <w:rFonts w:cstheme="minorHAnsi"/>
          <w:szCs w:val="22"/>
        </w:rPr>
        <w:t>Further compounding these issues,</w:t>
      </w:r>
      <w:r w:rsidR="00A82298" w:rsidRPr="005E651D">
        <w:rPr>
          <w:rFonts w:cstheme="minorHAnsi"/>
          <w:i/>
          <w:szCs w:val="22"/>
        </w:rPr>
        <w:t xml:space="preserve"> h</w:t>
      </w:r>
      <w:r w:rsidR="00F3456B" w:rsidRPr="005E651D">
        <w:rPr>
          <w:rFonts w:cstheme="minorHAnsi"/>
          <w:i/>
          <w:szCs w:val="22"/>
        </w:rPr>
        <w:t xml:space="preserve">abeas corpus </w:t>
      </w:r>
      <w:r w:rsidR="00F3456B" w:rsidRPr="005E651D">
        <w:rPr>
          <w:rFonts w:cstheme="minorHAnsi"/>
          <w:szCs w:val="22"/>
        </w:rPr>
        <w:t>petitions and other legal mechanisms serve as hollow recourse in Bangladesh.</w:t>
      </w:r>
      <w:r w:rsidR="00F3456B" w:rsidRPr="005E651D">
        <w:rPr>
          <w:rStyle w:val="FootnoteReference"/>
          <w:rFonts w:cstheme="minorHAnsi"/>
          <w:szCs w:val="22"/>
        </w:rPr>
        <w:footnoteReference w:id="24"/>
      </w:r>
      <w:r w:rsidR="00F3456B" w:rsidRPr="005E651D">
        <w:rPr>
          <w:rFonts w:cstheme="minorHAnsi"/>
          <w:szCs w:val="22"/>
        </w:rPr>
        <w:t xml:space="preserve"> </w:t>
      </w:r>
      <w:r w:rsidR="00D75A7A" w:rsidRPr="005E651D">
        <w:rPr>
          <w:rFonts w:cstheme="minorHAnsi"/>
          <w:szCs w:val="22"/>
        </w:rPr>
        <w:t>LEAs</w:t>
      </w:r>
      <w:r w:rsidR="00F3456B" w:rsidRPr="005E651D">
        <w:rPr>
          <w:rFonts w:cstheme="minorHAnsi"/>
          <w:szCs w:val="22"/>
        </w:rPr>
        <w:t xml:space="preserve"> </w:t>
      </w:r>
      <w:r w:rsidR="00164B6E" w:rsidRPr="005E651D">
        <w:rPr>
          <w:rFonts w:cstheme="minorHAnsi"/>
          <w:szCs w:val="22"/>
        </w:rPr>
        <w:t xml:space="preserve">often </w:t>
      </w:r>
      <w:r w:rsidR="00F3456B" w:rsidRPr="005E651D">
        <w:rPr>
          <w:rFonts w:cstheme="minorHAnsi"/>
          <w:szCs w:val="22"/>
        </w:rPr>
        <w:t>are delinquent in responding to court requests to conduct investigations and can take months, or more commonly years, to provide final reports when ordered to conduct an investigation</w:t>
      </w:r>
      <w:r w:rsidR="0051664A" w:rsidRPr="005E651D">
        <w:rPr>
          <w:rFonts w:cstheme="minorHAnsi"/>
          <w:szCs w:val="22"/>
        </w:rPr>
        <w:t xml:space="preserve">, </w:t>
      </w:r>
      <w:r w:rsidR="00F3456B" w:rsidRPr="005E651D">
        <w:rPr>
          <w:rFonts w:cstheme="minorHAnsi"/>
          <w:szCs w:val="22"/>
        </w:rPr>
        <w:t>often concluding that there is no evidence to be found.</w:t>
      </w:r>
      <w:r w:rsidR="00F3456B" w:rsidRPr="005E651D">
        <w:rPr>
          <w:rStyle w:val="FootnoteReference"/>
          <w:rFonts w:cstheme="minorHAnsi"/>
          <w:szCs w:val="22"/>
        </w:rPr>
        <w:footnoteReference w:id="25"/>
      </w:r>
      <w:r w:rsidRPr="005E651D">
        <w:rPr>
          <w:rFonts w:cstheme="minorHAnsi"/>
          <w:szCs w:val="22"/>
        </w:rPr>
        <w:t xml:space="preserve"> </w:t>
      </w:r>
      <w:r w:rsidR="006A36E2" w:rsidRPr="005E651D">
        <w:rPr>
          <w:rFonts w:cstheme="minorHAnsi"/>
          <w:szCs w:val="22"/>
        </w:rPr>
        <w:t>B</w:t>
      </w:r>
      <w:r w:rsidR="00F3456B" w:rsidRPr="005E651D">
        <w:rPr>
          <w:rFonts w:cstheme="minorHAnsi"/>
          <w:szCs w:val="22"/>
        </w:rPr>
        <w:t>y September 2017, the Asian Legal Resource Centre had chronicled only one case of enforced disappearance in which the police had conducted an investigation since the passage of the Act</w:t>
      </w:r>
      <w:r w:rsidR="001D5CBE" w:rsidRPr="005E651D">
        <w:rPr>
          <w:rFonts w:cstheme="minorHAnsi"/>
          <w:szCs w:val="22"/>
        </w:rPr>
        <w:t xml:space="preserve"> in 2013</w:t>
      </w:r>
      <w:r w:rsidR="008F74F1" w:rsidRPr="005E651D">
        <w:rPr>
          <w:rFonts w:cstheme="minorHAnsi"/>
          <w:szCs w:val="22"/>
        </w:rPr>
        <w:t>.</w:t>
      </w:r>
      <w:r w:rsidR="00F3456B" w:rsidRPr="005E651D">
        <w:rPr>
          <w:rStyle w:val="FootnoteReference"/>
          <w:rFonts w:cstheme="minorHAnsi"/>
          <w:szCs w:val="22"/>
        </w:rPr>
        <w:footnoteReference w:id="26"/>
      </w:r>
      <w:r w:rsidR="008F74F1" w:rsidRPr="005E651D">
        <w:rPr>
          <w:rFonts w:cstheme="minorHAnsi"/>
          <w:szCs w:val="22"/>
        </w:rPr>
        <w:t xml:space="preserve"> </w:t>
      </w:r>
      <w:r w:rsidR="0051664A" w:rsidRPr="005E651D">
        <w:rPr>
          <w:rFonts w:cstheme="minorHAnsi"/>
          <w:szCs w:val="22"/>
        </w:rPr>
        <w:t>As context</w:t>
      </w:r>
      <w:r w:rsidR="007B2A92" w:rsidRPr="005E651D">
        <w:rPr>
          <w:rFonts w:cstheme="minorHAnsi"/>
          <w:szCs w:val="22"/>
        </w:rPr>
        <w:t xml:space="preserve">, a recent report </w:t>
      </w:r>
      <w:r w:rsidR="007B2A92" w:rsidRPr="005E651D">
        <w:rPr>
          <w:rFonts w:cstheme="minorHAnsi"/>
          <w:szCs w:val="22"/>
        </w:rPr>
        <w:lastRenderedPageBreak/>
        <w:t>issued by the International Federation for Human Rights</w:t>
      </w:r>
      <w:r w:rsidR="00FB4D52">
        <w:rPr>
          <w:rFonts w:cstheme="minorHAnsi"/>
          <w:szCs w:val="22"/>
        </w:rPr>
        <w:t xml:space="preserve"> (FIDH)</w:t>
      </w:r>
      <w:r w:rsidR="007B2A92" w:rsidRPr="005E651D">
        <w:rPr>
          <w:rFonts w:cstheme="minorHAnsi"/>
          <w:szCs w:val="22"/>
        </w:rPr>
        <w:t xml:space="preserve"> estimates that between 2013 and 2018, there were a total of 429 reported enforced disappearances.</w:t>
      </w:r>
      <w:r w:rsidR="007B2A92" w:rsidRPr="005E651D">
        <w:rPr>
          <w:rStyle w:val="FootnoteReference"/>
          <w:rFonts w:cstheme="minorHAnsi"/>
          <w:szCs w:val="22"/>
        </w:rPr>
        <w:footnoteReference w:id="27"/>
      </w:r>
      <w:r w:rsidR="00D77A92" w:rsidRPr="005E651D">
        <w:rPr>
          <w:rStyle w:val="FootnoteReference"/>
          <w:rFonts w:cstheme="minorHAnsi"/>
          <w:szCs w:val="22"/>
        </w:rPr>
        <w:t xml:space="preserve"> </w:t>
      </w:r>
    </w:p>
    <w:p w14:paraId="326392EE" w14:textId="6139F93B" w:rsidR="00535EF6" w:rsidRPr="005E651D" w:rsidRDefault="00535EF6" w:rsidP="00FE168F">
      <w:pPr>
        <w:rPr>
          <w:rFonts w:cstheme="minorHAnsi"/>
          <w:szCs w:val="22"/>
        </w:rPr>
      </w:pPr>
      <w:r w:rsidRPr="005E651D">
        <w:rPr>
          <w:rFonts w:cstheme="minorHAnsi"/>
          <w:szCs w:val="22"/>
        </w:rPr>
        <w:tab/>
      </w:r>
    </w:p>
    <w:p w14:paraId="081B4034" w14:textId="096C2F41" w:rsidR="00535EF6" w:rsidRPr="005E651D" w:rsidRDefault="00535EF6" w:rsidP="00FE168F">
      <w:pPr>
        <w:rPr>
          <w:rFonts w:cstheme="minorHAnsi"/>
          <w:szCs w:val="22"/>
        </w:rPr>
      </w:pPr>
      <w:r w:rsidRPr="005E651D">
        <w:rPr>
          <w:rFonts w:cstheme="minorHAnsi"/>
          <w:szCs w:val="22"/>
        </w:rPr>
        <w:tab/>
        <w:t xml:space="preserve">Below is just one example </w:t>
      </w:r>
      <w:r w:rsidR="009B2653" w:rsidRPr="005E651D">
        <w:rPr>
          <w:rFonts w:cstheme="minorHAnsi"/>
          <w:szCs w:val="22"/>
        </w:rPr>
        <w:t>of the</w:t>
      </w:r>
      <w:r w:rsidRPr="005E651D">
        <w:rPr>
          <w:rFonts w:cstheme="minorHAnsi"/>
          <w:szCs w:val="22"/>
        </w:rPr>
        <w:t xml:space="preserve"> many of the </w:t>
      </w:r>
      <w:r w:rsidR="001A6FF6" w:rsidRPr="005E651D">
        <w:rPr>
          <w:rFonts w:cstheme="minorHAnsi"/>
          <w:szCs w:val="22"/>
        </w:rPr>
        <w:t>obstacles</w:t>
      </w:r>
      <w:r w:rsidRPr="005E651D">
        <w:rPr>
          <w:rFonts w:cstheme="minorHAnsi"/>
          <w:szCs w:val="22"/>
        </w:rPr>
        <w:t xml:space="preserve"> that victims and their families </w:t>
      </w:r>
      <w:r w:rsidR="00153F3C" w:rsidRPr="005E651D">
        <w:rPr>
          <w:rFonts w:cstheme="minorHAnsi"/>
          <w:szCs w:val="22"/>
        </w:rPr>
        <w:t>face</w:t>
      </w:r>
      <w:r w:rsidRPr="005E651D">
        <w:rPr>
          <w:rFonts w:cstheme="minorHAnsi"/>
          <w:szCs w:val="22"/>
        </w:rPr>
        <w:t xml:space="preserve"> </w:t>
      </w:r>
      <w:r w:rsidR="009B2653" w:rsidRPr="005E651D">
        <w:rPr>
          <w:rFonts w:cstheme="minorHAnsi"/>
          <w:szCs w:val="22"/>
        </w:rPr>
        <w:t>in</w:t>
      </w:r>
      <w:r w:rsidRPr="005E651D">
        <w:rPr>
          <w:rFonts w:cstheme="minorHAnsi"/>
          <w:szCs w:val="22"/>
        </w:rPr>
        <w:t xml:space="preserve"> seeking investigations</w:t>
      </w:r>
      <w:r w:rsidR="009B2653" w:rsidRPr="005E651D">
        <w:rPr>
          <w:rFonts w:cstheme="minorHAnsi"/>
          <w:szCs w:val="22"/>
        </w:rPr>
        <w:t xml:space="preserve"> into acts of torture and ill treatment</w:t>
      </w:r>
      <w:r w:rsidRPr="005E651D">
        <w:rPr>
          <w:rFonts w:cstheme="minorHAnsi"/>
          <w:szCs w:val="22"/>
        </w:rPr>
        <w:t xml:space="preserve">, both through LEA </w:t>
      </w:r>
      <w:r w:rsidR="002A7D00" w:rsidRPr="005E651D">
        <w:rPr>
          <w:rFonts w:cstheme="minorHAnsi"/>
          <w:szCs w:val="22"/>
        </w:rPr>
        <w:t>complaint</w:t>
      </w:r>
      <w:r w:rsidRPr="005E651D">
        <w:rPr>
          <w:rFonts w:cstheme="minorHAnsi"/>
          <w:szCs w:val="22"/>
        </w:rPr>
        <w:t xml:space="preserve"> processes and </w:t>
      </w:r>
      <w:r w:rsidR="009A088B" w:rsidRPr="005E651D">
        <w:rPr>
          <w:rFonts w:cstheme="minorHAnsi"/>
          <w:szCs w:val="22"/>
        </w:rPr>
        <w:t xml:space="preserve">through </w:t>
      </w:r>
      <w:r w:rsidRPr="005E651D">
        <w:rPr>
          <w:rFonts w:cstheme="minorHAnsi"/>
          <w:szCs w:val="22"/>
        </w:rPr>
        <w:t>the</w:t>
      </w:r>
      <w:r w:rsidR="005720B1" w:rsidRPr="005E651D">
        <w:rPr>
          <w:rFonts w:cstheme="minorHAnsi"/>
          <w:szCs w:val="22"/>
        </w:rPr>
        <w:t xml:space="preserve"> Bangladeshi</w:t>
      </w:r>
      <w:r w:rsidRPr="005E651D">
        <w:rPr>
          <w:rFonts w:cstheme="minorHAnsi"/>
          <w:szCs w:val="22"/>
        </w:rPr>
        <w:t xml:space="preserve"> court system:</w:t>
      </w:r>
    </w:p>
    <w:p w14:paraId="489F3259" w14:textId="177524EF" w:rsidR="00535EF6" w:rsidRPr="005E651D" w:rsidRDefault="00535EF6" w:rsidP="00FE168F">
      <w:pPr>
        <w:rPr>
          <w:rFonts w:cstheme="minorHAnsi"/>
          <w:szCs w:val="22"/>
        </w:rPr>
      </w:pPr>
    </w:p>
    <w:p w14:paraId="0416A292" w14:textId="6FC86094" w:rsidR="00535EF6" w:rsidRPr="005E651D" w:rsidRDefault="00535EF6" w:rsidP="009B2653">
      <w:pPr>
        <w:pStyle w:val="ListParagraph"/>
        <w:numPr>
          <w:ilvl w:val="0"/>
          <w:numId w:val="54"/>
        </w:numPr>
        <w:rPr>
          <w:rFonts w:cstheme="minorHAnsi"/>
          <w:szCs w:val="22"/>
        </w:rPr>
      </w:pPr>
      <w:r w:rsidRPr="005E651D">
        <w:rPr>
          <w:rFonts w:cstheme="minorHAnsi"/>
          <w:szCs w:val="22"/>
        </w:rPr>
        <w:t xml:space="preserve">On March 23, 2011, college student Limon Hossain was shot in the left leg by a RAB officer, which resulted in amputation. Hossain’s mother tried to file a case against RAB personnel at the local police station but was turned away. Only following a court order did the police ultimately agree to record the case. In August 2012, over one year later, </w:t>
      </w:r>
      <w:r w:rsidR="0016199F" w:rsidRPr="005E651D">
        <w:rPr>
          <w:rFonts w:cstheme="minorHAnsi"/>
          <w:szCs w:val="22"/>
        </w:rPr>
        <w:t>the</w:t>
      </w:r>
      <w:r w:rsidRPr="005E651D">
        <w:rPr>
          <w:rFonts w:cstheme="minorHAnsi"/>
          <w:szCs w:val="22"/>
        </w:rPr>
        <w:t xml:space="preserve"> police submitted a final report in the case, claiming that the investigation had identified no evidence or witnesses. Hossain’s mother immediately challenged the report, but a senior Judicial Magistrate rejected the challenge. Hossain’s mother was able to move the case to the District and Session Court for separate review. Between March 2013 and 2018, the prosecution sought approximately 40 new dates for the hearing. Finally, on April 1, 2018, an Additional District Judge ordered that the Police Bureau of Investigation </w:t>
      </w:r>
      <w:r w:rsidR="0016199F" w:rsidRPr="005E651D">
        <w:rPr>
          <w:rFonts w:cstheme="minorHAnsi"/>
          <w:szCs w:val="22"/>
        </w:rPr>
        <w:t>initiate a new investigation of</w:t>
      </w:r>
      <w:r w:rsidRPr="005E651D">
        <w:rPr>
          <w:rFonts w:cstheme="minorHAnsi"/>
          <w:szCs w:val="22"/>
        </w:rPr>
        <w:t xml:space="preserve"> the case, some seven years after its occurrence.</w:t>
      </w:r>
      <w:r w:rsidRPr="005E651D">
        <w:rPr>
          <w:rStyle w:val="FootnoteReference"/>
          <w:rFonts w:cstheme="minorHAnsi"/>
          <w:szCs w:val="22"/>
        </w:rPr>
        <w:footnoteReference w:id="28"/>
      </w:r>
    </w:p>
    <w:p w14:paraId="67E976E1" w14:textId="38CB0390" w:rsidR="00741789" w:rsidRPr="005E651D" w:rsidRDefault="00741789" w:rsidP="005510A8">
      <w:pPr>
        <w:rPr>
          <w:rFonts w:cstheme="minorHAnsi"/>
          <w:szCs w:val="22"/>
        </w:rPr>
      </w:pPr>
    </w:p>
    <w:p w14:paraId="78A8BE0E" w14:textId="1CF3C611" w:rsidR="00AC78E2" w:rsidRPr="005E651D" w:rsidRDefault="00AC78E2" w:rsidP="00AC78E2">
      <w:pPr>
        <w:pStyle w:val="Heading3"/>
        <w:rPr>
          <w:rFonts w:asciiTheme="minorHAnsi" w:eastAsiaTheme="minorHAnsi" w:hAnsiTheme="minorHAnsi" w:cstheme="minorHAnsi"/>
        </w:rPr>
      </w:pPr>
      <w:bookmarkStart w:id="26" w:name="_Toc11053837"/>
      <w:bookmarkStart w:id="27" w:name="_Toc11879530"/>
      <w:bookmarkStart w:id="28" w:name="_Toc11883191"/>
      <w:bookmarkStart w:id="29" w:name="_Toc11922669"/>
      <w:bookmarkStart w:id="30" w:name="_Toc11945110"/>
      <w:r w:rsidRPr="005E651D">
        <w:rPr>
          <w:rFonts w:asciiTheme="minorHAnsi" w:hAnsiTheme="minorHAnsi" w:cstheme="minorHAnsi"/>
        </w:rPr>
        <w:t>Prolonged Pre-Trial Detention</w:t>
      </w:r>
      <w:bookmarkEnd w:id="26"/>
      <w:bookmarkEnd w:id="27"/>
      <w:bookmarkEnd w:id="28"/>
      <w:bookmarkEnd w:id="29"/>
      <w:bookmarkEnd w:id="30"/>
    </w:p>
    <w:p w14:paraId="70012401" w14:textId="5A5B0C23" w:rsidR="00941D90" w:rsidRPr="005E651D" w:rsidRDefault="00AC78E2" w:rsidP="00070688">
      <w:pPr>
        <w:rPr>
          <w:rFonts w:cstheme="minorHAnsi"/>
          <w:szCs w:val="22"/>
        </w:rPr>
      </w:pPr>
      <w:r w:rsidRPr="005E651D">
        <w:rPr>
          <w:rFonts w:cstheme="minorHAnsi"/>
          <w:szCs w:val="22"/>
        </w:rPr>
        <w:tab/>
        <w:t>Another means by which LEA officials evade the court system is through extended pre-trial detention, often condon</w:t>
      </w:r>
      <w:r w:rsidR="006A36E2" w:rsidRPr="005E651D">
        <w:rPr>
          <w:rFonts w:cstheme="minorHAnsi"/>
          <w:szCs w:val="22"/>
        </w:rPr>
        <w:t xml:space="preserve">ed </w:t>
      </w:r>
      <w:r w:rsidRPr="005E651D">
        <w:rPr>
          <w:rFonts w:cstheme="minorHAnsi"/>
          <w:szCs w:val="22"/>
        </w:rPr>
        <w:t>or approv</w:t>
      </w:r>
      <w:r w:rsidR="006A36E2" w:rsidRPr="005E651D">
        <w:rPr>
          <w:rFonts w:cstheme="minorHAnsi"/>
          <w:szCs w:val="22"/>
        </w:rPr>
        <w:t>ed</w:t>
      </w:r>
      <w:r w:rsidRPr="005E651D">
        <w:rPr>
          <w:rFonts w:cstheme="minorHAnsi"/>
          <w:szCs w:val="22"/>
        </w:rPr>
        <w:t xml:space="preserve"> </w:t>
      </w:r>
      <w:r w:rsidR="006A36E2" w:rsidRPr="005E651D">
        <w:rPr>
          <w:rFonts w:cstheme="minorHAnsi"/>
          <w:szCs w:val="22"/>
        </w:rPr>
        <w:t>by</w:t>
      </w:r>
      <w:r w:rsidRPr="005E651D">
        <w:rPr>
          <w:rFonts w:cstheme="minorHAnsi"/>
          <w:szCs w:val="22"/>
        </w:rPr>
        <w:t xml:space="preserve"> the courts. Under the </w:t>
      </w:r>
      <w:r w:rsidR="00D35AD9" w:rsidRPr="005E651D">
        <w:rPr>
          <w:rFonts w:cstheme="minorHAnsi"/>
        </w:rPr>
        <w:t>Act</w:t>
      </w:r>
      <w:r w:rsidRPr="005E651D">
        <w:rPr>
          <w:rFonts w:cstheme="minorHAnsi"/>
          <w:szCs w:val="22"/>
        </w:rPr>
        <w:t>, a trial for the offense of torture must be completed within 180 days of the complaint being filed. If the trial is delayed during this period on “reasonable ground[s],” then it must be completed within the following 30 days.</w:t>
      </w:r>
      <w:r w:rsidRPr="005E651D">
        <w:rPr>
          <w:rStyle w:val="FootnoteReference"/>
          <w:rFonts w:cstheme="minorHAnsi"/>
          <w:szCs w:val="22"/>
        </w:rPr>
        <w:footnoteReference w:id="29"/>
      </w:r>
      <w:r w:rsidRPr="005E651D">
        <w:rPr>
          <w:rFonts w:cstheme="minorHAnsi"/>
          <w:szCs w:val="22"/>
        </w:rPr>
        <w:t xml:space="preserve"> However, the Act does not provide recourse if the trial is not concluded within </w:t>
      </w:r>
      <w:r w:rsidR="005A313A" w:rsidRPr="005E651D">
        <w:rPr>
          <w:rFonts w:cstheme="minorHAnsi"/>
          <w:szCs w:val="22"/>
        </w:rPr>
        <w:t xml:space="preserve">the prescribed time limit, and </w:t>
      </w:r>
      <w:r w:rsidR="00F621BC" w:rsidRPr="005E651D">
        <w:rPr>
          <w:rFonts w:cstheme="minorHAnsi"/>
          <w:szCs w:val="22"/>
        </w:rPr>
        <w:t>detainees</w:t>
      </w:r>
      <w:r w:rsidRPr="005E651D">
        <w:rPr>
          <w:rFonts w:cstheme="minorHAnsi"/>
          <w:szCs w:val="22"/>
        </w:rPr>
        <w:t xml:space="preserve"> spend years languishing in jail, </w:t>
      </w:r>
      <w:r w:rsidR="00961A33" w:rsidRPr="005E651D">
        <w:rPr>
          <w:rFonts w:cstheme="minorHAnsi"/>
          <w:szCs w:val="22"/>
        </w:rPr>
        <w:t>held under charges</w:t>
      </w:r>
      <w:r w:rsidRPr="005E651D">
        <w:rPr>
          <w:rFonts w:cstheme="minorHAnsi"/>
          <w:szCs w:val="22"/>
        </w:rPr>
        <w:t xml:space="preserve"> that have no right to bail. State practices of repeated denial of bail and rearrest for the same or different crimes contribute to prolonged detention and foster conditions in which torture and ill-treatment commonly occur.</w:t>
      </w:r>
      <w:r w:rsidRPr="005E651D">
        <w:rPr>
          <w:rStyle w:val="FootnoteReference"/>
          <w:rFonts w:cstheme="minorHAnsi"/>
          <w:szCs w:val="22"/>
        </w:rPr>
        <w:footnoteReference w:id="30"/>
      </w:r>
      <w:r w:rsidRPr="005E651D">
        <w:rPr>
          <w:rFonts w:cstheme="minorHAnsi"/>
          <w:szCs w:val="22"/>
        </w:rPr>
        <w:t xml:space="preserve"> As reported by the U.S. State Department in 2016, 74% of detainees were either in pre-trial detention or still undergoing trial</w:t>
      </w:r>
      <w:r w:rsidRPr="005E651D">
        <w:rPr>
          <w:rStyle w:val="FootnoteReference"/>
          <w:rFonts w:cstheme="minorHAnsi"/>
          <w:szCs w:val="22"/>
        </w:rPr>
        <w:footnoteReference w:id="31"/>
      </w:r>
      <w:r w:rsidRPr="005E651D">
        <w:rPr>
          <w:rFonts w:cstheme="minorHAnsi"/>
          <w:szCs w:val="22"/>
        </w:rPr>
        <w:t>—and this did not include those who disappeared or were otherwise unaccounted for. Indeed, in some cases, the length of pretrial detention can equal or exceed the sentence for the alleged crime.</w:t>
      </w:r>
      <w:r w:rsidRPr="005E651D">
        <w:rPr>
          <w:rStyle w:val="FootnoteReference"/>
          <w:rFonts w:cstheme="minorHAnsi"/>
          <w:szCs w:val="22"/>
        </w:rPr>
        <w:footnoteReference w:id="32"/>
      </w:r>
      <w:r w:rsidRPr="005E651D">
        <w:rPr>
          <w:rFonts w:cstheme="minorHAnsi"/>
          <w:szCs w:val="22"/>
        </w:rPr>
        <w:t xml:space="preserve"> </w:t>
      </w:r>
    </w:p>
    <w:p w14:paraId="009BCA40" w14:textId="0D1F3460" w:rsidR="007E0E81" w:rsidRPr="005E651D" w:rsidRDefault="007E0E81" w:rsidP="00070688">
      <w:pPr>
        <w:rPr>
          <w:rFonts w:cstheme="minorHAnsi"/>
          <w:szCs w:val="22"/>
        </w:rPr>
      </w:pPr>
    </w:p>
    <w:p w14:paraId="477992FF" w14:textId="1C92A292" w:rsidR="007E0E81" w:rsidRPr="005E651D" w:rsidRDefault="007E0E81" w:rsidP="007E0E81">
      <w:pPr>
        <w:rPr>
          <w:rFonts w:cstheme="minorHAnsi"/>
          <w:szCs w:val="22"/>
        </w:rPr>
      </w:pPr>
      <w:r w:rsidRPr="005E651D">
        <w:rPr>
          <w:rFonts w:cstheme="minorHAnsi"/>
          <w:szCs w:val="22"/>
        </w:rPr>
        <w:lastRenderedPageBreak/>
        <w:tab/>
        <w:t xml:space="preserve">Where bail is obtained, police often continue to threaten individuals with rearrest for the same or a different crime. The Appellate Division of the Supreme Court of Bangladesh issued a directive in May 2016 explicitly prohibiting the rearrest of accused while they are released on bail or the arrest of the same individual for a new case without producing them in court; however, authorities routinely </w:t>
      </w:r>
      <w:r w:rsidR="00D21F89" w:rsidRPr="005E651D">
        <w:rPr>
          <w:rFonts w:cstheme="minorHAnsi"/>
          <w:szCs w:val="22"/>
        </w:rPr>
        <w:t>disregard</w:t>
      </w:r>
      <w:r w:rsidR="00762484" w:rsidRPr="005E651D">
        <w:rPr>
          <w:rFonts w:cstheme="minorHAnsi"/>
          <w:szCs w:val="22"/>
        </w:rPr>
        <w:t xml:space="preserve"> this directive</w:t>
      </w:r>
      <w:r w:rsidRPr="005E651D">
        <w:rPr>
          <w:rFonts w:cstheme="minorHAnsi"/>
          <w:szCs w:val="22"/>
        </w:rPr>
        <w:t>.</w:t>
      </w:r>
      <w:r w:rsidRPr="005E651D">
        <w:rPr>
          <w:rStyle w:val="FootnoteReference"/>
          <w:rFonts w:cstheme="minorHAnsi"/>
          <w:szCs w:val="22"/>
        </w:rPr>
        <w:footnoteReference w:id="33"/>
      </w:r>
      <w:r w:rsidRPr="005E651D">
        <w:rPr>
          <w:rFonts w:cstheme="minorHAnsi"/>
          <w:szCs w:val="22"/>
        </w:rPr>
        <w:t xml:space="preserve"> </w:t>
      </w:r>
    </w:p>
    <w:p w14:paraId="0A76741E" w14:textId="77777777" w:rsidR="007E0E81" w:rsidRPr="005E651D" w:rsidRDefault="007E0E81" w:rsidP="00070688">
      <w:pPr>
        <w:rPr>
          <w:rFonts w:cstheme="minorHAnsi"/>
          <w:szCs w:val="22"/>
        </w:rPr>
      </w:pPr>
    </w:p>
    <w:p w14:paraId="7C902880" w14:textId="1D505BA5" w:rsidR="00AC78E2" w:rsidRPr="005E651D" w:rsidRDefault="00D02F58" w:rsidP="00AC78E2">
      <w:pPr>
        <w:rPr>
          <w:rFonts w:cstheme="minorHAnsi"/>
          <w:szCs w:val="22"/>
        </w:rPr>
      </w:pPr>
      <w:r w:rsidRPr="005E651D">
        <w:rPr>
          <w:rFonts w:cstheme="minorHAnsi"/>
          <w:szCs w:val="22"/>
        </w:rPr>
        <w:tab/>
      </w:r>
      <w:r w:rsidR="00AC78E2" w:rsidRPr="005E651D">
        <w:rPr>
          <w:rFonts w:cstheme="minorHAnsi"/>
          <w:szCs w:val="22"/>
        </w:rPr>
        <w:t xml:space="preserve">Below are </w:t>
      </w:r>
      <w:r w:rsidR="00B5485F" w:rsidRPr="005E651D">
        <w:rPr>
          <w:rFonts w:cstheme="minorHAnsi"/>
          <w:szCs w:val="22"/>
        </w:rPr>
        <w:t>two</w:t>
      </w:r>
      <w:r w:rsidR="0023176E" w:rsidRPr="005E651D">
        <w:rPr>
          <w:rFonts w:cstheme="minorHAnsi"/>
          <w:szCs w:val="22"/>
        </w:rPr>
        <w:t xml:space="preserve"> </w:t>
      </w:r>
      <w:r w:rsidR="00724CE9" w:rsidRPr="005E651D">
        <w:rPr>
          <w:rFonts w:cstheme="minorHAnsi"/>
          <w:szCs w:val="22"/>
        </w:rPr>
        <w:t>illustrative</w:t>
      </w:r>
      <w:r w:rsidR="00AC78E2" w:rsidRPr="005E651D">
        <w:rPr>
          <w:rFonts w:cstheme="minorHAnsi"/>
          <w:szCs w:val="22"/>
        </w:rPr>
        <w:t xml:space="preserve"> examples of cases involving prolonged pre-trial </w:t>
      </w:r>
      <w:proofErr w:type="gramStart"/>
      <w:r w:rsidR="00AC78E2" w:rsidRPr="005E651D">
        <w:rPr>
          <w:rFonts w:cstheme="minorHAnsi"/>
          <w:szCs w:val="22"/>
        </w:rPr>
        <w:t>detention:</w:t>
      </w:r>
      <w:proofErr w:type="gramEnd"/>
    </w:p>
    <w:p w14:paraId="416EBBCC" w14:textId="77777777" w:rsidR="00AC78E2" w:rsidRPr="005E651D" w:rsidRDefault="00AC78E2" w:rsidP="00AC78E2">
      <w:pPr>
        <w:rPr>
          <w:rFonts w:cstheme="minorHAnsi"/>
          <w:szCs w:val="22"/>
        </w:rPr>
      </w:pPr>
    </w:p>
    <w:p w14:paraId="7497738B" w14:textId="2943D601" w:rsidR="00D3692C" w:rsidRPr="005E651D" w:rsidRDefault="00E4780F" w:rsidP="00446318">
      <w:pPr>
        <w:pStyle w:val="ListParagraph"/>
        <w:numPr>
          <w:ilvl w:val="0"/>
          <w:numId w:val="47"/>
        </w:numPr>
        <w:ind w:left="900"/>
        <w:rPr>
          <w:rFonts w:cstheme="minorHAnsi"/>
          <w:szCs w:val="22"/>
        </w:rPr>
      </w:pPr>
      <w:r w:rsidRPr="005E651D">
        <w:rPr>
          <w:rFonts w:cstheme="minorHAnsi"/>
          <w:szCs w:val="22"/>
        </w:rPr>
        <w:t>On July 1, 2016, armed gunmen attacked the Holey Artisan Bakery, killing more than 20 people and holding others hostage, marking the nation’s first-ever hostage crisis.</w:t>
      </w:r>
      <w:r w:rsidRPr="005E651D">
        <w:rPr>
          <w:rStyle w:val="FootnoteReference"/>
          <w:rFonts w:cstheme="minorHAnsi"/>
          <w:szCs w:val="22"/>
        </w:rPr>
        <w:footnoteReference w:id="34"/>
      </w:r>
      <w:r w:rsidRPr="005E651D">
        <w:rPr>
          <w:rFonts w:cstheme="minorHAnsi"/>
          <w:szCs w:val="22"/>
        </w:rPr>
        <w:t xml:space="preserve"> Security forces rescued the hostages, who were taken to Detective Branch headquarters to be questioned. </w:t>
      </w:r>
      <w:r w:rsidR="007B58BC" w:rsidRPr="005E651D">
        <w:rPr>
          <w:rFonts w:cstheme="minorHAnsi"/>
          <w:szCs w:val="22"/>
        </w:rPr>
        <w:t xml:space="preserve">Tahmid Khan, a student at the University of Toronto, and </w:t>
      </w:r>
      <w:r w:rsidRPr="005E651D">
        <w:rPr>
          <w:rFonts w:cstheme="minorHAnsi"/>
          <w:szCs w:val="22"/>
        </w:rPr>
        <w:t>Hasnat Karim, a British citizen and former university professor, both had been dining at the Bakery and had no apparent connection to the attackers</w:t>
      </w:r>
      <w:r w:rsidR="00AC4198" w:rsidRPr="005E651D">
        <w:rPr>
          <w:rFonts w:cstheme="minorHAnsi"/>
          <w:szCs w:val="22"/>
        </w:rPr>
        <w:t xml:space="preserve">. </w:t>
      </w:r>
      <w:r w:rsidR="009465A1" w:rsidRPr="005E651D">
        <w:rPr>
          <w:rFonts w:cstheme="minorHAnsi"/>
          <w:szCs w:val="22"/>
        </w:rPr>
        <w:t>They</w:t>
      </w:r>
      <w:r w:rsidRPr="005E651D">
        <w:rPr>
          <w:rFonts w:cstheme="minorHAnsi"/>
          <w:szCs w:val="22"/>
        </w:rPr>
        <w:t xml:space="preserve"> were held for one month until the police announced that the men had been arrested on suspicion of involvement in the Bakery attack. Khan was held until April 2017, when he was acquitted of charges that he had failed to appear at two police interviews during the very period when he was </w:t>
      </w:r>
      <w:r w:rsidRPr="005E651D">
        <w:rPr>
          <w:rFonts w:cstheme="minorHAnsi"/>
          <w:i/>
          <w:szCs w:val="22"/>
        </w:rPr>
        <w:t>in state custody</w:t>
      </w:r>
      <w:r w:rsidRPr="005E651D">
        <w:rPr>
          <w:rFonts w:cstheme="minorHAnsi"/>
          <w:szCs w:val="22"/>
        </w:rPr>
        <w:t xml:space="preserve">. Karim was </w:t>
      </w:r>
      <w:r w:rsidR="00AA370B" w:rsidRPr="005E651D">
        <w:rPr>
          <w:rFonts w:cstheme="minorHAnsi"/>
          <w:szCs w:val="22"/>
        </w:rPr>
        <w:t>not released</w:t>
      </w:r>
      <w:r w:rsidRPr="005E651D">
        <w:rPr>
          <w:rFonts w:cstheme="minorHAnsi"/>
          <w:szCs w:val="22"/>
        </w:rPr>
        <w:t xml:space="preserve"> until July 2018, </w:t>
      </w:r>
      <w:r w:rsidR="00A03A16" w:rsidRPr="005E651D">
        <w:rPr>
          <w:rFonts w:cstheme="minorHAnsi"/>
          <w:szCs w:val="22"/>
        </w:rPr>
        <w:t>marking</w:t>
      </w:r>
      <w:r w:rsidRPr="005E651D">
        <w:rPr>
          <w:rFonts w:cstheme="minorHAnsi"/>
          <w:szCs w:val="22"/>
        </w:rPr>
        <w:t xml:space="preserve"> two years of being held without charge, when </w:t>
      </w:r>
      <w:r w:rsidR="0025012C" w:rsidRPr="005E651D">
        <w:rPr>
          <w:rFonts w:cstheme="minorHAnsi"/>
          <w:szCs w:val="22"/>
        </w:rPr>
        <w:t>LEAs</w:t>
      </w:r>
      <w:r w:rsidRPr="005E651D">
        <w:rPr>
          <w:rFonts w:cstheme="minorHAnsi"/>
          <w:szCs w:val="22"/>
        </w:rPr>
        <w:t xml:space="preserve"> decided not to pursue charges due to lack of evidence. In response to Karim’s illegal detention, Amnesty International UK noted that his detention was “inhumane and illegal,” and that Karim was “denied specialised medical treatment a</w:t>
      </w:r>
      <w:r w:rsidR="00D02F58" w:rsidRPr="005E651D">
        <w:rPr>
          <w:rFonts w:cstheme="minorHAnsi"/>
          <w:szCs w:val="22"/>
        </w:rPr>
        <w:t>nd saw his health deteriorate.”</w:t>
      </w:r>
      <w:r w:rsidRPr="005E651D">
        <w:rPr>
          <w:rStyle w:val="FootnoteReference"/>
          <w:rFonts w:cstheme="minorHAnsi"/>
          <w:szCs w:val="22"/>
        </w:rPr>
        <w:footnoteReference w:id="35"/>
      </w:r>
    </w:p>
    <w:p w14:paraId="6759E09A" w14:textId="77777777" w:rsidR="00396962" w:rsidRPr="005E651D" w:rsidRDefault="00396962" w:rsidP="00396962">
      <w:pPr>
        <w:ind w:right="720"/>
        <w:rPr>
          <w:rFonts w:cstheme="minorHAnsi"/>
          <w:szCs w:val="22"/>
        </w:rPr>
      </w:pPr>
    </w:p>
    <w:p w14:paraId="7A590024" w14:textId="359E5571" w:rsidR="00396962" w:rsidRPr="005E651D" w:rsidRDefault="00396962" w:rsidP="00051076">
      <w:pPr>
        <w:pStyle w:val="ListParagraph"/>
        <w:numPr>
          <w:ilvl w:val="0"/>
          <w:numId w:val="47"/>
        </w:numPr>
        <w:ind w:left="900"/>
        <w:rPr>
          <w:rFonts w:cstheme="minorHAnsi"/>
          <w:szCs w:val="22"/>
        </w:rPr>
      </w:pPr>
      <w:r w:rsidRPr="005E651D">
        <w:rPr>
          <w:rFonts w:cstheme="minorHAnsi"/>
          <w:szCs w:val="22"/>
        </w:rPr>
        <w:t>On December 4, 2013, Mahmudur Rahman, the Acting Editor of the Daily Amar Desh, was arrested without being informed of the charges and was remanded into police custody for 13 days, where he was reportedly subjected to torture.</w:t>
      </w:r>
      <w:r w:rsidRPr="005E651D">
        <w:rPr>
          <w:rStyle w:val="FootnoteReference"/>
          <w:rFonts w:cstheme="minorHAnsi"/>
          <w:szCs w:val="22"/>
        </w:rPr>
        <w:footnoteReference w:id="36"/>
      </w:r>
      <w:r w:rsidRPr="005E651D">
        <w:rPr>
          <w:rFonts w:cstheme="minorHAnsi"/>
          <w:szCs w:val="22"/>
        </w:rPr>
        <w:t xml:space="preserve"> He then spent 1,322 days in arbitrary detention before being released on bail on November 24, 2016, at which time he had to be transferred to the hospital due to poor health.</w:t>
      </w:r>
      <w:r w:rsidRPr="005E651D">
        <w:rPr>
          <w:rStyle w:val="FootnoteReference"/>
          <w:rFonts w:cstheme="minorHAnsi"/>
          <w:szCs w:val="22"/>
        </w:rPr>
        <w:footnoteReference w:id="37"/>
      </w:r>
    </w:p>
    <w:p w14:paraId="36854145" w14:textId="3C3C1A8D" w:rsidR="009B36FC" w:rsidRPr="005E651D" w:rsidRDefault="009B36FC" w:rsidP="009B36FC">
      <w:pPr>
        <w:ind w:right="720"/>
        <w:rPr>
          <w:rFonts w:cstheme="minorHAnsi"/>
          <w:szCs w:val="22"/>
        </w:rPr>
      </w:pPr>
    </w:p>
    <w:p w14:paraId="46DA6A70" w14:textId="275077FD" w:rsidR="009B36FC" w:rsidRPr="005E651D" w:rsidRDefault="002114AC" w:rsidP="004A1521">
      <w:pPr>
        <w:ind w:firstLine="540"/>
        <w:rPr>
          <w:rFonts w:cstheme="minorHAnsi"/>
          <w:szCs w:val="22"/>
        </w:rPr>
      </w:pPr>
      <w:r w:rsidRPr="005E651D">
        <w:rPr>
          <w:rFonts w:cstheme="minorHAnsi"/>
          <w:szCs w:val="22"/>
        </w:rPr>
        <w:lastRenderedPageBreak/>
        <w:t>The prolonged custody of accused even before any semblance of a trial continues to be a grave concern and directly implicate</w:t>
      </w:r>
      <w:r w:rsidR="00EB39DC" w:rsidRPr="005E651D">
        <w:rPr>
          <w:rFonts w:cstheme="minorHAnsi"/>
          <w:szCs w:val="22"/>
        </w:rPr>
        <w:t>s</w:t>
      </w:r>
      <w:r w:rsidR="00915359" w:rsidRPr="005E651D">
        <w:rPr>
          <w:rFonts w:cstheme="minorHAnsi"/>
          <w:szCs w:val="22"/>
        </w:rPr>
        <w:t xml:space="preserve"> Bangladesh’s obligations under the Convention</w:t>
      </w:r>
      <w:r w:rsidRPr="005E651D">
        <w:rPr>
          <w:rFonts w:cstheme="minorHAnsi"/>
          <w:szCs w:val="22"/>
        </w:rPr>
        <w:t>.</w:t>
      </w:r>
      <w:r w:rsidRPr="005E651D">
        <w:rPr>
          <w:rStyle w:val="FootnoteReference"/>
          <w:rFonts w:cstheme="minorHAnsi"/>
          <w:szCs w:val="22"/>
        </w:rPr>
        <w:footnoteReference w:id="38"/>
      </w:r>
      <w:r w:rsidRPr="005E651D">
        <w:rPr>
          <w:rFonts w:cstheme="minorHAnsi"/>
          <w:szCs w:val="22"/>
        </w:rPr>
        <w:t xml:space="preserve"> </w:t>
      </w:r>
      <w:r w:rsidR="009B36FC" w:rsidRPr="005E651D">
        <w:rPr>
          <w:rFonts w:cstheme="minorHAnsi"/>
          <w:szCs w:val="22"/>
        </w:rPr>
        <w:t xml:space="preserve">With a view to </w:t>
      </w:r>
      <w:r w:rsidR="004B533C" w:rsidRPr="005E651D">
        <w:rPr>
          <w:rFonts w:cstheme="minorHAnsi"/>
          <w:szCs w:val="22"/>
        </w:rPr>
        <w:t>Article 2,</w:t>
      </w:r>
      <w:r w:rsidR="009B36FC" w:rsidRPr="005E651D">
        <w:rPr>
          <w:rFonts w:cstheme="minorHAnsi"/>
          <w:szCs w:val="22"/>
        </w:rPr>
        <w:t xml:space="preserve"> </w:t>
      </w:r>
      <w:r w:rsidR="004B533C" w:rsidRPr="005E651D">
        <w:rPr>
          <w:rFonts w:cstheme="minorHAnsi"/>
          <w:szCs w:val="22"/>
        </w:rPr>
        <w:t xml:space="preserve">Article </w:t>
      </w:r>
      <w:r w:rsidR="009B36FC" w:rsidRPr="005E651D">
        <w:rPr>
          <w:rFonts w:cstheme="minorHAnsi"/>
          <w:szCs w:val="22"/>
        </w:rPr>
        <w:t>10</w:t>
      </w:r>
      <w:r w:rsidR="000D10C6" w:rsidRPr="005E651D">
        <w:rPr>
          <w:rFonts w:cstheme="minorHAnsi"/>
          <w:szCs w:val="22"/>
        </w:rPr>
        <w:t>,</w:t>
      </w:r>
      <w:r w:rsidR="004B533C" w:rsidRPr="005E651D">
        <w:rPr>
          <w:rFonts w:cstheme="minorHAnsi"/>
          <w:szCs w:val="22"/>
        </w:rPr>
        <w:t xml:space="preserve"> Article 11, </w:t>
      </w:r>
      <w:r w:rsidR="009B36FC" w:rsidRPr="005E651D">
        <w:rPr>
          <w:rFonts w:cstheme="minorHAnsi"/>
          <w:szCs w:val="22"/>
        </w:rPr>
        <w:t>and</w:t>
      </w:r>
      <w:r w:rsidR="004B533C" w:rsidRPr="005E651D">
        <w:rPr>
          <w:rFonts w:cstheme="minorHAnsi"/>
          <w:szCs w:val="22"/>
        </w:rPr>
        <w:t xml:space="preserve"> Article</w:t>
      </w:r>
      <w:r w:rsidR="009B36FC" w:rsidRPr="005E651D">
        <w:rPr>
          <w:rFonts w:cstheme="minorHAnsi"/>
          <w:szCs w:val="22"/>
        </w:rPr>
        <w:t xml:space="preserve"> 16, the Government of Bangladesh should ensure that the directive issued by the Appellate Division of the Supreme Court in 2016 is implemented, and provide adequate training on and oversight of practices concerning the granting of bail and treatment of prisoners subjected to prolonged detention. </w:t>
      </w:r>
    </w:p>
    <w:p w14:paraId="13D2E8BA" w14:textId="79FF2C66" w:rsidR="00AC78E2" w:rsidRPr="005E651D" w:rsidRDefault="00AC78E2" w:rsidP="00AC78E2">
      <w:pPr>
        <w:rPr>
          <w:rFonts w:cstheme="minorHAnsi"/>
          <w:szCs w:val="22"/>
        </w:rPr>
      </w:pPr>
    </w:p>
    <w:p w14:paraId="4FB5C599" w14:textId="4F78D6BC" w:rsidR="00741789" w:rsidRPr="005E651D" w:rsidRDefault="00F3456B" w:rsidP="00092FB3">
      <w:pPr>
        <w:pStyle w:val="Heading2"/>
        <w:rPr>
          <w:rFonts w:asciiTheme="minorHAnsi" w:hAnsiTheme="minorHAnsi" w:cstheme="minorHAnsi"/>
        </w:rPr>
      </w:pPr>
      <w:bookmarkStart w:id="31" w:name="_Toc11053838"/>
      <w:bookmarkStart w:id="32" w:name="_Toc11879531"/>
      <w:bookmarkStart w:id="33" w:name="_Toc11883192"/>
      <w:bookmarkStart w:id="34" w:name="_Toc11922670"/>
      <w:bookmarkStart w:id="35" w:name="_Toc11945111"/>
      <w:r w:rsidRPr="005E651D">
        <w:rPr>
          <w:rFonts w:asciiTheme="minorHAnsi" w:hAnsiTheme="minorHAnsi" w:cstheme="minorHAnsi"/>
        </w:rPr>
        <w:t>Deficiencies of the N</w:t>
      </w:r>
      <w:r w:rsidR="008742D5" w:rsidRPr="005E651D">
        <w:rPr>
          <w:rFonts w:asciiTheme="minorHAnsi" w:hAnsiTheme="minorHAnsi" w:cstheme="minorHAnsi"/>
        </w:rPr>
        <w:t>HRC</w:t>
      </w:r>
      <w:r w:rsidRPr="005E651D">
        <w:rPr>
          <w:rFonts w:asciiTheme="minorHAnsi" w:hAnsiTheme="minorHAnsi" w:cstheme="minorHAnsi"/>
        </w:rPr>
        <w:t xml:space="preserve"> as an Investigative Body</w:t>
      </w:r>
      <w:bookmarkEnd w:id="31"/>
      <w:bookmarkEnd w:id="32"/>
      <w:bookmarkEnd w:id="33"/>
      <w:bookmarkEnd w:id="34"/>
      <w:bookmarkEnd w:id="35"/>
      <w:r w:rsidRPr="005E651D">
        <w:rPr>
          <w:rFonts w:asciiTheme="minorHAnsi" w:hAnsiTheme="minorHAnsi" w:cstheme="minorHAnsi"/>
        </w:rPr>
        <w:t xml:space="preserve"> </w:t>
      </w:r>
    </w:p>
    <w:p w14:paraId="2C1A10C4" w14:textId="20149480" w:rsidR="00F3456B" w:rsidRPr="005E651D" w:rsidRDefault="00F3456B" w:rsidP="00F3456B">
      <w:pPr>
        <w:rPr>
          <w:rFonts w:cstheme="minorHAnsi"/>
          <w:szCs w:val="22"/>
        </w:rPr>
      </w:pPr>
      <w:r w:rsidRPr="005E651D">
        <w:rPr>
          <w:rFonts w:cstheme="minorHAnsi"/>
          <w:szCs w:val="22"/>
        </w:rPr>
        <w:tab/>
        <w:t xml:space="preserve">Although Bangladesh established </w:t>
      </w:r>
      <w:r w:rsidR="00035EE1" w:rsidRPr="005E651D">
        <w:rPr>
          <w:rFonts w:cstheme="minorHAnsi"/>
          <w:szCs w:val="22"/>
        </w:rPr>
        <w:t>the</w:t>
      </w:r>
      <w:r w:rsidRPr="005E651D">
        <w:rPr>
          <w:rFonts w:cstheme="minorHAnsi"/>
          <w:szCs w:val="22"/>
        </w:rPr>
        <w:t xml:space="preserve"> National Human Rights Commission (“NHRC”</w:t>
      </w:r>
      <w:r w:rsidR="00B577D6" w:rsidRPr="005E651D">
        <w:rPr>
          <w:rFonts w:cstheme="minorHAnsi"/>
          <w:szCs w:val="22"/>
        </w:rPr>
        <w:t xml:space="preserve"> or “Commission</w:t>
      </w:r>
      <w:r w:rsidRPr="005E651D">
        <w:rPr>
          <w:rFonts w:cstheme="minorHAnsi"/>
          <w:szCs w:val="22"/>
        </w:rPr>
        <w:t>”) in 2010, the NHRC has been embroiled in controversy and alleged bias since its creation. The NHRC</w:t>
      </w:r>
      <w:r w:rsidR="00600049" w:rsidRPr="005E651D">
        <w:rPr>
          <w:rFonts w:cstheme="minorHAnsi"/>
          <w:szCs w:val="22"/>
        </w:rPr>
        <w:t xml:space="preserve"> </w:t>
      </w:r>
      <w:r w:rsidRPr="005E651D">
        <w:rPr>
          <w:rFonts w:cstheme="minorHAnsi"/>
          <w:szCs w:val="22"/>
        </w:rPr>
        <w:t>ostensibly serve</w:t>
      </w:r>
      <w:r w:rsidR="001D5CBE" w:rsidRPr="005E651D">
        <w:rPr>
          <w:rFonts w:cstheme="minorHAnsi"/>
          <w:szCs w:val="22"/>
        </w:rPr>
        <w:t>s</w:t>
      </w:r>
      <w:r w:rsidRPr="005E651D">
        <w:rPr>
          <w:rFonts w:cstheme="minorHAnsi"/>
          <w:szCs w:val="22"/>
        </w:rPr>
        <w:t xml:space="preserve"> as an independent oversight mechanism that monitors the state’s human rights conditions and investigates and/or issues recommendations or guidelines to other government bodies </w:t>
      </w:r>
      <w:r w:rsidR="00035EE1" w:rsidRPr="005E651D">
        <w:rPr>
          <w:rFonts w:cstheme="minorHAnsi"/>
          <w:szCs w:val="22"/>
        </w:rPr>
        <w:t>when</w:t>
      </w:r>
      <w:r w:rsidRPr="005E651D">
        <w:rPr>
          <w:rFonts w:cstheme="minorHAnsi"/>
          <w:szCs w:val="22"/>
        </w:rPr>
        <w:t xml:space="preserve"> human rights issues emerge.</w:t>
      </w:r>
      <w:r w:rsidR="004772D9" w:rsidRPr="005E651D">
        <w:rPr>
          <w:rFonts w:cstheme="minorHAnsi"/>
          <w:szCs w:val="22"/>
        </w:rPr>
        <w:t xml:space="preserve"> </w:t>
      </w:r>
      <w:r w:rsidR="00FB4D52">
        <w:rPr>
          <w:rFonts w:cstheme="minorHAnsi"/>
          <w:szCs w:val="22"/>
        </w:rPr>
        <w:t>In particular, the NHRC has a mandate to</w:t>
      </w:r>
      <w:r w:rsidR="00D15316" w:rsidRPr="005E651D">
        <w:rPr>
          <w:rFonts w:cstheme="minorHAnsi"/>
          <w:szCs w:val="22"/>
        </w:rPr>
        <w:t xml:space="preserve"> investigate complaints concerning all forms of human rights violations, even when a complaint is not directly</w:t>
      </w:r>
      <w:r w:rsidR="00FB4D52">
        <w:rPr>
          <w:rFonts w:cstheme="minorHAnsi"/>
          <w:szCs w:val="22"/>
        </w:rPr>
        <w:t xml:space="preserve"> lodged with the Commission;</w:t>
      </w:r>
      <w:r w:rsidR="00D15316" w:rsidRPr="005E651D">
        <w:rPr>
          <w:rFonts w:cstheme="minorHAnsi"/>
          <w:szCs w:val="22"/>
        </w:rPr>
        <w:t xml:space="preserve"> visit “any jail or any other places where persons are detained or lodged for the purpose of correction, custody, [or] treatment” to make recommendations concerning t</w:t>
      </w:r>
      <w:r w:rsidR="00FB4D52">
        <w:rPr>
          <w:rFonts w:cstheme="minorHAnsi"/>
          <w:szCs w:val="22"/>
        </w:rPr>
        <w:t>hose places and conditions; and</w:t>
      </w:r>
      <w:r w:rsidR="008F2669" w:rsidRPr="005E651D">
        <w:rPr>
          <w:rFonts w:cstheme="minorHAnsi"/>
          <w:szCs w:val="22"/>
        </w:rPr>
        <w:t xml:space="preserve"> </w:t>
      </w:r>
      <w:r w:rsidR="00D15316" w:rsidRPr="005E651D">
        <w:rPr>
          <w:rFonts w:cstheme="minorHAnsi"/>
          <w:szCs w:val="22"/>
        </w:rPr>
        <w:t>provide training to law enforcement agencies on relevant issues</w:t>
      </w:r>
      <w:r w:rsidR="00D324DF" w:rsidRPr="005E651D">
        <w:rPr>
          <w:rFonts w:cstheme="minorHAnsi"/>
          <w:szCs w:val="22"/>
        </w:rPr>
        <w:t>.</w:t>
      </w:r>
      <w:r w:rsidR="00D15316" w:rsidRPr="005E651D">
        <w:rPr>
          <w:rStyle w:val="FootnoteReference"/>
          <w:rFonts w:cstheme="minorHAnsi"/>
          <w:szCs w:val="22"/>
        </w:rPr>
        <w:footnoteReference w:id="39"/>
      </w:r>
      <w:r w:rsidR="00D15316" w:rsidRPr="005E651D">
        <w:rPr>
          <w:rFonts w:cstheme="minorHAnsi"/>
          <w:szCs w:val="22"/>
        </w:rPr>
        <w:t xml:space="preserve"> </w:t>
      </w:r>
      <w:r w:rsidR="00D324DF" w:rsidRPr="005E651D">
        <w:rPr>
          <w:rFonts w:cstheme="minorHAnsi"/>
          <w:szCs w:val="22"/>
        </w:rPr>
        <w:t>A</w:t>
      </w:r>
      <w:r w:rsidR="00D15316" w:rsidRPr="005E651D">
        <w:rPr>
          <w:rFonts w:cstheme="minorHAnsi"/>
          <w:szCs w:val="22"/>
        </w:rPr>
        <w:t xml:space="preserve">ll </w:t>
      </w:r>
      <w:r w:rsidR="00D324DF" w:rsidRPr="005E651D">
        <w:rPr>
          <w:rFonts w:cstheme="minorHAnsi"/>
          <w:szCs w:val="22"/>
        </w:rPr>
        <w:t>of these functions are</w:t>
      </w:r>
      <w:r w:rsidR="00D15316" w:rsidRPr="005E651D">
        <w:rPr>
          <w:rFonts w:cstheme="minorHAnsi"/>
          <w:szCs w:val="22"/>
        </w:rPr>
        <w:t xml:space="preserve"> integral to supporting Bangladesh’s obligations</w:t>
      </w:r>
      <w:r w:rsidR="007500CD" w:rsidRPr="005E651D">
        <w:rPr>
          <w:rFonts w:cstheme="minorHAnsi"/>
          <w:szCs w:val="22"/>
        </w:rPr>
        <w:t xml:space="preserve"> under the Convention</w:t>
      </w:r>
      <w:r w:rsidR="00D15316" w:rsidRPr="005E651D">
        <w:rPr>
          <w:rFonts w:cstheme="minorHAnsi"/>
          <w:szCs w:val="22"/>
        </w:rPr>
        <w:t xml:space="preserve">. </w:t>
      </w:r>
      <w:r w:rsidRPr="005E651D">
        <w:rPr>
          <w:rFonts w:cstheme="minorHAnsi"/>
          <w:szCs w:val="22"/>
        </w:rPr>
        <w:t>However, and a</w:t>
      </w:r>
      <w:r w:rsidR="0073703C" w:rsidRPr="005E651D">
        <w:rPr>
          <w:rFonts w:cstheme="minorHAnsi"/>
          <w:szCs w:val="22"/>
        </w:rPr>
        <w:t>s recently concluded by the UN</w:t>
      </w:r>
      <w:r w:rsidRPr="005E651D">
        <w:rPr>
          <w:rFonts w:cstheme="minorHAnsi"/>
          <w:szCs w:val="22"/>
        </w:rPr>
        <w:t xml:space="preserve"> Committee on Economic, Social and Cultural Rights</w:t>
      </w:r>
      <w:r w:rsidR="001D5CBE" w:rsidRPr="005E651D">
        <w:rPr>
          <w:rFonts w:cstheme="minorHAnsi"/>
          <w:szCs w:val="22"/>
        </w:rPr>
        <w:t>,</w:t>
      </w:r>
      <w:r w:rsidRPr="005E651D">
        <w:rPr>
          <w:rFonts w:cstheme="minorHAnsi"/>
          <w:szCs w:val="22"/>
        </w:rPr>
        <w:t xml:space="preserve"> the Commission is not sufficiently independent and lacks transparency in the selection of its constituent members.</w:t>
      </w:r>
      <w:r w:rsidRPr="005E651D">
        <w:rPr>
          <w:rStyle w:val="FootnoteReference"/>
          <w:rFonts w:cstheme="minorHAnsi"/>
          <w:szCs w:val="22"/>
        </w:rPr>
        <w:footnoteReference w:id="40"/>
      </w:r>
      <w:r w:rsidRPr="005E651D">
        <w:rPr>
          <w:rFonts w:cstheme="minorHAnsi"/>
          <w:szCs w:val="22"/>
        </w:rPr>
        <w:t xml:space="preserve"> </w:t>
      </w:r>
      <w:r w:rsidR="00A57C60" w:rsidRPr="005E651D">
        <w:rPr>
          <w:rFonts w:cstheme="minorHAnsi"/>
          <w:szCs w:val="22"/>
        </w:rPr>
        <w:t>For example, d</w:t>
      </w:r>
      <w:r w:rsidRPr="005E651D">
        <w:rPr>
          <w:rFonts w:cstheme="minorHAnsi"/>
          <w:szCs w:val="22"/>
        </w:rPr>
        <w:t>espite widespread reports of extrajudicial killings, enforced disappearances, and torture</w:t>
      </w:r>
      <w:r w:rsidR="00A57C60" w:rsidRPr="005E651D">
        <w:rPr>
          <w:rFonts w:cstheme="minorHAnsi"/>
          <w:szCs w:val="22"/>
        </w:rPr>
        <w:t xml:space="preserve"> in connection with the December 2018 elections</w:t>
      </w:r>
      <w:r w:rsidRPr="005E651D">
        <w:rPr>
          <w:rFonts w:cstheme="minorHAnsi"/>
          <w:szCs w:val="22"/>
        </w:rPr>
        <w:t>, NHRC Chairman Kazi Reazul Haqu</w:t>
      </w:r>
      <w:r w:rsidR="008E758D" w:rsidRPr="005E651D">
        <w:rPr>
          <w:rFonts w:cstheme="minorHAnsi"/>
          <w:szCs w:val="22"/>
        </w:rPr>
        <w:t xml:space="preserve">e stated in a press conference in January 2019 </w:t>
      </w:r>
      <w:r w:rsidRPr="005E651D">
        <w:rPr>
          <w:rFonts w:cstheme="minorHAnsi"/>
          <w:szCs w:val="22"/>
        </w:rPr>
        <w:t>that there were no incidents of human rights violations during the recent elections.</w:t>
      </w:r>
      <w:r w:rsidRPr="005E651D">
        <w:rPr>
          <w:rStyle w:val="FootnoteReference"/>
          <w:rFonts w:cstheme="minorHAnsi"/>
          <w:szCs w:val="22"/>
        </w:rPr>
        <w:footnoteReference w:id="41"/>
      </w:r>
      <w:r w:rsidRPr="005E651D">
        <w:rPr>
          <w:rFonts w:cstheme="minorHAnsi"/>
          <w:szCs w:val="22"/>
        </w:rPr>
        <w:t xml:space="preserve"> The Human Rights Support Society (“HRSS”) of Bangladesh, on the other hand, documented six extrajudicial killings of BNP members by government </w:t>
      </w:r>
      <w:r w:rsidR="000E748C" w:rsidRPr="005E651D">
        <w:rPr>
          <w:rFonts w:cstheme="minorHAnsi"/>
          <w:szCs w:val="22"/>
        </w:rPr>
        <w:t>agent</w:t>
      </w:r>
      <w:r w:rsidRPr="005E651D">
        <w:rPr>
          <w:rFonts w:cstheme="minorHAnsi"/>
          <w:szCs w:val="22"/>
        </w:rPr>
        <w:t>s and 25 enforced disappearances of political opposition activists</w:t>
      </w:r>
      <w:r w:rsidR="00B577D6" w:rsidRPr="005E651D">
        <w:rPr>
          <w:rFonts w:cstheme="minorHAnsi"/>
          <w:szCs w:val="22"/>
        </w:rPr>
        <w:t xml:space="preserve"> </w:t>
      </w:r>
      <w:r w:rsidR="005462A9" w:rsidRPr="005E651D">
        <w:rPr>
          <w:rFonts w:cstheme="minorHAnsi"/>
          <w:szCs w:val="22"/>
        </w:rPr>
        <w:t>in association with</w:t>
      </w:r>
      <w:r w:rsidR="00B577D6" w:rsidRPr="005E651D">
        <w:rPr>
          <w:rFonts w:cstheme="minorHAnsi"/>
          <w:szCs w:val="22"/>
        </w:rPr>
        <w:t xml:space="preserve"> the </w:t>
      </w:r>
      <w:r w:rsidR="00600049" w:rsidRPr="005E651D">
        <w:rPr>
          <w:rFonts w:cstheme="minorHAnsi"/>
          <w:szCs w:val="22"/>
        </w:rPr>
        <w:t>ele</w:t>
      </w:r>
      <w:r w:rsidR="00B577D6" w:rsidRPr="005E651D">
        <w:rPr>
          <w:rFonts w:cstheme="minorHAnsi"/>
          <w:szCs w:val="22"/>
        </w:rPr>
        <w:t>ctions</w:t>
      </w:r>
      <w:r w:rsidRPr="005E651D">
        <w:rPr>
          <w:rFonts w:cstheme="minorHAnsi"/>
          <w:szCs w:val="22"/>
        </w:rPr>
        <w:t>.</w:t>
      </w:r>
      <w:r w:rsidRPr="005E651D">
        <w:rPr>
          <w:rStyle w:val="FootnoteReference"/>
          <w:rFonts w:cstheme="minorHAnsi"/>
          <w:szCs w:val="22"/>
        </w:rPr>
        <w:footnoteReference w:id="42"/>
      </w:r>
      <w:r w:rsidRPr="005E651D">
        <w:rPr>
          <w:rFonts w:cstheme="minorHAnsi"/>
          <w:szCs w:val="22"/>
        </w:rPr>
        <w:t xml:space="preserve"> </w:t>
      </w:r>
    </w:p>
    <w:p w14:paraId="0C20369D" w14:textId="77777777" w:rsidR="00F3456B" w:rsidRPr="005E651D" w:rsidRDefault="00F3456B" w:rsidP="00F3456B">
      <w:pPr>
        <w:rPr>
          <w:rFonts w:cstheme="minorHAnsi"/>
          <w:szCs w:val="22"/>
        </w:rPr>
      </w:pPr>
    </w:p>
    <w:p w14:paraId="42A4852A" w14:textId="6E15259E" w:rsidR="00676C5F" w:rsidRPr="005E651D" w:rsidRDefault="00F3456B" w:rsidP="002B5D66">
      <w:pPr>
        <w:rPr>
          <w:rFonts w:cstheme="minorHAnsi"/>
          <w:szCs w:val="22"/>
        </w:rPr>
      </w:pPr>
      <w:r w:rsidRPr="005E651D">
        <w:rPr>
          <w:rFonts w:cstheme="minorHAnsi"/>
          <w:szCs w:val="22"/>
        </w:rPr>
        <w:tab/>
        <w:t>Where the Commission has acted, it is faced with a limited</w:t>
      </w:r>
      <w:r w:rsidR="0073703C" w:rsidRPr="005E651D">
        <w:rPr>
          <w:rFonts w:cstheme="minorHAnsi"/>
          <w:szCs w:val="22"/>
        </w:rPr>
        <w:t xml:space="preserve"> mandate—a mandate that the UN</w:t>
      </w:r>
      <w:r w:rsidRPr="005E651D">
        <w:rPr>
          <w:rFonts w:cstheme="minorHAnsi"/>
          <w:szCs w:val="22"/>
        </w:rPr>
        <w:t xml:space="preserve"> High Commissioner f</w:t>
      </w:r>
      <w:r w:rsidR="00D3201E" w:rsidRPr="005E651D">
        <w:rPr>
          <w:rFonts w:cstheme="minorHAnsi"/>
          <w:szCs w:val="22"/>
        </w:rPr>
        <w:t>or Human Rights has recognized a</w:t>
      </w:r>
      <w:r w:rsidRPr="005E651D">
        <w:rPr>
          <w:rFonts w:cstheme="minorHAnsi"/>
          <w:szCs w:val="22"/>
        </w:rPr>
        <w:t xml:space="preserve">s </w:t>
      </w:r>
      <w:r w:rsidR="003C3274" w:rsidRPr="005E651D">
        <w:rPr>
          <w:rFonts w:cstheme="minorHAnsi"/>
          <w:szCs w:val="22"/>
        </w:rPr>
        <w:t xml:space="preserve">being </w:t>
      </w:r>
      <w:r w:rsidRPr="005E651D">
        <w:rPr>
          <w:rFonts w:cstheme="minorHAnsi"/>
          <w:szCs w:val="22"/>
        </w:rPr>
        <w:t xml:space="preserve">in tension with the </w:t>
      </w:r>
      <w:r w:rsidR="0073703C" w:rsidRPr="005E651D">
        <w:rPr>
          <w:rFonts w:cstheme="minorHAnsi"/>
          <w:szCs w:val="22"/>
        </w:rPr>
        <w:t>UN</w:t>
      </w:r>
      <w:r w:rsidRPr="005E651D">
        <w:rPr>
          <w:rFonts w:cstheme="minorHAnsi"/>
          <w:szCs w:val="22"/>
        </w:rPr>
        <w:t xml:space="preserve"> General Assembly’s Paris Principles, which provides that a national human rights commission should be granted, </w:t>
      </w:r>
      <w:r w:rsidRPr="005E651D">
        <w:rPr>
          <w:rFonts w:cstheme="minorHAnsi"/>
          <w:i/>
          <w:szCs w:val="22"/>
        </w:rPr>
        <w:lastRenderedPageBreak/>
        <w:t>inter alia</w:t>
      </w:r>
      <w:r w:rsidRPr="005E651D">
        <w:rPr>
          <w:rFonts w:cstheme="minorHAnsi"/>
          <w:szCs w:val="22"/>
        </w:rPr>
        <w:t>, a broad human rights mandate, autonomy from the government, and adequate investigative powers.</w:t>
      </w:r>
      <w:r w:rsidRPr="005E651D">
        <w:rPr>
          <w:rStyle w:val="FootnoteReference"/>
          <w:rFonts w:cstheme="minorHAnsi"/>
          <w:szCs w:val="22"/>
        </w:rPr>
        <w:footnoteReference w:id="43"/>
      </w:r>
      <w:r w:rsidR="00590845" w:rsidRPr="005E651D">
        <w:rPr>
          <w:rFonts w:cstheme="minorHAnsi"/>
          <w:szCs w:val="22"/>
        </w:rPr>
        <w:t xml:space="preserve"> The limitations placed on the NHRC directly implicate Bangladesh’s obligations under the Convention. Importantly, the Commission is unable to take enforceable steps after the completion of an investigation or the issuance of guidelines.</w:t>
      </w:r>
      <w:r w:rsidR="00590845" w:rsidRPr="005E651D">
        <w:rPr>
          <w:rStyle w:val="FootnoteReference"/>
          <w:rFonts w:cstheme="minorHAnsi"/>
          <w:szCs w:val="22"/>
        </w:rPr>
        <w:footnoteReference w:id="44"/>
      </w:r>
      <w:r w:rsidRPr="005E651D">
        <w:rPr>
          <w:rFonts w:cstheme="minorHAnsi"/>
          <w:szCs w:val="22"/>
        </w:rPr>
        <w:t xml:space="preserve"> For example, the Commission submitted two significant recommendations to the Government to combat extrajudicial killings and enforced disappearances: (i) to discontinue the practice of LEA</w:t>
      </w:r>
      <w:r w:rsidR="00A264E0" w:rsidRPr="005E651D">
        <w:rPr>
          <w:rFonts w:cstheme="minorHAnsi"/>
          <w:szCs w:val="22"/>
        </w:rPr>
        <w:t>s executing operations in civilian clothing</w:t>
      </w:r>
      <w:r w:rsidRPr="005E651D">
        <w:rPr>
          <w:rFonts w:cstheme="minorHAnsi"/>
          <w:szCs w:val="22"/>
        </w:rPr>
        <w:t>; and (ii) to have at least two witnesses present during operations and arrests.</w:t>
      </w:r>
      <w:r w:rsidRPr="005E651D">
        <w:rPr>
          <w:rStyle w:val="FootnoteReference"/>
          <w:rFonts w:cstheme="minorHAnsi"/>
          <w:szCs w:val="22"/>
        </w:rPr>
        <w:footnoteReference w:id="45"/>
      </w:r>
      <w:r w:rsidRPr="005E651D">
        <w:rPr>
          <w:rFonts w:cstheme="minorHAnsi"/>
          <w:szCs w:val="22"/>
        </w:rPr>
        <w:t xml:space="preserve"> The Government did not accept either recommendation.</w:t>
      </w:r>
    </w:p>
    <w:p w14:paraId="1D159EE4" w14:textId="77777777" w:rsidR="00676C5F" w:rsidRPr="005E651D" w:rsidRDefault="00676C5F" w:rsidP="002B5D66">
      <w:pPr>
        <w:rPr>
          <w:rFonts w:cstheme="minorHAnsi"/>
          <w:szCs w:val="22"/>
        </w:rPr>
      </w:pPr>
    </w:p>
    <w:p w14:paraId="6EDFD806" w14:textId="13E62D16" w:rsidR="00F3456B" w:rsidRPr="005E651D" w:rsidRDefault="00F3456B" w:rsidP="00676C5F">
      <w:pPr>
        <w:ind w:firstLine="720"/>
        <w:rPr>
          <w:rFonts w:cstheme="minorHAnsi"/>
          <w:szCs w:val="22"/>
        </w:rPr>
      </w:pPr>
      <w:r w:rsidRPr="005E651D">
        <w:rPr>
          <w:rFonts w:cstheme="minorHAnsi"/>
          <w:szCs w:val="22"/>
        </w:rPr>
        <w:t>Between 2012 and 2017, the NHRC sent a total of 185 letters to the Ministry of Home Affairs, requesting reports on alleged human rights violations committed by LEAs</w:t>
      </w:r>
      <w:r w:rsidR="001A5773" w:rsidRPr="005E651D">
        <w:rPr>
          <w:rFonts w:cstheme="minorHAnsi"/>
          <w:szCs w:val="22"/>
        </w:rPr>
        <w:t xml:space="preserve">. Of these letters, </w:t>
      </w:r>
      <w:r w:rsidRPr="005E651D">
        <w:rPr>
          <w:rFonts w:cstheme="minorHAnsi"/>
          <w:szCs w:val="22"/>
        </w:rPr>
        <w:t xml:space="preserve">154 </w:t>
      </w:r>
      <w:r w:rsidR="001A5773" w:rsidRPr="005E651D">
        <w:rPr>
          <w:rFonts w:cstheme="minorHAnsi"/>
          <w:szCs w:val="22"/>
        </w:rPr>
        <w:t>concerned</w:t>
      </w:r>
      <w:r w:rsidRPr="005E651D">
        <w:rPr>
          <w:rFonts w:cstheme="minorHAnsi"/>
          <w:szCs w:val="22"/>
        </w:rPr>
        <w:t xml:space="preserve"> extrajudicial killi</w:t>
      </w:r>
      <w:r w:rsidR="001A5773" w:rsidRPr="005E651D">
        <w:rPr>
          <w:rFonts w:cstheme="minorHAnsi"/>
          <w:szCs w:val="22"/>
        </w:rPr>
        <w:t>ngs and enforced disappearances,</w:t>
      </w:r>
      <w:r w:rsidRPr="005E651D">
        <w:rPr>
          <w:rFonts w:cstheme="minorHAnsi"/>
          <w:szCs w:val="22"/>
        </w:rPr>
        <w:t xml:space="preserve"> </w:t>
      </w:r>
      <w:r w:rsidR="001A5773" w:rsidRPr="005E651D">
        <w:rPr>
          <w:rFonts w:cstheme="minorHAnsi"/>
          <w:i/>
          <w:szCs w:val="22"/>
        </w:rPr>
        <w:t>none of which</w:t>
      </w:r>
      <w:r w:rsidRPr="005E651D">
        <w:rPr>
          <w:rFonts w:cstheme="minorHAnsi"/>
          <w:szCs w:val="22"/>
        </w:rPr>
        <w:t xml:space="preserve"> </w:t>
      </w:r>
      <w:r w:rsidR="001A5773" w:rsidRPr="005E651D">
        <w:rPr>
          <w:rFonts w:cstheme="minorHAnsi"/>
          <w:szCs w:val="22"/>
        </w:rPr>
        <w:t>received a response</w:t>
      </w:r>
      <w:r w:rsidRPr="005E651D">
        <w:rPr>
          <w:rFonts w:cstheme="minorHAnsi"/>
          <w:szCs w:val="22"/>
        </w:rPr>
        <w:t>.</w:t>
      </w:r>
      <w:r w:rsidRPr="005E651D">
        <w:rPr>
          <w:rStyle w:val="FootnoteReference"/>
          <w:rFonts w:cstheme="minorHAnsi"/>
          <w:szCs w:val="22"/>
        </w:rPr>
        <w:footnoteReference w:id="46"/>
      </w:r>
      <w:r w:rsidR="00576EBD" w:rsidRPr="005E651D">
        <w:rPr>
          <w:rFonts w:cstheme="minorHAnsi"/>
          <w:szCs w:val="22"/>
        </w:rPr>
        <w:t xml:space="preserve"> On the rare occasion where the Ministry does provide a report, the Ministry will often conclude that no evidence of LEA involvement has been found or claim that appropriate steps have been taken against the individuals involved—similar to </w:t>
      </w:r>
      <w:r w:rsidR="007421CC" w:rsidRPr="005E651D">
        <w:rPr>
          <w:rFonts w:cstheme="minorHAnsi"/>
          <w:szCs w:val="22"/>
        </w:rPr>
        <w:t>outcomes that</w:t>
      </w:r>
      <w:r w:rsidR="00576EBD" w:rsidRPr="005E651D">
        <w:rPr>
          <w:rFonts w:cstheme="minorHAnsi"/>
          <w:szCs w:val="22"/>
        </w:rPr>
        <w:t xml:space="preserve"> victim</w:t>
      </w:r>
      <w:r w:rsidR="007421CC" w:rsidRPr="005E651D">
        <w:rPr>
          <w:rFonts w:cstheme="minorHAnsi"/>
          <w:szCs w:val="22"/>
        </w:rPr>
        <w:t>s</w:t>
      </w:r>
      <w:r w:rsidR="00576EBD" w:rsidRPr="005E651D">
        <w:rPr>
          <w:rFonts w:cstheme="minorHAnsi"/>
          <w:szCs w:val="22"/>
        </w:rPr>
        <w:t xml:space="preserve"> or family members face when seeking justice through the courts.</w:t>
      </w:r>
      <w:r w:rsidR="00576EBD" w:rsidRPr="005E651D">
        <w:rPr>
          <w:rStyle w:val="FootnoteReference"/>
          <w:rFonts w:cstheme="minorHAnsi"/>
          <w:szCs w:val="22"/>
        </w:rPr>
        <w:footnoteReference w:id="47"/>
      </w:r>
    </w:p>
    <w:p w14:paraId="75F00E34" w14:textId="1E10C02E" w:rsidR="00124F32" w:rsidRPr="005E651D" w:rsidRDefault="00124F32" w:rsidP="002B5D66">
      <w:pPr>
        <w:rPr>
          <w:rFonts w:cstheme="minorHAnsi"/>
          <w:szCs w:val="22"/>
        </w:rPr>
      </w:pPr>
    </w:p>
    <w:p w14:paraId="03A9739D" w14:textId="5E562F75" w:rsidR="00124F32" w:rsidRPr="005E651D" w:rsidRDefault="00124F32" w:rsidP="002B5D66">
      <w:pPr>
        <w:rPr>
          <w:rFonts w:cstheme="minorHAnsi"/>
          <w:szCs w:val="22"/>
        </w:rPr>
      </w:pPr>
      <w:r w:rsidRPr="005E651D">
        <w:rPr>
          <w:rFonts w:cstheme="minorHAnsi"/>
          <w:szCs w:val="22"/>
        </w:rPr>
        <w:tab/>
        <w:t xml:space="preserve">The restrictions </w:t>
      </w:r>
      <w:r w:rsidR="00BA0183" w:rsidRPr="005E651D">
        <w:rPr>
          <w:rFonts w:cstheme="minorHAnsi"/>
          <w:szCs w:val="22"/>
        </w:rPr>
        <w:t xml:space="preserve">placed on the NHRC </w:t>
      </w:r>
      <w:r w:rsidR="00655AA6" w:rsidRPr="005E651D">
        <w:rPr>
          <w:rFonts w:cstheme="minorHAnsi"/>
          <w:szCs w:val="22"/>
        </w:rPr>
        <w:t xml:space="preserve">conflict directly with Bangladesh’s </w:t>
      </w:r>
      <w:r w:rsidRPr="005E651D">
        <w:rPr>
          <w:rFonts w:cstheme="minorHAnsi"/>
          <w:szCs w:val="22"/>
        </w:rPr>
        <w:t xml:space="preserve">obligations </w:t>
      </w:r>
      <w:r w:rsidR="00007955" w:rsidRPr="005E651D">
        <w:rPr>
          <w:rFonts w:cstheme="minorHAnsi"/>
          <w:szCs w:val="22"/>
        </w:rPr>
        <w:t>under</w:t>
      </w:r>
      <w:r w:rsidRPr="005E651D">
        <w:rPr>
          <w:rFonts w:cstheme="minorHAnsi"/>
          <w:szCs w:val="22"/>
        </w:rPr>
        <w:t xml:space="preserve">, at a </w:t>
      </w:r>
      <w:r w:rsidR="00BA0183" w:rsidRPr="005E651D">
        <w:rPr>
          <w:rFonts w:cstheme="minorHAnsi"/>
          <w:szCs w:val="22"/>
        </w:rPr>
        <w:t>minimum,</w:t>
      </w:r>
      <w:r w:rsidRPr="005E651D">
        <w:rPr>
          <w:rFonts w:cstheme="minorHAnsi"/>
          <w:szCs w:val="22"/>
        </w:rPr>
        <w:t xml:space="preserve"> Article</w:t>
      </w:r>
      <w:r w:rsidR="00007955" w:rsidRPr="005E651D">
        <w:rPr>
          <w:rFonts w:cstheme="minorHAnsi"/>
          <w:szCs w:val="22"/>
        </w:rPr>
        <w:t>s</w:t>
      </w:r>
      <w:r w:rsidRPr="005E651D">
        <w:rPr>
          <w:rFonts w:cstheme="minorHAnsi"/>
          <w:szCs w:val="22"/>
        </w:rPr>
        <w:t xml:space="preserve"> 2</w:t>
      </w:r>
      <w:r w:rsidR="00BA0183" w:rsidRPr="005E651D">
        <w:rPr>
          <w:rFonts w:cstheme="minorHAnsi"/>
          <w:szCs w:val="22"/>
        </w:rPr>
        <w:t xml:space="preserve">, 10, 11, 13, and </w:t>
      </w:r>
      <w:r w:rsidR="00007955" w:rsidRPr="005E651D">
        <w:rPr>
          <w:rFonts w:cstheme="minorHAnsi"/>
          <w:szCs w:val="22"/>
        </w:rPr>
        <w:t>14 of the Convention</w:t>
      </w:r>
      <w:r w:rsidRPr="005E651D">
        <w:rPr>
          <w:rFonts w:cstheme="minorHAnsi"/>
          <w:szCs w:val="22"/>
        </w:rPr>
        <w:t>.</w:t>
      </w:r>
      <w:r w:rsidRPr="005E651D">
        <w:rPr>
          <w:rStyle w:val="FootnoteReference"/>
          <w:rFonts w:cstheme="minorHAnsi"/>
          <w:szCs w:val="22"/>
        </w:rPr>
        <w:footnoteReference w:id="48"/>
      </w:r>
      <w:r w:rsidRPr="005E651D">
        <w:rPr>
          <w:rFonts w:cstheme="minorHAnsi"/>
          <w:szCs w:val="22"/>
        </w:rPr>
        <w:t xml:space="preserve"> Indeed, during the third cycle UPR of Bangladesh, </w:t>
      </w:r>
      <w:r w:rsidR="00227866" w:rsidRPr="005E651D">
        <w:rPr>
          <w:rFonts w:cstheme="minorHAnsi"/>
          <w:szCs w:val="22"/>
        </w:rPr>
        <w:t>the</w:t>
      </w:r>
      <w:r w:rsidR="00311BDF" w:rsidRPr="005E651D">
        <w:rPr>
          <w:rFonts w:cstheme="minorHAnsi"/>
          <w:szCs w:val="22"/>
        </w:rPr>
        <w:t xml:space="preserve"> UN</w:t>
      </w:r>
      <w:r w:rsidR="00227866" w:rsidRPr="005E651D">
        <w:rPr>
          <w:rFonts w:cstheme="minorHAnsi"/>
          <w:szCs w:val="22"/>
        </w:rPr>
        <w:t xml:space="preserve"> Human Rights </w:t>
      </w:r>
      <w:r w:rsidR="00311B64" w:rsidRPr="005E651D">
        <w:rPr>
          <w:rFonts w:cstheme="minorHAnsi"/>
          <w:szCs w:val="22"/>
        </w:rPr>
        <w:t>C</w:t>
      </w:r>
      <w:r w:rsidR="005B110F" w:rsidRPr="005E651D">
        <w:rPr>
          <w:rFonts w:cstheme="minorHAnsi"/>
          <w:szCs w:val="22"/>
        </w:rPr>
        <w:t>ommittee</w:t>
      </w:r>
      <w:r w:rsidR="00227866" w:rsidRPr="005E651D">
        <w:rPr>
          <w:rFonts w:cstheme="minorHAnsi"/>
          <w:szCs w:val="22"/>
        </w:rPr>
        <w:t xml:space="preserve"> and the UN High Commissioner for Human Rights expressly recommended </w:t>
      </w:r>
      <w:r w:rsidRPr="005E651D">
        <w:rPr>
          <w:rFonts w:cstheme="minorHAnsi"/>
          <w:szCs w:val="22"/>
        </w:rPr>
        <w:t>increasing the independence of the NHRC and expanding its mandate “to investigate all human rights violations including those involving State security actors</w:t>
      </w:r>
      <w:r w:rsidR="00FA33B5" w:rsidRPr="005E651D">
        <w:rPr>
          <w:rFonts w:cstheme="minorHAnsi"/>
          <w:szCs w:val="22"/>
        </w:rPr>
        <w:t>.</w:t>
      </w:r>
      <w:r w:rsidRPr="005E651D">
        <w:rPr>
          <w:rFonts w:cstheme="minorHAnsi"/>
          <w:szCs w:val="22"/>
        </w:rPr>
        <w:t>”</w:t>
      </w:r>
      <w:r w:rsidRPr="005E651D">
        <w:rPr>
          <w:rStyle w:val="FootnoteReference"/>
          <w:rFonts w:cstheme="minorHAnsi"/>
          <w:szCs w:val="22"/>
        </w:rPr>
        <w:footnoteReference w:id="49"/>
      </w:r>
    </w:p>
    <w:p w14:paraId="27DDC12E" w14:textId="7F883520" w:rsidR="00F3456B" w:rsidRPr="005E651D" w:rsidRDefault="00F3456B" w:rsidP="00287964">
      <w:pPr>
        <w:rPr>
          <w:rFonts w:cstheme="minorHAnsi"/>
          <w:szCs w:val="22"/>
        </w:rPr>
      </w:pPr>
    </w:p>
    <w:p w14:paraId="1EC62265" w14:textId="77777777" w:rsidR="00C86ECB" w:rsidRPr="005E651D" w:rsidRDefault="00C86ECB" w:rsidP="00C86ECB">
      <w:pPr>
        <w:pStyle w:val="Heading2"/>
        <w:rPr>
          <w:rFonts w:asciiTheme="minorHAnsi" w:hAnsiTheme="minorHAnsi" w:cstheme="minorHAnsi"/>
        </w:rPr>
      </w:pPr>
      <w:bookmarkStart w:id="36" w:name="_Ref10728532"/>
      <w:bookmarkStart w:id="37" w:name="_Toc11053839"/>
      <w:bookmarkStart w:id="38" w:name="_Toc11879532"/>
      <w:bookmarkStart w:id="39" w:name="_Toc11883193"/>
      <w:bookmarkStart w:id="40" w:name="_Toc11922671"/>
      <w:bookmarkStart w:id="41" w:name="_Toc11945112"/>
      <w:r w:rsidRPr="005E651D">
        <w:rPr>
          <w:rFonts w:asciiTheme="minorHAnsi" w:hAnsiTheme="minorHAnsi" w:cstheme="minorHAnsi"/>
        </w:rPr>
        <w:lastRenderedPageBreak/>
        <w:t>Arbitrary Arrest and Detention</w:t>
      </w:r>
      <w:bookmarkEnd w:id="36"/>
      <w:bookmarkEnd w:id="37"/>
      <w:bookmarkEnd w:id="38"/>
      <w:bookmarkEnd w:id="39"/>
      <w:bookmarkEnd w:id="40"/>
      <w:bookmarkEnd w:id="41"/>
    </w:p>
    <w:p w14:paraId="680B6BD9" w14:textId="73D62886" w:rsidR="00C86ECB" w:rsidRPr="005E651D" w:rsidRDefault="00C86ECB" w:rsidP="00C86ECB">
      <w:pPr>
        <w:rPr>
          <w:rFonts w:cstheme="minorHAnsi"/>
          <w:szCs w:val="22"/>
        </w:rPr>
      </w:pPr>
      <w:r w:rsidRPr="005E651D">
        <w:rPr>
          <w:rFonts w:cstheme="minorHAnsi"/>
          <w:szCs w:val="22"/>
        </w:rPr>
        <w:tab/>
      </w:r>
      <w:r w:rsidR="005F1C50" w:rsidRPr="005E651D">
        <w:rPr>
          <w:rFonts w:cstheme="minorHAnsi"/>
          <w:szCs w:val="22"/>
        </w:rPr>
        <w:t xml:space="preserve">As the Committee has recognized in past evaluations of State parties, warrantless or arbitrary arrest and detention enable conditions that are conducive to torture, and thus </w:t>
      </w:r>
      <w:r w:rsidR="00A85351" w:rsidRPr="005E651D">
        <w:rPr>
          <w:rFonts w:cstheme="minorHAnsi"/>
          <w:szCs w:val="22"/>
        </w:rPr>
        <w:t>the Committee has urged State parties</w:t>
      </w:r>
      <w:r w:rsidR="005F1C50" w:rsidRPr="005E651D">
        <w:rPr>
          <w:rFonts w:cstheme="minorHAnsi"/>
          <w:szCs w:val="22"/>
        </w:rPr>
        <w:t xml:space="preserve"> to </w:t>
      </w:r>
      <w:r w:rsidR="00A85351" w:rsidRPr="005E651D">
        <w:rPr>
          <w:rFonts w:cstheme="minorHAnsi"/>
          <w:szCs w:val="22"/>
        </w:rPr>
        <w:t>address the practice of widespread arbitrary arrest where it exists.</w:t>
      </w:r>
      <w:r w:rsidR="00A85351" w:rsidRPr="005E651D">
        <w:rPr>
          <w:rStyle w:val="FootnoteReference"/>
          <w:rFonts w:cstheme="minorHAnsi"/>
          <w:szCs w:val="22"/>
        </w:rPr>
        <w:footnoteReference w:id="50"/>
      </w:r>
      <w:r w:rsidR="00A85351" w:rsidRPr="005E651D">
        <w:rPr>
          <w:rFonts w:cstheme="minorHAnsi"/>
          <w:szCs w:val="22"/>
        </w:rPr>
        <w:t xml:space="preserve"> </w:t>
      </w:r>
      <w:r w:rsidRPr="005E651D">
        <w:rPr>
          <w:rFonts w:cstheme="minorHAnsi"/>
          <w:szCs w:val="22"/>
        </w:rPr>
        <w:t>Bangladesh’s Constitution ostensibly protects against arbitrary arrest and detention, pr</w:t>
      </w:r>
      <w:r w:rsidR="001D7C84" w:rsidRPr="005E651D">
        <w:rPr>
          <w:rFonts w:cstheme="minorHAnsi"/>
          <w:szCs w:val="22"/>
        </w:rPr>
        <w:t xml:space="preserve">oviding </w:t>
      </w:r>
      <w:r w:rsidRPr="005E651D">
        <w:rPr>
          <w:rFonts w:cstheme="minorHAnsi"/>
          <w:szCs w:val="22"/>
        </w:rPr>
        <w:t>that “[n]o person who is arrested shall be detained in custody without being informed, as soon as may be, of the grounds for such arrest,” and further requiring that every person arrested and detained be produced before the nearest magistrate wit</w:t>
      </w:r>
      <w:r w:rsidR="001D7C84" w:rsidRPr="005E651D">
        <w:rPr>
          <w:rFonts w:cstheme="minorHAnsi"/>
          <w:szCs w:val="22"/>
        </w:rPr>
        <w:t>hin</w:t>
      </w:r>
      <w:r w:rsidR="00AB5CC4" w:rsidRPr="005E651D">
        <w:rPr>
          <w:rFonts w:cstheme="minorHAnsi"/>
          <w:szCs w:val="22"/>
        </w:rPr>
        <w:t xml:space="preserve"> 24</w:t>
      </w:r>
      <w:r w:rsidR="001D7C84" w:rsidRPr="005E651D">
        <w:rPr>
          <w:rFonts w:cstheme="minorHAnsi"/>
          <w:szCs w:val="22"/>
        </w:rPr>
        <w:t xml:space="preserve"> hours of arrest</w:t>
      </w:r>
      <w:r w:rsidRPr="005E651D">
        <w:rPr>
          <w:rFonts w:cstheme="minorHAnsi"/>
          <w:szCs w:val="22"/>
        </w:rPr>
        <w:t>.</w:t>
      </w:r>
      <w:r w:rsidRPr="005E651D">
        <w:rPr>
          <w:rStyle w:val="FootnoteReference"/>
          <w:rFonts w:cstheme="minorHAnsi"/>
          <w:szCs w:val="22"/>
        </w:rPr>
        <w:footnoteReference w:id="51"/>
      </w:r>
      <w:r w:rsidR="001D7C84" w:rsidRPr="005E651D">
        <w:rPr>
          <w:rFonts w:cstheme="minorHAnsi"/>
          <w:szCs w:val="22"/>
        </w:rPr>
        <w:t xml:space="preserve"> </w:t>
      </w:r>
      <w:r w:rsidRPr="005E651D">
        <w:rPr>
          <w:rFonts w:cstheme="minorHAnsi"/>
          <w:szCs w:val="22"/>
        </w:rPr>
        <w:t>However, numerous laws in Bangladesh</w:t>
      </w:r>
      <w:r w:rsidR="005062F6" w:rsidRPr="005E651D">
        <w:rPr>
          <w:rFonts w:cstheme="minorHAnsi"/>
          <w:szCs w:val="22"/>
        </w:rPr>
        <w:t xml:space="preserve"> </w:t>
      </w:r>
      <w:r w:rsidRPr="005E651D">
        <w:rPr>
          <w:rFonts w:cstheme="minorHAnsi"/>
          <w:szCs w:val="22"/>
        </w:rPr>
        <w:t>permit authorities to arrest and detain persons suspected of criminal activity without an order from a magistrate or a warrant, enabling authorities to hold detainees without charge and/or without divulging any information about a detainee’s arrest to family members or legal counsel.</w:t>
      </w:r>
      <w:r w:rsidRPr="005E651D">
        <w:rPr>
          <w:rStyle w:val="FootnoteReference"/>
          <w:rFonts w:cstheme="minorHAnsi"/>
          <w:szCs w:val="22"/>
        </w:rPr>
        <w:footnoteReference w:id="52"/>
      </w:r>
      <w:r w:rsidRPr="005E651D">
        <w:rPr>
          <w:rFonts w:cstheme="minorHAnsi"/>
          <w:szCs w:val="22"/>
        </w:rPr>
        <w:t xml:space="preserve"> For example, </w:t>
      </w:r>
      <w:r w:rsidR="00C83250" w:rsidRPr="005E651D">
        <w:rPr>
          <w:rFonts w:cstheme="minorHAnsi"/>
          <w:szCs w:val="22"/>
        </w:rPr>
        <w:t xml:space="preserve">the </w:t>
      </w:r>
      <w:r w:rsidR="00607402" w:rsidRPr="005E651D">
        <w:rPr>
          <w:rFonts w:cstheme="minorHAnsi"/>
          <w:szCs w:val="22"/>
        </w:rPr>
        <w:t>UN</w:t>
      </w:r>
      <w:r w:rsidR="00674756" w:rsidRPr="005E651D">
        <w:rPr>
          <w:rFonts w:cstheme="minorHAnsi"/>
          <w:szCs w:val="22"/>
        </w:rPr>
        <w:t xml:space="preserve"> Human Rights Committee has </w:t>
      </w:r>
      <w:r w:rsidR="00F1077D" w:rsidRPr="005E651D">
        <w:rPr>
          <w:rFonts w:cstheme="minorHAnsi"/>
          <w:szCs w:val="22"/>
        </w:rPr>
        <w:t>expresse</w:t>
      </w:r>
      <w:r w:rsidR="006E1B50" w:rsidRPr="005E651D">
        <w:rPr>
          <w:rFonts w:cstheme="minorHAnsi"/>
          <w:szCs w:val="22"/>
        </w:rPr>
        <w:t>d concern over</w:t>
      </w:r>
      <w:r w:rsidR="00674756" w:rsidRPr="005E651D">
        <w:rPr>
          <w:rFonts w:cstheme="minorHAnsi"/>
          <w:szCs w:val="22"/>
        </w:rPr>
        <w:t xml:space="preserve"> Bangladesh’s expansive counter-terrorism efforts, which rely in part on the Special Powers Act</w:t>
      </w:r>
      <w:r w:rsidR="00F95913" w:rsidRPr="005E651D">
        <w:rPr>
          <w:rFonts w:cstheme="minorHAnsi"/>
          <w:szCs w:val="22"/>
        </w:rPr>
        <w:t xml:space="preserve"> of </w:t>
      </w:r>
      <w:r w:rsidR="00674756" w:rsidRPr="005E651D">
        <w:rPr>
          <w:rFonts w:cstheme="minorHAnsi"/>
          <w:szCs w:val="22"/>
        </w:rPr>
        <w:t>1974 and</w:t>
      </w:r>
      <w:r w:rsidR="00F95913" w:rsidRPr="005E651D">
        <w:rPr>
          <w:rFonts w:cstheme="minorHAnsi"/>
          <w:szCs w:val="22"/>
        </w:rPr>
        <w:t xml:space="preserve"> the</w:t>
      </w:r>
      <w:r w:rsidR="00674756" w:rsidRPr="005E651D">
        <w:rPr>
          <w:rFonts w:cstheme="minorHAnsi"/>
          <w:szCs w:val="22"/>
        </w:rPr>
        <w:t xml:space="preserve"> Anti-Terrorism Act</w:t>
      </w:r>
      <w:r w:rsidR="00F95913" w:rsidRPr="005E651D">
        <w:rPr>
          <w:rFonts w:cstheme="minorHAnsi"/>
          <w:szCs w:val="22"/>
        </w:rPr>
        <w:t xml:space="preserve"> of</w:t>
      </w:r>
      <w:r w:rsidR="00674756" w:rsidRPr="005E651D">
        <w:rPr>
          <w:rFonts w:cstheme="minorHAnsi"/>
          <w:szCs w:val="22"/>
        </w:rPr>
        <w:t xml:space="preserve"> 2009, and grant the </w:t>
      </w:r>
      <w:r w:rsidR="006422CB" w:rsidRPr="005E651D">
        <w:rPr>
          <w:rFonts w:cstheme="minorHAnsi"/>
          <w:szCs w:val="22"/>
        </w:rPr>
        <w:t>Government</w:t>
      </w:r>
      <w:r w:rsidR="00674756" w:rsidRPr="005E651D">
        <w:rPr>
          <w:rFonts w:cstheme="minorHAnsi"/>
          <w:szCs w:val="22"/>
        </w:rPr>
        <w:t xml:space="preserve"> broad powers of arrest and detention for “prejudicial acts” and “terrorist acts,” respectively.</w:t>
      </w:r>
      <w:r w:rsidR="00674756" w:rsidRPr="005E651D">
        <w:rPr>
          <w:rStyle w:val="FootnoteReference"/>
          <w:rFonts w:cstheme="minorHAnsi"/>
          <w:szCs w:val="22"/>
        </w:rPr>
        <w:footnoteReference w:id="53"/>
      </w:r>
      <w:r w:rsidR="00674756" w:rsidRPr="005E651D">
        <w:rPr>
          <w:rFonts w:cstheme="minorHAnsi"/>
          <w:szCs w:val="22"/>
        </w:rPr>
        <w:t xml:space="preserve"> </w:t>
      </w:r>
      <w:r w:rsidRPr="005E651D">
        <w:rPr>
          <w:rFonts w:cstheme="minorHAnsi"/>
          <w:szCs w:val="22"/>
        </w:rPr>
        <w:t>Although guidelines issued by the Supreme Court of Bangladesh in 2016 di</w:t>
      </w:r>
      <w:r w:rsidR="005062F6" w:rsidRPr="005E651D">
        <w:rPr>
          <w:rFonts w:cstheme="minorHAnsi"/>
          <w:szCs w:val="22"/>
        </w:rPr>
        <w:t>rected LEAs</w:t>
      </w:r>
      <w:r w:rsidRPr="005E651D">
        <w:rPr>
          <w:rFonts w:cstheme="minorHAnsi"/>
          <w:szCs w:val="22"/>
        </w:rPr>
        <w:t xml:space="preserve"> to discontinue the practice of warrantless arrest under the Special Powers Act,</w:t>
      </w:r>
      <w:r w:rsidRPr="005E651D">
        <w:rPr>
          <w:rStyle w:val="FootnoteReference"/>
          <w:rFonts w:cstheme="minorHAnsi"/>
          <w:szCs w:val="22"/>
        </w:rPr>
        <w:footnoteReference w:id="54"/>
      </w:r>
      <w:r w:rsidRPr="005E651D">
        <w:rPr>
          <w:rFonts w:cstheme="minorHAnsi"/>
          <w:szCs w:val="22"/>
        </w:rPr>
        <w:t xml:space="preserve"> it continues to be reported that LEAs cite this law to justify arrests, particularly with respect to the arrest of journalists, human rights activists, and opposition party members.</w:t>
      </w:r>
      <w:r w:rsidRPr="005E651D">
        <w:rPr>
          <w:rStyle w:val="FootnoteReference"/>
          <w:rFonts w:cstheme="minorHAnsi"/>
          <w:szCs w:val="22"/>
        </w:rPr>
        <w:footnoteReference w:id="55"/>
      </w:r>
    </w:p>
    <w:p w14:paraId="1935464A" w14:textId="77777777" w:rsidR="00C86ECB" w:rsidRPr="005E651D" w:rsidRDefault="00C86ECB" w:rsidP="00C86ECB">
      <w:pPr>
        <w:rPr>
          <w:rFonts w:cstheme="minorHAnsi"/>
          <w:szCs w:val="22"/>
        </w:rPr>
      </w:pPr>
    </w:p>
    <w:p w14:paraId="69C86B7A" w14:textId="143528DF" w:rsidR="00C86ECB" w:rsidRPr="005E651D" w:rsidRDefault="00C86ECB" w:rsidP="00C86ECB">
      <w:pPr>
        <w:rPr>
          <w:rFonts w:cstheme="minorHAnsi"/>
          <w:szCs w:val="22"/>
        </w:rPr>
      </w:pPr>
      <w:r w:rsidRPr="005E651D">
        <w:rPr>
          <w:rFonts w:cstheme="minorHAnsi"/>
          <w:szCs w:val="22"/>
        </w:rPr>
        <w:tab/>
        <w:t>Similarly, Section 57 of the Information and Communication Technology Act 2006 (</w:t>
      </w:r>
      <w:r w:rsidR="00991753" w:rsidRPr="005E651D">
        <w:rPr>
          <w:rFonts w:cstheme="minorHAnsi"/>
          <w:szCs w:val="22"/>
        </w:rPr>
        <w:t xml:space="preserve">the </w:t>
      </w:r>
      <w:r w:rsidRPr="005E651D">
        <w:rPr>
          <w:rFonts w:cstheme="minorHAnsi"/>
          <w:szCs w:val="22"/>
        </w:rPr>
        <w:t>“ICTA”), amended in 2009 and 2013, has been widely criticized as enabling the Government to engage in extensive arrest and detention, particularly of journalists, human rights activists, and members of the political opposition, and has been expressly cited as inconsistent with international law.</w:t>
      </w:r>
      <w:r w:rsidRPr="005E651D">
        <w:rPr>
          <w:rStyle w:val="FootnoteReference"/>
          <w:rFonts w:cstheme="minorHAnsi"/>
          <w:szCs w:val="22"/>
        </w:rPr>
        <w:footnoteReference w:id="56"/>
      </w:r>
      <w:r w:rsidRPr="005E651D">
        <w:rPr>
          <w:rFonts w:cstheme="minorHAnsi"/>
          <w:szCs w:val="22"/>
        </w:rPr>
        <w:t xml:space="preserve"> Section 57 criminalizes </w:t>
      </w:r>
      <w:r w:rsidRPr="005E651D">
        <w:rPr>
          <w:rFonts w:cstheme="minorHAnsi"/>
          <w:szCs w:val="22"/>
        </w:rPr>
        <w:lastRenderedPageBreak/>
        <w:t>deliberately publishing or transmitting, or causing to publish or transmit, via a website or in electronic form, “any material which is fake and obscene or its effect is such as to tend to deprave and corrupt . . . or causes to deteriorate or creates possibility to deteriorate law and order, prejudice the image of the State or person or causes to hurt or may hurt religious belief or instigate against any person or organization.”</w:t>
      </w:r>
      <w:r w:rsidRPr="005E651D">
        <w:rPr>
          <w:rStyle w:val="FootnoteReference"/>
          <w:rFonts w:cstheme="minorHAnsi"/>
          <w:szCs w:val="22"/>
        </w:rPr>
        <w:footnoteReference w:id="57"/>
      </w:r>
      <w:r w:rsidRPr="005E651D">
        <w:rPr>
          <w:rFonts w:cstheme="minorHAnsi"/>
          <w:szCs w:val="22"/>
        </w:rPr>
        <w:t xml:space="preserve"> The </w:t>
      </w:r>
      <w:r w:rsidR="00192360" w:rsidRPr="005E651D">
        <w:rPr>
          <w:rFonts w:cstheme="minorHAnsi"/>
          <w:szCs w:val="22"/>
        </w:rPr>
        <w:t>ICTA</w:t>
      </w:r>
      <w:r w:rsidRPr="005E651D">
        <w:rPr>
          <w:rFonts w:cstheme="minorHAnsi"/>
          <w:szCs w:val="22"/>
        </w:rPr>
        <w:t>, as amended, makes Section 57 offenses non-bailable and prescribes a minimum prison sentence of seven years.</w:t>
      </w:r>
      <w:r w:rsidRPr="005E651D">
        <w:rPr>
          <w:rStyle w:val="FootnoteReference"/>
          <w:rFonts w:cstheme="minorHAnsi"/>
          <w:szCs w:val="22"/>
        </w:rPr>
        <w:footnoteReference w:id="58"/>
      </w:r>
      <w:r w:rsidRPr="005E651D">
        <w:rPr>
          <w:rFonts w:cstheme="minorHAnsi"/>
          <w:szCs w:val="22"/>
        </w:rPr>
        <w:t xml:space="preserve"> The International Commission of Jurists in particular has e</w:t>
      </w:r>
      <w:r w:rsidR="007919A7" w:rsidRPr="005E651D">
        <w:rPr>
          <w:rFonts w:cstheme="minorHAnsi"/>
          <w:szCs w:val="22"/>
        </w:rPr>
        <w:t xml:space="preserve">xpressed concern that </w:t>
      </w:r>
      <w:r w:rsidRPr="005E651D">
        <w:rPr>
          <w:rFonts w:cstheme="minorHAnsi"/>
          <w:szCs w:val="22"/>
        </w:rPr>
        <w:t>“long periods of pretrial detention” associated with Section 57 and other non-b</w:t>
      </w:r>
      <w:r w:rsidR="00BC32AA" w:rsidRPr="005E651D">
        <w:rPr>
          <w:rFonts w:cstheme="minorHAnsi"/>
          <w:szCs w:val="22"/>
        </w:rPr>
        <w:t>ailable offenses under the ICTA</w:t>
      </w:r>
      <w:r w:rsidRPr="005E651D">
        <w:rPr>
          <w:rFonts w:cstheme="minorHAnsi"/>
          <w:szCs w:val="22"/>
        </w:rPr>
        <w:t xml:space="preserve"> “put accused persons at a risk of torture and other forms of ill-treatment,” and has highlighted that human rights </w:t>
      </w:r>
      <w:r w:rsidR="006A2E7D" w:rsidRPr="005E651D">
        <w:rPr>
          <w:rFonts w:cstheme="minorHAnsi"/>
          <w:szCs w:val="22"/>
        </w:rPr>
        <w:t>NGOs</w:t>
      </w:r>
      <w:r w:rsidRPr="005E651D">
        <w:rPr>
          <w:rFonts w:cstheme="minorHAnsi"/>
          <w:szCs w:val="22"/>
        </w:rPr>
        <w:t xml:space="preserve"> have documented widespread “torture and other ill-treatment by the police . . . especially in police remand.”</w:t>
      </w:r>
      <w:r w:rsidRPr="005E651D">
        <w:rPr>
          <w:rStyle w:val="FootnoteReference"/>
          <w:rFonts w:cstheme="minorHAnsi"/>
          <w:szCs w:val="22"/>
        </w:rPr>
        <w:footnoteReference w:id="59"/>
      </w:r>
      <w:r w:rsidRPr="005E651D">
        <w:rPr>
          <w:rFonts w:cstheme="minorHAnsi"/>
          <w:szCs w:val="22"/>
        </w:rPr>
        <w:t xml:space="preserve"> </w:t>
      </w:r>
      <w:r w:rsidR="00FC263E" w:rsidRPr="005E651D">
        <w:rPr>
          <w:rFonts w:cstheme="minorHAnsi"/>
          <w:szCs w:val="22"/>
        </w:rPr>
        <w:t>I</w:t>
      </w:r>
      <w:r w:rsidRPr="005E651D">
        <w:rPr>
          <w:rFonts w:cstheme="minorHAnsi"/>
          <w:szCs w:val="22"/>
        </w:rPr>
        <w:t xml:space="preserve">n 2017, </w:t>
      </w:r>
      <w:r w:rsidR="007C51B4" w:rsidRPr="005E651D">
        <w:rPr>
          <w:rFonts w:cstheme="minorHAnsi"/>
          <w:szCs w:val="22"/>
        </w:rPr>
        <w:t xml:space="preserve">for example, </w:t>
      </w:r>
      <w:r w:rsidRPr="005E651D">
        <w:rPr>
          <w:rFonts w:cstheme="minorHAnsi"/>
          <w:szCs w:val="22"/>
        </w:rPr>
        <w:t>there were 76 cases involving journalists who were charged under Section 57; in 2018, over 90 cases were brought against activists, journalists, and others.</w:t>
      </w:r>
      <w:r w:rsidRPr="005E651D">
        <w:rPr>
          <w:rStyle w:val="FootnoteReference"/>
          <w:rFonts w:cstheme="minorHAnsi"/>
          <w:szCs w:val="22"/>
        </w:rPr>
        <w:footnoteReference w:id="60"/>
      </w:r>
    </w:p>
    <w:p w14:paraId="48D01FCE" w14:textId="77777777" w:rsidR="00C86ECB" w:rsidRPr="005E651D" w:rsidRDefault="00C86ECB" w:rsidP="00C86ECB">
      <w:pPr>
        <w:rPr>
          <w:rFonts w:cstheme="minorHAnsi"/>
          <w:szCs w:val="22"/>
        </w:rPr>
      </w:pPr>
    </w:p>
    <w:p w14:paraId="7360FEAB" w14:textId="58305127" w:rsidR="00C86ECB" w:rsidRPr="005E651D" w:rsidRDefault="00C86ECB" w:rsidP="00C86ECB">
      <w:pPr>
        <w:rPr>
          <w:rFonts w:cstheme="minorHAnsi"/>
          <w:szCs w:val="22"/>
        </w:rPr>
      </w:pPr>
      <w:r w:rsidRPr="005E651D">
        <w:rPr>
          <w:rFonts w:cstheme="minorHAnsi"/>
          <w:szCs w:val="22"/>
        </w:rPr>
        <w:tab/>
        <w:t>The Government’s abuses have been further enabled by the passage of the Digital Security Act (</w:t>
      </w:r>
      <w:r w:rsidR="00991753" w:rsidRPr="005E651D">
        <w:rPr>
          <w:rFonts w:cstheme="minorHAnsi"/>
          <w:szCs w:val="22"/>
        </w:rPr>
        <w:t xml:space="preserve">the </w:t>
      </w:r>
      <w:r w:rsidRPr="005E651D">
        <w:rPr>
          <w:rFonts w:cstheme="minorHAnsi"/>
          <w:szCs w:val="22"/>
        </w:rPr>
        <w:t xml:space="preserve">“DSA”) in October 2018. </w:t>
      </w:r>
      <w:r w:rsidR="00437ABC" w:rsidRPr="005E651D">
        <w:rPr>
          <w:rFonts w:cstheme="minorHAnsi"/>
          <w:szCs w:val="22"/>
        </w:rPr>
        <w:t>The DSA criminalizes</w:t>
      </w:r>
      <w:r w:rsidR="00411B62" w:rsidRPr="005E651D">
        <w:rPr>
          <w:rFonts w:cstheme="minorHAnsi"/>
          <w:szCs w:val="22"/>
        </w:rPr>
        <w:t>, among other things,</w:t>
      </w:r>
      <w:r w:rsidR="00437ABC" w:rsidRPr="005E651D">
        <w:rPr>
          <w:rFonts w:cstheme="minorHAnsi"/>
          <w:szCs w:val="22"/>
        </w:rPr>
        <w:t xml:space="preserve"> </w:t>
      </w:r>
      <w:r w:rsidR="00411B62" w:rsidRPr="005E651D">
        <w:rPr>
          <w:rFonts w:cstheme="minorHAnsi"/>
          <w:szCs w:val="22"/>
        </w:rPr>
        <w:t>the publication, broadcast, or sending via any digital medium: (i) offensive, false, or fear-inducing information; (ii) information that “hurts religious sentiments or values”; (iii) defamatory information; (iv) any file that will “create hostility, hatred or adversity . . . or unrest” or deteriorates, or threatens to deteriorate law and order; or (v)</w:t>
      </w:r>
      <w:r w:rsidR="00B3672E" w:rsidRPr="005E651D">
        <w:rPr>
          <w:rFonts w:cstheme="minorHAnsi"/>
          <w:szCs w:val="22"/>
        </w:rPr>
        <w:t xml:space="preserve"> material that</w:t>
      </w:r>
      <w:r w:rsidR="00411B62" w:rsidRPr="005E651D">
        <w:rPr>
          <w:rFonts w:cstheme="minorHAnsi"/>
          <w:szCs w:val="22"/>
        </w:rPr>
        <w:t xml:space="preserve"> breaches certain government secrets.</w:t>
      </w:r>
      <w:r w:rsidR="00437ABC" w:rsidRPr="005E651D">
        <w:rPr>
          <w:rStyle w:val="FootnoteReference"/>
          <w:rFonts w:cstheme="minorHAnsi"/>
          <w:szCs w:val="22"/>
        </w:rPr>
        <w:footnoteReference w:id="61"/>
      </w:r>
      <w:r w:rsidR="00437ABC" w:rsidRPr="005E651D">
        <w:rPr>
          <w:rFonts w:cstheme="minorHAnsi"/>
          <w:szCs w:val="22"/>
        </w:rPr>
        <w:t xml:space="preserve"> </w:t>
      </w:r>
      <w:r w:rsidR="001000B7" w:rsidRPr="005E651D">
        <w:rPr>
          <w:rFonts w:cstheme="minorHAnsi"/>
          <w:szCs w:val="22"/>
        </w:rPr>
        <w:t>C</w:t>
      </w:r>
      <w:r w:rsidR="00437ABC" w:rsidRPr="005E651D">
        <w:rPr>
          <w:rFonts w:cstheme="minorHAnsi"/>
          <w:szCs w:val="22"/>
        </w:rPr>
        <w:t>ertain offenses are again non-bailable, such as the electronic conveyance of information that disrupts or threatens to disrupt public order.</w:t>
      </w:r>
      <w:r w:rsidR="00437ABC" w:rsidRPr="005E651D">
        <w:rPr>
          <w:rStyle w:val="FootnoteReference"/>
          <w:rFonts w:cstheme="minorHAnsi"/>
          <w:szCs w:val="22"/>
        </w:rPr>
        <w:footnoteReference w:id="62"/>
      </w:r>
      <w:r w:rsidR="001000B7" w:rsidRPr="005E651D">
        <w:rPr>
          <w:rFonts w:cstheme="minorHAnsi"/>
          <w:szCs w:val="22"/>
        </w:rPr>
        <w:t xml:space="preserve"> </w:t>
      </w:r>
      <w:r w:rsidRPr="005E651D">
        <w:rPr>
          <w:rFonts w:cstheme="minorHAnsi"/>
          <w:szCs w:val="22"/>
        </w:rPr>
        <w:t>Despite widespread advocacy</w:t>
      </w:r>
      <w:r w:rsidR="00621F2F" w:rsidRPr="005E651D">
        <w:rPr>
          <w:rFonts w:cstheme="minorHAnsi"/>
          <w:szCs w:val="22"/>
        </w:rPr>
        <w:t xml:space="preserve"> against such a move</w:t>
      </w:r>
      <w:r w:rsidRPr="005E651D">
        <w:rPr>
          <w:rFonts w:cstheme="minorHAnsi"/>
          <w:szCs w:val="22"/>
        </w:rPr>
        <w:t>,</w:t>
      </w:r>
      <w:r w:rsidR="00621F2F" w:rsidRPr="005E651D">
        <w:rPr>
          <w:rFonts w:cstheme="minorHAnsi"/>
          <w:szCs w:val="22"/>
        </w:rPr>
        <w:t xml:space="preserve"> the DSA</w:t>
      </w:r>
      <w:r w:rsidRPr="005E651D">
        <w:rPr>
          <w:rFonts w:cstheme="minorHAnsi"/>
          <w:szCs w:val="22"/>
        </w:rPr>
        <w:t xml:space="preserve"> not only incorporate</w:t>
      </w:r>
      <w:r w:rsidR="00437ABC" w:rsidRPr="005E651D">
        <w:rPr>
          <w:rFonts w:cstheme="minorHAnsi"/>
          <w:szCs w:val="22"/>
        </w:rPr>
        <w:t>d</w:t>
      </w:r>
      <w:r w:rsidRPr="005E651D">
        <w:rPr>
          <w:rFonts w:cstheme="minorHAnsi"/>
          <w:szCs w:val="22"/>
        </w:rPr>
        <w:t xml:space="preserve"> </w:t>
      </w:r>
      <w:r w:rsidR="001000B7" w:rsidRPr="005E651D">
        <w:rPr>
          <w:rFonts w:cstheme="minorHAnsi"/>
          <w:szCs w:val="22"/>
        </w:rPr>
        <w:t xml:space="preserve">ICTA’s </w:t>
      </w:r>
      <w:r w:rsidR="00621F2F" w:rsidRPr="005E651D">
        <w:rPr>
          <w:rFonts w:cstheme="minorHAnsi"/>
          <w:szCs w:val="22"/>
        </w:rPr>
        <w:t>S</w:t>
      </w:r>
      <w:r w:rsidRPr="005E651D">
        <w:rPr>
          <w:rFonts w:cstheme="minorHAnsi"/>
          <w:szCs w:val="22"/>
        </w:rPr>
        <w:t>ection 57 but enhance</w:t>
      </w:r>
      <w:r w:rsidR="00437ABC" w:rsidRPr="005E651D">
        <w:rPr>
          <w:rFonts w:cstheme="minorHAnsi"/>
          <w:szCs w:val="22"/>
        </w:rPr>
        <w:t>d</w:t>
      </w:r>
      <w:r w:rsidR="001000B7" w:rsidRPr="005E651D">
        <w:rPr>
          <w:rFonts w:cstheme="minorHAnsi"/>
          <w:szCs w:val="22"/>
        </w:rPr>
        <w:t xml:space="preserve"> it</w:t>
      </w:r>
      <w:r w:rsidRPr="005E651D">
        <w:rPr>
          <w:rFonts w:cstheme="minorHAnsi"/>
          <w:szCs w:val="22"/>
        </w:rPr>
        <w:t xml:space="preserve">. Section 43 provides that if a police officer believes that a crime under the </w:t>
      </w:r>
      <w:r w:rsidR="00192360" w:rsidRPr="005E651D">
        <w:rPr>
          <w:rFonts w:cstheme="minorHAnsi"/>
          <w:szCs w:val="22"/>
        </w:rPr>
        <w:t>DSA</w:t>
      </w:r>
      <w:r w:rsidRPr="005E651D">
        <w:rPr>
          <w:rFonts w:cstheme="minorHAnsi"/>
          <w:szCs w:val="22"/>
        </w:rPr>
        <w:t xml:space="preserve"> “has been or is being or will be committed in any place, </w:t>
      </w:r>
      <w:r w:rsidRPr="005E651D">
        <w:rPr>
          <w:rFonts w:cstheme="minorHAnsi"/>
          <w:i/>
          <w:szCs w:val="22"/>
        </w:rPr>
        <w:t>or there is a possibility of it happening</w:t>
      </w:r>
      <w:r w:rsidRPr="005E651D">
        <w:rPr>
          <w:rFonts w:cstheme="minorHAnsi"/>
          <w:szCs w:val="22"/>
        </w:rPr>
        <w:t>” or there is a possibility of evidence being lost, destroyed, or altered, then the officer can search said place and seize the devices or other objects or documents used in committing the offense or that might otherwise assist in proving the offense.</w:t>
      </w:r>
      <w:r w:rsidRPr="005E651D">
        <w:rPr>
          <w:rStyle w:val="FootnoteReference"/>
          <w:rFonts w:cstheme="minorHAnsi"/>
          <w:szCs w:val="22"/>
        </w:rPr>
        <w:footnoteReference w:id="63"/>
      </w:r>
      <w:r w:rsidRPr="005E651D">
        <w:rPr>
          <w:rFonts w:cstheme="minorHAnsi"/>
          <w:szCs w:val="22"/>
        </w:rPr>
        <w:t xml:space="preserve"> Further, if any person is “suspected of committing or having committed” an offense under this Act, then the police can arrest that individual without a warrant.</w:t>
      </w:r>
      <w:r w:rsidRPr="005E651D">
        <w:rPr>
          <w:rStyle w:val="FootnoteReference"/>
          <w:rFonts w:cstheme="minorHAnsi"/>
          <w:szCs w:val="22"/>
        </w:rPr>
        <w:footnoteReference w:id="64"/>
      </w:r>
      <w:r w:rsidRPr="005E651D">
        <w:rPr>
          <w:rFonts w:cstheme="minorHAnsi"/>
          <w:szCs w:val="22"/>
        </w:rPr>
        <w:t xml:space="preserve"> </w:t>
      </w:r>
    </w:p>
    <w:p w14:paraId="6B16E858" w14:textId="77777777" w:rsidR="00C86ECB" w:rsidRPr="005E651D" w:rsidRDefault="00C86ECB" w:rsidP="00C86ECB">
      <w:pPr>
        <w:rPr>
          <w:rFonts w:cstheme="minorHAnsi"/>
          <w:szCs w:val="22"/>
        </w:rPr>
      </w:pPr>
    </w:p>
    <w:p w14:paraId="5CB4CA6A" w14:textId="394BF0F6" w:rsidR="00C86ECB" w:rsidRPr="005E651D" w:rsidRDefault="00C86ECB" w:rsidP="00C86ECB">
      <w:pPr>
        <w:rPr>
          <w:rFonts w:cstheme="minorHAnsi"/>
          <w:szCs w:val="22"/>
        </w:rPr>
      </w:pPr>
      <w:r w:rsidRPr="005E651D">
        <w:rPr>
          <w:rFonts w:cstheme="minorHAnsi"/>
          <w:szCs w:val="22"/>
        </w:rPr>
        <w:tab/>
      </w:r>
      <w:r w:rsidR="006C04EB" w:rsidRPr="005E651D">
        <w:rPr>
          <w:rFonts w:cstheme="minorHAnsi"/>
          <w:szCs w:val="22"/>
        </w:rPr>
        <w:t>During the third cycle UPR, t</w:t>
      </w:r>
      <w:r w:rsidRPr="005E651D">
        <w:rPr>
          <w:rFonts w:cstheme="minorHAnsi"/>
          <w:szCs w:val="22"/>
        </w:rPr>
        <w:t xml:space="preserve">he </w:t>
      </w:r>
      <w:r w:rsidR="00876F3E" w:rsidRPr="005E651D">
        <w:rPr>
          <w:rFonts w:cstheme="minorHAnsi"/>
          <w:szCs w:val="22"/>
        </w:rPr>
        <w:t xml:space="preserve">UN </w:t>
      </w:r>
      <w:r w:rsidRPr="005E651D">
        <w:rPr>
          <w:rFonts w:cstheme="minorHAnsi"/>
          <w:szCs w:val="22"/>
        </w:rPr>
        <w:t>Hum</w:t>
      </w:r>
      <w:r w:rsidR="0073703C" w:rsidRPr="005E651D">
        <w:rPr>
          <w:rFonts w:cstheme="minorHAnsi"/>
          <w:szCs w:val="22"/>
        </w:rPr>
        <w:t>an Rights Com</w:t>
      </w:r>
      <w:r w:rsidR="00AF49A8" w:rsidRPr="005E651D">
        <w:rPr>
          <w:rFonts w:cstheme="minorHAnsi"/>
          <w:szCs w:val="22"/>
        </w:rPr>
        <w:t>mittee</w:t>
      </w:r>
      <w:r w:rsidR="00876F3E" w:rsidRPr="005E651D">
        <w:rPr>
          <w:rFonts w:cstheme="minorHAnsi"/>
          <w:szCs w:val="22"/>
        </w:rPr>
        <w:t xml:space="preserve"> </w:t>
      </w:r>
      <w:r w:rsidR="0073703C" w:rsidRPr="005E651D">
        <w:rPr>
          <w:rFonts w:cstheme="minorHAnsi"/>
          <w:szCs w:val="22"/>
        </w:rPr>
        <w:t>and the UN</w:t>
      </w:r>
      <w:r w:rsidRPr="005E651D">
        <w:rPr>
          <w:rFonts w:cstheme="minorHAnsi"/>
          <w:szCs w:val="22"/>
        </w:rPr>
        <w:t xml:space="preserve"> High Commissio</w:t>
      </w:r>
      <w:r w:rsidR="006C04EB" w:rsidRPr="005E651D">
        <w:rPr>
          <w:rFonts w:cstheme="minorHAnsi"/>
          <w:szCs w:val="22"/>
        </w:rPr>
        <w:t>ner for Human Rights expressed</w:t>
      </w:r>
      <w:r w:rsidRPr="005E651D">
        <w:rPr>
          <w:rFonts w:cstheme="minorHAnsi"/>
          <w:szCs w:val="22"/>
        </w:rPr>
        <w:t xml:space="preserve"> significant concerns regarding </w:t>
      </w:r>
      <w:r w:rsidR="002970C6" w:rsidRPr="005E651D">
        <w:rPr>
          <w:rFonts w:cstheme="minorHAnsi"/>
          <w:szCs w:val="22"/>
        </w:rPr>
        <w:t>these</w:t>
      </w:r>
      <w:r w:rsidRPr="005E651D">
        <w:rPr>
          <w:rFonts w:cstheme="minorHAnsi"/>
          <w:szCs w:val="22"/>
        </w:rPr>
        <w:t xml:space="preserve"> laws</w:t>
      </w:r>
      <w:r w:rsidR="002970C6" w:rsidRPr="005E651D">
        <w:rPr>
          <w:rFonts w:cstheme="minorHAnsi"/>
          <w:szCs w:val="22"/>
        </w:rPr>
        <w:t>,</w:t>
      </w:r>
      <w:r w:rsidRPr="005E651D">
        <w:rPr>
          <w:rFonts w:cstheme="minorHAnsi"/>
          <w:szCs w:val="22"/>
        </w:rPr>
        <w:t xml:space="preserve"> specifically advising the </w:t>
      </w:r>
      <w:r w:rsidRPr="005E651D">
        <w:rPr>
          <w:rFonts w:cstheme="minorHAnsi"/>
          <w:szCs w:val="22"/>
        </w:rPr>
        <w:lastRenderedPageBreak/>
        <w:t>G</w:t>
      </w:r>
      <w:r w:rsidR="00991753" w:rsidRPr="005E651D">
        <w:rPr>
          <w:rFonts w:cstheme="minorHAnsi"/>
          <w:szCs w:val="22"/>
        </w:rPr>
        <w:t>overnment to amend Section 57 of the</w:t>
      </w:r>
      <w:r w:rsidR="002970C6" w:rsidRPr="005E651D">
        <w:rPr>
          <w:rFonts w:cstheme="minorHAnsi"/>
          <w:szCs w:val="22"/>
        </w:rPr>
        <w:t xml:space="preserve"> </w:t>
      </w:r>
      <w:r w:rsidRPr="005E651D">
        <w:rPr>
          <w:rFonts w:cstheme="minorHAnsi"/>
          <w:szCs w:val="22"/>
        </w:rPr>
        <w:t>ICTA</w:t>
      </w:r>
      <w:r w:rsidR="00991753" w:rsidRPr="005E651D">
        <w:rPr>
          <w:rFonts w:cstheme="minorHAnsi"/>
          <w:szCs w:val="22"/>
        </w:rPr>
        <w:t xml:space="preserve"> </w:t>
      </w:r>
      <w:r w:rsidRPr="005E651D">
        <w:rPr>
          <w:rFonts w:cstheme="minorHAnsi"/>
          <w:szCs w:val="22"/>
        </w:rPr>
        <w:t>and</w:t>
      </w:r>
      <w:r w:rsidR="00AC46E6" w:rsidRPr="005E651D">
        <w:rPr>
          <w:rFonts w:cstheme="minorHAnsi"/>
          <w:szCs w:val="22"/>
        </w:rPr>
        <w:t xml:space="preserve"> </w:t>
      </w:r>
      <w:r w:rsidR="00991753" w:rsidRPr="005E651D">
        <w:rPr>
          <w:rFonts w:cstheme="minorHAnsi"/>
          <w:szCs w:val="22"/>
        </w:rPr>
        <w:t xml:space="preserve">associated provisions of </w:t>
      </w:r>
      <w:r w:rsidRPr="005E651D">
        <w:rPr>
          <w:rFonts w:cstheme="minorHAnsi"/>
          <w:szCs w:val="22"/>
        </w:rPr>
        <w:t>the soon-to-be-enacted DSA</w:t>
      </w:r>
      <w:r w:rsidR="00260E4B" w:rsidRPr="005E651D">
        <w:rPr>
          <w:rFonts w:cstheme="minorHAnsi"/>
          <w:szCs w:val="22"/>
        </w:rPr>
        <w:t>.</w:t>
      </w:r>
      <w:r w:rsidRPr="005E651D">
        <w:rPr>
          <w:rStyle w:val="FootnoteReference"/>
          <w:rFonts w:cstheme="minorHAnsi"/>
          <w:szCs w:val="22"/>
        </w:rPr>
        <w:footnoteReference w:id="65"/>
      </w:r>
      <w:r w:rsidR="00F27C6A" w:rsidRPr="005E651D">
        <w:rPr>
          <w:rFonts w:cstheme="minorHAnsi"/>
          <w:szCs w:val="22"/>
        </w:rPr>
        <w:t xml:space="preserve"> The Government has made no such amendments to these laws.</w:t>
      </w:r>
    </w:p>
    <w:p w14:paraId="5C097865" w14:textId="77777777" w:rsidR="00C86ECB" w:rsidRPr="005E651D" w:rsidRDefault="00C86ECB" w:rsidP="00C86ECB">
      <w:pPr>
        <w:rPr>
          <w:rFonts w:cstheme="minorHAnsi"/>
          <w:szCs w:val="22"/>
        </w:rPr>
      </w:pPr>
    </w:p>
    <w:p w14:paraId="61D99061" w14:textId="4E4F8BD8" w:rsidR="007D50B7" w:rsidRPr="005E651D" w:rsidRDefault="007D50B7" w:rsidP="00287964">
      <w:pPr>
        <w:pStyle w:val="Heading2"/>
        <w:rPr>
          <w:rFonts w:asciiTheme="minorHAnsi" w:hAnsiTheme="minorHAnsi" w:cstheme="minorHAnsi"/>
        </w:rPr>
      </w:pPr>
      <w:bookmarkStart w:id="42" w:name="_Toc11053840"/>
      <w:bookmarkStart w:id="43" w:name="_Toc11879533"/>
      <w:bookmarkStart w:id="44" w:name="_Toc11883194"/>
      <w:bookmarkStart w:id="45" w:name="_Toc11922672"/>
      <w:bookmarkStart w:id="46" w:name="_Toc11945113"/>
      <w:r w:rsidRPr="005E651D">
        <w:rPr>
          <w:rFonts w:asciiTheme="minorHAnsi" w:hAnsiTheme="minorHAnsi" w:cstheme="minorHAnsi"/>
        </w:rPr>
        <w:t>Abuse of Remand</w:t>
      </w:r>
      <w:bookmarkEnd w:id="42"/>
      <w:bookmarkEnd w:id="43"/>
      <w:bookmarkEnd w:id="44"/>
      <w:bookmarkEnd w:id="45"/>
      <w:bookmarkEnd w:id="46"/>
    </w:p>
    <w:p w14:paraId="7284B3D3" w14:textId="3EA66370" w:rsidR="0023551F" w:rsidRPr="005E651D" w:rsidRDefault="007D50B7" w:rsidP="00287964">
      <w:pPr>
        <w:rPr>
          <w:rFonts w:cstheme="minorHAnsi"/>
          <w:szCs w:val="22"/>
        </w:rPr>
      </w:pPr>
      <w:r w:rsidRPr="005E651D">
        <w:rPr>
          <w:rFonts w:cstheme="minorHAnsi"/>
          <w:szCs w:val="22"/>
        </w:rPr>
        <w:tab/>
      </w:r>
      <w:r w:rsidR="001E7B9A" w:rsidRPr="005E651D">
        <w:rPr>
          <w:rFonts w:cstheme="minorHAnsi"/>
          <w:szCs w:val="22"/>
        </w:rPr>
        <w:t>Under Bangladesh</w:t>
      </w:r>
      <w:r w:rsidR="0054586A" w:rsidRPr="005E651D">
        <w:rPr>
          <w:rFonts w:cstheme="minorHAnsi"/>
          <w:szCs w:val="22"/>
        </w:rPr>
        <w:t>i</w:t>
      </w:r>
      <w:r w:rsidR="00AF5D52" w:rsidRPr="005E651D">
        <w:rPr>
          <w:rFonts w:cstheme="minorHAnsi"/>
          <w:szCs w:val="22"/>
        </w:rPr>
        <w:t xml:space="preserve"> </w:t>
      </w:r>
      <w:r w:rsidR="0023551F" w:rsidRPr="005E651D">
        <w:rPr>
          <w:rFonts w:cstheme="minorHAnsi"/>
          <w:szCs w:val="22"/>
        </w:rPr>
        <w:t xml:space="preserve">law, a magistrate judge can </w:t>
      </w:r>
      <w:r w:rsidR="002E3773" w:rsidRPr="005E651D">
        <w:rPr>
          <w:rFonts w:cstheme="minorHAnsi"/>
          <w:szCs w:val="22"/>
        </w:rPr>
        <w:t>order that</w:t>
      </w:r>
      <w:r w:rsidR="00577EDF" w:rsidRPr="005E651D">
        <w:rPr>
          <w:rFonts w:cstheme="minorHAnsi"/>
          <w:szCs w:val="22"/>
        </w:rPr>
        <w:t xml:space="preserve"> a suspect be placed in</w:t>
      </w:r>
      <w:r w:rsidR="0023551F" w:rsidRPr="005E651D">
        <w:rPr>
          <w:rFonts w:cstheme="minorHAnsi"/>
          <w:szCs w:val="22"/>
        </w:rPr>
        <w:t xml:space="preserve"> interrogative custody, known as remand, during which </w:t>
      </w:r>
      <w:r w:rsidR="005A77D3" w:rsidRPr="005E651D">
        <w:rPr>
          <w:rFonts w:cstheme="minorHAnsi"/>
          <w:szCs w:val="22"/>
        </w:rPr>
        <w:t>a suspect</w:t>
      </w:r>
      <w:r w:rsidR="00192BFE" w:rsidRPr="005E651D">
        <w:rPr>
          <w:rFonts w:cstheme="minorHAnsi"/>
          <w:szCs w:val="22"/>
        </w:rPr>
        <w:t xml:space="preserve"> may be questioned </w:t>
      </w:r>
      <w:r w:rsidR="00BD1E8E" w:rsidRPr="005E651D">
        <w:rPr>
          <w:rFonts w:cstheme="minorHAnsi"/>
          <w:szCs w:val="22"/>
        </w:rPr>
        <w:t xml:space="preserve">prior to being charged </w:t>
      </w:r>
      <w:r w:rsidR="0023551F" w:rsidRPr="005E651D">
        <w:rPr>
          <w:rFonts w:cstheme="minorHAnsi"/>
          <w:szCs w:val="22"/>
        </w:rPr>
        <w:t xml:space="preserve">without </w:t>
      </w:r>
      <w:r w:rsidR="00352D3B" w:rsidRPr="005E651D">
        <w:rPr>
          <w:rFonts w:cstheme="minorHAnsi"/>
          <w:szCs w:val="22"/>
        </w:rPr>
        <w:t>the presence of a lawyer</w:t>
      </w:r>
      <w:r w:rsidR="00BD1E8E" w:rsidRPr="005E651D">
        <w:rPr>
          <w:rFonts w:cstheme="minorHAnsi"/>
          <w:szCs w:val="22"/>
        </w:rPr>
        <w:t>.</w:t>
      </w:r>
      <w:r w:rsidR="0023551F" w:rsidRPr="005E651D">
        <w:rPr>
          <w:rFonts w:cstheme="minorHAnsi"/>
          <w:szCs w:val="22"/>
        </w:rPr>
        <w:t xml:space="preserve"> Police are widely reported to abuse this remand period to execute acts of torture in order to procure information</w:t>
      </w:r>
      <w:r w:rsidR="002578FA" w:rsidRPr="005E651D">
        <w:rPr>
          <w:rFonts w:cstheme="minorHAnsi"/>
          <w:szCs w:val="22"/>
        </w:rPr>
        <w:t>,</w:t>
      </w:r>
      <w:r w:rsidR="00696A8E" w:rsidRPr="005E651D">
        <w:rPr>
          <w:rStyle w:val="FootnoteReference"/>
          <w:rFonts w:cstheme="minorHAnsi"/>
          <w:szCs w:val="22"/>
        </w:rPr>
        <w:footnoteReference w:id="66"/>
      </w:r>
      <w:r w:rsidR="002578FA" w:rsidRPr="005E651D">
        <w:rPr>
          <w:rFonts w:cstheme="minorHAnsi"/>
          <w:szCs w:val="22"/>
        </w:rPr>
        <w:t xml:space="preserve"> with methods including “severe beating, suspension from the ceiling, electric shocks, water-boarding, sexual abuse, threats of death, kneecapping, and in some cases mock executions.”</w:t>
      </w:r>
      <w:r w:rsidR="002578FA" w:rsidRPr="005E651D">
        <w:rPr>
          <w:rStyle w:val="FootnoteReference"/>
          <w:rFonts w:cstheme="minorHAnsi"/>
          <w:szCs w:val="22"/>
        </w:rPr>
        <w:footnoteReference w:id="67"/>
      </w:r>
    </w:p>
    <w:p w14:paraId="089EDAC6" w14:textId="77777777" w:rsidR="0023551F" w:rsidRPr="005E651D" w:rsidRDefault="007D50B7" w:rsidP="00287964">
      <w:pPr>
        <w:rPr>
          <w:rFonts w:cstheme="minorHAnsi"/>
          <w:szCs w:val="22"/>
        </w:rPr>
      </w:pPr>
      <w:r w:rsidRPr="005E651D">
        <w:rPr>
          <w:rFonts w:cstheme="minorHAnsi"/>
          <w:szCs w:val="22"/>
        </w:rPr>
        <w:tab/>
      </w:r>
    </w:p>
    <w:p w14:paraId="2CC90ED1" w14:textId="729A8312" w:rsidR="004560C0" w:rsidRPr="005E651D" w:rsidRDefault="00005614" w:rsidP="00E629CA">
      <w:pPr>
        <w:rPr>
          <w:rFonts w:cstheme="minorHAnsi"/>
          <w:szCs w:val="22"/>
        </w:rPr>
      </w:pPr>
      <w:r w:rsidRPr="005E651D">
        <w:rPr>
          <w:rFonts w:cstheme="minorHAnsi"/>
          <w:szCs w:val="22"/>
        </w:rPr>
        <w:tab/>
      </w:r>
      <w:r w:rsidR="00354BCE" w:rsidRPr="005E651D">
        <w:rPr>
          <w:rFonts w:cstheme="minorHAnsi"/>
          <w:szCs w:val="22"/>
        </w:rPr>
        <w:t>I</w:t>
      </w:r>
      <w:r w:rsidR="0023551F" w:rsidRPr="005E651D">
        <w:rPr>
          <w:rFonts w:cstheme="minorHAnsi"/>
          <w:szCs w:val="22"/>
        </w:rPr>
        <w:t xml:space="preserve">n 2016, in the case of </w:t>
      </w:r>
      <w:r w:rsidR="0023551F" w:rsidRPr="005E651D">
        <w:rPr>
          <w:rFonts w:cstheme="minorHAnsi"/>
          <w:i/>
          <w:szCs w:val="22"/>
        </w:rPr>
        <w:t xml:space="preserve">Bangladesh Legal Aid and Services </w:t>
      </w:r>
      <w:r w:rsidR="00ED16A5" w:rsidRPr="005E651D">
        <w:rPr>
          <w:rFonts w:cstheme="minorHAnsi"/>
          <w:i/>
          <w:szCs w:val="22"/>
        </w:rPr>
        <w:t>Trust (BLAST) v. Bangladesh</w:t>
      </w:r>
      <w:r w:rsidR="00ED16A5" w:rsidRPr="005E651D">
        <w:rPr>
          <w:rFonts w:cstheme="minorHAnsi"/>
          <w:szCs w:val="22"/>
        </w:rPr>
        <w:t>,</w:t>
      </w:r>
      <w:r w:rsidR="0023551F" w:rsidRPr="005E651D">
        <w:rPr>
          <w:rFonts w:cstheme="minorHAnsi"/>
          <w:szCs w:val="22"/>
        </w:rPr>
        <w:t xml:space="preserve"> the </w:t>
      </w:r>
      <w:r w:rsidR="00CB091E" w:rsidRPr="005E651D">
        <w:rPr>
          <w:rFonts w:cstheme="minorHAnsi"/>
          <w:szCs w:val="22"/>
        </w:rPr>
        <w:t>Supreme</w:t>
      </w:r>
      <w:r w:rsidR="0023551F" w:rsidRPr="005E651D">
        <w:rPr>
          <w:rFonts w:cstheme="minorHAnsi"/>
          <w:szCs w:val="22"/>
        </w:rPr>
        <w:t xml:space="preserve"> Court of Bangladesh issued guidelines for</w:t>
      </w:r>
      <w:r w:rsidR="007A3E5F" w:rsidRPr="005E651D">
        <w:rPr>
          <w:rFonts w:cstheme="minorHAnsi"/>
          <w:szCs w:val="22"/>
        </w:rPr>
        <w:t xml:space="preserve"> LEAs</w:t>
      </w:r>
      <w:r w:rsidR="00ED16A5" w:rsidRPr="005E651D">
        <w:rPr>
          <w:rFonts w:cstheme="minorHAnsi"/>
          <w:szCs w:val="22"/>
        </w:rPr>
        <w:t>, ostensibl</w:t>
      </w:r>
      <w:r w:rsidR="00283D8F" w:rsidRPr="005E651D">
        <w:rPr>
          <w:rFonts w:cstheme="minorHAnsi"/>
          <w:szCs w:val="22"/>
        </w:rPr>
        <w:t>y</w:t>
      </w:r>
      <w:r w:rsidR="00ED16A5" w:rsidRPr="005E651D">
        <w:rPr>
          <w:rFonts w:cstheme="minorHAnsi"/>
          <w:szCs w:val="22"/>
        </w:rPr>
        <w:t xml:space="preserve"> to reduce custodial torture and address the issue of warrantless arrest and </w:t>
      </w:r>
      <w:r w:rsidRPr="005E651D">
        <w:rPr>
          <w:rFonts w:cstheme="minorHAnsi"/>
          <w:szCs w:val="22"/>
        </w:rPr>
        <w:t xml:space="preserve">the </w:t>
      </w:r>
      <w:r w:rsidR="00ED16A5" w:rsidRPr="005E651D">
        <w:rPr>
          <w:rFonts w:cstheme="minorHAnsi"/>
          <w:szCs w:val="22"/>
        </w:rPr>
        <w:t>abuse of remand.</w:t>
      </w:r>
      <w:r w:rsidR="0094369D" w:rsidRPr="005E651D">
        <w:rPr>
          <w:rStyle w:val="FootnoteReference"/>
          <w:rFonts w:cstheme="minorHAnsi"/>
          <w:szCs w:val="22"/>
        </w:rPr>
        <w:footnoteReference w:id="68"/>
      </w:r>
      <w:r w:rsidR="00ED16A5" w:rsidRPr="005E651D">
        <w:rPr>
          <w:rFonts w:cstheme="minorHAnsi"/>
          <w:szCs w:val="22"/>
        </w:rPr>
        <w:t xml:space="preserve"> </w:t>
      </w:r>
      <w:r w:rsidR="00696A8E" w:rsidRPr="005E651D">
        <w:rPr>
          <w:rFonts w:cstheme="minorHAnsi"/>
          <w:szCs w:val="22"/>
        </w:rPr>
        <w:t xml:space="preserve">Although these guidelines are </w:t>
      </w:r>
      <w:r w:rsidR="00130A9D" w:rsidRPr="005E651D">
        <w:rPr>
          <w:rFonts w:cstheme="minorHAnsi"/>
          <w:szCs w:val="22"/>
        </w:rPr>
        <w:t>technically</w:t>
      </w:r>
      <w:r w:rsidR="00696A8E" w:rsidRPr="005E651D">
        <w:rPr>
          <w:rFonts w:cstheme="minorHAnsi"/>
          <w:szCs w:val="22"/>
        </w:rPr>
        <w:t xml:space="preserve"> binding on all courts</w:t>
      </w:r>
      <w:r w:rsidR="00330830" w:rsidRPr="005E651D">
        <w:rPr>
          <w:rFonts w:cstheme="minorHAnsi"/>
          <w:szCs w:val="22"/>
        </w:rPr>
        <w:t xml:space="preserve"> and authorities in Bangladesh</w:t>
      </w:r>
      <w:r w:rsidR="000458F7">
        <w:rPr>
          <w:rFonts w:cstheme="minorHAnsi"/>
          <w:szCs w:val="22"/>
        </w:rPr>
        <w:t xml:space="preserve">, they are not followed or </w:t>
      </w:r>
      <w:r w:rsidR="00E629CA" w:rsidRPr="005E651D">
        <w:rPr>
          <w:rFonts w:cstheme="minorHAnsi"/>
          <w:szCs w:val="22"/>
        </w:rPr>
        <w:t>enforced</w:t>
      </w:r>
      <w:r w:rsidR="00330830" w:rsidRPr="005E651D">
        <w:rPr>
          <w:rFonts w:cstheme="minorHAnsi"/>
          <w:szCs w:val="22"/>
        </w:rPr>
        <w:t xml:space="preserve">. </w:t>
      </w:r>
      <w:r w:rsidR="00BD1E8E" w:rsidRPr="005E651D">
        <w:rPr>
          <w:rFonts w:cstheme="minorHAnsi"/>
          <w:szCs w:val="22"/>
        </w:rPr>
        <w:t xml:space="preserve">Below are </w:t>
      </w:r>
      <w:r w:rsidR="003E1F8C" w:rsidRPr="005E651D">
        <w:rPr>
          <w:rFonts w:cstheme="minorHAnsi"/>
          <w:szCs w:val="22"/>
        </w:rPr>
        <w:t xml:space="preserve">just </w:t>
      </w:r>
      <w:r w:rsidR="00BD1E8E" w:rsidRPr="005E651D">
        <w:rPr>
          <w:rFonts w:cstheme="minorHAnsi"/>
          <w:szCs w:val="22"/>
        </w:rPr>
        <w:t>two examples of the continued r</w:t>
      </w:r>
      <w:r w:rsidR="004560C0" w:rsidRPr="005E651D">
        <w:rPr>
          <w:rFonts w:cstheme="minorHAnsi"/>
          <w:szCs w:val="22"/>
        </w:rPr>
        <w:t>ampant abuse of remand by the Government</w:t>
      </w:r>
      <w:r w:rsidR="00BD1E8E" w:rsidRPr="005E651D">
        <w:rPr>
          <w:rFonts w:cstheme="minorHAnsi"/>
          <w:szCs w:val="22"/>
        </w:rPr>
        <w:t>:</w:t>
      </w:r>
    </w:p>
    <w:p w14:paraId="629B0F31" w14:textId="77777777" w:rsidR="00AF5D52" w:rsidRPr="005E651D" w:rsidRDefault="00AF5D52" w:rsidP="00287964">
      <w:pPr>
        <w:rPr>
          <w:rFonts w:cstheme="minorHAnsi"/>
          <w:szCs w:val="22"/>
        </w:rPr>
      </w:pPr>
    </w:p>
    <w:p w14:paraId="61A7858D" w14:textId="09E66FDE" w:rsidR="004560C0" w:rsidRPr="005E651D" w:rsidRDefault="00EE02C3" w:rsidP="00EE02C3">
      <w:pPr>
        <w:pStyle w:val="ListParagraph"/>
        <w:numPr>
          <w:ilvl w:val="0"/>
          <w:numId w:val="45"/>
        </w:numPr>
        <w:ind w:right="720"/>
        <w:rPr>
          <w:rFonts w:cstheme="minorHAnsi"/>
          <w:szCs w:val="22"/>
        </w:rPr>
      </w:pPr>
      <w:r w:rsidRPr="005E651D">
        <w:rPr>
          <w:rFonts w:cstheme="minorHAnsi"/>
          <w:szCs w:val="22"/>
        </w:rPr>
        <w:t>On August 5, 2018, Shahidul Alam, a renowned photojournalist, was detained within hours of making allegedly “provocative comments” on social media and in an Al Jazeera interview, in which he had discussed attacks on student protesters and the widespread “extrajudicial killings, disappearings, bribery and corruption” committed by state actors.</w:t>
      </w:r>
      <w:r w:rsidRPr="005E651D">
        <w:rPr>
          <w:rStyle w:val="FootnoteReference"/>
          <w:rFonts w:cstheme="minorHAnsi"/>
          <w:szCs w:val="22"/>
        </w:rPr>
        <w:footnoteReference w:id="69"/>
      </w:r>
      <w:r w:rsidR="00EC0315" w:rsidRPr="005E651D">
        <w:rPr>
          <w:rFonts w:cstheme="minorHAnsi"/>
          <w:szCs w:val="22"/>
        </w:rPr>
        <w:t xml:space="preserve"> </w:t>
      </w:r>
      <w:r w:rsidR="008F19B1" w:rsidRPr="005E651D">
        <w:rPr>
          <w:rFonts w:cstheme="minorHAnsi"/>
          <w:szCs w:val="22"/>
        </w:rPr>
        <w:t xml:space="preserve">When brought to court, Shahidul Alam was </w:t>
      </w:r>
      <w:r w:rsidR="00DA3F93" w:rsidRPr="005E651D">
        <w:rPr>
          <w:rFonts w:cstheme="minorHAnsi"/>
          <w:szCs w:val="22"/>
        </w:rPr>
        <w:t>unable</w:t>
      </w:r>
      <w:r w:rsidR="008F19B1" w:rsidRPr="005E651D">
        <w:rPr>
          <w:rFonts w:cstheme="minorHAnsi"/>
          <w:szCs w:val="22"/>
        </w:rPr>
        <w:t xml:space="preserve"> to walk without </w:t>
      </w:r>
      <w:r w:rsidR="00F742C2" w:rsidRPr="005E651D">
        <w:rPr>
          <w:rFonts w:cstheme="minorHAnsi"/>
          <w:szCs w:val="22"/>
        </w:rPr>
        <w:t>assistance</w:t>
      </w:r>
      <w:r w:rsidR="008F19B1" w:rsidRPr="005E651D">
        <w:rPr>
          <w:rFonts w:cstheme="minorHAnsi"/>
          <w:szCs w:val="22"/>
        </w:rPr>
        <w:t xml:space="preserve">. He reported that he was tortured while in remand, where he </w:t>
      </w:r>
      <w:r w:rsidR="00BB0924" w:rsidRPr="005E651D">
        <w:rPr>
          <w:rFonts w:cstheme="minorHAnsi"/>
          <w:szCs w:val="22"/>
        </w:rPr>
        <w:t>had remained</w:t>
      </w:r>
      <w:r w:rsidR="008F19B1" w:rsidRPr="005E651D">
        <w:rPr>
          <w:rFonts w:cstheme="minorHAnsi"/>
          <w:szCs w:val="22"/>
        </w:rPr>
        <w:t xml:space="preserve"> </w:t>
      </w:r>
      <w:r w:rsidR="008F19B1" w:rsidRPr="005E651D">
        <w:rPr>
          <w:rFonts w:cstheme="minorHAnsi"/>
          <w:szCs w:val="22"/>
        </w:rPr>
        <w:lastRenderedPageBreak/>
        <w:t>for seven days.</w:t>
      </w:r>
      <w:r w:rsidR="00DA3F93" w:rsidRPr="005E651D">
        <w:rPr>
          <w:rStyle w:val="FootnoteReference"/>
          <w:rFonts w:cstheme="minorHAnsi"/>
          <w:szCs w:val="22"/>
        </w:rPr>
        <w:footnoteReference w:id="70"/>
      </w:r>
      <w:r w:rsidR="00214468" w:rsidRPr="005E651D">
        <w:rPr>
          <w:rFonts w:cstheme="minorHAnsi"/>
          <w:szCs w:val="22"/>
        </w:rPr>
        <w:t xml:space="preserve"> </w:t>
      </w:r>
      <w:r w:rsidR="00EB328A" w:rsidRPr="005E651D">
        <w:rPr>
          <w:rFonts w:cstheme="minorHAnsi"/>
          <w:szCs w:val="22"/>
        </w:rPr>
        <w:t xml:space="preserve">After multiple bail hearing postponements, Alam was granted bail on November 20, 2018, which the government appealed. Trial proceedings, which recommenced in December, </w:t>
      </w:r>
      <w:r w:rsidR="00C974F0" w:rsidRPr="005E651D">
        <w:rPr>
          <w:rFonts w:cstheme="minorHAnsi"/>
          <w:szCs w:val="22"/>
        </w:rPr>
        <w:t>have been</w:t>
      </w:r>
      <w:r w:rsidR="00EB328A" w:rsidRPr="005E651D">
        <w:rPr>
          <w:rFonts w:cstheme="minorHAnsi"/>
          <w:szCs w:val="22"/>
        </w:rPr>
        <w:t xml:space="preserve"> postponed to 2019.</w:t>
      </w:r>
      <w:r w:rsidR="00EB328A" w:rsidRPr="005E651D">
        <w:rPr>
          <w:rStyle w:val="FootnoteReference"/>
          <w:rFonts w:cstheme="minorHAnsi"/>
          <w:szCs w:val="22"/>
        </w:rPr>
        <w:footnoteReference w:id="71"/>
      </w:r>
      <w:r w:rsidR="00EB328A" w:rsidRPr="005E651D">
        <w:rPr>
          <w:rFonts w:cstheme="minorHAnsi"/>
          <w:szCs w:val="22"/>
        </w:rPr>
        <w:t xml:space="preserve"> Alam’s trial is ongoing, and he faces a possible prison sentence of 14 years.</w:t>
      </w:r>
      <w:r w:rsidR="00EB328A" w:rsidRPr="005E651D">
        <w:rPr>
          <w:rStyle w:val="FootnoteReference"/>
          <w:rFonts w:cstheme="minorHAnsi"/>
          <w:szCs w:val="22"/>
        </w:rPr>
        <w:footnoteReference w:id="72"/>
      </w:r>
      <w:r w:rsidR="00EB328A" w:rsidRPr="005E651D">
        <w:rPr>
          <w:rFonts w:cstheme="minorHAnsi"/>
          <w:szCs w:val="22"/>
        </w:rPr>
        <w:t xml:space="preserve"> </w:t>
      </w:r>
      <w:r w:rsidR="000611A7" w:rsidRPr="005E651D">
        <w:rPr>
          <w:rFonts w:cstheme="minorHAnsi"/>
          <w:szCs w:val="22"/>
        </w:rPr>
        <w:t>The UN</w:t>
      </w:r>
      <w:r w:rsidR="00EB328A" w:rsidRPr="005E651D">
        <w:rPr>
          <w:rFonts w:cstheme="minorHAnsi"/>
          <w:szCs w:val="22"/>
        </w:rPr>
        <w:t xml:space="preserve"> in particular has urged Bangladesh to investigate Alam’s allegations of torture.</w:t>
      </w:r>
      <w:r w:rsidR="00EB328A" w:rsidRPr="005E651D">
        <w:rPr>
          <w:rStyle w:val="FootnoteReference"/>
          <w:rFonts w:cstheme="minorHAnsi"/>
          <w:szCs w:val="22"/>
        </w:rPr>
        <w:footnoteReference w:id="73"/>
      </w:r>
    </w:p>
    <w:p w14:paraId="7E0D7676" w14:textId="77777777" w:rsidR="00A27708" w:rsidRPr="005E651D" w:rsidRDefault="00A27708" w:rsidP="00A27708">
      <w:pPr>
        <w:pStyle w:val="ListParagraph"/>
        <w:ind w:left="1440" w:right="720"/>
        <w:rPr>
          <w:rFonts w:cstheme="minorHAnsi"/>
          <w:szCs w:val="22"/>
        </w:rPr>
      </w:pPr>
    </w:p>
    <w:p w14:paraId="54D70A94" w14:textId="5936E754" w:rsidR="00C0225E" w:rsidRPr="005E651D" w:rsidRDefault="00C53A6D" w:rsidP="00AC78E2">
      <w:pPr>
        <w:pStyle w:val="ListParagraph"/>
        <w:numPr>
          <w:ilvl w:val="0"/>
          <w:numId w:val="45"/>
        </w:numPr>
        <w:ind w:right="720"/>
        <w:rPr>
          <w:rFonts w:cstheme="minorHAnsi"/>
          <w:szCs w:val="22"/>
        </w:rPr>
      </w:pPr>
      <w:r w:rsidRPr="005E651D">
        <w:rPr>
          <w:rFonts w:cstheme="minorHAnsi"/>
          <w:szCs w:val="22"/>
        </w:rPr>
        <w:t xml:space="preserve">On June 30, 2018, students associated with the parliamentary quota reform movement tried to organize a press conference at Dhaka University. However, they were attacked by activists of </w:t>
      </w:r>
      <w:r w:rsidR="002C0338" w:rsidRPr="005E651D">
        <w:rPr>
          <w:rFonts w:cstheme="minorHAnsi"/>
          <w:szCs w:val="22"/>
        </w:rPr>
        <w:t>the Bangladesh Chhatra League</w:t>
      </w:r>
      <w:r w:rsidRPr="005E651D">
        <w:rPr>
          <w:rFonts w:cstheme="minorHAnsi"/>
          <w:szCs w:val="22"/>
        </w:rPr>
        <w:t xml:space="preserve">, the student wing of the ruling Awami League. Police then arrested thirteen students, who were allegedly tortured by police </w:t>
      </w:r>
      <w:r w:rsidR="00F11585" w:rsidRPr="005E651D">
        <w:rPr>
          <w:rFonts w:cstheme="minorHAnsi"/>
          <w:szCs w:val="22"/>
        </w:rPr>
        <w:t xml:space="preserve">while </w:t>
      </w:r>
      <w:r w:rsidRPr="005E651D">
        <w:rPr>
          <w:rFonts w:cstheme="minorHAnsi"/>
          <w:szCs w:val="22"/>
        </w:rPr>
        <w:t>in remand.</w:t>
      </w:r>
      <w:r w:rsidR="0000513C" w:rsidRPr="005E651D">
        <w:rPr>
          <w:rStyle w:val="FootnoteReference"/>
          <w:rFonts w:cstheme="minorHAnsi"/>
          <w:szCs w:val="22"/>
        </w:rPr>
        <w:footnoteReference w:id="74"/>
      </w:r>
      <w:r w:rsidR="002B6CB3" w:rsidRPr="005E651D">
        <w:rPr>
          <w:rFonts w:cstheme="minorHAnsi"/>
          <w:szCs w:val="22"/>
        </w:rPr>
        <w:t xml:space="preserve"> </w:t>
      </w:r>
    </w:p>
    <w:p w14:paraId="5BB69CDB" w14:textId="77777777" w:rsidR="00DA318B" w:rsidRPr="005E651D" w:rsidRDefault="00DA318B" w:rsidP="009B35F9">
      <w:pPr>
        <w:pStyle w:val="ListParagraph"/>
        <w:ind w:left="1080" w:right="720"/>
        <w:rPr>
          <w:rFonts w:cstheme="minorHAnsi"/>
          <w:szCs w:val="22"/>
        </w:rPr>
      </w:pPr>
    </w:p>
    <w:p w14:paraId="58BDAA0E" w14:textId="77116D29" w:rsidR="00F213F7" w:rsidRPr="005E651D" w:rsidRDefault="004F7972" w:rsidP="009B35F9">
      <w:pPr>
        <w:pStyle w:val="BodyTextFirstHalfIndent"/>
        <w:rPr>
          <w:rFonts w:cstheme="minorHAnsi"/>
          <w:szCs w:val="22"/>
        </w:rPr>
      </w:pPr>
      <w:r w:rsidRPr="005E651D">
        <w:rPr>
          <w:rFonts w:cstheme="minorHAnsi"/>
        </w:rPr>
        <w:t xml:space="preserve">The structural issues identified above have </w:t>
      </w:r>
      <w:r w:rsidR="00B700EF" w:rsidRPr="005E651D">
        <w:rPr>
          <w:rFonts w:cstheme="minorHAnsi"/>
        </w:rPr>
        <w:t>f</w:t>
      </w:r>
      <w:r w:rsidR="003E56FA" w:rsidRPr="005E651D">
        <w:rPr>
          <w:rFonts w:cstheme="minorHAnsi"/>
        </w:rPr>
        <w:t xml:space="preserve">ostered an environment </w:t>
      </w:r>
      <w:r w:rsidR="00C23E0A" w:rsidRPr="005E651D">
        <w:rPr>
          <w:rFonts w:cstheme="minorHAnsi"/>
        </w:rPr>
        <w:t>in</w:t>
      </w:r>
      <w:r w:rsidR="00464EEA" w:rsidRPr="005E651D">
        <w:rPr>
          <w:rFonts w:cstheme="minorHAnsi"/>
        </w:rPr>
        <w:t xml:space="preserve"> which acts of torture</w:t>
      </w:r>
      <w:r w:rsidR="00DA45B7" w:rsidRPr="005E651D">
        <w:rPr>
          <w:rFonts w:cstheme="minorHAnsi"/>
        </w:rPr>
        <w:t xml:space="preserve"> and other forms of ill-treatment</w:t>
      </w:r>
      <w:r w:rsidR="00464EEA" w:rsidRPr="005E651D">
        <w:rPr>
          <w:rFonts w:cstheme="minorHAnsi"/>
        </w:rPr>
        <w:t xml:space="preserve"> can </w:t>
      </w:r>
      <w:r w:rsidR="003E0663" w:rsidRPr="005E651D">
        <w:rPr>
          <w:rFonts w:cstheme="minorHAnsi"/>
        </w:rPr>
        <w:t>and have been</w:t>
      </w:r>
      <w:r w:rsidR="009E0AF7" w:rsidRPr="005E651D">
        <w:rPr>
          <w:rFonts w:cstheme="minorHAnsi"/>
        </w:rPr>
        <w:t xml:space="preserve"> </w:t>
      </w:r>
      <w:r w:rsidR="00B700EF" w:rsidRPr="005E651D">
        <w:rPr>
          <w:rFonts w:cstheme="minorHAnsi"/>
        </w:rPr>
        <w:t>committed with imp</w:t>
      </w:r>
      <w:r w:rsidR="003E56FA" w:rsidRPr="005E651D">
        <w:rPr>
          <w:rFonts w:cstheme="minorHAnsi"/>
        </w:rPr>
        <w:t>unity</w:t>
      </w:r>
      <w:r w:rsidR="00464EEA" w:rsidRPr="005E651D">
        <w:rPr>
          <w:rFonts w:cstheme="minorHAnsi"/>
        </w:rPr>
        <w:t xml:space="preserve"> </w:t>
      </w:r>
      <w:r w:rsidR="003E56FA" w:rsidRPr="005E651D">
        <w:rPr>
          <w:rFonts w:cstheme="minorHAnsi"/>
        </w:rPr>
        <w:t>and on a widespread scale</w:t>
      </w:r>
      <w:r w:rsidR="00D00B0B" w:rsidRPr="005E651D">
        <w:rPr>
          <w:rFonts w:cstheme="minorHAnsi"/>
        </w:rPr>
        <w:t xml:space="preserve"> in Bangladesh</w:t>
      </w:r>
      <w:r w:rsidR="003E56FA" w:rsidRPr="005E651D">
        <w:rPr>
          <w:rFonts w:cstheme="minorHAnsi"/>
        </w:rPr>
        <w:t>.</w:t>
      </w:r>
      <w:r w:rsidR="00D00B0B" w:rsidRPr="005E651D">
        <w:rPr>
          <w:rFonts w:cstheme="minorHAnsi"/>
        </w:rPr>
        <w:t xml:space="preserve"> </w:t>
      </w:r>
      <w:r w:rsidR="00BB17DC" w:rsidRPr="005E651D">
        <w:rPr>
          <w:rFonts w:cstheme="minorHAnsi"/>
        </w:rPr>
        <w:t xml:space="preserve">The following section illustrates the pervasiveness of these acts, </w:t>
      </w:r>
      <w:r w:rsidR="005A1883" w:rsidRPr="005E651D">
        <w:rPr>
          <w:rFonts w:cstheme="minorHAnsi"/>
        </w:rPr>
        <w:t xml:space="preserve">which the Committee has previously found </w:t>
      </w:r>
      <w:r w:rsidR="00DC265E" w:rsidRPr="005E651D">
        <w:rPr>
          <w:rFonts w:cstheme="minorHAnsi"/>
        </w:rPr>
        <w:t xml:space="preserve">in State party reviews </w:t>
      </w:r>
      <w:r w:rsidR="005A1883" w:rsidRPr="005E651D">
        <w:rPr>
          <w:rFonts w:cstheme="minorHAnsi"/>
        </w:rPr>
        <w:t>to raise significa</w:t>
      </w:r>
      <w:r w:rsidR="000F1555" w:rsidRPr="005E651D">
        <w:rPr>
          <w:rFonts w:cstheme="minorHAnsi"/>
        </w:rPr>
        <w:t>nt concerns under, and indeed violate,</w:t>
      </w:r>
      <w:r w:rsidR="005A1883" w:rsidRPr="005E651D">
        <w:rPr>
          <w:rFonts w:cstheme="minorHAnsi"/>
        </w:rPr>
        <w:t xml:space="preserve"> the Convention.</w:t>
      </w:r>
    </w:p>
    <w:p w14:paraId="3041A1EB" w14:textId="01CBD9BC" w:rsidR="007530B9" w:rsidRPr="005E651D" w:rsidRDefault="007530B9" w:rsidP="007530B9">
      <w:pPr>
        <w:pStyle w:val="Heading1"/>
        <w:rPr>
          <w:rFonts w:asciiTheme="minorHAnsi" w:hAnsiTheme="minorHAnsi" w:cstheme="minorHAnsi"/>
        </w:rPr>
      </w:pPr>
      <w:bookmarkStart w:id="47" w:name="_Ref10728583"/>
      <w:bookmarkStart w:id="48" w:name="_Toc11053841"/>
      <w:bookmarkStart w:id="49" w:name="_Toc11879534"/>
      <w:bookmarkStart w:id="50" w:name="_Toc11883195"/>
      <w:bookmarkStart w:id="51" w:name="_Toc11922673"/>
      <w:bookmarkStart w:id="52" w:name="_Toc11945114"/>
      <w:r w:rsidRPr="005E651D">
        <w:rPr>
          <w:rFonts w:asciiTheme="minorHAnsi" w:hAnsiTheme="minorHAnsi" w:cstheme="minorHAnsi"/>
        </w:rPr>
        <w:t xml:space="preserve">Acts </w:t>
      </w:r>
      <w:r w:rsidR="002675FE" w:rsidRPr="005E651D">
        <w:rPr>
          <w:rFonts w:asciiTheme="minorHAnsi" w:hAnsiTheme="minorHAnsi" w:cstheme="minorHAnsi"/>
        </w:rPr>
        <w:t>that Violate</w:t>
      </w:r>
      <w:r w:rsidRPr="005E651D">
        <w:rPr>
          <w:rFonts w:asciiTheme="minorHAnsi" w:hAnsiTheme="minorHAnsi" w:cstheme="minorHAnsi"/>
        </w:rPr>
        <w:t xml:space="preserve"> the Convention against Torture</w:t>
      </w:r>
      <w:bookmarkEnd w:id="47"/>
      <w:bookmarkEnd w:id="48"/>
      <w:bookmarkEnd w:id="49"/>
      <w:bookmarkEnd w:id="50"/>
      <w:bookmarkEnd w:id="51"/>
      <w:bookmarkEnd w:id="52"/>
    </w:p>
    <w:p w14:paraId="55E6D10A" w14:textId="0E683344" w:rsidR="00BB3006" w:rsidRPr="005E651D" w:rsidRDefault="00BB3006" w:rsidP="00FE168F">
      <w:pPr>
        <w:pStyle w:val="BodyText"/>
        <w:rPr>
          <w:rFonts w:cstheme="minorHAnsi"/>
          <w:szCs w:val="22"/>
        </w:rPr>
      </w:pPr>
      <w:r w:rsidRPr="005E651D">
        <w:rPr>
          <w:rFonts w:cstheme="minorHAnsi"/>
        </w:rPr>
        <w:tab/>
      </w:r>
      <w:r w:rsidR="009D5BA8" w:rsidRPr="005E651D">
        <w:rPr>
          <w:rFonts w:cstheme="minorHAnsi"/>
          <w:szCs w:val="22"/>
        </w:rPr>
        <w:t xml:space="preserve">Although </w:t>
      </w:r>
      <w:r w:rsidR="00790A02" w:rsidRPr="005E651D">
        <w:rPr>
          <w:rFonts w:cstheme="minorHAnsi"/>
          <w:szCs w:val="22"/>
        </w:rPr>
        <w:t xml:space="preserve">the </w:t>
      </w:r>
      <w:r w:rsidR="009D5BA8" w:rsidRPr="005E651D">
        <w:rPr>
          <w:rFonts w:cstheme="minorHAnsi"/>
          <w:szCs w:val="22"/>
        </w:rPr>
        <w:t>CAT</w:t>
      </w:r>
      <w:r w:rsidRPr="005E651D">
        <w:rPr>
          <w:rFonts w:cstheme="minorHAnsi"/>
          <w:szCs w:val="22"/>
        </w:rPr>
        <w:t xml:space="preserve"> has not previously r</w:t>
      </w:r>
      <w:r w:rsidR="004D7DD9" w:rsidRPr="005E651D">
        <w:rPr>
          <w:rFonts w:cstheme="minorHAnsi"/>
          <w:szCs w:val="22"/>
        </w:rPr>
        <w:t>eviewed Bangladesh through the S</w:t>
      </w:r>
      <w:r w:rsidRPr="005E651D">
        <w:rPr>
          <w:rFonts w:cstheme="minorHAnsi"/>
          <w:szCs w:val="22"/>
        </w:rPr>
        <w:t>tate review mech</w:t>
      </w:r>
      <w:r w:rsidR="0073703C" w:rsidRPr="005E651D">
        <w:rPr>
          <w:rFonts w:cstheme="minorHAnsi"/>
          <w:szCs w:val="22"/>
        </w:rPr>
        <w:t>anism, there is an abundant UN</w:t>
      </w:r>
      <w:r w:rsidRPr="005E651D">
        <w:rPr>
          <w:rFonts w:cstheme="minorHAnsi"/>
          <w:szCs w:val="22"/>
        </w:rPr>
        <w:t xml:space="preserve"> record documenting the Government’s human rights transgressions, particularly with respect to torture and other cruel, inhuman, or degrading treatment or punishment</w:t>
      </w:r>
      <w:r w:rsidR="0073703C" w:rsidRPr="005E651D">
        <w:rPr>
          <w:rFonts w:cstheme="minorHAnsi"/>
          <w:szCs w:val="22"/>
        </w:rPr>
        <w:t>. The UN</w:t>
      </w:r>
      <w:r w:rsidRPr="005E651D">
        <w:rPr>
          <w:rFonts w:cstheme="minorHAnsi"/>
          <w:szCs w:val="22"/>
        </w:rPr>
        <w:t xml:space="preserve">’s findings both underscore the inadequacies of </w:t>
      </w:r>
      <w:r w:rsidR="00E63091" w:rsidRPr="005E651D">
        <w:rPr>
          <w:rFonts w:cstheme="minorHAnsi"/>
          <w:szCs w:val="22"/>
        </w:rPr>
        <w:t xml:space="preserve">Bangladesh’s </w:t>
      </w:r>
      <w:r w:rsidRPr="005E651D">
        <w:rPr>
          <w:rFonts w:cstheme="minorHAnsi"/>
          <w:szCs w:val="22"/>
        </w:rPr>
        <w:t>existing laws and h</w:t>
      </w:r>
      <w:r w:rsidR="0087517C" w:rsidRPr="005E651D">
        <w:rPr>
          <w:rFonts w:cstheme="minorHAnsi"/>
          <w:szCs w:val="22"/>
        </w:rPr>
        <w:t>ighlight the ways in which the G</w:t>
      </w:r>
      <w:r w:rsidRPr="005E651D">
        <w:rPr>
          <w:rFonts w:cstheme="minorHAnsi"/>
          <w:szCs w:val="22"/>
        </w:rPr>
        <w:t>overnment uses the law itself to defy</w:t>
      </w:r>
      <w:r w:rsidR="004D7DD9" w:rsidRPr="005E651D">
        <w:rPr>
          <w:rFonts w:cstheme="minorHAnsi"/>
          <w:szCs w:val="22"/>
        </w:rPr>
        <w:t xml:space="preserve"> the S</w:t>
      </w:r>
      <w:r w:rsidRPr="005E651D">
        <w:rPr>
          <w:rFonts w:cstheme="minorHAnsi"/>
          <w:szCs w:val="22"/>
        </w:rPr>
        <w:t xml:space="preserve">tate’s international obligations, including </w:t>
      </w:r>
      <w:r w:rsidR="00B66C10" w:rsidRPr="005E651D">
        <w:rPr>
          <w:rFonts w:cstheme="minorHAnsi"/>
          <w:szCs w:val="22"/>
        </w:rPr>
        <w:t>with respect to the Convention</w:t>
      </w:r>
      <w:r w:rsidRPr="005E651D">
        <w:rPr>
          <w:rFonts w:cstheme="minorHAnsi"/>
          <w:szCs w:val="22"/>
        </w:rPr>
        <w:t>.</w:t>
      </w:r>
      <w:r w:rsidR="00723F4C" w:rsidRPr="005E651D">
        <w:rPr>
          <w:rFonts w:cstheme="minorHAnsi"/>
          <w:szCs w:val="22"/>
        </w:rPr>
        <w:t xml:space="preserve"> </w:t>
      </w:r>
      <w:r w:rsidR="00B66C10" w:rsidRPr="005E651D">
        <w:rPr>
          <w:rFonts w:cstheme="minorHAnsi"/>
          <w:szCs w:val="22"/>
        </w:rPr>
        <w:t>This section</w:t>
      </w:r>
      <w:r w:rsidR="002E174A" w:rsidRPr="005E651D">
        <w:rPr>
          <w:rFonts w:cstheme="minorHAnsi"/>
          <w:szCs w:val="22"/>
        </w:rPr>
        <w:t xml:space="preserve"> presents several </w:t>
      </w:r>
      <w:r w:rsidR="00723F4C" w:rsidRPr="005E651D">
        <w:rPr>
          <w:rFonts w:cstheme="minorHAnsi"/>
          <w:szCs w:val="22"/>
        </w:rPr>
        <w:t xml:space="preserve">categories of torture and other treatment </w:t>
      </w:r>
      <w:r w:rsidR="00BB123B" w:rsidRPr="005E651D">
        <w:rPr>
          <w:rFonts w:cstheme="minorHAnsi"/>
          <w:szCs w:val="22"/>
        </w:rPr>
        <w:t xml:space="preserve">that are pervasive in Bangladesh and that have been deemed to be in violation </w:t>
      </w:r>
      <w:r w:rsidR="00EC6BEC" w:rsidRPr="005E651D">
        <w:rPr>
          <w:rFonts w:cstheme="minorHAnsi"/>
          <w:szCs w:val="22"/>
        </w:rPr>
        <w:t xml:space="preserve">of the Convention </w:t>
      </w:r>
      <w:r w:rsidR="004D7DD9" w:rsidRPr="005E651D">
        <w:rPr>
          <w:rFonts w:cstheme="minorHAnsi"/>
          <w:szCs w:val="22"/>
        </w:rPr>
        <w:t>in previous S</w:t>
      </w:r>
      <w:r w:rsidR="0019546F" w:rsidRPr="005E651D">
        <w:rPr>
          <w:rFonts w:cstheme="minorHAnsi"/>
          <w:szCs w:val="22"/>
        </w:rPr>
        <w:t>tate party reviews, including</w:t>
      </w:r>
      <w:r w:rsidR="004D7DD9" w:rsidRPr="005E651D">
        <w:rPr>
          <w:rFonts w:cstheme="minorHAnsi"/>
          <w:szCs w:val="22"/>
        </w:rPr>
        <w:t xml:space="preserve"> excessive use of force by S</w:t>
      </w:r>
      <w:r w:rsidR="0019546F" w:rsidRPr="005E651D">
        <w:rPr>
          <w:rFonts w:cstheme="minorHAnsi"/>
          <w:szCs w:val="22"/>
        </w:rPr>
        <w:t>tate officials, extrajudicial killings, enforced disappearances, sexual violence and rape, and inadequate prison conditions.</w:t>
      </w:r>
    </w:p>
    <w:p w14:paraId="13110F54" w14:textId="2727C4EA" w:rsidR="007530B9" w:rsidRPr="005E651D" w:rsidRDefault="007530B9" w:rsidP="007530B9">
      <w:pPr>
        <w:pStyle w:val="Heading2"/>
        <w:rPr>
          <w:rFonts w:asciiTheme="minorHAnsi" w:hAnsiTheme="minorHAnsi" w:cstheme="minorHAnsi"/>
        </w:rPr>
      </w:pPr>
      <w:bookmarkStart w:id="53" w:name="_Ref10728571"/>
      <w:bookmarkStart w:id="54" w:name="_Toc11053842"/>
      <w:bookmarkStart w:id="55" w:name="_Toc11879535"/>
      <w:bookmarkStart w:id="56" w:name="_Toc11883196"/>
      <w:bookmarkStart w:id="57" w:name="_Toc11922674"/>
      <w:bookmarkStart w:id="58" w:name="_Toc11945115"/>
      <w:r w:rsidRPr="005E651D">
        <w:rPr>
          <w:rFonts w:asciiTheme="minorHAnsi" w:hAnsiTheme="minorHAnsi" w:cstheme="minorHAnsi"/>
        </w:rPr>
        <w:lastRenderedPageBreak/>
        <w:t>Excessive Use of Force</w:t>
      </w:r>
      <w:bookmarkEnd w:id="53"/>
      <w:bookmarkEnd w:id="54"/>
      <w:bookmarkEnd w:id="55"/>
      <w:bookmarkEnd w:id="56"/>
      <w:bookmarkEnd w:id="57"/>
      <w:bookmarkEnd w:id="58"/>
    </w:p>
    <w:p w14:paraId="5B816CD1" w14:textId="653755F2" w:rsidR="009128F7" w:rsidRPr="005E651D" w:rsidRDefault="009D5BA8" w:rsidP="009128F7">
      <w:pPr>
        <w:pStyle w:val="BodyText"/>
        <w:rPr>
          <w:rFonts w:cstheme="minorHAnsi"/>
          <w:szCs w:val="22"/>
          <w:highlight w:val="yellow"/>
        </w:rPr>
      </w:pPr>
      <w:r w:rsidRPr="005E651D">
        <w:rPr>
          <w:rFonts w:cstheme="minorHAnsi"/>
          <w:szCs w:val="22"/>
        </w:rPr>
        <w:tab/>
      </w:r>
      <w:r w:rsidR="009128F7" w:rsidRPr="005E651D">
        <w:rPr>
          <w:rFonts w:cstheme="minorHAnsi"/>
          <w:szCs w:val="22"/>
        </w:rPr>
        <w:t>LEAs routinely employ excessive force against the citizens of Bangladesh</w:t>
      </w:r>
      <w:r w:rsidR="00AC03FD" w:rsidRPr="005E651D">
        <w:rPr>
          <w:rFonts w:cstheme="minorHAnsi"/>
          <w:szCs w:val="22"/>
        </w:rPr>
        <w:t>, often with impunity, in violation of Bangladesh’s obligations under the Convention.</w:t>
      </w:r>
      <w:r w:rsidRPr="005E651D">
        <w:rPr>
          <w:rFonts w:cstheme="minorHAnsi"/>
          <w:szCs w:val="22"/>
        </w:rPr>
        <w:t xml:space="preserve"> </w:t>
      </w:r>
      <w:r w:rsidR="009128F7" w:rsidRPr="005E651D">
        <w:rPr>
          <w:rFonts w:cstheme="minorHAnsi"/>
          <w:szCs w:val="22"/>
        </w:rPr>
        <w:t xml:space="preserve">The </w:t>
      </w:r>
      <w:r w:rsidRPr="005E651D">
        <w:rPr>
          <w:rFonts w:cstheme="minorHAnsi"/>
          <w:szCs w:val="22"/>
        </w:rPr>
        <w:t>CAT</w:t>
      </w:r>
      <w:r w:rsidR="009128F7" w:rsidRPr="005E651D">
        <w:rPr>
          <w:rFonts w:cstheme="minorHAnsi"/>
          <w:szCs w:val="22"/>
        </w:rPr>
        <w:t xml:space="preserve"> and the Special Rapporteur on torture and other cruel, inhuman or degrading treatment or punishment have affirmed that excessive use of force by </w:t>
      </w:r>
      <w:r w:rsidR="00272586" w:rsidRPr="005E651D">
        <w:rPr>
          <w:rFonts w:cstheme="minorHAnsi"/>
          <w:szCs w:val="22"/>
        </w:rPr>
        <w:t>LEAs</w:t>
      </w:r>
      <w:r w:rsidR="009128F7" w:rsidRPr="005E651D">
        <w:rPr>
          <w:rFonts w:cstheme="minorHAnsi"/>
          <w:szCs w:val="22"/>
        </w:rPr>
        <w:t xml:space="preserve">, including in </w:t>
      </w:r>
      <w:r w:rsidR="007A0189" w:rsidRPr="005E651D">
        <w:rPr>
          <w:rFonts w:cstheme="minorHAnsi"/>
          <w:szCs w:val="22"/>
        </w:rPr>
        <w:t xml:space="preserve">non-custodial contexts such as </w:t>
      </w:r>
      <w:r w:rsidR="009128F7" w:rsidRPr="005E651D">
        <w:rPr>
          <w:rFonts w:cstheme="minorHAnsi"/>
          <w:szCs w:val="22"/>
        </w:rPr>
        <w:t>during arrest and the policing of assemblies</w:t>
      </w:r>
      <w:r w:rsidR="008A6711" w:rsidRPr="005E651D">
        <w:rPr>
          <w:rFonts w:cstheme="minorHAnsi"/>
          <w:szCs w:val="22"/>
        </w:rPr>
        <w:t>,</w:t>
      </w:r>
      <w:r w:rsidR="009128F7" w:rsidRPr="005E651D">
        <w:rPr>
          <w:rFonts w:cstheme="minorHAnsi"/>
          <w:szCs w:val="22"/>
        </w:rPr>
        <w:t xml:space="preserve"> </w:t>
      </w:r>
      <w:r w:rsidR="00BC1FFE" w:rsidRPr="005E651D">
        <w:rPr>
          <w:rFonts w:cstheme="minorHAnsi"/>
          <w:szCs w:val="22"/>
        </w:rPr>
        <w:t xml:space="preserve">is a violation </w:t>
      </w:r>
      <w:r w:rsidR="009128F7" w:rsidRPr="005E651D">
        <w:rPr>
          <w:rFonts w:cstheme="minorHAnsi"/>
          <w:szCs w:val="22"/>
        </w:rPr>
        <w:t>recognized and prohibited under the Convention.</w:t>
      </w:r>
      <w:r w:rsidR="0050752D" w:rsidRPr="005E651D">
        <w:rPr>
          <w:rStyle w:val="FootnoteReference"/>
          <w:rFonts w:cstheme="minorHAnsi"/>
          <w:szCs w:val="22"/>
        </w:rPr>
        <w:footnoteReference w:id="75"/>
      </w:r>
      <w:r w:rsidR="0050752D" w:rsidRPr="005E651D">
        <w:rPr>
          <w:rStyle w:val="CommentReference"/>
          <w:rFonts w:cstheme="minorHAnsi"/>
          <w:lang w:val="en-GB"/>
        </w:rPr>
        <w:t xml:space="preserve"> </w:t>
      </w:r>
      <w:r w:rsidR="009128F7" w:rsidRPr="005E651D">
        <w:rPr>
          <w:rFonts w:cstheme="minorHAnsi"/>
          <w:szCs w:val="22"/>
        </w:rPr>
        <w:t>Further, “[a]ny tolerance, acquiescence or impunity for such abuse amounts to a serious violation of international law.”</w:t>
      </w:r>
      <w:r w:rsidR="009128F7" w:rsidRPr="005E651D">
        <w:rPr>
          <w:rStyle w:val="FootnoteReference"/>
          <w:rFonts w:cstheme="minorHAnsi"/>
          <w:szCs w:val="22"/>
        </w:rPr>
        <w:footnoteReference w:id="76"/>
      </w:r>
    </w:p>
    <w:p w14:paraId="18C565E7" w14:textId="6DDD8D9C" w:rsidR="00B10D7F" w:rsidRPr="005E651D" w:rsidRDefault="00035CF1" w:rsidP="009128F7">
      <w:pPr>
        <w:pStyle w:val="BodyText"/>
        <w:rPr>
          <w:rFonts w:cstheme="minorHAnsi"/>
          <w:szCs w:val="22"/>
        </w:rPr>
      </w:pPr>
      <w:r w:rsidRPr="005E651D">
        <w:rPr>
          <w:rFonts w:cstheme="minorHAnsi"/>
          <w:szCs w:val="22"/>
        </w:rPr>
        <w:tab/>
      </w:r>
      <w:r w:rsidR="000C3337" w:rsidRPr="005E651D">
        <w:rPr>
          <w:rFonts w:cstheme="minorHAnsi"/>
          <w:szCs w:val="22"/>
        </w:rPr>
        <w:t xml:space="preserve">Under international human rights law, and as affirmed </w:t>
      </w:r>
      <w:r w:rsidR="0073703C" w:rsidRPr="005E651D">
        <w:rPr>
          <w:rFonts w:cstheme="minorHAnsi"/>
          <w:szCs w:val="22"/>
        </w:rPr>
        <w:t>in a joint statement by two UN</w:t>
      </w:r>
      <w:r w:rsidR="000C3337" w:rsidRPr="005E651D">
        <w:rPr>
          <w:rFonts w:cstheme="minorHAnsi"/>
          <w:szCs w:val="22"/>
        </w:rPr>
        <w:t xml:space="preserve"> Special Rapporteurs, use of force against protesters, bystanders, and those under arrest must be restricted, particularly in the context of peaceful assembly, and must conform to the </w:t>
      </w:r>
      <w:r w:rsidR="00DA10AB" w:rsidRPr="005E651D">
        <w:rPr>
          <w:rFonts w:cstheme="minorHAnsi"/>
          <w:szCs w:val="22"/>
        </w:rPr>
        <w:t>“</w:t>
      </w:r>
      <w:r w:rsidR="000C3337" w:rsidRPr="005E651D">
        <w:rPr>
          <w:rFonts w:cstheme="minorHAnsi"/>
          <w:szCs w:val="22"/>
        </w:rPr>
        <w:t>principles of legality, precaution, necessity, proportionality</w:t>
      </w:r>
      <w:r w:rsidR="00872D1C" w:rsidRPr="005E651D">
        <w:rPr>
          <w:rFonts w:cstheme="minorHAnsi"/>
          <w:szCs w:val="22"/>
        </w:rPr>
        <w:t>,</w:t>
      </w:r>
      <w:r w:rsidR="000C3337" w:rsidRPr="005E651D">
        <w:rPr>
          <w:rFonts w:cstheme="minorHAnsi"/>
          <w:szCs w:val="22"/>
        </w:rPr>
        <w:t xml:space="preserve"> and accountability.</w:t>
      </w:r>
      <w:r w:rsidR="00DA10AB" w:rsidRPr="005E651D">
        <w:rPr>
          <w:rFonts w:cstheme="minorHAnsi"/>
          <w:szCs w:val="22"/>
        </w:rPr>
        <w:t>”</w:t>
      </w:r>
      <w:r w:rsidR="000C3337" w:rsidRPr="005E651D">
        <w:rPr>
          <w:rStyle w:val="FootnoteReference"/>
          <w:rFonts w:cstheme="minorHAnsi"/>
          <w:szCs w:val="22"/>
        </w:rPr>
        <w:footnoteReference w:id="77"/>
      </w:r>
      <w:r w:rsidR="00771F32" w:rsidRPr="005E651D">
        <w:rPr>
          <w:rFonts w:cstheme="minorHAnsi"/>
          <w:szCs w:val="22"/>
        </w:rPr>
        <w:t xml:space="preserve"> </w:t>
      </w:r>
      <w:r w:rsidR="009E66D6" w:rsidRPr="005E651D">
        <w:rPr>
          <w:rFonts w:cstheme="minorHAnsi"/>
          <w:szCs w:val="22"/>
        </w:rPr>
        <w:t>T</w:t>
      </w:r>
      <w:r w:rsidRPr="005E651D">
        <w:rPr>
          <w:rFonts w:cstheme="minorHAnsi"/>
          <w:szCs w:val="22"/>
        </w:rPr>
        <w:t>he United Nations Basic Principles on the Use of Force and Firearms by Law Enforcement Officials</w:t>
      </w:r>
      <w:r w:rsidR="009E66D6" w:rsidRPr="005E651D">
        <w:rPr>
          <w:rFonts w:cstheme="minorHAnsi"/>
          <w:szCs w:val="22"/>
        </w:rPr>
        <w:t xml:space="preserve"> further establish </w:t>
      </w:r>
      <w:r w:rsidRPr="005E651D">
        <w:rPr>
          <w:rFonts w:cstheme="minorHAnsi"/>
          <w:szCs w:val="22"/>
        </w:rPr>
        <w:t>that “intentional lethal use of firearms may only be made when strictly unavo</w:t>
      </w:r>
      <w:r w:rsidR="00272586" w:rsidRPr="005E651D">
        <w:rPr>
          <w:rFonts w:cstheme="minorHAnsi"/>
          <w:szCs w:val="22"/>
        </w:rPr>
        <w:t>idable in order to protect life.”</w:t>
      </w:r>
      <w:r w:rsidRPr="005E651D">
        <w:rPr>
          <w:rStyle w:val="FootnoteReference"/>
          <w:rFonts w:cstheme="minorHAnsi"/>
          <w:szCs w:val="22"/>
        </w:rPr>
        <w:footnoteReference w:id="78"/>
      </w:r>
      <w:r w:rsidR="000C3337" w:rsidRPr="005E651D">
        <w:rPr>
          <w:rFonts w:cstheme="minorHAnsi"/>
          <w:szCs w:val="22"/>
        </w:rPr>
        <w:t xml:space="preserve"> </w:t>
      </w:r>
    </w:p>
    <w:p w14:paraId="1C24D77A" w14:textId="398AF0BC" w:rsidR="009D5BA8" w:rsidRPr="005E651D" w:rsidRDefault="00AC03FD" w:rsidP="009128F7">
      <w:pPr>
        <w:pStyle w:val="BodyText"/>
        <w:rPr>
          <w:rFonts w:cstheme="minorHAnsi"/>
          <w:szCs w:val="22"/>
        </w:rPr>
      </w:pPr>
      <w:r w:rsidRPr="005E651D">
        <w:rPr>
          <w:rFonts w:cstheme="minorHAnsi"/>
          <w:szCs w:val="22"/>
        </w:rPr>
        <w:tab/>
      </w:r>
      <w:r w:rsidR="002C202F" w:rsidRPr="005E651D">
        <w:rPr>
          <w:rFonts w:cstheme="minorHAnsi"/>
          <w:szCs w:val="22"/>
        </w:rPr>
        <w:t>Notwithstanding international human rights standards,</w:t>
      </w:r>
      <w:r w:rsidR="00FC6231" w:rsidRPr="005E651D">
        <w:rPr>
          <w:rFonts w:cstheme="minorHAnsi"/>
          <w:szCs w:val="22"/>
        </w:rPr>
        <w:t xml:space="preserve"> in Bangladesh,</w:t>
      </w:r>
      <w:r w:rsidR="002C202F" w:rsidRPr="005E651D">
        <w:rPr>
          <w:rFonts w:cstheme="minorHAnsi"/>
          <w:szCs w:val="22"/>
        </w:rPr>
        <w:t xml:space="preserve"> LEAs often use excessive force </w:t>
      </w:r>
      <w:r w:rsidR="0049656F" w:rsidRPr="005E651D">
        <w:rPr>
          <w:rFonts w:cstheme="minorHAnsi"/>
          <w:szCs w:val="22"/>
        </w:rPr>
        <w:t>when</w:t>
      </w:r>
      <w:r w:rsidR="002C202F" w:rsidRPr="005E651D">
        <w:rPr>
          <w:rFonts w:cstheme="minorHAnsi"/>
          <w:szCs w:val="22"/>
        </w:rPr>
        <w:t xml:space="preserve"> breaking up demonstrations and conducting arrests, and, moreover, often target innocent bystanders or passersby who are wholly unassociated with the demonstrations.</w:t>
      </w:r>
      <w:r w:rsidR="00771F32" w:rsidRPr="005E651D">
        <w:rPr>
          <w:rFonts w:cstheme="minorHAnsi"/>
          <w:szCs w:val="22"/>
        </w:rPr>
        <w:t xml:space="preserve"> </w:t>
      </w:r>
      <w:r w:rsidR="009128F7" w:rsidRPr="005E651D">
        <w:rPr>
          <w:rFonts w:cstheme="minorHAnsi"/>
          <w:szCs w:val="22"/>
        </w:rPr>
        <w:t xml:space="preserve">UN bodies have recognized the prevalence of the use of excessive force by </w:t>
      </w:r>
      <w:r w:rsidR="007E7B4D" w:rsidRPr="005E651D">
        <w:rPr>
          <w:rFonts w:cstheme="minorHAnsi"/>
          <w:szCs w:val="22"/>
        </w:rPr>
        <w:t>LEAs</w:t>
      </w:r>
      <w:r w:rsidR="009128F7" w:rsidRPr="005E651D">
        <w:rPr>
          <w:rFonts w:cstheme="minorHAnsi"/>
          <w:szCs w:val="22"/>
        </w:rPr>
        <w:t xml:space="preserve"> in Bangladesh, with the </w:t>
      </w:r>
      <w:r w:rsidR="009E66D6" w:rsidRPr="005E651D">
        <w:rPr>
          <w:rFonts w:cstheme="minorHAnsi"/>
          <w:szCs w:val="22"/>
        </w:rPr>
        <w:t>UN</w:t>
      </w:r>
      <w:r w:rsidR="00615AC7" w:rsidRPr="005E651D">
        <w:rPr>
          <w:rFonts w:cstheme="minorHAnsi"/>
          <w:szCs w:val="22"/>
        </w:rPr>
        <w:t xml:space="preserve"> Human Rights</w:t>
      </w:r>
      <w:r w:rsidR="009128F7" w:rsidRPr="005E651D">
        <w:rPr>
          <w:rFonts w:cstheme="minorHAnsi"/>
          <w:szCs w:val="22"/>
        </w:rPr>
        <w:t xml:space="preserve"> Committee </w:t>
      </w:r>
      <w:r w:rsidR="008A6711" w:rsidRPr="005E651D">
        <w:rPr>
          <w:rFonts w:cstheme="minorHAnsi"/>
          <w:szCs w:val="22"/>
        </w:rPr>
        <w:t>noting</w:t>
      </w:r>
      <w:r w:rsidR="009128F7" w:rsidRPr="005E651D">
        <w:rPr>
          <w:rFonts w:cstheme="minorHAnsi"/>
          <w:szCs w:val="22"/>
        </w:rPr>
        <w:t xml:space="preserve"> in 2017 </w:t>
      </w:r>
      <w:r w:rsidR="008A6711" w:rsidRPr="005E651D">
        <w:rPr>
          <w:rFonts w:cstheme="minorHAnsi"/>
          <w:szCs w:val="22"/>
        </w:rPr>
        <w:t xml:space="preserve">its concern </w:t>
      </w:r>
      <w:r w:rsidR="009128F7" w:rsidRPr="005E651D">
        <w:rPr>
          <w:rFonts w:cstheme="minorHAnsi"/>
          <w:szCs w:val="22"/>
        </w:rPr>
        <w:t>about “the excessive use of force by St</w:t>
      </w:r>
      <w:r w:rsidR="00EC25D2" w:rsidRPr="005E651D">
        <w:rPr>
          <w:rFonts w:cstheme="minorHAnsi"/>
          <w:szCs w:val="22"/>
        </w:rPr>
        <w:t>ate actors” in Bangladesh.</w:t>
      </w:r>
      <w:r w:rsidR="009128F7" w:rsidRPr="005E651D">
        <w:rPr>
          <w:rStyle w:val="FootnoteReference"/>
          <w:rFonts w:cstheme="minorHAnsi"/>
          <w:szCs w:val="22"/>
        </w:rPr>
        <w:footnoteReference w:id="79"/>
      </w:r>
      <w:r w:rsidR="00771F32" w:rsidRPr="005E651D">
        <w:rPr>
          <w:rFonts w:cstheme="minorHAnsi"/>
          <w:szCs w:val="22"/>
        </w:rPr>
        <w:t xml:space="preserve"> </w:t>
      </w:r>
      <w:r w:rsidR="00410C78" w:rsidRPr="005E651D">
        <w:rPr>
          <w:rFonts w:cstheme="minorHAnsi"/>
          <w:szCs w:val="22"/>
        </w:rPr>
        <w:t>The C</w:t>
      </w:r>
      <w:r w:rsidR="009128F7" w:rsidRPr="005E651D">
        <w:rPr>
          <w:rFonts w:cstheme="minorHAnsi"/>
          <w:szCs w:val="22"/>
        </w:rPr>
        <w:t>ommittee</w:t>
      </w:r>
      <w:r w:rsidR="00410C78" w:rsidRPr="005E651D">
        <w:rPr>
          <w:rFonts w:cstheme="minorHAnsi"/>
          <w:szCs w:val="22"/>
        </w:rPr>
        <w:t xml:space="preserve"> also</w:t>
      </w:r>
      <w:r w:rsidR="009128F7" w:rsidRPr="005E651D">
        <w:rPr>
          <w:rFonts w:cstheme="minorHAnsi"/>
          <w:szCs w:val="22"/>
        </w:rPr>
        <w:t xml:space="preserve"> highlighted that “torture and ill-treatment by law enforcement or military personnel is widespread in the State party during interrogations to extract confessions.”</w:t>
      </w:r>
      <w:r w:rsidR="009128F7" w:rsidRPr="005E651D">
        <w:rPr>
          <w:rStyle w:val="FootnoteReference"/>
          <w:rFonts w:cstheme="minorHAnsi"/>
          <w:szCs w:val="22"/>
        </w:rPr>
        <w:footnoteReference w:id="80"/>
      </w:r>
      <w:r w:rsidR="00771F32" w:rsidRPr="005E651D">
        <w:rPr>
          <w:rFonts w:cstheme="minorHAnsi"/>
          <w:szCs w:val="22"/>
        </w:rPr>
        <w:t xml:space="preserve"> </w:t>
      </w:r>
      <w:r w:rsidR="009128F7" w:rsidRPr="005E651D">
        <w:rPr>
          <w:rFonts w:cstheme="minorHAnsi"/>
          <w:szCs w:val="22"/>
        </w:rPr>
        <w:t>The Committee described the exces</w:t>
      </w:r>
      <w:r w:rsidR="00414321" w:rsidRPr="005E651D">
        <w:rPr>
          <w:rFonts w:cstheme="minorHAnsi"/>
          <w:szCs w:val="22"/>
        </w:rPr>
        <w:t>sive use of force by s</w:t>
      </w:r>
      <w:r w:rsidR="009128F7" w:rsidRPr="005E651D">
        <w:rPr>
          <w:rFonts w:cstheme="minorHAnsi"/>
          <w:szCs w:val="22"/>
        </w:rPr>
        <w:t xml:space="preserve">tate </w:t>
      </w:r>
      <w:r w:rsidR="00414321" w:rsidRPr="005E651D">
        <w:rPr>
          <w:rFonts w:cstheme="minorHAnsi"/>
          <w:szCs w:val="22"/>
        </w:rPr>
        <w:t>officials</w:t>
      </w:r>
      <w:r w:rsidR="009128F7" w:rsidRPr="005E651D">
        <w:rPr>
          <w:rFonts w:cstheme="minorHAnsi"/>
          <w:szCs w:val="22"/>
        </w:rPr>
        <w:t xml:space="preserve"> during past elections which “hinders the </w:t>
      </w:r>
      <w:r w:rsidR="009128F7" w:rsidRPr="005E651D">
        <w:rPr>
          <w:rFonts w:cstheme="minorHAnsi"/>
          <w:szCs w:val="22"/>
        </w:rPr>
        <w:lastRenderedPageBreak/>
        <w:t xml:space="preserve">rights of voters to participate in free and fair </w:t>
      </w:r>
      <w:proofErr w:type="gramStart"/>
      <w:r w:rsidR="009128F7" w:rsidRPr="005E651D">
        <w:rPr>
          <w:rFonts w:cstheme="minorHAnsi"/>
          <w:szCs w:val="22"/>
        </w:rPr>
        <w:t>elections[</w:t>
      </w:r>
      <w:proofErr w:type="gramEnd"/>
      <w:r w:rsidR="009128F7" w:rsidRPr="005E651D">
        <w:rPr>
          <w:rFonts w:cstheme="minorHAnsi"/>
          <w:szCs w:val="22"/>
        </w:rPr>
        <w:t>.]”</w:t>
      </w:r>
      <w:r w:rsidR="009128F7" w:rsidRPr="005E651D">
        <w:rPr>
          <w:rStyle w:val="FootnoteReference"/>
          <w:rFonts w:cstheme="minorHAnsi"/>
          <w:szCs w:val="22"/>
        </w:rPr>
        <w:footnoteReference w:id="81"/>
      </w:r>
      <w:r w:rsidR="00771F32" w:rsidRPr="005E651D">
        <w:rPr>
          <w:rFonts w:cstheme="minorHAnsi"/>
          <w:szCs w:val="22"/>
        </w:rPr>
        <w:t xml:space="preserve"> </w:t>
      </w:r>
      <w:r w:rsidR="0073703C" w:rsidRPr="005E651D">
        <w:rPr>
          <w:rFonts w:cstheme="minorHAnsi"/>
          <w:szCs w:val="22"/>
        </w:rPr>
        <w:t xml:space="preserve">The </w:t>
      </w:r>
      <w:r w:rsidR="00AF49A8" w:rsidRPr="005E651D">
        <w:rPr>
          <w:rFonts w:cstheme="minorHAnsi"/>
          <w:szCs w:val="22"/>
        </w:rPr>
        <w:t>UN Human Rights Committee</w:t>
      </w:r>
      <w:r w:rsidR="00C54417" w:rsidRPr="005E651D">
        <w:rPr>
          <w:rFonts w:cstheme="minorHAnsi"/>
          <w:szCs w:val="22"/>
        </w:rPr>
        <w:t xml:space="preserve"> </w:t>
      </w:r>
      <w:r w:rsidR="00B10D7F" w:rsidRPr="005E651D">
        <w:rPr>
          <w:rFonts w:cstheme="minorHAnsi"/>
          <w:szCs w:val="22"/>
        </w:rPr>
        <w:t>also expressed concern during the recent third cycle UPR at “the excessive use of force by State actors.”</w:t>
      </w:r>
      <w:r w:rsidR="00B10D7F" w:rsidRPr="005E651D">
        <w:rPr>
          <w:rStyle w:val="FootnoteReference"/>
          <w:rFonts w:cstheme="minorHAnsi"/>
          <w:szCs w:val="22"/>
        </w:rPr>
        <w:footnoteReference w:id="82"/>
      </w:r>
      <w:r w:rsidR="00771F32" w:rsidRPr="005E651D">
        <w:rPr>
          <w:rFonts w:cstheme="minorHAnsi"/>
          <w:szCs w:val="22"/>
        </w:rPr>
        <w:t xml:space="preserve"> </w:t>
      </w:r>
      <w:r w:rsidR="00915643" w:rsidRPr="005E651D">
        <w:rPr>
          <w:rFonts w:cstheme="minorHAnsi"/>
          <w:szCs w:val="22"/>
        </w:rPr>
        <w:t>T</w:t>
      </w:r>
      <w:r w:rsidR="009D5BA8" w:rsidRPr="005E651D">
        <w:rPr>
          <w:rFonts w:cstheme="minorHAnsi"/>
          <w:szCs w:val="22"/>
        </w:rPr>
        <w:t xml:space="preserve">he U.S. </w:t>
      </w:r>
      <w:r w:rsidR="009128F7" w:rsidRPr="005E651D">
        <w:rPr>
          <w:rFonts w:cstheme="minorHAnsi"/>
          <w:szCs w:val="22"/>
        </w:rPr>
        <w:t xml:space="preserve">State Department has highlighted </w:t>
      </w:r>
      <w:r w:rsidR="00915643" w:rsidRPr="005E651D">
        <w:rPr>
          <w:rFonts w:cstheme="minorHAnsi"/>
          <w:szCs w:val="22"/>
        </w:rPr>
        <w:t xml:space="preserve">similar </w:t>
      </w:r>
      <w:r w:rsidR="00BC6DCF" w:rsidRPr="005E651D">
        <w:rPr>
          <w:rFonts w:cstheme="minorHAnsi"/>
          <w:szCs w:val="22"/>
        </w:rPr>
        <w:t>concerns, noting in the U.S. State Department’s 2018 human rights report (</w:t>
      </w:r>
      <w:r w:rsidR="00140493" w:rsidRPr="005E651D">
        <w:rPr>
          <w:rFonts w:cstheme="minorHAnsi"/>
          <w:szCs w:val="22"/>
        </w:rPr>
        <w:t xml:space="preserve">the “State Department </w:t>
      </w:r>
      <w:r w:rsidR="00BC6DCF" w:rsidRPr="005E651D">
        <w:rPr>
          <w:rFonts w:cstheme="minorHAnsi"/>
          <w:szCs w:val="22"/>
        </w:rPr>
        <w:t xml:space="preserve">Report”) </w:t>
      </w:r>
      <w:r w:rsidR="009128F7" w:rsidRPr="005E651D">
        <w:rPr>
          <w:rFonts w:cstheme="minorHAnsi"/>
          <w:szCs w:val="22"/>
        </w:rPr>
        <w:t>that “[s]ecurity forces reportedly used torture to gather information from alleged militants and members of political opposition parties” and “reportedly used threats, beatings, kneecappings, and electric shock[.]”</w:t>
      </w:r>
      <w:r w:rsidR="009128F7" w:rsidRPr="005E651D">
        <w:rPr>
          <w:rStyle w:val="FootnoteReference"/>
          <w:rFonts w:cstheme="minorHAnsi"/>
          <w:szCs w:val="22"/>
        </w:rPr>
        <w:footnoteReference w:id="83"/>
      </w:r>
      <w:r w:rsidR="00771F32" w:rsidRPr="005E651D">
        <w:rPr>
          <w:rFonts w:cstheme="minorHAnsi"/>
          <w:szCs w:val="22"/>
        </w:rPr>
        <w:t xml:space="preserve"> </w:t>
      </w:r>
      <w:r w:rsidR="006E2980" w:rsidRPr="005E651D">
        <w:rPr>
          <w:rFonts w:cstheme="minorHAnsi"/>
          <w:szCs w:val="22"/>
        </w:rPr>
        <w:t xml:space="preserve">Despite Bangladesh’s </w:t>
      </w:r>
      <w:r w:rsidR="005F6ACB" w:rsidRPr="005E651D">
        <w:rPr>
          <w:rFonts w:cstheme="minorHAnsi"/>
          <w:szCs w:val="22"/>
        </w:rPr>
        <w:t xml:space="preserve">supposed </w:t>
      </w:r>
      <w:r w:rsidR="006E2980" w:rsidRPr="005E651D">
        <w:rPr>
          <w:rFonts w:cstheme="minorHAnsi"/>
          <w:szCs w:val="22"/>
        </w:rPr>
        <w:t>“zero tolerance” policy with resp</w:t>
      </w:r>
      <w:r w:rsidR="0066155B" w:rsidRPr="005E651D">
        <w:rPr>
          <w:rFonts w:cstheme="minorHAnsi"/>
          <w:szCs w:val="22"/>
        </w:rPr>
        <w:t>ect to criminal liability of LEAs</w:t>
      </w:r>
      <w:r w:rsidR="006E2980" w:rsidRPr="005E651D">
        <w:rPr>
          <w:rFonts w:cstheme="minorHAnsi"/>
          <w:szCs w:val="22"/>
        </w:rPr>
        <w:t>,</w:t>
      </w:r>
      <w:r w:rsidR="006E2980" w:rsidRPr="005E651D">
        <w:rPr>
          <w:rStyle w:val="FootnoteReference"/>
          <w:rFonts w:cstheme="minorHAnsi"/>
          <w:szCs w:val="22"/>
        </w:rPr>
        <w:footnoteReference w:id="84"/>
      </w:r>
      <w:r w:rsidR="006E2980" w:rsidRPr="005E651D">
        <w:rPr>
          <w:rFonts w:cstheme="minorHAnsi"/>
          <w:szCs w:val="22"/>
        </w:rPr>
        <w:t xml:space="preserve"> the </w:t>
      </w:r>
      <w:r w:rsidR="0033471E" w:rsidRPr="005E651D">
        <w:rPr>
          <w:rFonts w:cstheme="minorHAnsi"/>
          <w:szCs w:val="22"/>
        </w:rPr>
        <w:t xml:space="preserve">State </w:t>
      </w:r>
      <w:r w:rsidR="008164D0" w:rsidRPr="005E651D">
        <w:rPr>
          <w:rFonts w:cstheme="minorHAnsi"/>
          <w:szCs w:val="22"/>
        </w:rPr>
        <w:t>Department Report</w:t>
      </w:r>
      <w:r w:rsidR="00255363" w:rsidRPr="005E651D">
        <w:rPr>
          <w:rFonts w:cstheme="minorHAnsi"/>
          <w:szCs w:val="22"/>
        </w:rPr>
        <w:t xml:space="preserve"> </w:t>
      </w:r>
      <w:r w:rsidR="0033471E" w:rsidRPr="005E651D">
        <w:rPr>
          <w:rFonts w:cstheme="minorHAnsi"/>
          <w:szCs w:val="22"/>
        </w:rPr>
        <w:t xml:space="preserve">and </w:t>
      </w:r>
      <w:r w:rsidR="008164D0" w:rsidRPr="005E651D">
        <w:rPr>
          <w:rFonts w:cstheme="minorHAnsi"/>
          <w:szCs w:val="22"/>
        </w:rPr>
        <w:t>others</w:t>
      </w:r>
      <w:r w:rsidR="00255363" w:rsidRPr="005E651D">
        <w:rPr>
          <w:rFonts w:cstheme="minorHAnsi"/>
          <w:szCs w:val="22"/>
        </w:rPr>
        <w:t xml:space="preserve"> </w:t>
      </w:r>
      <w:r w:rsidR="0033471E" w:rsidRPr="005E651D">
        <w:rPr>
          <w:rFonts w:cstheme="minorHAnsi"/>
          <w:szCs w:val="22"/>
        </w:rPr>
        <w:t>detail</w:t>
      </w:r>
      <w:r w:rsidR="006B639A" w:rsidRPr="005E651D">
        <w:rPr>
          <w:rFonts w:cstheme="minorHAnsi"/>
          <w:szCs w:val="22"/>
        </w:rPr>
        <w:t xml:space="preserve"> the </w:t>
      </w:r>
      <w:r w:rsidR="00255363" w:rsidRPr="005E651D">
        <w:rPr>
          <w:rFonts w:cstheme="minorHAnsi"/>
          <w:szCs w:val="22"/>
        </w:rPr>
        <w:t xml:space="preserve">“widespread impunity” </w:t>
      </w:r>
      <w:r w:rsidR="006B639A" w:rsidRPr="005E651D">
        <w:rPr>
          <w:rFonts w:cstheme="minorHAnsi"/>
          <w:szCs w:val="22"/>
        </w:rPr>
        <w:t>for LEAs, with the</w:t>
      </w:r>
      <w:r w:rsidR="0087517C" w:rsidRPr="005E651D">
        <w:rPr>
          <w:rFonts w:cstheme="minorHAnsi"/>
          <w:szCs w:val="22"/>
        </w:rPr>
        <w:t xml:space="preserve"> Government </w:t>
      </w:r>
      <w:r w:rsidR="006B639A" w:rsidRPr="005E651D">
        <w:rPr>
          <w:rFonts w:cstheme="minorHAnsi"/>
          <w:szCs w:val="22"/>
        </w:rPr>
        <w:t>taking</w:t>
      </w:r>
      <w:r w:rsidR="00255363" w:rsidRPr="005E651D">
        <w:rPr>
          <w:rFonts w:cstheme="minorHAnsi"/>
          <w:szCs w:val="22"/>
        </w:rPr>
        <w:t xml:space="preserve"> “few measures to investigate and prosecute cases of abuse and killing by security forces.”</w:t>
      </w:r>
      <w:r w:rsidR="00255363" w:rsidRPr="005E651D">
        <w:rPr>
          <w:rStyle w:val="FootnoteReference"/>
          <w:rFonts w:cstheme="minorHAnsi"/>
          <w:szCs w:val="22"/>
        </w:rPr>
        <w:footnoteReference w:id="85"/>
      </w:r>
      <w:r w:rsidR="00771F32" w:rsidRPr="005E651D">
        <w:rPr>
          <w:rFonts w:cstheme="minorHAnsi"/>
          <w:szCs w:val="22"/>
        </w:rPr>
        <w:t xml:space="preserve"> </w:t>
      </w:r>
      <w:r w:rsidR="009128F7" w:rsidRPr="005E651D">
        <w:rPr>
          <w:rFonts w:cstheme="minorHAnsi"/>
          <w:szCs w:val="22"/>
        </w:rPr>
        <w:t xml:space="preserve">National and international NGOs also have documented the pervasive use of excessive force by </w:t>
      </w:r>
      <w:r w:rsidR="000C0805" w:rsidRPr="005E651D">
        <w:rPr>
          <w:rFonts w:cstheme="minorHAnsi"/>
          <w:szCs w:val="22"/>
        </w:rPr>
        <w:t>LEAs</w:t>
      </w:r>
      <w:r w:rsidR="009128F7" w:rsidRPr="005E651D">
        <w:rPr>
          <w:rFonts w:cstheme="minorHAnsi"/>
          <w:szCs w:val="22"/>
        </w:rPr>
        <w:t>.</w:t>
      </w:r>
      <w:r w:rsidR="00771F32" w:rsidRPr="005E651D">
        <w:rPr>
          <w:rFonts w:cstheme="minorHAnsi"/>
          <w:szCs w:val="22"/>
        </w:rPr>
        <w:t xml:space="preserve"> </w:t>
      </w:r>
      <w:r w:rsidR="009128F7" w:rsidRPr="005E651D">
        <w:rPr>
          <w:rFonts w:cstheme="minorHAnsi"/>
          <w:szCs w:val="22"/>
        </w:rPr>
        <w:t xml:space="preserve">As </w:t>
      </w:r>
      <w:r w:rsidR="006B3D15" w:rsidRPr="005E651D">
        <w:rPr>
          <w:rFonts w:cstheme="minorHAnsi"/>
          <w:szCs w:val="22"/>
        </w:rPr>
        <w:t>HRSS</w:t>
      </w:r>
      <w:r w:rsidR="009128F7" w:rsidRPr="005E651D">
        <w:rPr>
          <w:rFonts w:cstheme="minorHAnsi"/>
          <w:szCs w:val="22"/>
        </w:rPr>
        <w:t xml:space="preserve"> </w:t>
      </w:r>
      <w:r w:rsidR="005E1F68" w:rsidRPr="005E651D">
        <w:rPr>
          <w:rFonts w:cstheme="minorHAnsi"/>
          <w:szCs w:val="22"/>
        </w:rPr>
        <w:t xml:space="preserve">has </w:t>
      </w:r>
      <w:r w:rsidR="009128F7" w:rsidRPr="005E651D">
        <w:rPr>
          <w:rFonts w:cstheme="minorHAnsi"/>
          <w:szCs w:val="22"/>
        </w:rPr>
        <w:t>described, “after arrests and during interrogations</w:t>
      </w:r>
      <w:r w:rsidR="00CE7362" w:rsidRPr="005E651D">
        <w:rPr>
          <w:rFonts w:cstheme="minorHAnsi"/>
          <w:szCs w:val="22"/>
        </w:rPr>
        <w:t xml:space="preserve"> . . .</w:t>
      </w:r>
      <w:r w:rsidR="009128F7" w:rsidRPr="005E651D">
        <w:rPr>
          <w:rFonts w:cstheme="minorHAnsi"/>
          <w:szCs w:val="22"/>
        </w:rPr>
        <w:t xml:space="preserve"> security forces use cruel methods such as indiscriminate beatings, pouring boil water, removing finger nails and administering electric shocks etc.”</w:t>
      </w:r>
      <w:r w:rsidR="009128F7" w:rsidRPr="005E651D">
        <w:rPr>
          <w:rStyle w:val="FootnoteReference"/>
          <w:rFonts w:cstheme="minorHAnsi"/>
          <w:szCs w:val="22"/>
        </w:rPr>
        <w:footnoteReference w:id="86"/>
      </w:r>
    </w:p>
    <w:p w14:paraId="4FCBA763" w14:textId="148E1EAD" w:rsidR="009128F7" w:rsidRPr="005E651D" w:rsidRDefault="009128F7" w:rsidP="009128F7">
      <w:pPr>
        <w:pStyle w:val="BodyText"/>
        <w:rPr>
          <w:rFonts w:cstheme="minorHAnsi"/>
          <w:szCs w:val="22"/>
        </w:rPr>
      </w:pPr>
      <w:r w:rsidRPr="005E651D">
        <w:rPr>
          <w:rFonts w:cstheme="minorHAnsi"/>
          <w:szCs w:val="22"/>
        </w:rPr>
        <w:tab/>
        <w:t xml:space="preserve">One </w:t>
      </w:r>
      <w:r w:rsidR="00342F07" w:rsidRPr="005E651D">
        <w:rPr>
          <w:rFonts w:cstheme="minorHAnsi"/>
          <w:szCs w:val="22"/>
        </w:rPr>
        <w:t>common</w:t>
      </w:r>
      <w:r w:rsidRPr="005E651D">
        <w:rPr>
          <w:rFonts w:cstheme="minorHAnsi"/>
          <w:szCs w:val="22"/>
        </w:rPr>
        <w:t xml:space="preserve"> example of excessive use of force by </w:t>
      </w:r>
      <w:r w:rsidR="00DE1FD6" w:rsidRPr="005E651D">
        <w:rPr>
          <w:rFonts w:cstheme="minorHAnsi"/>
          <w:szCs w:val="22"/>
        </w:rPr>
        <w:t>LEAs</w:t>
      </w:r>
      <w:r w:rsidRPr="005E651D">
        <w:rPr>
          <w:rFonts w:cstheme="minorHAnsi"/>
          <w:szCs w:val="22"/>
        </w:rPr>
        <w:t xml:space="preserve"> is</w:t>
      </w:r>
      <w:r w:rsidR="00DE1FD6" w:rsidRPr="005E651D">
        <w:rPr>
          <w:rFonts w:cstheme="minorHAnsi"/>
          <w:szCs w:val="22"/>
        </w:rPr>
        <w:t xml:space="preserve"> the practice</w:t>
      </w:r>
      <w:r w:rsidRPr="005E651D">
        <w:rPr>
          <w:rFonts w:cstheme="minorHAnsi"/>
          <w:szCs w:val="22"/>
        </w:rPr>
        <w:t xml:space="preserve"> referred to as “kneecapping.”</w:t>
      </w:r>
      <w:r w:rsidR="00771F32" w:rsidRPr="005E651D">
        <w:rPr>
          <w:rFonts w:cstheme="minorHAnsi"/>
          <w:szCs w:val="22"/>
        </w:rPr>
        <w:t xml:space="preserve"> </w:t>
      </w:r>
      <w:r w:rsidRPr="005E651D">
        <w:rPr>
          <w:rFonts w:cstheme="minorHAnsi"/>
          <w:szCs w:val="22"/>
        </w:rPr>
        <w:t>In these cases, police officers summarily shoot citizens around their knees or elbows</w:t>
      </w:r>
      <w:r w:rsidR="00342F07" w:rsidRPr="005E651D">
        <w:rPr>
          <w:rFonts w:cstheme="minorHAnsi"/>
          <w:szCs w:val="22"/>
        </w:rPr>
        <w:t xml:space="preserve">, often in connection with dispersing a public assembly or while </w:t>
      </w:r>
      <w:r w:rsidR="00653D8B" w:rsidRPr="005E651D">
        <w:rPr>
          <w:rFonts w:cstheme="minorHAnsi"/>
          <w:szCs w:val="22"/>
        </w:rPr>
        <w:t>a</w:t>
      </w:r>
      <w:r w:rsidR="00342F07" w:rsidRPr="005E651D">
        <w:rPr>
          <w:rFonts w:cstheme="minorHAnsi"/>
          <w:szCs w:val="22"/>
        </w:rPr>
        <w:t xml:space="preserve"> citizen is in detention</w:t>
      </w:r>
      <w:r w:rsidRPr="005E651D">
        <w:rPr>
          <w:rFonts w:cstheme="minorHAnsi"/>
          <w:szCs w:val="22"/>
        </w:rPr>
        <w:t>.</w:t>
      </w:r>
      <w:r w:rsidR="00771F32" w:rsidRPr="005E651D">
        <w:rPr>
          <w:rFonts w:cstheme="minorHAnsi"/>
          <w:szCs w:val="22"/>
        </w:rPr>
        <w:t xml:space="preserve"> </w:t>
      </w:r>
      <w:r w:rsidRPr="005E651D">
        <w:rPr>
          <w:rFonts w:cstheme="minorHAnsi"/>
          <w:szCs w:val="22"/>
        </w:rPr>
        <w:t xml:space="preserve">A </w:t>
      </w:r>
      <w:r w:rsidR="00653D8B" w:rsidRPr="005E651D">
        <w:rPr>
          <w:rFonts w:cstheme="minorHAnsi"/>
          <w:szCs w:val="22"/>
        </w:rPr>
        <w:t xml:space="preserve">2016 </w:t>
      </w:r>
      <w:r w:rsidRPr="005E651D">
        <w:rPr>
          <w:rFonts w:cstheme="minorHAnsi"/>
          <w:szCs w:val="22"/>
        </w:rPr>
        <w:t xml:space="preserve">Human Rights Watch report on the practice found that most kneecapping victims </w:t>
      </w:r>
      <w:r w:rsidR="00602909" w:rsidRPr="005E651D">
        <w:rPr>
          <w:rFonts w:cstheme="minorHAnsi"/>
          <w:szCs w:val="22"/>
        </w:rPr>
        <w:t xml:space="preserve">who were </w:t>
      </w:r>
      <w:r w:rsidRPr="005E651D">
        <w:rPr>
          <w:rFonts w:cstheme="minorHAnsi"/>
          <w:szCs w:val="22"/>
        </w:rPr>
        <w:t>interviewed</w:t>
      </w:r>
      <w:r w:rsidR="00E94A88" w:rsidRPr="005E651D">
        <w:rPr>
          <w:rFonts w:cstheme="minorHAnsi"/>
          <w:szCs w:val="22"/>
        </w:rPr>
        <w:t xml:space="preserve"> </w:t>
      </w:r>
      <w:r w:rsidR="00602909" w:rsidRPr="005E651D">
        <w:rPr>
          <w:rFonts w:cstheme="minorHAnsi"/>
          <w:szCs w:val="22"/>
        </w:rPr>
        <w:t xml:space="preserve">had </w:t>
      </w:r>
      <w:r w:rsidR="00E94A88" w:rsidRPr="005E651D">
        <w:rPr>
          <w:rFonts w:cstheme="minorHAnsi"/>
          <w:szCs w:val="22"/>
        </w:rPr>
        <w:t>suffered</w:t>
      </w:r>
      <w:r w:rsidR="0059102B" w:rsidRPr="005E651D">
        <w:rPr>
          <w:rFonts w:cstheme="minorHAnsi"/>
          <w:szCs w:val="22"/>
        </w:rPr>
        <w:t xml:space="preserve"> from</w:t>
      </w:r>
      <w:r w:rsidR="00E94A88" w:rsidRPr="005E651D">
        <w:rPr>
          <w:rFonts w:cstheme="minorHAnsi"/>
          <w:szCs w:val="22"/>
        </w:rPr>
        <w:t xml:space="preserve"> permanent disabilities or injuries, including numerous amputated limbs.</w:t>
      </w:r>
      <w:r w:rsidRPr="005E651D">
        <w:rPr>
          <w:rStyle w:val="FootnoteReference"/>
          <w:rFonts w:cstheme="minorHAnsi"/>
          <w:szCs w:val="22"/>
        </w:rPr>
        <w:footnoteReference w:id="87"/>
      </w:r>
      <w:r w:rsidR="00771F32" w:rsidRPr="005E651D">
        <w:rPr>
          <w:rFonts w:cstheme="minorHAnsi"/>
          <w:szCs w:val="22"/>
        </w:rPr>
        <w:t xml:space="preserve"> </w:t>
      </w:r>
      <w:r w:rsidR="0019122F" w:rsidRPr="005E651D">
        <w:rPr>
          <w:rFonts w:cstheme="minorHAnsi"/>
          <w:szCs w:val="22"/>
        </w:rPr>
        <w:t>T</w:t>
      </w:r>
      <w:r w:rsidRPr="005E651D">
        <w:rPr>
          <w:rFonts w:cstheme="minorHAnsi"/>
          <w:szCs w:val="22"/>
        </w:rPr>
        <w:t xml:space="preserve">he </w:t>
      </w:r>
      <w:r w:rsidR="00653D8B" w:rsidRPr="005E651D">
        <w:rPr>
          <w:rFonts w:cstheme="minorHAnsi"/>
          <w:szCs w:val="22"/>
        </w:rPr>
        <w:t>H</w:t>
      </w:r>
      <w:r w:rsidR="001852FF" w:rsidRPr="005E651D">
        <w:rPr>
          <w:rFonts w:cstheme="minorHAnsi"/>
          <w:szCs w:val="22"/>
        </w:rPr>
        <w:t>uman Rights Watch</w:t>
      </w:r>
      <w:r w:rsidR="00653D8B" w:rsidRPr="005E651D">
        <w:rPr>
          <w:rFonts w:cstheme="minorHAnsi"/>
          <w:szCs w:val="22"/>
        </w:rPr>
        <w:t xml:space="preserve"> </w:t>
      </w:r>
      <w:r w:rsidRPr="005E651D">
        <w:rPr>
          <w:rFonts w:cstheme="minorHAnsi"/>
          <w:szCs w:val="22"/>
        </w:rPr>
        <w:t xml:space="preserve">report notes that “[a]ctivists say they believe Bangladesh authorities adopted the practice of kneecapping to punish and dissuade people from participating in street </w:t>
      </w:r>
      <w:proofErr w:type="gramStart"/>
      <w:r w:rsidRPr="005E651D">
        <w:rPr>
          <w:rFonts w:cstheme="minorHAnsi"/>
          <w:szCs w:val="22"/>
        </w:rPr>
        <w:t>protests[</w:t>
      </w:r>
      <w:proofErr w:type="gramEnd"/>
      <w:r w:rsidRPr="005E651D">
        <w:rPr>
          <w:rFonts w:cstheme="minorHAnsi"/>
          <w:szCs w:val="22"/>
        </w:rPr>
        <w:t>.]”</w:t>
      </w:r>
      <w:r w:rsidRPr="005E651D">
        <w:rPr>
          <w:rStyle w:val="FootnoteReference"/>
          <w:rFonts w:cstheme="minorHAnsi"/>
          <w:szCs w:val="22"/>
        </w:rPr>
        <w:footnoteReference w:id="88"/>
      </w:r>
    </w:p>
    <w:p w14:paraId="52E16152" w14:textId="4023BA3A" w:rsidR="009128F7" w:rsidRPr="005E651D" w:rsidRDefault="009128F7" w:rsidP="009128F7">
      <w:pPr>
        <w:pStyle w:val="BodyText"/>
        <w:rPr>
          <w:rFonts w:cstheme="minorHAnsi"/>
          <w:szCs w:val="22"/>
        </w:rPr>
      </w:pPr>
      <w:r w:rsidRPr="005E651D">
        <w:rPr>
          <w:rFonts w:cstheme="minorHAnsi"/>
          <w:szCs w:val="22"/>
        </w:rPr>
        <w:tab/>
        <w:t>Journalists, human rights defenders, political protestors, and innocent civilians alike are subjec</w:t>
      </w:r>
      <w:r w:rsidR="00CF303E" w:rsidRPr="005E651D">
        <w:rPr>
          <w:rFonts w:cstheme="minorHAnsi"/>
          <w:szCs w:val="22"/>
        </w:rPr>
        <w:t>t to excessive use of force by LEAs</w:t>
      </w:r>
      <w:r w:rsidRPr="005E651D">
        <w:rPr>
          <w:rFonts w:cstheme="minorHAnsi"/>
          <w:szCs w:val="22"/>
        </w:rPr>
        <w:t>.</w:t>
      </w:r>
      <w:r w:rsidR="00771F32" w:rsidRPr="005E651D">
        <w:rPr>
          <w:rFonts w:cstheme="minorHAnsi"/>
          <w:szCs w:val="22"/>
        </w:rPr>
        <w:t xml:space="preserve"> </w:t>
      </w:r>
      <w:r w:rsidRPr="005E651D">
        <w:rPr>
          <w:rFonts w:cstheme="minorHAnsi"/>
          <w:szCs w:val="22"/>
        </w:rPr>
        <w:t>Below are a handful of the innumerable documented examples of such excessive uses of force:</w:t>
      </w:r>
    </w:p>
    <w:p w14:paraId="275E4793" w14:textId="5899AB54" w:rsidR="00EE1EE4" w:rsidRPr="005E651D" w:rsidRDefault="00EE1EE4" w:rsidP="009128F7">
      <w:pPr>
        <w:pStyle w:val="BodyText"/>
        <w:numPr>
          <w:ilvl w:val="0"/>
          <w:numId w:val="37"/>
        </w:numPr>
        <w:rPr>
          <w:rFonts w:cstheme="minorHAnsi"/>
          <w:szCs w:val="22"/>
        </w:rPr>
      </w:pPr>
      <w:r w:rsidRPr="005E651D">
        <w:rPr>
          <w:rFonts w:cstheme="minorHAnsi"/>
          <w:szCs w:val="22"/>
        </w:rPr>
        <w:t>On February 28, 2013 Fazal, an 18-year-old law student, passed a Jamaat</w:t>
      </w:r>
      <w:r w:rsidR="008164D0" w:rsidRPr="005E651D">
        <w:rPr>
          <w:rFonts w:cstheme="minorHAnsi"/>
          <w:szCs w:val="22"/>
        </w:rPr>
        <w:t>-e-Islami</w:t>
      </w:r>
      <w:r w:rsidRPr="005E651D">
        <w:rPr>
          <w:rFonts w:cstheme="minorHAnsi"/>
          <w:szCs w:val="22"/>
        </w:rPr>
        <w:t xml:space="preserve"> demonstration on his walk to a nearby college canteen. Bullets caused the demonstrators to scatter and Fazal began to run with the demonstrators. Two policemen in civilian clothing detained and beat him before taking him into custody. Once in custody, he was told to pay the police five lakh taka</w:t>
      </w:r>
      <w:r w:rsidR="00FC6231" w:rsidRPr="005E651D">
        <w:rPr>
          <w:rFonts w:cstheme="minorHAnsi"/>
          <w:szCs w:val="22"/>
        </w:rPr>
        <w:t xml:space="preserve"> </w:t>
      </w:r>
      <w:r w:rsidR="00FC6231" w:rsidRPr="005E651D">
        <w:rPr>
          <w:rFonts w:cstheme="minorHAnsi"/>
          <w:szCs w:val="22"/>
        </w:rPr>
        <w:lastRenderedPageBreak/>
        <w:t>(approximately $5,922 USD)</w:t>
      </w:r>
      <w:r w:rsidRPr="005E651D">
        <w:rPr>
          <w:rFonts w:cstheme="minorHAnsi"/>
          <w:szCs w:val="22"/>
        </w:rPr>
        <w:t xml:space="preserve"> for his </w:t>
      </w:r>
      <w:r w:rsidR="003D66D4" w:rsidRPr="005E651D">
        <w:rPr>
          <w:rFonts w:cstheme="minorHAnsi"/>
          <w:szCs w:val="22"/>
        </w:rPr>
        <w:t xml:space="preserve">freedom. </w:t>
      </w:r>
      <w:r w:rsidR="00970F07" w:rsidRPr="005E651D">
        <w:rPr>
          <w:rFonts w:cstheme="minorHAnsi"/>
          <w:szCs w:val="22"/>
        </w:rPr>
        <w:t>W</w:t>
      </w:r>
      <w:r w:rsidRPr="005E651D">
        <w:rPr>
          <w:rFonts w:cstheme="minorHAnsi"/>
          <w:szCs w:val="22"/>
        </w:rPr>
        <w:t xml:space="preserve">hen he could not pay, he was shot below his knee. His leg was ultimately amputated </w:t>
      </w:r>
      <w:r w:rsidR="00193D77" w:rsidRPr="005E651D">
        <w:rPr>
          <w:rFonts w:cstheme="minorHAnsi"/>
          <w:szCs w:val="22"/>
        </w:rPr>
        <w:t>as a result</w:t>
      </w:r>
      <w:r w:rsidRPr="005E651D">
        <w:rPr>
          <w:rFonts w:cstheme="minorHAnsi"/>
          <w:szCs w:val="22"/>
        </w:rPr>
        <w:t>.</w:t>
      </w:r>
      <w:r w:rsidRPr="005E651D">
        <w:rPr>
          <w:rStyle w:val="FootnoteReference"/>
          <w:rFonts w:cstheme="minorHAnsi"/>
          <w:szCs w:val="22"/>
        </w:rPr>
        <w:footnoteReference w:id="89"/>
      </w:r>
    </w:p>
    <w:p w14:paraId="2B5F7742" w14:textId="272C23DB" w:rsidR="009128F7" w:rsidRPr="005E651D" w:rsidRDefault="00BD4AA0" w:rsidP="009128F7">
      <w:pPr>
        <w:pStyle w:val="BodyText"/>
        <w:numPr>
          <w:ilvl w:val="0"/>
          <w:numId w:val="37"/>
        </w:numPr>
        <w:rPr>
          <w:rFonts w:cstheme="minorHAnsi"/>
          <w:szCs w:val="22"/>
        </w:rPr>
      </w:pPr>
      <w:r w:rsidRPr="005E651D">
        <w:rPr>
          <w:rFonts w:cstheme="minorHAnsi"/>
          <w:szCs w:val="22"/>
        </w:rPr>
        <w:t xml:space="preserve">On March 18, 2013, </w:t>
      </w:r>
      <w:r w:rsidR="00DE7CB4" w:rsidRPr="005E651D">
        <w:rPr>
          <w:rFonts w:cstheme="minorHAnsi"/>
          <w:szCs w:val="22"/>
        </w:rPr>
        <w:t>Mahbub Kabir, a</w:t>
      </w:r>
      <w:r w:rsidR="009128F7" w:rsidRPr="005E651D">
        <w:rPr>
          <w:rFonts w:cstheme="minorHAnsi"/>
          <w:szCs w:val="22"/>
        </w:rPr>
        <w:t xml:space="preserve"> marketing officer for a pro-</w:t>
      </w:r>
      <w:r w:rsidR="008164D0" w:rsidRPr="005E651D">
        <w:rPr>
          <w:rFonts w:cstheme="minorHAnsi"/>
          <w:szCs w:val="22"/>
        </w:rPr>
        <w:t xml:space="preserve"> </w:t>
      </w:r>
      <w:r w:rsidR="009128F7" w:rsidRPr="005E651D">
        <w:rPr>
          <w:rFonts w:cstheme="minorHAnsi"/>
          <w:szCs w:val="22"/>
        </w:rPr>
        <w:t>Jamaat</w:t>
      </w:r>
      <w:r w:rsidR="008164D0" w:rsidRPr="005E651D">
        <w:rPr>
          <w:rFonts w:cstheme="minorHAnsi"/>
          <w:szCs w:val="22"/>
        </w:rPr>
        <w:t>-e-Islami</w:t>
      </w:r>
      <w:r w:rsidR="009128F7" w:rsidRPr="005E651D">
        <w:rPr>
          <w:rFonts w:cstheme="minorHAnsi"/>
          <w:szCs w:val="22"/>
        </w:rPr>
        <w:t xml:space="preserve"> newspaper</w:t>
      </w:r>
      <w:r w:rsidR="00DE7CB4" w:rsidRPr="005E651D">
        <w:rPr>
          <w:rFonts w:cstheme="minorHAnsi"/>
          <w:szCs w:val="22"/>
        </w:rPr>
        <w:t>,</w:t>
      </w:r>
      <w:r w:rsidR="009128F7" w:rsidRPr="005E651D">
        <w:rPr>
          <w:rFonts w:cstheme="minorHAnsi"/>
          <w:szCs w:val="22"/>
        </w:rPr>
        <w:t xml:space="preserve"> wa</w:t>
      </w:r>
      <w:r w:rsidRPr="005E651D">
        <w:rPr>
          <w:rFonts w:cstheme="minorHAnsi"/>
          <w:szCs w:val="22"/>
        </w:rPr>
        <w:t xml:space="preserve">s stopped by police </w:t>
      </w:r>
      <w:r w:rsidR="009128F7" w:rsidRPr="005E651D">
        <w:rPr>
          <w:rFonts w:cstheme="minorHAnsi"/>
          <w:szCs w:val="22"/>
        </w:rPr>
        <w:t>on his way to work.</w:t>
      </w:r>
      <w:r w:rsidR="00771F32" w:rsidRPr="005E651D">
        <w:rPr>
          <w:rFonts w:cstheme="minorHAnsi"/>
          <w:szCs w:val="22"/>
        </w:rPr>
        <w:t xml:space="preserve"> </w:t>
      </w:r>
      <w:r w:rsidR="00E63091" w:rsidRPr="005E651D">
        <w:rPr>
          <w:rFonts w:cstheme="minorHAnsi"/>
          <w:szCs w:val="22"/>
        </w:rPr>
        <w:t>Kabir</w:t>
      </w:r>
      <w:r w:rsidR="00DE7CB4" w:rsidRPr="005E651D">
        <w:rPr>
          <w:rFonts w:cstheme="minorHAnsi"/>
          <w:szCs w:val="22"/>
        </w:rPr>
        <w:t xml:space="preserve"> </w:t>
      </w:r>
      <w:r w:rsidR="00785A1C" w:rsidRPr="005E651D">
        <w:rPr>
          <w:rFonts w:cstheme="minorHAnsi"/>
          <w:szCs w:val="22"/>
        </w:rPr>
        <w:t>did not resist</w:t>
      </w:r>
      <w:r w:rsidR="009128F7" w:rsidRPr="005E651D">
        <w:rPr>
          <w:rFonts w:cstheme="minorHAnsi"/>
          <w:szCs w:val="22"/>
        </w:rPr>
        <w:t xml:space="preserve"> the police; however, upon reviewing his identification card, the police shot him in his right leg.</w:t>
      </w:r>
      <w:r w:rsidR="00771F32" w:rsidRPr="005E651D">
        <w:rPr>
          <w:rFonts w:cstheme="minorHAnsi"/>
          <w:szCs w:val="22"/>
        </w:rPr>
        <w:t xml:space="preserve"> </w:t>
      </w:r>
      <w:r w:rsidR="009128F7" w:rsidRPr="005E651D">
        <w:rPr>
          <w:rFonts w:cstheme="minorHAnsi"/>
          <w:szCs w:val="22"/>
        </w:rPr>
        <w:t>According to the victim, the police told him: “I have shot in your leg.</w:t>
      </w:r>
      <w:r w:rsidR="00771F32" w:rsidRPr="005E651D">
        <w:rPr>
          <w:rFonts w:cstheme="minorHAnsi"/>
          <w:szCs w:val="22"/>
        </w:rPr>
        <w:t xml:space="preserve"> </w:t>
      </w:r>
      <w:r w:rsidR="009128F7" w:rsidRPr="005E651D">
        <w:rPr>
          <w:rFonts w:cstheme="minorHAnsi"/>
          <w:szCs w:val="22"/>
        </w:rPr>
        <w:t>If you speak out, then next time I will shoot in your eyes.”</w:t>
      </w:r>
      <w:r w:rsidR="00771F32" w:rsidRPr="005E651D">
        <w:rPr>
          <w:rFonts w:cstheme="minorHAnsi"/>
          <w:szCs w:val="22"/>
        </w:rPr>
        <w:t xml:space="preserve"> </w:t>
      </w:r>
      <w:r w:rsidR="009620FA" w:rsidRPr="005E651D">
        <w:rPr>
          <w:rFonts w:cstheme="minorHAnsi"/>
          <w:szCs w:val="22"/>
        </w:rPr>
        <w:t>In 2016,</w:t>
      </w:r>
      <w:r w:rsidR="009128F7" w:rsidRPr="005E651D">
        <w:rPr>
          <w:rFonts w:cstheme="minorHAnsi"/>
          <w:szCs w:val="22"/>
        </w:rPr>
        <w:t xml:space="preserve"> </w:t>
      </w:r>
      <w:r w:rsidR="00E63091" w:rsidRPr="005E651D">
        <w:rPr>
          <w:rFonts w:cstheme="minorHAnsi"/>
          <w:szCs w:val="22"/>
        </w:rPr>
        <w:t xml:space="preserve">three years after </w:t>
      </w:r>
      <w:r w:rsidR="009128F7" w:rsidRPr="005E651D">
        <w:rPr>
          <w:rFonts w:cstheme="minorHAnsi"/>
          <w:szCs w:val="22"/>
        </w:rPr>
        <w:t xml:space="preserve">the </w:t>
      </w:r>
      <w:r w:rsidR="00E63091" w:rsidRPr="005E651D">
        <w:rPr>
          <w:rFonts w:cstheme="minorHAnsi"/>
          <w:szCs w:val="22"/>
        </w:rPr>
        <w:t>kneecapping, Kabir</w:t>
      </w:r>
      <w:r w:rsidR="009620FA" w:rsidRPr="005E651D">
        <w:rPr>
          <w:rFonts w:cstheme="minorHAnsi"/>
          <w:szCs w:val="22"/>
        </w:rPr>
        <w:t xml:space="preserve"> still could not</w:t>
      </w:r>
      <w:r w:rsidR="009128F7" w:rsidRPr="005E651D">
        <w:rPr>
          <w:rFonts w:cstheme="minorHAnsi"/>
          <w:szCs w:val="22"/>
        </w:rPr>
        <w:t xml:space="preserve"> walk.</w:t>
      </w:r>
      <w:r w:rsidR="00F00B1A" w:rsidRPr="005E651D">
        <w:rPr>
          <w:rStyle w:val="FootnoteReference"/>
          <w:rFonts w:cstheme="minorHAnsi"/>
          <w:szCs w:val="22"/>
        </w:rPr>
        <w:footnoteReference w:id="90"/>
      </w:r>
    </w:p>
    <w:p w14:paraId="223E3344" w14:textId="1E03F4CF" w:rsidR="009128F7" w:rsidRPr="005E651D" w:rsidRDefault="00EE1EE4" w:rsidP="00DB1490">
      <w:pPr>
        <w:pStyle w:val="BodyText"/>
        <w:numPr>
          <w:ilvl w:val="0"/>
          <w:numId w:val="37"/>
        </w:numPr>
        <w:rPr>
          <w:rFonts w:cstheme="minorHAnsi"/>
          <w:szCs w:val="22"/>
        </w:rPr>
      </w:pPr>
      <w:r w:rsidRPr="005E651D">
        <w:rPr>
          <w:rFonts w:cstheme="minorHAnsi"/>
          <w:szCs w:val="22"/>
        </w:rPr>
        <w:t xml:space="preserve">On February 3, 2015, Ahmed was walking to the market when five policemen stopped him, believing that he had participated in a protest earlier that day. Ahmed denied the allegations and other people at the market confirmed that Ahmed had just arrived and was not a participant. The police ignored these responses and took Ahmed to a narrow lane, where he was shot in the leg at close range. He was taken to a hospital where he stayed for two months in police custody. He was then moved to jail, where he learned the police had filed false claims that he damaged public property and </w:t>
      </w:r>
      <w:r w:rsidR="006732B7" w:rsidRPr="005E651D">
        <w:rPr>
          <w:rFonts w:cstheme="minorHAnsi"/>
          <w:szCs w:val="22"/>
        </w:rPr>
        <w:t xml:space="preserve">that they </w:t>
      </w:r>
      <w:r w:rsidRPr="005E651D">
        <w:rPr>
          <w:rFonts w:cstheme="minorHAnsi"/>
          <w:szCs w:val="22"/>
        </w:rPr>
        <w:t>had recovered explosives from him.</w:t>
      </w:r>
      <w:r w:rsidRPr="005E651D">
        <w:rPr>
          <w:rStyle w:val="FootnoteReference"/>
          <w:rFonts w:cstheme="minorHAnsi"/>
          <w:szCs w:val="22"/>
        </w:rPr>
        <w:footnoteReference w:id="91"/>
      </w:r>
    </w:p>
    <w:p w14:paraId="21DD0DCD" w14:textId="0AB043A9" w:rsidR="00C67760" w:rsidRPr="005E651D" w:rsidRDefault="00EE1EE4" w:rsidP="00DA10AB">
      <w:pPr>
        <w:pStyle w:val="BodyText"/>
        <w:numPr>
          <w:ilvl w:val="0"/>
          <w:numId w:val="37"/>
        </w:numPr>
        <w:rPr>
          <w:rFonts w:cstheme="minorHAnsi"/>
          <w:szCs w:val="22"/>
        </w:rPr>
      </w:pPr>
      <w:r w:rsidRPr="005E651D">
        <w:rPr>
          <w:rFonts w:cstheme="minorHAnsi"/>
          <w:szCs w:val="22"/>
        </w:rPr>
        <w:t xml:space="preserve">On March 31, 2016, Mohammad Afzal Hossain, a correspondent on a </w:t>
      </w:r>
      <w:r w:rsidR="00FC6231" w:rsidRPr="005E651D">
        <w:rPr>
          <w:rFonts w:cstheme="minorHAnsi"/>
          <w:szCs w:val="22"/>
        </w:rPr>
        <w:t xml:space="preserve">popular, </w:t>
      </w:r>
      <w:r w:rsidRPr="005E651D">
        <w:rPr>
          <w:rFonts w:cstheme="minorHAnsi"/>
          <w:szCs w:val="22"/>
        </w:rPr>
        <w:t>priv</w:t>
      </w:r>
      <w:r w:rsidR="00FC6231" w:rsidRPr="005E651D">
        <w:rPr>
          <w:rFonts w:cstheme="minorHAnsi"/>
          <w:szCs w:val="22"/>
        </w:rPr>
        <w:t>ate news channel in Bangladesh</w:t>
      </w:r>
      <w:r w:rsidRPr="005E651D">
        <w:rPr>
          <w:rFonts w:cstheme="minorHAnsi"/>
          <w:szCs w:val="22"/>
        </w:rPr>
        <w:t xml:space="preserve"> who volunteered with Odhikar, was summoned by the</w:t>
      </w:r>
      <w:r w:rsidR="00B753CE" w:rsidRPr="005E651D">
        <w:rPr>
          <w:rFonts w:cstheme="minorHAnsi"/>
          <w:szCs w:val="22"/>
        </w:rPr>
        <w:t xml:space="preserve"> Rajapur</w:t>
      </w:r>
      <w:r w:rsidRPr="005E651D">
        <w:rPr>
          <w:rFonts w:cstheme="minorHAnsi"/>
          <w:szCs w:val="22"/>
        </w:rPr>
        <w:t xml:space="preserve"> police superintendent to discuss vote rigging</w:t>
      </w:r>
      <w:r w:rsidR="00AD55A7" w:rsidRPr="005E651D">
        <w:rPr>
          <w:rFonts w:cstheme="minorHAnsi"/>
          <w:szCs w:val="22"/>
        </w:rPr>
        <w:t xml:space="preserve"> the correspondent had</w:t>
      </w:r>
      <w:r w:rsidRPr="005E651D">
        <w:rPr>
          <w:rFonts w:cstheme="minorHAnsi"/>
          <w:szCs w:val="22"/>
        </w:rPr>
        <w:t xml:space="preserve"> witnessed that same day. While at the station, the correspondent was </w:t>
      </w:r>
      <w:r w:rsidR="00403474" w:rsidRPr="005E651D">
        <w:rPr>
          <w:rFonts w:cstheme="minorHAnsi"/>
          <w:szCs w:val="22"/>
        </w:rPr>
        <w:t>writing</w:t>
      </w:r>
      <w:r w:rsidRPr="005E651D">
        <w:rPr>
          <w:rFonts w:cstheme="minorHAnsi"/>
          <w:szCs w:val="22"/>
        </w:rPr>
        <w:t xml:space="preserve"> notes for an upcoming live news update; </w:t>
      </w:r>
      <w:r w:rsidR="0014657E" w:rsidRPr="005E651D">
        <w:rPr>
          <w:rFonts w:cstheme="minorHAnsi"/>
          <w:szCs w:val="22"/>
        </w:rPr>
        <w:t>without warning,</w:t>
      </w:r>
      <w:r w:rsidRPr="005E651D">
        <w:rPr>
          <w:rFonts w:cstheme="minorHAnsi"/>
          <w:szCs w:val="22"/>
        </w:rPr>
        <w:t xml:space="preserve"> he was shot in the leg at short range by a police officer with a tiger bullet (a large bullet comprising of eight pellets used to kill tigers).</w:t>
      </w:r>
      <w:r w:rsidRPr="005E651D">
        <w:rPr>
          <w:rStyle w:val="FootnoteReference"/>
          <w:rFonts w:cstheme="minorHAnsi"/>
          <w:szCs w:val="22"/>
        </w:rPr>
        <w:footnoteReference w:id="92"/>
      </w:r>
    </w:p>
    <w:p w14:paraId="2720691D" w14:textId="0CEC7ECC" w:rsidR="003512CA" w:rsidRPr="005E651D" w:rsidRDefault="003512CA" w:rsidP="003512CA">
      <w:pPr>
        <w:pStyle w:val="BodyText"/>
        <w:ind w:firstLine="360"/>
        <w:rPr>
          <w:rFonts w:cstheme="minorHAnsi"/>
          <w:szCs w:val="22"/>
        </w:rPr>
      </w:pPr>
      <w:r w:rsidRPr="005E651D">
        <w:rPr>
          <w:rFonts w:cstheme="minorHAnsi"/>
          <w:szCs w:val="22"/>
        </w:rPr>
        <w:t>These examples are only a handful of the many instances of excessive use of force by LEAs against the citizens of Bangladesh</w:t>
      </w:r>
      <w:r w:rsidR="007507E0" w:rsidRPr="005E651D">
        <w:rPr>
          <w:rFonts w:cstheme="minorHAnsi"/>
          <w:szCs w:val="22"/>
        </w:rPr>
        <w:t>.</w:t>
      </w:r>
      <w:r w:rsidR="008F5556" w:rsidRPr="005E651D">
        <w:rPr>
          <w:rFonts w:cstheme="minorHAnsi"/>
          <w:szCs w:val="22"/>
        </w:rPr>
        <w:t xml:space="preserve"> These incidents result not only in long-lasting physical handicaps for the individual(s) </w:t>
      </w:r>
      <w:r w:rsidR="007507E0" w:rsidRPr="005E651D">
        <w:rPr>
          <w:rFonts w:cstheme="minorHAnsi"/>
          <w:szCs w:val="22"/>
        </w:rPr>
        <w:t xml:space="preserve">directly </w:t>
      </w:r>
      <w:r w:rsidR="008F5556" w:rsidRPr="005E651D">
        <w:rPr>
          <w:rFonts w:cstheme="minorHAnsi"/>
          <w:szCs w:val="22"/>
        </w:rPr>
        <w:t>involved, but also have the broader effect of impeding freedom of speech and association within the country</w:t>
      </w:r>
      <w:r w:rsidR="007507E0" w:rsidRPr="005E651D">
        <w:rPr>
          <w:rFonts w:cstheme="minorHAnsi"/>
          <w:szCs w:val="22"/>
        </w:rPr>
        <w:t xml:space="preserve">. </w:t>
      </w:r>
      <w:r w:rsidRPr="005E651D">
        <w:rPr>
          <w:rFonts w:cstheme="minorHAnsi"/>
          <w:szCs w:val="22"/>
        </w:rPr>
        <w:t>These actions are in direct contravention of Bangladesh’s obligations under the Convention, including under Articles 2 and 16.</w:t>
      </w:r>
    </w:p>
    <w:p w14:paraId="13212A36" w14:textId="49A3E024" w:rsidR="009128F7" w:rsidRPr="005E651D" w:rsidRDefault="00140287" w:rsidP="00C6408A">
      <w:pPr>
        <w:pStyle w:val="Heading2"/>
        <w:rPr>
          <w:rFonts w:asciiTheme="minorHAnsi" w:hAnsiTheme="minorHAnsi" w:cstheme="minorHAnsi"/>
        </w:rPr>
      </w:pPr>
      <w:bookmarkStart w:id="59" w:name="_Toc11053843"/>
      <w:bookmarkStart w:id="60" w:name="_Ref11141967"/>
      <w:bookmarkStart w:id="61" w:name="_Toc11879536"/>
      <w:bookmarkStart w:id="62" w:name="_Toc11883197"/>
      <w:bookmarkStart w:id="63" w:name="_Toc11922675"/>
      <w:bookmarkStart w:id="64" w:name="_Toc11945116"/>
      <w:r w:rsidRPr="005E651D">
        <w:rPr>
          <w:rFonts w:asciiTheme="minorHAnsi" w:hAnsiTheme="minorHAnsi" w:cstheme="minorHAnsi"/>
        </w:rPr>
        <w:t>Extrajudicial Killings</w:t>
      </w:r>
      <w:bookmarkEnd w:id="59"/>
      <w:bookmarkEnd w:id="60"/>
      <w:bookmarkEnd w:id="61"/>
      <w:bookmarkEnd w:id="62"/>
      <w:bookmarkEnd w:id="63"/>
      <w:bookmarkEnd w:id="64"/>
    </w:p>
    <w:p w14:paraId="536FE9A4" w14:textId="31789404" w:rsidR="00717828" w:rsidRPr="005E651D" w:rsidRDefault="00717828" w:rsidP="00717828">
      <w:pPr>
        <w:pStyle w:val="BodyText"/>
        <w:rPr>
          <w:rFonts w:cstheme="minorHAnsi"/>
          <w:szCs w:val="22"/>
        </w:rPr>
      </w:pPr>
      <w:r w:rsidRPr="005E651D">
        <w:rPr>
          <w:rFonts w:cstheme="minorHAnsi"/>
          <w:szCs w:val="22"/>
        </w:rPr>
        <w:tab/>
        <w:t>Extrajudicial killings</w:t>
      </w:r>
      <w:r w:rsidR="005B2D6E" w:rsidRPr="005E651D">
        <w:rPr>
          <w:rFonts w:cstheme="minorHAnsi"/>
          <w:szCs w:val="22"/>
        </w:rPr>
        <w:t xml:space="preserve"> in Bangladesh</w:t>
      </w:r>
      <w:r w:rsidR="00E31B64" w:rsidRPr="005E651D">
        <w:rPr>
          <w:rFonts w:cstheme="minorHAnsi"/>
          <w:szCs w:val="22"/>
        </w:rPr>
        <w:t xml:space="preserve">, </w:t>
      </w:r>
      <w:r w:rsidR="00E31B64" w:rsidRPr="005E651D">
        <w:rPr>
          <w:rFonts w:cstheme="minorHAnsi"/>
        </w:rPr>
        <w:t>also known as extra-legal, arbitrary, or summary executions,</w:t>
      </w:r>
      <w:r w:rsidRPr="005E651D">
        <w:rPr>
          <w:rFonts w:cstheme="minorHAnsi"/>
          <w:szCs w:val="22"/>
        </w:rPr>
        <w:t xml:space="preserve"> have become increasingly common and are being used as a tool to stifle justice and bypass legal process. </w:t>
      </w:r>
      <w:r w:rsidR="00A34232" w:rsidRPr="005E651D">
        <w:rPr>
          <w:rFonts w:cstheme="minorHAnsi"/>
          <w:szCs w:val="22"/>
        </w:rPr>
        <w:t>In Bangladesh,</w:t>
      </w:r>
      <w:r w:rsidR="004B16A6" w:rsidRPr="005E651D">
        <w:rPr>
          <w:rFonts w:cstheme="minorHAnsi"/>
          <w:szCs w:val="22"/>
        </w:rPr>
        <w:t xml:space="preserve"> there is a record of increasing “crossfire” killings</w:t>
      </w:r>
      <w:r w:rsidR="00507C7E" w:rsidRPr="005E651D">
        <w:rPr>
          <w:rFonts w:cstheme="minorHAnsi"/>
          <w:szCs w:val="22"/>
        </w:rPr>
        <w:t xml:space="preserve">, </w:t>
      </w:r>
      <w:r w:rsidR="004B16A6" w:rsidRPr="005E651D">
        <w:rPr>
          <w:rFonts w:cstheme="minorHAnsi"/>
          <w:szCs w:val="22"/>
        </w:rPr>
        <w:t>“shoot-outs</w:t>
      </w:r>
      <w:r w:rsidR="00507C7E" w:rsidRPr="005E651D">
        <w:rPr>
          <w:rFonts w:cstheme="minorHAnsi"/>
          <w:szCs w:val="22"/>
        </w:rPr>
        <w:t>,</w:t>
      </w:r>
      <w:r w:rsidR="004B16A6" w:rsidRPr="005E651D">
        <w:rPr>
          <w:rFonts w:cstheme="minorHAnsi"/>
          <w:szCs w:val="22"/>
        </w:rPr>
        <w:t>”</w:t>
      </w:r>
      <w:r w:rsidR="00507C7E" w:rsidRPr="005E651D">
        <w:rPr>
          <w:rFonts w:cstheme="minorHAnsi"/>
          <w:szCs w:val="22"/>
        </w:rPr>
        <w:t xml:space="preserve"> and</w:t>
      </w:r>
      <w:r w:rsidR="004B16A6" w:rsidRPr="005E651D">
        <w:rPr>
          <w:rFonts w:cstheme="minorHAnsi"/>
          <w:szCs w:val="22"/>
        </w:rPr>
        <w:t xml:space="preserve"> “encounter killings”—</w:t>
      </w:r>
      <w:r w:rsidR="007E2171" w:rsidRPr="005E651D">
        <w:rPr>
          <w:rFonts w:cstheme="minorHAnsi"/>
          <w:szCs w:val="22"/>
        </w:rPr>
        <w:t xml:space="preserve">i.e., </w:t>
      </w:r>
      <w:r w:rsidR="00A34232" w:rsidRPr="005E651D">
        <w:rPr>
          <w:rFonts w:cstheme="minorHAnsi"/>
          <w:szCs w:val="22"/>
        </w:rPr>
        <w:t>instances in which LEAs claim that the killings were done in self-defense</w:t>
      </w:r>
      <w:r w:rsidR="00485AD5" w:rsidRPr="005E651D">
        <w:rPr>
          <w:rFonts w:cstheme="minorHAnsi"/>
          <w:szCs w:val="22"/>
        </w:rPr>
        <w:t xml:space="preserve"> or the victim was caught in exchanges of gunfire between LEAs and criminal gangs</w:t>
      </w:r>
      <w:r w:rsidR="00A34232" w:rsidRPr="005E651D">
        <w:rPr>
          <w:rFonts w:cstheme="minorHAnsi"/>
          <w:szCs w:val="22"/>
        </w:rPr>
        <w:t>.</w:t>
      </w:r>
      <w:r w:rsidR="00B437A9" w:rsidRPr="005E651D">
        <w:rPr>
          <w:rStyle w:val="FootnoteReference"/>
          <w:rFonts w:cstheme="minorHAnsi"/>
          <w:szCs w:val="22"/>
        </w:rPr>
        <w:footnoteReference w:id="93"/>
      </w:r>
      <w:r w:rsidR="00A34232" w:rsidRPr="005E651D">
        <w:rPr>
          <w:rFonts w:cstheme="minorHAnsi"/>
          <w:szCs w:val="22"/>
        </w:rPr>
        <w:t xml:space="preserve"> </w:t>
      </w:r>
      <w:r w:rsidRPr="005E651D">
        <w:rPr>
          <w:rFonts w:cstheme="minorHAnsi"/>
          <w:szCs w:val="22"/>
        </w:rPr>
        <w:t xml:space="preserve">Bangladesh’s use of deadly </w:t>
      </w:r>
      <w:r w:rsidRPr="005E651D">
        <w:rPr>
          <w:rFonts w:cstheme="minorHAnsi"/>
          <w:szCs w:val="22"/>
        </w:rPr>
        <w:lastRenderedPageBreak/>
        <w:t>force in this manner is in clear contravention of the Convention, and it denies the citizens of Bangladesh their fundamental rights to life and to free, fair</w:t>
      </w:r>
      <w:r w:rsidR="00682818" w:rsidRPr="005E651D">
        <w:rPr>
          <w:rFonts w:cstheme="minorHAnsi"/>
          <w:szCs w:val="22"/>
        </w:rPr>
        <w:t>,</w:t>
      </w:r>
      <w:r w:rsidRPr="005E651D">
        <w:rPr>
          <w:rFonts w:cstheme="minorHAnsi"/>
          <w:szCs w:val="22"/>
        </w:rPr>
        <w:t xml:space="preserve"> and impartial</w:t>
      </w:r>
      <w:r w:rsidR="00254207" w:rsidRPr="005E651D">
        <w:rPr>
          <w:rFonts w:cstheme="minorHAnsi"/>
          <w:szCs w:val="22"/>
        </w:rPr>
        <w:t xml:space="preserve"> process and trial.</w:t>
      </w:r>
    </w:p>
    <w:p w14:paraId="753A372C" w14:textId="3D41D22F" w:rsidR="00114FC5" w:rsidRPr="005E651D" w:rsidRDefault="00823EBA" w:rsidP="00717828">
      <w:pPr>
        <w:pStyle w:val="BodyText"/>
        <w:rPr>
          <w:rFonts w:cstheme="minorHAnsi"/>
          <w:szCs w:val="22"/>
        </w:rPr>
      </w:pPr>
      <w:r w:rsidRPr="005E651D">
        <w:rPr>
          <w:rFonts w:cstheme="minorHAnsi"/>
          <w:szCs w:val="22"/>
        </w:rPr>
        <w:tab/>
      </w:r>
      <w:r w:rsidRPr="005E651D">
        <w:rPr>
          <w:rFonts w:cstheme="minorHAnsi"/>
        </w:rPr>
        <w:t>The Committee has cited extrajudicial killings amongst “grave violations of the Convention,”</w:t>
      </w:r>
      <w:r w:rsidRPr="005E651D">
        <w:rPr>
          <w:rStyle w:val="FootnoteReference"/>
          <w:rFonts w:cstheme="minorHAnsi"/>
        </w:rPr>
        <w:footnoteReference w:id="94"/>
      </w:r>
      <w:r w:rsidRPr="005E651D">
        <w:rPr>
          <w:rFonts w:cstheme="minorHAnsi"/>
        </w:rPr>
        <w:t xml:space="preserve"> “serious violations of the Convention,”</w:t>
      </w:r>
      <w:r w:rsidRPr="005E651D">
        <w:rPr>
          <w:rStyle w:val="FootnoteReference"/>
          <w:rFonts w:cstheme="minorHAnsi"/>
        </w:rPr>
        <w:footnoteReference w:id="95"/>
      </w:r>
      <w:r w:rsidRPr="005E651D">
        <w:rPr>
          <w:rFonts w:cstheme="minorHAnsi"/>
        </w:rPr>
        <w:t xml:space="preserve"> or </w:t>
      </w:r>
      <w:r w:rsidR="005857F1" w:rsidRPr="005E651D">
        <w:rPr>
          <w:rFonts w:cstheme="minorHAnsi"/>
        </w:rPr>
        <w:t xml:space="preserve">simply </w:t>
      </w:r>
      <w:r w:rsidRPr="005E651D">
        <w:rPr>
          <w:rFonts w:cstheme="minorHAnsi"/>
        </w:rPr>
        <w:t>“violations of the Convention.”</w:t>
      </w:r>
      <w:r w:rsidRPr="005E651D">
        <w:rPr>
          <w:rStyle w:val="FootnoteReference"/>
          <w:rFonts w:cstheme="minorHAnsi"/>
        </w:rPr>
        <w:footnoteReference w:id="96"/>
      </w:r>
      <w:r w:rsidR="00771F32" w:rsidRPr="005E651D">
        <w:rPr>
          <w:rFonts w:cstheme="minorHAnsi"/>
        </w:rPr>
        <w:t xml:space="preserve"> </w:t>
      </w:r>
      <w:r w:rsidR="008E5A52" w:rsidRPr="005E651D">
        <w:rPr>
          <w:rFonts w:cstheme="minorHAnsi"/>
        </w:rPr>
        <w:t xml:space="preserve">Additionally, </w:t>
      </w:r>
      <w:r w:rsidRPr="005E651D">
        <w:rPr>
          <w:rFonts w:cstheme="minorHAnsi"/>
        </w:rPr>
        <w:t>the Committee frequently condemns extrajudicial killing</w:t>
      </w:r>
      <w:r w:rsidR="008E5A52" w:rsidRPr="005E651D">
        <w:rPr>
          <w:rFonts w:cstheme="minorHAnsi"/>
        </w:rPr>
        <w:t>s in its concluding observations on S</w:t>
      </w:r>
      <w:r w:rsidR="00165B1B" w:rsidRPr="005E651D">
        <w:rPr>
          <w:rFonts w:cstheme="minorHAnsi"/>
        </w:rPr>
        <w:t>tate reports.</w:t>
      </w:r>
      <w:r w:rsidRPr="005E651D">
        <w:rPr>
          <w:rStyle w:val="FootnoteReference"/>
          <w:rFonts w:cstheme="minorHAnsi"/>
        </w:rPr>
        <w:footnoteReference w:id="97"/>
      </w:r>
    </w:p>
    <w:p w14:paraId="793E8976" w14:textId="03A1D5F0" w:rsidR="00254207" w:rsidRPr="005E651D" w:rsidRDefault="00254207" w:rsidP="00717828">
      <w:pPr>
        <w:pStyle w:val="BodyText"/>
        <w:rPr>
          <w:rFonts w:cstheme="minorHAnsi"/>
        </w:rPr>
      </w:pPr>
      <w:r w:rsidRPr="005E651D">
        <w:rPr>
          <w:rFonts w:cstheme="minorHAnsi"/>
          <w:szCs w:val="22"/>
        </w:rPr>
        <w:tab/>
      </w:r>
      <w:r w:rsidR="00511787" w:rsidRPr="005E651D">
        <w:rPr>
          <w:rFonts w:cstheme="minorHAnsi"/>
          <w:szCs w:val="22"/>
        </w:rPr>
        <w:t>Various UN bodies have recognized the issue of extrajudicial killings in Bangladesh.</w:t>
      </w:r>
      <w:r w:rsidR="00771F32" w:rsidRPr="005E651D">
        <w:rPr>
          <w:rFonts w:cstheme="minorHAnsi"/>
          <w:szCs w:val="22"/>
        </w:rPr>
        <w:t xml:space="preserve"> </w:t>
      </w:r>
      <w:r w:rsidRPr="005E651D">
        <w:rPr>
          <w:rFonts w:cstheme="minorHAnsi"/>
          <w:szCs w:val="22"/>
        </w:rPr>
        <w:t xml:space="preserve">In April 2017, the </w:t>
      </w:r>
      <w:r w:rsidR="00AF49A8" w:rsidRPr="005E651D">
        <w:rPr>
          <w:rFonts w:cstheme="minorHAnsi"/>
          <w:szCs w:val="22"/>
        </w:rPr>
        <w:t xml:space="preserve">UN Human Rights Committee </w:t>
      </w:r>
      <w:r w:rsidRPr="005E651D">
        <w:rPr>
          <w:rFonts w:cstheme="minorHAnsi"/>
          <w:szCs w:val="22"/>
        </w:rPr>
        <w:t>offered its concluding observations on its initial report of Bangladesh.</w:t>
      </w:r>
      <w:r w:rsidR="00771F32" w:rsidRPr="005E651D">
        <w:rPr>
          <w:rFonts w:cstheme="minorHAnsi"/>
          <w:szCs w:val="22"/>
        </w:rPr>
        <w:t xml:space="preserve"> </w:t>
      </w:r>
      <w:r w:rsidRPr="005E651D">
        <w:rPr>
          <w:rFonts w:cstheme="minorHAnsi"/>
          <w:szCs w:val="22"/>
        </w:rPr>
        <w:t xml:space="preserve">Among other </w:t>
      </w:r>
      <w:r w:rsidR="009427FF" w:rsidRPr="005E651D">
        <w:rPr>
          <w:rFonts w:cstheme="minorHAnsi"/>
          <w:szCs w:val="22"/>
        </w:rPr>
        <w:t>concerns</w:t>
      </w:r>
      <w:r w:rsidRPr="005E651D">
        <w:rPr>
          <w:rFonts w:cstheme="minorHAnsi"/>
          <w:szCs w:val="22"/>
        </w:rPr>
        <w:t>, the Committee expressed that it was “concerned at the reported high rate of extrajudicial killings by police officers, soldiers and [</w:t>
      </w:r>
      <w:r w:rsidR="0040663A" w:rsidRPr="005E651D">
        <w:rPr>
          <w:rFonts w:cstheme="minorHAnsi"/>
          <w:szCs w:val="22"/>
        </w:rPr>
        <w:t xml:space="preserve">other LEAs, including the </w:t>
      </w:r>
      <w:r w:rsidR="00E17CAC" w:rsidRPr="005E651D">
        <w:rPr>
          <w:rFonts w:cstheme="minorHAnsi"/>
          <w:szCs w:val="22"/>
        </w:rPr>
        <w:t>RAB</w:t>
      </w:r>
      <w:r w:rsidRPr="005E651D">
        <w:rPr>
          <w:rFonts w:cstheme="minorHAnsi"/>
          <w:szCs w:val="22"/>
        </w:rPr>
        <w:t>]</w:t>
      </w:r>
      <w:r w:rsidR="0066155B" w:rsidRPr="005E651D">
        <w:rPr>
          <w:rFonts w:cstheme="minorHAnsi"/>
          <w:szCs w:val="22"/>
        </w:rPr>
        <w:t>.</w:t>
      </w:r>
      <w:r w:rsidRPr="005E651D">
        <w:rPr>
          <w:rFonts w:cstheme="minorHAnsi"/>
          <w:szCs w:val="22"/>
        </w:rPr>
        <w:t>”</w:t>
      </w:r>
      <w:r w:rsidRPr="005E651D">
        <w:rPr>
          <w:rStyle w:val="FootnoteReference"/>
          <w:rFonts w:cstheme="minorHAnsi"/>
          <w:szCs w:val="22"/>
        </w:rPr>
        <w:footnoteReference w:id="98"/>
      </w:r>
      <w:r w:rsidR="0040663A" w:rsidRPr="005E651D">
        <w:rPr>
          <w:rFonts w:cstheme="minorHAnsi"/>
          <w:szCs w:val="22"/>
        </w:rPr>
        <w:t xml:space="preserve"> </w:t>
      </w:r>
      <w:r w:rsidR="00E17CAC" w:rsidRPr="005E651D">
        <w:rPr>
          <w:rFonts w:cstheme="minorHAnsi"/>
          <w:szCs w:val="22"/>
        </w:rPr>
        <w:t>Most</w:t>
      </w:r>
      <w:r w:rsidR="00AB78F6" w:rsidRPr="005E651D">
        <w:rPr>
          <w:rFonts w:cstheme="minorHAnsi"/>
          <w:szCs w:val="22"/>
        </w:rPr>
        <w:t xml:space="preserve"> recently,</w:t>
      </w:r>
      <w:r w:rsidR="0040663A" w:rsidRPr="005E651D">
        <w:rPr>
          <w:rFonts w:cstheme="minorHAnsi"/>
          <w:szCs w:val="22"/>
        </w:rPr>
        <w:t xml:space="preserve"> </w:t>
      </w:r>
      <w:r w:rsidR="00643A02" w:rsidRPr="005E651D">
        <w:rPr>
          <w:rFonts w:cstheme="minorHAnsi"/>
          <w:szCs w:val="22"/>
        </w:rPr>
        <w:t xml:space="preserve">the </w:t>
      </w:r>
      <w:r w:rsidR="0040663A" w:rsidRPr="005E651D">
        <w:rPr>
          <w:rFonts w:cstheme="minorHAnsi"/>
          <w:szCs w:val="22"/>
        </w:rPr>
        <w:t>UN Human Rights Committee also expressed concern during the recent third cycle UPR of Bangladesh at the “reported high rate of extrajudicial killings.”</w:t>
      </w:r>
      <w:r w:rsidR="0040663A" w:rsidRPr="005E651D">
        <w:rPr>
          <w:rStyle w:val="FootnoteReference"/>
          <w:rFonts w:cstheme="minorHAnsi"/>
          <w:szCs w:val="22"/>
        </w:rPr>
        <w:footnoteReference w:id="99"/>
      </w:r>
    </w:p>
    <w:p w14:paraId="1A0F6F1C" w14:textId="38E13063" w:rsidR="00926187" w:rsidRPr="005E651D" w:rsidRDefault="00926187" w:rsidP="0014216C">
      <w:pPr>
        <w:pStyle w:val="BodyText"/>
        <w:rPr>
          <w:rFonts w:cstheme="minorHAnsi"/>
          <w:szCs w:val="22"/>
        </w:rPr>
      </w:pPr>
      <w:r w:rsidRPr="005E651D">
        <w:rPr>
          <w:rFonts w:cstheme="minorHAnsi"/>
          <w:szCs w:val="22"/>
        </w:rPr>
        <w:tab/>
      </w:r>
      <w:r w:rsidR="004615DC" w:rsidRPr="005E651D">
        <w:rPr>
          <w:rFonts w:cstheme="minorHAnsi"/>
          <w:szCs w:val="22"/>
        </w:rPr>
        <w:t>According to the ICCPR, b</w:t>
      </w:r>
      <w:r w:rsidRPr="005E651D">
        <w:rPr>
          <w:rFonts w:cstheme="minorHAnsi"/>
          <w:szCs w:val="22"/>
        </w:rPr>
        <w:t>etween May 2013 and September 2017, 845 documented cases of extrajudicial killings by LEAs occurred in Bangladesh.</w:t>
      </w:r>
      <w:r w:rsidRPr="005E651D">
        <w:rPr>
          <w:rStyle w:val="FootnoteReference"/>
          <w:rFonts w:cstheme="minorHAnsi"/>
          <w:szCs w:val="22"/>
        </w:rPr>
        <w:footnoteReference w:id="100"/>
      </w:r>
      <w:r w:rsidR="00771F32" w:rsidRPr="005E651D">
        <w:rPr>
          <w:rFonts w:cstheme="minorHAnsi"/>
          <w:szCs w:val="22"/>
        </w:rPr>
        <w:t xml:space="preserve"> </w:t>
      </w:r>
      <w:r w:rsidRPr="005E651D">
        <w:rPr>
          <w:rFonts w:cstheme="minorHAnsi"/>
          <w:szCs w:val="22"/>
        </w:rPr>
        <w:t xml:space="preserve">More recently, from January 2018 to September 2018, </w:t>
      </w:r>
      <w:r w:rsidR="0066155B" w:rsidRPr="005E651D">
        <w:rPr>
          <w:rFonts w:cstheme="minorHAnsi"/>
          <w:szCs w:val="22"/>
        </w:rPr>
        <w:t>the HRSS</w:t>
      </w:r>
      <w:r w:rsidRPr="005E651D">
        <w:rPr>
          <w:rFonts w:cstheme="minorHAnsi"/>
          <w:szCs w:val="22"/>
        </w:rPr>
        <w:t xml:space="preserve"> reported that security forces killed more than 400 individuals in “crossfire” incidents, a number </w:t>
      </w:r>
      <w:r w:rsidR="000E5CEB" w:rsidRPr="005E651D">
        <w:rPr>
          <w:rFonts w:cstheme="minorHAnsi"/>
          <w:szCs w:val="22"/>
        </w:rPr>
        <w:t>that</w:t>
      </w:r>
      <w:r w:rsidRPr="005E651D">
        <w:rPr>
          <w:rFonts w:cstheme="minorHAnsi"/>
          <w:szCs w:val="22"/>
        </w:rPr>
        <w:t xml:space="preserve"> </w:t>
      </w:r>
      <w:r w:rsidR="009E257B" w:rsidRPr="005E651D">
        <w:rPr>
          <w:rFonts w:cstheme="minorHAnsi"/>
          <w:szCs w:val="22"/>
        </w:rPr>
        <w:t>wa</w:t>
      </w:r>
      <w:r w:rsidRPr="005E651D">
        <w:rPr>
          <w:rFonts w:cstheme="minorHAnsi"/>
          <w:szCs w:val="22"/>
        </w:rPr>
        <w:t>s confirmed by Odhikar</w:t>
      </w:r>
      <w:r w:rsidR="009E257B" w:rsidRPr="005E651D">
        <w:rPr>
          <w:rFonts w:cstheme="minorHAnsi"/>
          <w:szCs w:val="22"/>
        </w:rPr>
        <w:t>’s work</w:t>
      </w:r>
      <w:r w:rsidRPr="005E651D">
        <w:rPr>
          <w:rFonts w:cstheme="minorHAnsi"/>
          <w:szCs w:val="22"/>
        </w:rPr>
        <w:t>.</w:t>
      </w:r>
      <w:r w:rsidRPr="005E651D">
        <w:rPr>
          <w:rStyle w:val="FootnoteReference"/>
          <w:rFonts w:cstheme="minorHAnsi"/>
          <w:szCs w:val="22"/>
        </w:rPr>
        <w:footnoteReference w:id="101"/>
      </w:r>
      <w:r w:rsidR="00771F32" w:rsidRPr="005E651D">
        <w:rPr>
          <w:rFonts w:cstheme="minorHAnsi"/>
          <w:szCs w:val="22"/>
        </w:rPr>
        <w:t xml:space="preserve"> </w:t>
      </w:r>
      <w:r w:rsidR="009066D4" w:rsidRPr="005E651D">
        <w:rPr>
          <w:rFonts w:cstheme="minorHAnsi"/>
          <w:szCs w:val="22"/>
        </w:rPr>
        <w:t xml:space="preserve">In the beginning of this year, from January to March, Odhikar estimates that there was a total of 91 extrajudicial killings comprising 86 due to </w:t>
      </w:r>
      <w:r w:rsidR="00971E99" w:rsidRPr="005E651D">
        <w:rPr>
          <w:rFonts w:cstheme="minorHAnsi"/>
          <w:szCs w:val="22"/>
        </w:rPr>
        <w:t>“</w:t>
      </w:r>
      <w:r w:rsidR="009066D4" w:rsidRPr="005E651D">
        <w:rPr>
          <w:rFonts w:cstheme="minorHAnsi"/>
          <w:szCs w:val="22"/>
        </w:rPr>
        <w:t>crossfire,</w:t>
      </w:r>
      <w:r w:rsidR="00301C65" w:rsidRPr="005E651D">
        <w:rPr>
          <w:rFonts w:cstheme="minorHAnsi"/>
          <w:szCs w:val="22"/>
        </w:rPr>
        <w:t>”</w:t>
      </w:r>
      <w:r w:rsidR="009066D4" w:rsidRPr="005E651D">
        <w:rPr>
          <w:rFonts w:cstheme="minorHAnsi"/>
          <w:szCs w:val="22"/>
        </w:rPr>
        <w:t xml:space="preserve"> one person beaten to death, and four other people shot to death.</w:t>
      </w:r>
      <w:r w:rsidR="009066D4" w:rsidRPr="005E651D">
        <w:rPr>
          <w:rStyle w:val="FootnoteReference"/>
          <w:rFonts w:cstheme="minorHAnsi"/>
          <w:szCs w:val="22"/>
        </w:rPr>
        <w:footnoteReference w:id="102"/>
      </w:r>
      <w:r w:rsidR="001D3480" w:rsidRPr="005E651D">
        <w:rPr>
          <w:rFonts w:cstheme="minorHAnsi"/>
          <w:szCs w:val="22"/>
        </w:rPr>
        <w:t xml:space="preserve"> </w:t>
      </w:r>
      <w:r w:rsidR="00DD5AEA" w:rsidRPr="005E651D">
        <w:rPr>
          <w:rFonts w:cstheme="minorHAnsi"/>
          <w:szCs w:val="22"/>
        </w:rPr>
        <w:t>Human righ</w:t>
      </w:r>
      <w:r w:rsidR="004D7DD9" w:rsidRPr="005E651D">
        <w:rPr>
          <w:rFonts w:cstheme="minorHAnsi"/>
          <w:szCs w:val="22"/>
        </w:rPr>
        <w:t xml:space="preserve">ts </w:t>
      </w:r>
      <w:r w:rsidR="006A2E7D" w:rsidRPr="005E651D">
        <w:rPr>
          <w:rFonts w:cstheme="minorHAnsi"/>
          <w:szCs w:val="22"/>
        </w:rPr>
        <w:t>NGOs</w:t>
      </w:r>
      <w:r w:rsidR="004D7DD9" w:rsidRPr="005E651D">
        <w:rPr>
          <w:rFonts w:cstheme="minorHAnsi"/>
          <w:szCs w:val="22"/>
        </w:rPr>
        <w:t xml:space="preserve"> have countered these S</w:t>
      </w:r>
      <w:r w:rsidR="00DD5AEA" w:rsidRPr="005E651D">
        <w:rPr>
          <w:rFonts w:cstheme="minorHAnsi"/>
          <w:szCs w:val="22"/>
        </w:rPr>
        <w:t xml:space="preserve">tate narratives and claim that many “crossfire killings” actually result from the detention, interrogation, and torture of suspects who are then brought back to the scene of the original arrest and executed by the </w:t>
      </w:r>
      <w:r w:rsidR="00DD5AEA" w:rsidRPr="005E651D">
        <w:rPr>
          <w:rFonts w:cstheme="minorHAnsi"/>
          <w:szCs w:val="22"/>
        </w:rPr>
        <w:lastRenderedPageBreak/>
        <w:t>RAB and LEAs</w:t>
      </w:r>
      <w:r w:rsidR="00054CF0" w:rsidRPr="005E651D">
        <w:rPr>
          <w:rFonts w:cstheme="minorHAnsi"/>
          <w:szCs w:val="22"/>
        </w:rPr>
        <w:t xml:space="preserve"> under the guise</w:t>
      </w:r>
      <w:r w:rsidR="009B65CD" w:rsidRPr="005E651D">
        <w:rPr>
          <w:rFonts w:cstheme="minorHAnsi"/>
          <w:szCs w:val="22"/>
        </w:rPr>
        <w:t xml:space="preserve"> </w:t>
      </w:r>
      <w:r w:rsidR="00054CF0" w:rsidRPr="005E651D">
        <w:rPr>
          <w:rFonts w:cstheme="minorHAnsi"/>
          <w:szCs w:val="22"/>
        </w:rPr>
        <w:t>of</w:t>
      </w:r>
      <w:r w:rsidR="00DD5AEA" w:rsidRPr="005E651D">
        <w:rPr>
          <w:rFonts w:cstheme="minorHAnsi"/>
          <w:szCs w:val="22"/>
        </w:rPr>
        <w:t xml:space="preserve"> “lawful self-defense in response to violent attacks.”</w:t>
      </w:r>
      <w:r w:rsidR="00DD5AEA" w:rsidRPr="005E651D">
        <w:rPr>
          <w:rStyle w:val="FootnoteReference"/>
          <w:rFonts w:cstheme="minorHAnsi"/>
          <w:szCs w:val="22"/>
        </w:rPr>
        <w:footnoteReference w:id="103"/>
      </w:r>
      <w:r w:rsidR="00DD5AEA" w:rsidRPr="005E651D">
        <w:rPr>
          <w:rFonts w:cstheme="minorHAnsi"/>
          <w:szCs w:val="22"/>
        </w:rPr>
        <w:t xml:space="preserve"> </w:t>
      </w:r>
      <w:r w:rsidR="006A591F" w:rsidRPr="005E651D">
        <w:rPr>
          <w:rFonts w:cstheme="minorHAnsi"/>
          <w:szCs w:val="22"/>
        </w:rPr>
        <w:t xml:space="preserve">As </w:t>
      </w:r>
      <w:r w:rsidR="00E63091" w:rsidRPr="005E651D">
        <w:rPr>
          <w:rFonts w:cstheme="minorHAnsi"/>
          <w:szCs w:val="22"/>
        </w:rPr>
        <w:t>noted in the</w:t>
      </w:r>
      <w:r w:rsidR="007E3BAA" w:rsidRPr="005E651D">
        <w:rPr>
          <w:rFonts w:cstheme="minorHAnsi"/>
          <w:szCs w:val="22"/>
        </w:rPr>
        <w:t xml:space="preserve"> </w:t>
      </w:r>
      <w:r w:rsidR="006C27AD" w:rsidRPr="005E651D">
        <w:rPr>
          <w:rFonts w:cstheme="minorHAnsi"/>
          <w:szCs w:val="22"/>
        </w:rPr>
        <w:t xml:space="preserve">State Department </w:t>
      </w:r>
      <w:r w:rsidR="00E63091" w:rsidRPr="005E651D">
        <w:rPr>
          <w:rFonts w:cstheme="minorHAnsi"/>
          <w:szCs w:val="22"/>
        </w:rPr>
        <w:t>Report</w:t>
      </w:r>
      <w:r w:rsidR="00561BCF" w:rsidRPr="005E651D">
        <w:rPr>
          <w:rFonts w:cstheme="minorHAnsi"/>
          <w:szCs w:val="22"/>
        </w:rPr>
        <w:t>,</w:t>
      </w:r>
      <w:r w:rsidR="007E3BAA" w:rsidRPr="005E651D">
        <w:rPr>
          <w:rFonts w:cstheme="minorHAnsi"/>
          <w:szCs w:val="22"/>
        </w:rPr>
        <w:t xml:space="preserve"> the Government has “</w:t>
      </w:r>
      <w:r w:rsidRPr="005E651D">
        <w:rPr>
          <w:rFonts w:cstheme="minorHAnsi"/>
          <w:szCs w:val="22"/>
        </w:rPr>
        <w:t xml:space="preserve">neither released statistics on total killings by security personnel nor </w:t>
      </w:r>
      <w:r w:rsidR="007A5B1A" w:rsidRPr="005E651D">
        <w:rPr>
          <w:rFonts w:cstheme="minorHAnsi"/>
          <w:szCs w:val="22"/>
        </w:rPr>
        <w:t>[taken]</w:t>
      </w:r>
      <w:r w:rsidRPr="005E651D">
        <w:rPr>
          <w:rFonts w:cstheme="minorHAnsi"/>
          <w:szCs w:val="22"/>
        </w:rPr>
        <w:t xml:space="preserve"> comprehensive measures to investigate cases</w:t>
      </w:r>
      <w:r w:rsidR="00D43C90" w:rsidRPr="005E651D">
        <w:rPr>
          <w:rFonts w:cstheme="minorHAnsi"/>
          <w:szCs w:val="22"/>
        </w:rPr>
        <w:t>,</w:t>
      </w:r>
      <w:r w:rsidR="00927BEC" w:rsidRPr="005E651D">
        <w:rPr>
          <w:rFonts w:cstheme="minorHAnsi"/>
          <w:szCs w:val="22"/>
        </w:rPr>
        <w:t>”</w:t>
      </w:r>
      <w:r w:rsidR="00D43C90" w:rsidRPr="005E651D">
        <w:rPr>
          <w:rFonts w:cstheme="minorHAnsi"/>
          <w:szCs w:val="22"/>
        </w:rPr>
        <w:t xml:space="preserve"> and in the few instances where the G</w:t>
      </w:r>
      <w:r w:rsidRPr="005E651D">
        <w:rPr>
          <w:rFonts w:cstheme="minorHAnsi"/>
          <w:szCs w:val="22"/>
        </w:rPr>
        <w:t>overnment brought charges against security forces for extrajudicial killings, “those found guilty generally received only administrative punishment.”</w:t>
      </w:r>
      <w:r w:rsidRPr="005E651D">
        <w:rPr>
          <w:rStyle w:val="FootnoteReference"/>
          <w:rFonts w:cstheme="minorHAnsi"/>
          <w:szCs w:val="22"/>
        </w:rPr>
        <w:footnoteReference w:id="104"/>
      </w:r>
    </w:p>
    <w:p w14:paraId="4919D341" w14:textId="33F7485D" w:rsidR="00717828" w:rsidRPr="005E651D" w:rsidRDefault="00717828" w:rsidP="00B729B5">
      <w:pPr>
        <w:pStyle w:val="BodyText"/>
        <w:rPr>
          <w:rFonts w:cstheme="minorHAnsi"/>
          <w:szCs w:val="22"/>
        </w:rPr>
      </w:pPr>
      <w:r w:rsidRPr="005E651D">
        <w:rPr>
          <w:rFonts w:cstheme="minorHAnsi"/>
          <w:szCs w:val="22"/>
        </w:rPr>
        <w:tab/>
      </w:r>
      <w:r w:rsidR="003A21DF" w:rsidRPr="005E651D">
        <w:rPr>
          <w:rFonts w:cstheme="minorHAnsi"/>
          <w:szCs w:val="22"/>
        </w:rPr>
        <w:t>More recently</w:t>
      </w:r>
      <w:r w:rsidRPr="005E651D">
        <w:rPr>
          <w:rFonts w:cstheme="minorHAnsi"/>
          <w:szCs w:val="22"/>
        </w:rPr>
        <w:t xml:space="preserve">, extrajudicial killings have </w:t>
      </w:r>
      <w:r w:rsidR="00BF269E" w:rsidRPr="005E651D">
        <w:rPr>
          <w:rFonts w:cstheme="minorHAnsi"/>
          <w:szCs w:val="22"/>
        </w:rPr>
        <w:t>further increased</w:t>
      </w:r>
      <w:r w:rsidRPr="005E651D">
        <w:rPr>
          <w:rFonts w:cstheme="minorHAnsi"/>
          <w:szCs w:val="22"/>
        </w:rPr>
        <w:t xml:space="preserve"> </w:t>
      </w:r>
      <w:r w:rsidR="00BF269E" w:rsidRPr="005E651D">
        <w:rPr>
          <w:rFonts w:cstheme="minorHAnsi"/>
          <w:szCs w:val="22"/>
        </w:rPr>
        <w:t xml:space="preserve">after the Government announced in </w:t>
      </w:r>
      <w:r w:rsidR="00E01E27" w:rsidRPr="005E651D">
        <w:rPr>
          <w:rFonts w:cstheme="minorHAnsi"/>
          <w:szCs w:val="22"/>
        </w:rPr>
        <w:t xml:space="preserve">May 2018 </w:t>
      </w:r>
      <w:r w:rsidR="00BF269E" w:rsidRPr="005E651D">
        <w:rPr>
          <w:rFonts w:cstheme="minorHAnsi"/>
          <w:szCs w:val="22"/>
        </w:rPr>
        <w:t xml:space="preserve">that it would be implementing an extensive campaign </w:t>
      </w:r>
      <w:r w:rsidR="00E01E27" w:rsidRPr="005E651D">
        <w:rPr>
          <w:rFonts w:cstheme="minorHAnsi"/>
          <w:szCs w:val="22"/>
        </w:rPr>
        <w:t>against suspected “drug offenders.”</w:t>
      </w:r>
      <w:r w:rsidR="00E01E27" w:rsidRPr="005E651D">
        <w:rPr>
          <w:rStyle w:val="FootnoteReference"/>
          <w:rFonts w:cstheme="minorHAnsi"/>
          <w:szCs w:val="22"/>
        </w:rPr>
        <w:footnoteReference w:id="105"/>
      </w:r>
      <w:r w:rsidR="00E01E27" w:rsidRPr="005E651D">
        <w:rPr>
          <w:rFonts w:cstheme="minorHAnsi"/>
          <w:szCs w:val="22"/>
        </w:rPr>
        <w:t xml:space="preserve"> </w:t>
      </w:r>
      <w:r w:rsidR="00BF269E" w:rsidRPr="005E651D">
        <w:rPr>
          <w:rFonts w:cstheme="minorHAnsi"/>
          <w:szCs w:val="22"/>
        </w:rPr>
        <w:t xml:space="preserve">Since then, </w:t>
      </w:r>
      <w:r w:rsidR="003D508B" w:rsidRPr="005E651D">
        <w:rPr>
          <w:rFonts w:cstheme="minorHAnsi"/>
          <w:szCs w:val="22"/>
        </w:rPr>
        <w:t>UN</w:t>
      </w:r>
      <w:r w:rsidR="00A16231" w:rsidRPr="005E651D">
        <w:rPr>
          <w:rFonts w:cstheme="minorHAnsi"/>
          <w:szCs w:val="22"/>
        </w:rPr>
        <w:t xml:space="preserve"> bodies</w:t>
      </w:r>
      <w:r w:rsidR="00BF269E" w:rsidRPr="005E651D">
        <w:rPr>
          <w:rFonts w:cstheme="minorHAnsi"/>
          <w:szCs w:val="22"/>
        </w:rPr>
        <w:t>,</w:t>
      </w:r>
      <w:r w:rsidR="00A16231" w:rsidRPr="005E651D">
        <w:rPr>
          <w:rFonts w:cstheme="minorHAnsi"/>
          <w:szCs w:val="22"/>
        </w:rPr>
        <w:t xml:space="preserve"> </w:t>
      </w:r>
      <w:r w:rsidR="003D508B" w:rsidRPr="005E651D">
        <w:rPr>
          <w:rFonts w:cstheme="minorHAnsi"/>
          <w:szCs w:val="22"/>
        </w:rPr>
        <w:t>UN</w:t>
      </w:r>
      <w:r w:rsidR="00BF269E" w:rsidRPr="005E651D">
        <w:rPr>
          <w:rFonts w:cstheme="minorHAnsi"/>
          <w:szCs w:val="22"/>
        </w:rPr>
        <w:t xml:space="preserve"> Member States, and </w:t>
      </w:r>
      <w:r w:rsidR="003E0663" w:rsidRPr="005E651D">
        <w:rPr>
          <w:rFonts w:cstheme="minorHAnsi"/>
          <w:szCs w:val="22"/>
        </w:rPr>
        <w:t xml:space="preserve">domestic and </w:t>
      </w:r>
      <w:r w:rsidR="00BF269E" w:rsidRPr="005E651D">
        <w:rPr>
          <w:rFonts w:cstheme="minorHAnsi"/>
          <w:szCs w:val="22"/>
        </w:rPr>
        <w:t>international organizations have identified a dramatic rise in the number of reported extrajudicial killings and mass arrests of alleged “drug offenders” in Bangladesh.</w:t>
      </w:r>
      <w:r w:rsidR="00BF269E" w:rsidRPr="005E651D">
        <w:rPr>
          <w:rStyle w:val="FootnoteReference"/>
          <w:rFonts w:cstheme="minorHAnsi"/>
          <w:szCs w:val="22"/>
        </w:rPr>
        <w:footnoteReference w:id="106"/>
      </w:r>
      <w:r w:rsidR="00BF269E" w:rsidRPr="005E651D">
        <w:rPr>
          <w:rFonts w:cstheme="minorHAnsi"/>
          <w:szCs w:val="22"/>
        </w:rPr>
        <w:t xml:space="preserve"> On June 6, 2018, the </w:t>
      </w:r>
      <w:r w:rsidR="00B729B5" w:rsidRPr="005E651D">
        <w:rPr>
          <w:rFonts w:cstheme="minorHAnsi"/>
          <w:szCs w:val="22"/>
        </w:rPr>
        <w:t xml:space="preserve">Special Rapporteur on extrajudicial, summary or arbitrary executions, along </w:t>
      </w:r>
      <w:r w:rsidR="00CF3059" w:rsidRPr="005E651D">
        <w:rPr>
          <w:rFonts w:cstheme="minorHAnsi"/>
          <w:szCs w:val="22"/>
        </w:rPr>
        <w:t>with other UN</w:t>
      </w:r>
      <w:r w:rsidR="0040790C" w:rsidRPr="005E651D">
        <w:rPr>
          <w:rFonts w:cstheme="minorHAnsi"/>
          <w:szCs w:val="22"/>
        </w:rPr>
        <w:t xml:space="preserve"> special procedure mechanisms, expressed </w:t>
      </w:r>
      <w:r w:rsidR="00707C98" w:rsidRPr="005E651D">
        <w:rPr>
          <w:rFonts w:cstheme="minorHAnsi"/>
          <w:szCs w:val="22"/>
        </w:rPr>
        <w:t>their</w:t>
      </w:r>
      <w:r w:rsidR="0040790C" w:rsidRPr="005E651D">
        <w:rPr>
          <w:rFonts w:cstheme="minorHAnsi"/>
          <w:szCs w:val="22"/>
        </w:rPr>
        <w:t xml:space="preserve"> “gravest concern” at “</w:t>
      </w:r>
      <w:r w:rsidR="0045046E" w:rsidRPr="005E651D">
        <w:rPr>
          <w:rFonts w:cstheme="minorHAnsi"/>
          <w:szCs w:val="22"/>
        </w:rPr>
        <w:t>the information we have received that more than 132 people had been killed by security forces in Bangladesh since 15 May 2018 in the context of the announcement of a ‘war on drugs</w:t>
      </w:r>
      <w:r w:rsidR="00883E36" w:rsidRPr="005E651D">
        <w:rPr>
          <w:rFonts w:cstheme="minorHAnsi"/>
          <w:szCs w:val="22"/>
        </w:rPr>
        <w:t>’</w:t>
      </w:r>
      <w:r w:rsidR="0045046E" w:rsidRPr="005E651D">
        <w:rPr>
          <w:rFonts w:cstheme="minorHAnsi"/>
          <w:szCs w:val="22"/>
        </w:rPr>
        <w:t>,”</w:t>
      </w:r>
      <w:r w:rsidR="00516B23" w:rsidRPr="005E651D">
        <w:rPr>
          <w:rFonts w:cstheme="minorHAnsi"/>
          <w:szCs w:val="22"/>
        </w:rPr>
        <w:t xml:space="preserve"> noting that these alleged extrajudicial killings occurred “in the custody or at the hands of security forces.”</w:t>
      </w:r>
      <w:r w:rsidR="00BF269E" w:rsidRPr="005E651D">
        <w:rPr>
          <w:rStyle w:val="FootnoteReference"/>
          <w:rFonts w:cstheme="minorHAnsi"/>
          <w:szCs w:val="22"/>
        </w:rPr>
        <w:footnoteReference w:id="107"/>
      </w:r>
      <w:r w:rsidR="00CF3059" w:rsidRPr="005E651D">
        <w:rPr>
          <w:rFonts w:cstheme="minorHAnsi"/>
          <w:szCs w:val="22"/>
        </w:rPr>
        <w:t xml:space="preserve"> Local media reported that in the first two months of the campaign </w:t>
      </w:r>
      <w:r w:rsidR="00BF269E" w:rsidRPr="005E651D">
        <w:rPr>
          <w:rFonts w:cstheme="minorHAnsi"/>
          <w:szCs w:val="22"/>
        </w:rPr>
        <w:t>alone, some 230 alleged “drug dealers” were killed and 17,000 arrested.</w:t>
      </w:r>
      <w:r w:rsidR="00BF269E" w:rsidRPr="005E651D">
        <w:rPr>
          <w:rStyle w:val="FootnoteReference"/>
          <w:rFonts w:cstheme="minorHAnsi"/>
          <w:szCs w:val="22"/>
        </w:rPr>
        <w:footnoteReference w:id="108"/>
      </w:r>
      <w:r w:rsidR="00BF269E" w:rsidRPr="005E651D">
        <w:rPr>
          <w:rFonts w:cstheme="minorHAnsi"/>
          <w:szCs w:val="22"/>
        </w:rPr>
        <w:t xml:space="preserve"> </w:t>
      </w:r>
      <w:r w:rsidRPr="005E651D">
        <w:rPr>
          <w:rFonts w:cstheme="minorHAnsi"/>
          <w:szCs w:val="22"/>
        </w:rPr>
        <w:t>This increase in extrajudicial killings</w:t>
      </w:r>
      <w:r w:rsidR="00E35A93" w:rsidRPr="005E651D">
        <w:rPr>
          <w:rFonts w:cstheme="minorHAnsi"/>
          <w:szCs w:val="22"/>
        </w:rPr>
        <w:t xml:space="preserve"> also</w:t>
      </w:r>
      <w:r w:rsidRPr="005E651D">
        <w:rPr>
          <w:rFonts w:cstheme="minorHAnsi"/>
          <w:szCs w:val="22"/>
        </w:rPr>
        <w:t xml:space="preserve"> prompted UN High Commissioner for Human Rights Zeid Ra’ad Al Hussein to “</w:t>
      </w:r>
      <w:proofErr w:type="gramStart"/>
      <w:r w:rsidR="005A1230" w:rsidRPr="005E651D">
        <w:rPr>
          <w:rFonts w:cstheme="minorHAnsi"/>
          <w:szCs w:val="22"/>
        </w:rPr>
        <w:t>condemn[</w:t>
      </w:r>
      <w:proofErr w:type="gramEnd"/>
      <w:r w:rsidR="005A1230" w:rsidRPr="005E651D">
        <w:rPr>
          <w:rFonts w:cstheme="minorHAnsi"/>
          <w:szCs w:val="22"/>
        </w:rPr>
        <w:t xml:space="preserve">] </w:t>
      </w:r>
      <w:r w:rsidRPr="005E651D">
        <w:rPr>
          <w:rFonts w:cstheme="minorHAnsi"/>
          <w:szCs w:val="22"/>
        </w:rPr>
        <w:t>the alleged extra-judicial killings of suspected drug offenders in Bangladesh and urged the authorities to ensure that these serious human rights violations are immediately halted and perpetrators brought to justice.”</w:t>
      </w:r>
      <w:r w:rsidRPr="005E651D">
        <w:rPr>
          <w:rStyle w:val="FootnoteReference"/>
          <w:rFonts w:cstheme="minorHAnsi"/>
          <w:szCs w:val="22"/>
        </w:rPr>
        <w:footnoteReference w:id="109"/>
      </w:r>
      <w:r w:rsidR="0066155B" w:rsidRPr="005E651D">
        <w:rPr>
          <w:rFonts w:cstheme="minorHAnsi"/>
          <w:szCs w:val="22"/>
        </w:rPr>
        <w:t xml:space="preserve"> </w:t>
      </w:r>
    </w:p>
    <w:p w14:paraId="7ECA5155" w14:textId="6988C7F0" w:rsidR="00717828" w:rsidRPr="005E651D" w:rsidRDefault="00717828" w:rsidP="00717828">
      <w:pPr>
        <w:pStyle w:val="BodyText"/>
        <w:rPr>
          <w:rFonts w:cstheme="minorHAnsi"/>
          <w:szCs w:val="22"/>
        </w:rPr>
      </w:pPr>
      <w:r w:rsidRPr="005E651D">
        <w:rPr>
          <w:rFonts w:cstheme="minorHAnsi"/>
          <w:szCs w:val="22"/>
        </w:rPr>
        <w:tab/>
        <w:t>Local NGOs have highlighted</w:t>
      </w:r>
      <w:r w:rsidR="00A57AEE" w:rsidRPr="005E651D">
        <w:rPr>
          <w:rFonts w:cstheme="minorHAnsi"/>
          <w:szCs w:val="22"/>
        </w:rPr>
        <w:t xml:space="preserve"> e</w:t>
      </w:r>
      <w:r w:rsidRPr="005E651D">
        <w:rPr>
          <w:rFonts w:cstheme="minorHAnsi"/>
          <w:szCs w:val="22"/>
        </w:rPr>
        <w:t xml:space="preserve">xtrajudicial killings by the Awami League-controlled government to silence political opponents and activists. </w:t>
      </w:r>
      <w:r w:rsidR="0066155B" w:rsidRPr="005E651D">
        <w:rPr>
          <w:rFonts w:cstheme="minorHAnsi"/>
          <w:szCs w:val="22"/>
        </w:rPr>
        <w:t xml:space="preserve">HRSS </w:t>
      </w:r>
      <w:r w:rsidRPr="005E651D">
        <w:rPr>
          <w:rFonts w:cstheme="minorHAnsi"/>
          <w:szCs w:val="22"/>
        </w:rPr>
        <w:t>documented six extrajudici</w:t>
      </w:r>
      <w:r w:rsidR="00CC47AB" w:rsidRPr="005E651D">
        <w:rPr>
          <w:rFonts w:cstheme="minorHAnsi"/>
          <w:szCs w:val="22"/>
        </w:rPr>
        <w:t>al killings of BNP members by LEAs</w:t>
      </w:r>
      <w:r w:rsidR="00933A2E" w:rsidRPr="005E651D">
        <w:rPr>
          <w:rFonts w:cstheme="minorHAnsi"/>
          <w:szCs w:val="22"/>
        </w:rPr>
        <w:t xml:space="preserve">, as well as </w:t>
      </w:r>
      <w:r w:rsidRPr="005E651D">
        <w:rPr>
          <w:rFonts w:cstheme="minorHAnsi"/>
          <w:szCs w:val="22"/>
        </w:rPr>
        <w:t>25 enforced disappearances of political opposition activists</w:t>
      </w:r>
      <w:r w:rsidR="00C827AF" w:rsidRPr="005E651D">
        <w:rPr>
          <w:rFonts w:cstheme="minorHAnsi"/>
          <w:szCs w:val="22"/>
        </w:rPr>
        <w:t xml:space="preserve"> in December 2018 </w:t>
      </w:r>
      <w:r w:rsidR="00A57AEE" w:rsidRPr="005E651D">
        <w:rPr>
          <w:rFonts w:cstheme="minorHAnsi"/>
          <w:szCs w:val="22"/>
        </w:rPr>
        <w:t>alone</w:t>
      </w:r>
      <w:r w:rsidRPr="005E651D">
        <w:rPr>
          <w:rFonts w:cstheme="minorHAnsi"/>
          <w:szCs w:val="22"/>
        </w:rPr>
        <w:t>.</w:t>
      </w:r>
      <w:r w:rsidRPr="005E651D">
        <w:rPr>
          <w:rStyle w:val="FootnoteReference"/>
          <w:rFonts w:cstheme="minorHAnsi"/>
          <w:szCs w:val="22"/>
        </w:rPr>
        <w:footnoteReference w:id="110"/>
      </w:r>
      <w:r w:rsidRPr="005E651D">
        <w:rPr>
          <w:rFonts w:cstheme="minorHAnsi"/>
          <w:szCs w:val="22"/>
        </w:rPr>
        <w:t xml:space="preserve"> A</w:t>
      </w:r>
      <w:r w:rsidR="00C827AF" w:rsidRPr="005E651D">
        <w:rPr>
          <w:rFonts w:cstheme="minorHAnsi"/>
          <w:szCs w:val="22"/>
        </w:rPr>
        <w:t xml:space="preserve"> subsequent</w:t>
      </w:r>
      <w:r w:rsidRPr="005E651D">
        <w:rPr>
          <w:rFonts w:cstheme="minorHAnsi"/>
          <w:szCs w:val="22"/>
        </w:rPr>
        <w:t xml:space="preserve"> HRSS report</w:t>
      </w:r>
      <w:r w:rsidR="00C827AF" w:rsidRPr="005E651D">
        <w:rPr>
          <w:rFonts w:cstheme="minorHAnsi"/>
          <w:szCs w:val="22"/>
        </w:rPr>
        <w:t xml:space="preserve"> found that </w:t>
      </w:r>
      <w:r w:rsidRPr="005E651D">
        <w:rPr>
          <w:rFonts w:cstheme="minorHAnsi"/>
          <w:szCs w:val="22"/>
        </w:rPr>
        <w:t xml:space="preserve">“many political activists have been forcefully disappeared from [January 2019 - February 2019] by the law enforcement agencies and deny the arrest; but days later, </w:t>
      </w:r>
      <w:r w:rsidRPr="005E651D">
        <w:rPr>
          <w:rFonts w:cstheme="minorHAnsi"/>
          <w:szCs w:val="22"/>
        </w:rPr>
        <w:lastRenderedPageBreak/>
        <w:t>their bullet-riddled dead body [</w:t>
      </w:r>
      <w:r w:rsidRPr="005E651D">
        <w:rPr>
          <w:rFonts w:cstheme="minorHAnsi"/>
          <w:i/>
          <w:szCs w:val="22"/>
        </w:rPr>
        <w:t>sic</w:t>
      </w:r>
      <w:r w:rsidRPr="005E651D">
        <w:rPr>
          <w:rFonts w:cstheme="minorHAnsi"/>
          <w:szCs w:val="22"/>
        </w:rPr>
        <w:t>] has been found in several places.”</w:t>
      </w:r>
      <w:r w:rsidRPr="005E651D">
        <w:rPr>
          <w:rStyle w:val="FootnoteReference"/>
          <w:rFonts w:cstheme="minorHAnsi"/>
          <w:szCs w:val="22"/>
        </w:rPr>
        <w:footnoteReference w:id="111"/>
      </w:r>
      <w:r w:rsidR="0001013F" w:rsidRPr="005E651D">
        <w:rPr>
          <w:rFonts w:cstheme="minorHAnsi"/>
          <w:szCs w:val="22"/>
        </w:rPr>
        <w:t xml:space="preserve"> </w:t>
      </w:r>
      <w:r w:rsidRPr="005E651D">
        <w:rPr>
          <w:rFonts w:cstheme="minorHAnsi"/>
          <w:szCs w:val="22"/>
        </w:rPr>
        <w:t xml:space="preserve">Below are some </w:t>
      </w:r>
      <w:r w:rsidR="0001013F" w:rsidRPr="005E651D">
        <w:rPr>
          <w:rFonts w:cstheme="minorHAnsi"/>
          <w:szCs w:val="22"/>
        </w:rPr>
        <w:t xml:space="preserve">specific </w:t>
      </w:r>
      <w:r w:rsidRPr="005E651D">
        <w:rPr>
          <w:rFonts w:cstheme="minorHAnsi"/>
          <w:szCs w:val="22"/>
        </w:rPr>
        <w:t xml:space="preserve">examples of extrajudicial killings targeting political opponents and </w:t>
      </w:r>
      <w:proofErr w:type="gramStart"/>
      <w:r w:rsidRPr="005E651D">
        <w:rPr>
          <w:rFonts w:cstheme="minorHAnsi"/>
          <w:szCs w:val="22"/>
        </w:rPr>
        <w:t>activists</w:t>
      </w:r>
      <w:r w:rsidR="00C827AF" w:rsidRPr="005E651D">
        <w:rPr>
          <w:rFonts w:cstheme="minorHAnsi"/>
          <w:szCs w:val="22"/>
        </w:rPr>
        <w:t>:</w:t>
      </w:r>
      <w:proofErr w:type="gramEnd"/>
    </w:p>
    <w:p w14:paraId="329F1939" w14:textId="0CEC366D" w:rsidR="00717828" w:rsidRPr="005E651D" w:rsidRDefault="00717828" w:rsidP="00717828">
      <w:pPr>
        <w:pStyle w:val="BodyText"/>
        <w:numPr>
          <w:ilvl w:val="0"/>
          <w:numId w:val="37"/>
        </w:numPr>
        <w:rPr>
          <w:rFonts w:cstheme="minorHAnsi"/>
          <w:szCs w:val="22"/>
        </w:rPr>
      </w:pPr>
      <w:r w:rsidRPr="005E651D">
        <w:rPr>
          <w:rFonts w:cstheme="minorHAnsi"/>
          <w:szCs w:val="22"/>
        </w:rPr>
        <w:t xml:space="preserve">On March 6, 2018, </w:t>
      </w:r>
      <w:r w:rsidR="00C86ECB" w:rsidRPr="005E651D">
        <w:rPr>
          <w:rFonts w:cstheme="minorHAnsi"/>
          <w:szCs w:val="22"/>
        </w:rPr>
        <w:t xml:space="preserve">plainclothes LEAs </w:t>
      </w:r>
      <w:r w:rsidRPr="005E651D">
        <w:rPr>
          <w:rFonts w:cstheme="minorHAnsi"/>
          <w:szCs w:val="22"/>
        </w:rPr>
        <w:t xml:space="preserve">arrested a student leader of the BNP party named Zakir Hossain Milon, alleging charges of obstructing justice. Officials claimed that while interrogating Milon, he complained of an “illness,” and he was transported to the Dhaka Medical College Hospital. Six days later, Milon was pronounced dead. Family members of Milon alleged that </w:t>
      </w:r>
      <w:r w:rsidR="009C26D1" w:rsidRPr="005E651D">
        <w:rPr>
          <w:rFonts w:cstheme="minorHAnsi"/>
          <w:szCs w:val="22"/>
        </w:rPr>
        <w:t>he</w:t>
      </w:r>
      <w:r w:rsidRPr="005E651D">
        <w:rPr>
          <w:rFonts w:cstheme="minorHAnsi"/>
          <w:szCs w:val="22"/>
        </w:rPr>
        <w:t xml:space="preserve"> died due to torture at the hands of law enforcement, as when they received his remains, Milon’s lower body </w:t>
      </w:r>
      <w:r w:rsidR="00922632" w:rsidRPr="005E651D">
        <w:rPr>
          <w:rFonts w:cstheme="minorHAnsi"/>
          <w:szCs w:val="22"/>
        </w:rPr>
        <w:t xml:space="preserve">was </w:t>
      </w:r>
      <w:r w:rsidR="00BE7C1B" w:rsidRPr="005E651D">
        <w:rPr>
          <w:rFonts w:cstheme="minorHAnsi"/>
          <w:szCs w:val="22"/>
        </w:rPr>
        <w:t>severely</w:t>
      </w:r>
      <w:r w:rsidR="00922632" w:rsidRPr="005E651D">
        <w:rPr>
          <w:rFonts w:cstheme="minorHAnsi"/>
          <w:szCs w:val="22"/>
        </w:rPr>
        <w:t xml:space="preserve"> bruised</w:t>
      </w:r>
      <w:r w:rsidRPr="005E651D">
        <w:rPr>
          <w:rFonts w:cstheme="minorHAnsi"/>
          <w:szCs w:val="22"/>
        </w:rPr>
        <w:t xml:space="preserve"> and his fingernails were missing.</w:t>
      </w:r>
      <w:r w:rsidRPr="005E651D">
        <w:rPr>
          <w:rStyle w:val="FootnoteReference"/>
          <w:rFonts w:cstheme="minorHAnsi"/>
          <w:szCs w:val="22"/>
        </w:rPr>
        <w:footnoteReference w:id="112"/>
      </w:r>
    </w:p>
    <w:p w14:paraId="3BDC4B7E" w14:textId="6A606DD3" w:rsidR="00D43C90" w:rsidRPr="005E651D" w:rsidRDefault="00717828" w:rsidP="00547DC8">
      <w:pPr>
        <w:pStyle w:val="BodyText"/>
        <w:numPr>
          <w:ilvl w:val="0"/>
          <w:numId w:val="37"/>
        </w:numPr>
        <w:rPr>
          <w:rFonts w:cstheme="minorHAnsi"/>
          <w:szCs w:val="22"/>
        </w:rPr>
      </w:pPr>
      <w:r w:rsidRPr="005E651D">
        <w:rPr>
          <w:rFonts w:cstheme="minorHAnsi"/>
          <w:szCs w:val="22"/>
        </w:rPr>
        <w:t>On Decem</w:t>
      </w:r>
      <w:r w:rsidR="00114FC5" w:rsidRPr="005E651D">
        <w:rPr>
          <w:rFonts w:cstheme="minorHAnsi"/>
          <w:szCs w:val="22"/>
        </w:rPr>
        <w:t>ber 12, 2018, a city BNP leader</w:t>
      </w:r>
      <w:r w:rsidRPr="005E651D">
        <w:rPr>
          <w:rFonts w:cstheme="minorHAnsi"/>
          <w:szCs w:val="22"/>
        </w:rPr>
        <w:t>, Kafil Uddin, was kil</w:t>
      </w:r>
      <w:r w:rsidR="00C86ECB" w:rsidRPr="005E651D">
        <w:rPr>
          <w:rFonts w:cstheme="minorHAnsi"/>
          <w:szCs w:val="22"/>
        </w:rPr>
        <w:t xml:space="preserve">led by alleged plainclothes LEAs </w:t>
      </w:r>
      <w:r w:rsidRPr="005E651D">
        <w:rPr>
          <w:rFonts w:cstheme="minorHAnsi"/>
          <w:szCs w:val="22"/>
        </w:rPr>
        <w:t>in the Vatara area of Dhaka. The plainclothes men raided Uddin’s home in the early morning, causing Uddin to take refuge on his home’s rooftop. After torturing Uddin’s son, the plainclothes men pursued Uddin and pushed him off the rooftop. Uddin was taken to a local hospital and pronounced dead.</w:t>
      </w:r>
      <w:r w:rsidRPr="005E651D">
        <w:rPr>
          <w:rStyle w:val="FootnoteReference"/>
          <w:rFonts w:cstheme="minorHAnsi"/>
          <w:szCs w:val="22"/>
        </w:rPr>
        <w:footnoteReference w:id="113"/>
      </w:r>
    </w:p>
    <w:p w14:paraId="10623815" w14:textId="3D39A509" w:rsidR="00131CD1" w:rsidRPr="005E651D" w:rsidRDefault="00E63091" w:rsidP="0034621C">
      <w:pPr>
        <w:pStyle w:val="BodyTextFirstHalfIndent"/>
        <w:rPr>
          <w:rFonts w:cstheme="minorHAnsi"/>
        </w:rPr>
      </w:pPr>
      <w:r w:rsidRPr="005E651D">
        <w:rPr>
          <w:rFonts w:cstheme="minorHAnsi"/>
        </w:rPr>
        <w:t xml:space="preserve">As the above examples illustrate, extrajudicial killings are used against political opponents in direct contravention of the Government’s obligations under the Convention. </w:t>
      </w:r>
      <w:r w:rsidR="00A25B35" w:rsidRPr="005E651D">
        <w:rPr>
          <w:rFonts w:cstheme="minorHAnsi"/>
        </w:rPr>
        <w:t>Further, the increasing use of “crossfire” killings as a cover for LEA murders undermines the country’s commitment to judicial process.</w:t>
      </w:r>
    </w:p>
    <w:p w14:paraId="2C325117" w14:textId="77777777" w:rsidR="00F56D47" w:rsidRPr="005E651D" w:rsidRDefault="00F56D47" w:rsidP="00287964">
      <w:pPr>
        <w:pStyle w:val="Heading2"/>
        <w:rPr>
          <w:rFonts w:asciiTheme="minorHAnsi" w:hAnsiTheme="minorHAnsi" w:cstheme="minorHAnsi"/>
        </w:rPr>
      </w:pPr>
      <w:bookmarkStart w:id="65" w:name="_Toc11053844"/>
      <w:bookmarkStart w:id="66" w:name="_Toc11879537"/>
      <w:bookmarkStart w:id="67" w:name="_Toc11883198"/>
      <w:bookmarkStart w:id="68" w:name="_Toc11922676"/>
      <w:bookmarkStart w:id="69" w:name="_Toc11945117"/>
      <w:r w:rsidRPr="005E651D">
        <w:rPr>
          <w:rFonts w:asciiTheme="minorHAnsi" w:hAnsiTheme="minorHAnsi" w:cstheme="minorHAnsi"/>
        </w:rPr>
        <w:t>Enforced Disappearances</w:t>
      </w:r>
      <w:bookmarkEnd w:id="65"/>
      <w:bookmarkEnd w:id="66"/>
      <w:bookmarkEnd w:id="67"/>
      <w:bookmarkEnd w:id="68"/>
      <w:bookmarkEnd w:id="69"/>
    </w:p>
    <w:p w14:paraId="0EF61A59" w14:textId="70A7D994" w:rsidR="00631EE0" w:rsidRPr="005E651D" w:rsidRDefault="00615DAC" w:rsidP="00615DAC">
      <w:pPr>
        <w:pStyle w:val="ListParagraph"/>
        <w:ind w:left="0"/>
        <w:rPr>
          <w:rFonts w:cstheme="minorHAnsi"/>
          <w:szCs w:val="22"/>
        </w:rPr>
      </w:pPr>
      <w:r w:rsidRPr="005E651D">
        <w:rPr>
          <w:rFonts w:cstheme="minorHAnsi"/>
          <w:szCs w:val="22"/>
        </w:rPr>
        <w:tab/>
        <w:t xml:space="preserve">The UN, international and local human rights </w:t>
      </w:r>
      <w:r w:rsidR="006A2E7D" w:rsidRPr="005E651D">
        <w:rPr>
          <w:rFonts w:cstheme="minorHAnsi"/>
          <w:szCs w:val="22"/>
        </w:rPr>
        <w:t>NGOs</w:t>
      </w:r>
      <w:r w:rsidR="00966532" w:rsidRPr="005E651D">
        <w:rPr>
          <w:rFonts w:cstheme="minorHAnsi"/>
          <w:szCs w:val="22"/>
        </w:rPr>
        <w:t>,</w:t>
      </w:r>
      <w:r w:rsidRPr="005E651D">
        <w:rPr>
          <w:rFonts w:cstheme="minorHAnsi"/>
          <w:szCs w:val="22"/>
        </w:rPr>
        <w:t xml:space="preserve"> and other observers have concluded that </w:t>
      </w:r>
      <w:r w:rsidR="00966532" w:rsidRPr="005E651D">
        <w:rPr>
          <w:rFonts w:cstheme="minorHAnsi"/>
          <w:szCs w:val="22"/>
        </w:rPr>
        <w:t xml:space="preserve">the </w:t>
      </w:r>
      <w:r w:rsidRPr="005E651D">
        <w:rPr>
          <w:rFonts w:cstheme="minorHAnsi"/>
          <w:szCs w:val="22"/>
        </w:rPr>
        <w:t xml:space="preserve">use of enforced disappearance </w:t>
      </w:r>
      <w:r w:rsidR="00966532" w:rsidRPr="005E651D">
        <w:rPr>
          <w:rFonts w:cstheme="minorHAnsi"/>
          <w:szCs w:val="22"/>
        </w:rPr>
        <w:t xml:space="preserve">by LEAs in Bangladesh </w:t>
      </w:r>
      <w:r w:rsidRPr="005E651D">
        <w:rPr>
          <w:rFonts w:cstheme="minorHAnsi"/>
          <w:szCs w:val="22"/>
        </w:rPr>
        <w:t xml:space="preserve">is rampant and </w:t>
      </w:r>
      <w:r w:rsidR="00631EE0" w:rsidRPr="005E651D">
        <w:rPr>
          <w:rFonts w:cstheme="minorHAnsi"/>
          <w:szCs w:val="22"/>
        </w:rPr>
        <w:t xml:space="preserve">not penalized </w:t>
      </w:r>
      <w:r w:rsidRPr="005E651D">
        <w:rPr>
          <w:rFonts w:cstheme="minorHAnsi"/>
          <w:szCs w:val="22"/>
        </w:rPr>
        <w:t xml:space="preserve">by the </w:t>
      </w:r>
      <w:r w:rsidR="0087517C" w:rsidRPr="005E651D">
        <w:rPr>
          <w:rFonts w:cstheme="minorHAnsi"/>
          <w:szCs w:val="22"/>
        </w:rPr>
        <w:t>Government</w:t>
      </w:r>
      <w:r w:rsidRPr="005E651D">
        <w:rPr>
          <w:rFonts w:cstheme="minorHAnsi"/>
          <w:szCs w:val="22"/>
        </w:rPr>
        <w:t xml:space="preserve"> despite such practice’s violation of the Convention and international law.</w:t>
      </w:r>
    </w:p>
    <w:p w14:paraId="784366F1" w14:textId="77777777" w:rsidR="00130E25" w:rsidRPr="005E651D" w:rsidRDefault="00130E25" w:rsidP="00615DAC">
      <w:pPr>
        <w:pStyle w:val="ListParagraph"/>
        <w:ind w:left="0"/>
        <w:rPr>
          <w:rFonts w:cstheme="minorHAnsi"/>
          <w:szCs w:val="22"/>
        </w:rPr>
      </w:pPr>
    </w:p>
    <w:p w14:paraId="638C13B5" w14:textId="7FE19645" w:rsidR="00E378F9" w:rsidRPr="005E651D" w:rsidRDefault="00E378F9" w:rsidP="00352361">
      <w:pPr>
        <w:pStyle w:val="ListParagraph"/>
        <w:ind w:left="0" w:right="720"/>
        <w:rPr>
          <w:rFonts w:cstheme="minorHAnsi"/>
        </w:rPr>
      </w:pPr>
      <w:r w:rsidRPr="005E651D">
        <w:rPr>
          <w:rFonts w:cstheme="minorHAnsi"/>
          <w:szCs w:val="22"/>
        </w:rPr>
        <w:tab/>
      </w:r>
      <w:r w:rsidRPr="005E651D">
        <w:rPr>
          <w:rFonts w:cstheme="minorHAnsi"/>
        </w:rPr>
        <w:t xml:space="preserve">The Committee considers enforced disappearance to be a form of torture or cruel, inhuman </w:t>
      </w:r>
      <w:r w:rsidR="00D21F25" w:rsidRPr="005E651D">
        <w:rPr>
          <w:rFonts w:cstheme="minorHAnsi"/>
        </w:rPr>
        <w:t>or</w:t>
      </w:r>
      <w:r w:rsidRPr="005E651D">
        <w:rPr>
          <w:rFonts w:cstheme="minorHAnsi"/>
        </w:rPr>
        <w:t xml:space="preserve"> degrading treatment, as made clear in its 2015 consideration of </w:t>
      </w:r>
      <w:r w:rsidRPr="005E651D">
        <w:rPr>
          <w:rFonts w:cstheme="minorHAnsi"/>
          <w:i/>
        </w:rPr>
        <w:t>Guerrero Larez v. Venezuela</w:t>
      </w:r>
      <w:r w:rsidRPr="005E651D">
        <w:rPr>
          <w:rFonts w:cstheme="minorHAnsi"/>
        </w:rPr>
        <w:t>.</w:t>
      </w:r>
      <w:r w:rsidR="00F943EE" w:rsidRPr="005E651D">
        <w:rPr>
          <w:rStyle w:val="FootnoteReference"/>
          <w:rFonts w:cstheme="minorHAnsi"/>
        </w:rPr>
        <w:footnoteReference w:id="114"/>
      </w:r>
      <w:r w:rsidR="00352361" w:rsidRPr="005E651D">
        <w:rPr>
          <w:rFonts w:cstheme="minorHAnsi"/>
        </w:rPr>
        <w:t xml:space="preserve"> </w:t>
      </w:r>
      <w:r w:rsidRPr="005E651D">
        <w:rPr>
          <w:rFonts w:cstheme="minorHAnsi"/>
        </w:rPr>
        <w:t>The Committee</w:t>
      </w:r>
      <w:r w:rsidR="00BE6548" w:rsidRPr="005E651D">
        <w:rPr>
          <w:rFonts w:cstheme="minorHAnsi"/>
        </w:rPr>
        <w:t xml:space="preserve"> also</w:t>
      </w:r>
      <w:r w:rsidRPr="005E651D">
        <w:rPr>
          <w:rFonts w:cstheme="minorHAnsi"/>
        </w:rPr>
        <w:t xml:space="preserve"> has confirmed in its regular evaluations of State parties that the practice of enforced disappearance violates the Convention because it precludes compliance with the most fundamental objective of the treaty: to prevent acts of torture.</w:t>
      </w:r>
      <w:r w:rsidRPr="005E651D">
        <w:rPr>
          <w:rStyle w:val="FootnoteReference"/>
          <w:rFonts w:cstheme="minorHAnsi"/>
        </w:rPr>
        <w:footnoteReference w:id="115"/>
      </w:r>
    </w:p>
    <w:p w14:paraId="09973C77" w14:textId="1C2C4C09" w:rsidR="00CC52DE" w:rsidRPr="005E651D" w:rsidRDefault="00CC52DE" w:rsidP="00615DAC">
      <w:pPr>
        <w:pStyle w:val="ListParagraph"/>
        <w:ind w:left="0"/>
        <w:rPr>
          <w:rFonts w:cstheme="minorHAnsi"/>
          <w:szCs w:val="22"/>
        </w:rPr>
      </w:pPr>
    </w:p>
    <w:p w14:paraId="4FCBA65F" w14:textId="5B06D63E" w:rsidR="00D018F8" w:rsidRPr="005E651D" w:rsidRDefault="00EE6966" w:rsidP="00A102F3">
      <w:pPr>
        <w:pStyle w:val="BodyText"/>
        <w:rPr>
          <w:rFonts w:cstheme="minorHAnsi"/>
        </w:rPr>
      </w:pPr>
      <w:r w:rsidRPr="005E651D">
        <w:rPr>
          <w:rFonts w:cstheme="minorHAnsi"/>
        </w:rPr>
        <w:tab/>
      </w:r>
      <w:r w:rsidR="00191992" w:rsidRPr="005E651D">
        <w:rPr>
          <w:rFonts w:cstheme="minorHAnsi"/>
        </w:rPr>
        <w:t xml:space="preserve">Various UN bodies have reported on the rampant practice of enforced disappearances in Bangladesh. </w:t>
      </w:r>
      <w:r w:rsidR="005D7A39" w:rsidRPr="005E651D">
        <w:rPr>
          <w:rFonts w:cstheme="minorHAnsi"/>
        </w:rPr>
        <w:t>T</w:t>
      </w:r>
      <w:r w:rsidR="00A102F3" w:rsidRPr="005E651D">
        <w:rPr>
          <w:rFonts w:cstheme="minorHAnsi"/>
        </w:rPr>
        <w:t>he</w:t>
      </w:r>
      <w:r w:rsidR="005D7A39" w:rsidRPr="005E651D">
        <w:rPr>
          <w:rFonts w:cstheme="minorHAnsi"/>
        </w:rPr>
        <w:t xml:space="preserve"> UN</w:t>
      </w:r>
      <w:r w:rsidR="00A102F3" w:rsidRPr="005E651D">
        <w:rPr>
          <w:rFonts w:cstheme="minorHAnsi"/>
        </w:rPr>
        <w:t xml:space="preserve"> Working Group </w:t>
      </w:r>
      <w:r w:rsidR="000A260C" w:rsidRPr="005E651D">
        <w:rPr>
          <w:rFonts w:cstheme="minorHAnsi"/>
        </w:rPr>
        <w:t xml:space="preserve">on Enforced or Involuntary Disappearances </w:t>
      </w:r>
      <w:r w:rsidR="00A102F3" w:rsidRPr="005E651D">
        <w:rPr>
          <w:rFonts w:cstheme="minorHAnsi"/>
        </w:rPr>
        <w:t xml:space="preserve">underscored that </w:t>
      </w:r>
      <w:r w:rsidR="000A260C" w:rsidRPr="005E651D">
        <w:rPr>
          <w:rFonts w:cstheme="minorHAnsi"/>
        </w:rPr>
        <w:t>there</w:t>
      </w:r>
      <w:r w:rsidR="00A102F3" w:rsidRPr="005E651D">
        <w:rPr>
          <w:rFonts w:cstheme="minorHAnsi"/>
        </w:rPr>
        <w:t xml:space="preserve"> are “hundreds, if not thousands, of such instances occurring in recent years,” which have targeted leaders </w:t>
      </w:r>
      <w:r w:rsidR="00A102F3" w:rsidRPr="005E651D">
        <w:rPr>
          <w:rFonts w:cstheme="minorHAnsi"/>
        </w:rPr>
        <w:lastRenderedPageBreak/>
        <w:t>and activ</w:t>
      </w:r>
      <w:r w:rsidR="005C7A97" w:rsidRPr="005E651D">
        <w:rPr>
          <w:rFonts w:cstheme="minorHAnsi"/>
        </w:rPr>
        <w:t>ists of th</w:t>
      </w:r>
      <w:r w:rsidR="00283E07" w:rsidRPr="005E651D">
        <w:rPr>
          <w:rFonts w:cstheme="minorHAnsi"/>
        </w:rPr>
        <w:t>e BNP</w:t>
      </w:r>
      <w:r w:rsidR="005C7A97" w:rsidRPr="005E651D">
        <w:rPr>
          <w:rFonts w:cstheme="minorHAnsi"/>
        </w:rPr>
        <w:t>,</w:t>
      </w:r>
      <w:r w:rsidR="00A102F3" w:rsidRPr="005E651D">
        <w:rPr>
          <w:rFonts w:cstheme="minorHAnsi"/>
        </w:rPr>
        <w:t xml:space="preserve"> student activists</w:t>
      </w:r>
      <w:r w:rsidR="005C7A97" w:rsidRPr="005E651D">
        <w:rPr>
          <w:rFonts w:cstheme="minorHAnsi"/>
        </w:rPr>
        <w:t>,</w:t>
      </w:r>
      <w:r w:rsidR="00A102F3" w:rsidRPr="005E651D">
        <w:rPr>
          <w:rFonts w:cstheme="minorHAnsi"/>
        </w:rPr>
        <w:t xml:space="preserve"> and even ordinary citizens.</w:t>
      </w:r>
      <w:r w:rsidR="00A102F3" w:rsidRPr="005E651D">
        <w:rPr>
          <w:rStyle w:val="FootnoteReference"/>
          <w:rFonts w:cstheme="minorHAnsi"/>
          <w:szCs w:val="22"/>
        </w:rPr>
        <w:footnoteReference w:id="116"/>
      </w:r>
      <w:r w:rsidR="00A102F3" w:rsidRPr="005E651D">
        <w:rPr>
          <w:rFonts w:cstheme="minorHAnsi"/>
        </w:rPr>
        <w:t xml:space="preserve"> As the Working Group expressed, and as</w:t>
      </w:r>
      <w:r w:rsidR="00C86ECB" w:rsidRPr="005E651D">
        <w:rPr>
          <w:rFonts w:cstheme="minorHAnsi"/>
        </w:rPr>
        <w:t xml:space="preserve"> this report</w:t>
      </w:r>
      <w:r w:rsidR="00A102F3" w:rsidRPr="005E651D">
        <w:rPr>
          <w:rFonts w:cstheme="minorHAnsi"/>
        </w:rPr>
        <w:t xml:space="preserve"> se</w:t>
      </w:r>
      <w:r w:rsidR="005F3867" w:rsidRPr="005E651D">
        <w:rPr>
          <w:rFonts w:cstheme="minorHAnsi"/>
        </w:rPr>
        <w:t>eks to augment, the Bangladesh</w:t>
      </w:r>
      <w:r w:rsidR="00B06050" w:rsidRPr="005E651D">
        <w:rPr>
          <w:rFonts w:cstheme="minorHAnsi"/>
        </w:rPr>
        <w:t>i</w:t>
      </w:r>
      <w:r w:rsidR="005F3867" w:rsidRPr="005E651D">
        <w:rPr>
          <w:rFonts w:cstheme="minorHAnsi"/>
        </w:rPr>
        <w:t xml:space="preserve"> security and intelligence f</w:t>
      </w:r>
      <w:r w:rsidR="00A102F3" w:rsidRPr="005E651D">
        <w:rPr>
          <w:rFonts w:cstheme="minorHAnsi"/>
        </w:rPr>
        <w:t xml:space="preserve">orces and other </w:t>
      </w:r>
      <w:r w:rsidR="00AE1985" w:rsidRPr="005E651D">
        <w:rPr>
          <w:rFonts w:cstheme="minorHAnsi"/>
        </w:rPr>
        <w:t>LEAs</w:t>
      </w:r>
      <w:r w:rsidR="00E16A3A" w:rsidRPr="005E651D">
        <w:rPr>
          <w:rFonts w:cstheme="minorHAnsi"/>
        </w:rPr>
        <w:t xml:space="preserve"> </w:t>
      </w:r>
      <w:r w:rsidR="00E66229" w:rsidRPr="005E651D">
        <w:rPr>
          <w:rFonts w:cstheme="minorHAnsi"/>
        </w:rPr>
        <w:t>have</w:t>
      </w:r>
      <w:r w:rsidR="00A102F3" w:rsidRPr="005E651D">
        <w:rPr>
          <w:rFonts w:cstheme="minorHAnsi"/>
        </w:rPr>
        <w:t xml:space="preserve"> all been directly implicated in these reported “grave human rights abuses and violations</w:t>
      </w:r>
      <w:r w:rsidR="00D7483F" w:rsidRPr="005E651D">
        <w:rPr>
          <w:rFonts w:cstheme="minorHAnsi"/>
        </w:rPr>
        <w:t>.</w:t>
      </w:r>
      <w:r w:rsidR="00A102F3" w:rsidRPr="005E651D">
        <w:rPr>
          <w:rFonts w:cstheme="minorHAnsi"/>
        </w:rPr>
        <w:t>”</w:t>
      </w:r>
      <w:r w:rsidR="00A102F3" w:rsidRPr="005E651D">
        <w:rPr>
          <w:rStyle w:val="FootnoteReference"/>
          <w:rFonts w:cstheme="minorHAnsi"/>
          <w:szCs w:val="22"/>
        </w:rPr>
        <w:footnoteReference w:id="117"/>
      </w:r>
      <w:r w:rsidR="00A102F3" w:rsidRPr="005E651D">
        <w:rPr>
          <w:rFonts w:cstheme="minorHAnsi"/>
        </w:rPr>
        <w:t xml:space="preserve"> </w:t>
      </w:r>
      <w:r w:rsidR="00E57D4B" w:rsidRPr="005E651D">
        <w:rPr>
          <w:rFonts w:cstheme="minorHAnsi"/>
          <w:szCs w:val="22"/>
        </w:rPr>
        <w:t>Compounding these egregious transgressions, Bangladeshi authorities had “refused</w:t>
      </w:r>
      <w:r w:rsidR="009919CF" w:rsidRPr="005E651D">
        <w:rPr>
          <w:rFonts w:cstheme="minorHAnsi"/>
          <w:szCs w:val="22"/>
        </w:rPr>
        <w:t xml:space="preserve"> the</w:t>
      </w:r>
      <w:r w:rsidR="00E57D4B" w:rsidRPr="005E651D">
        <w:rPr>
          <w:rFonts w:cstheme="minorHAnsi"/>
          <w:szCs w:val="22"/>
        </w:rPr>
        <w:t xml:space="preserve"> detainees access to a lawyer or family,” “publicly denied having arrested political opponents,” and “systematically denied access to the complaint mechanisms or, if not denied, controlled the mechanism and further investigation, refusing to register complaints in which the words ‘enforced disappearance’ appeared”</w:t>
      </w:r>
      <w:r w:rsidR="00E57D4B" w:rsidRPr="005E651D">
        <w:rPr>
          <w:rStyle w:val="FootnoteReference"/>
          <w:rFonts w:cstheme="minorHAnsi"/>
          <w:szCs w:val="22"/>
        </w:rPr>
        <w:footnoteReference w:id="118"/>
      </w:r>
      <w:r w:rsidR="00E57D4B" w:rsidRPr="005E651D">
        <w:rPr>
          <w:rFonts w:cstheme="minorHAnsi"/>
          <w:szCs w:val="22"/>
        </w:rPr>
        <w:t>— directly contravening Convention Articles 2, 13, and 14, at a minimum.</w:t>
      </w:r>
      <w:r w:rsidR="00A102F3" w:rsidRPr="005E651D">
        <w:rPr>
          <w:rFonts w:cstheme="minorHAnsi"/>
        </w:rPr>
        <w:t xml:space="preserve"> In turn, and as recognized by the Working Group, it is “known” that the Government actively </w:t>
      </w:r>
      <w:r w:rsidR="00A57E54" w:rsidRPr="005E651D">
        <w:rPr>
          <w:rFonts w:cstheme="minorHAnsi"/>
        </w:rPr>
        <w:t>undertakes efforts to cover up S</w:t>
      </w:r>
      <w:r w:rsidR="00A102F3" w:rsidRPr="005E651D">
        <w:rPr>
          <w:rFonts w:cstheme="minorHAnsi"/>
        </w:rPr>
        <w:t>tate responsibility for these unlawful arrests, namely by (i) fabricating charges; (ii) taking unlawfully arrested individuals across the Indian border and subsequently arresting them as “illegal migrants” or disappearing them altogether; and/or (iii) executing victim</w:t>
      </w:r>
      <w:r w:rsidR="00FB58AA" w:rsidRPr="005E651D">
        <w:rPr>
          <w:rFonts w:cstheme="minorHAnsi"/>
        </w:rPr>
        <w:t>s through “cross-fire shootings</w:t>
      </w:r>
      <w:r w:rsidR="00A102F3" w:rsidRPr="005E651D">
        <w:rPr>
          <w:rFonts w:cstheme="minorHAnsi"/>
        </w:rPr>
        <w:t>”</w:t>
      </w:r>
      <w:r w:rsidR="00FB58AA" w:rsidRPr="005E651D">
        <w:rPr>
          <w:rFonts w:cstheme="minorHAnsi"/>
        </w:rPr>
        <w:t xml:space="preserve"> (described </w:t>
      </w:r>
      <w:r w:rsidR="003E3DAC" w:rsidRPr="005E651D">
        <w:rPr>
          <w:rFonts w:cstheme="minorHAnsi"/>
        </w:rPr>
        <w:t>in</w:t>
      </w:r>
      <w:r w:rsidR="008732CD" w:rsidRPr="005E651D">
        <w:rPr>
          <w:rFonts w:cstheme="minorHAnsi"/>
        </w:rPr>
        <w:t xml:space="preserve"> Section </w:t>
      </w:r>
      <w:r w:rsidR="008732CD" w:rsidRPr="005E651D">
        <w:rPr>
          <w:rFonts w:cstheme="minorHAnsi"/>
          <w:highlight w:val="yellow"/>
        </w:rPr>
        <w:fldChar w:fldCharType="begin"/>
      </w:r>
      <w:r w:rsidR="008732CD" w:rsidRPr="005E651D">
        <w:rPr>
          <w:rFonts w:cstheme="minorHAnsi"/>
        </w:rPr>
        <w:instrText xml:space="preserve"> REF _Ref11141967 \w \h </w:instrText>
      </w:r>
      <w:r w:rsidR="005E651D">
        <w:rPr>
          <w:rFonts w:cstheme="minorHAnsi"/>
          <w:highlight w:val="yellow"/>
        </w:rPr>
        <w:instrText xml:space="preserve"> \* MERGEFORMAT </w:instrText>
      </w:r>
      <w:r w:rsidR="008732CD" w:rsidRPr="005E651D">
        <w:rPr>
          <w:rFonts w:cstheme="minorHAnsi"/>
          <w:highlight w:val="yellow"/>
        </w:rPr>
      </w:r>
      <w:r w:rsidR="008732CD" w:rsidRPr="005E651D">
        <w:rPr>
          <w:rFonts w:cstheme="minorHAnsi"/>
          <w:highlight w:val="yellow"/>
        </w:rPr>
        <w:fldChar w:fldCharType="separate"/>
      </w:r>
      <w:r w:rsidR="00D96A88">
        <w:rPr>
          <w:rFonts w:cstheme="minorHAnsi"/>
        </w:rPr>
        <w:t>III.B</w:t>
      </w:r>
      <w:r w:rsidR="008732CD" w:rsidRPr="005E651D">
        <w:rPr>
          <w:rFonts w:cstheme="minorHAnsi"/>
          <w:highlight w:val="yellow"/>
        </w:rPr>
        <w:fldChar w:fldCharType="end"/>
      </w:r>
      <w:r w:rsidR="00FB58AA" w:rsidRPr="005E651D">
        <w:rPr>
          <w:rFonts w:cstheme="minorHAnsi"/>
        </w:rPr>
        <w:t>).</w:t>
      </w:r>
      <w:r w:rsidR="00A102F3" w:rsidRPr="005E651D">
        <w:rPr>
          <w:rStyle w:val="FootnoteReference"/>
          <w:rFonts w:cstheme="minorHAnsi"/>
          <w:szCs w:val="22"/>
        </w:rPr>
        <w:footnoteReference w:id="119"/>
      </w:r>
    </w:p>
    <w:p w14:paraId="2212764C" w14:textId="201B2849" w:rsidR="00615DAC" w:rsidRPr="005E651D" w:rsidRDefault="00D018F8" w:rsidP="00D018F8">
      <w:pPr>
        <w:pStyle w:val="BodyText"/>
        <w:rPr>
          <w:rFonts w:cstheme="minorHAnsi"/>
        </w:rPr>
      </w:pPr>
      <w:r w:rsidRPr="005E651D">
        <w:rPr>
          <w:rFonts w:cstheme="minorHAnsi"/>
        </w:rPr>
        <w:tab/>
      </w:r>
      <w:r w:rsidR="00615DAC" w:rsidRPr="005E651D">
        <w:rPr>
          <w:rFonts w:cstheme="minorHAnsi"/>
        </w:rPr>
        <w:t xml:space="preserve">As of July 2018, the </w:t>
      </w:r>
      <w:r w:rsidR="00A01829" w:rsidRPr="005E651D">
        <w:rPr>
          <w:rFonts w:cstheme="minorHAnsi"/>
        </w:rPr>
        <w:t>UN</w:t>
      </w:r>
      <w:r w:rsidR="00615DAC" w:rsidRPr="005E651D">
        <w:rPr>
          <w:rFonts w:cstheme="minorHAnsi"/>
        </w:rPr>
        <w:t xml:space="preserve"> Working Group on Enforced or Involuntary Disappearances had officially recognized and transmitted 60 cases of enforced disappearances in Bangladesh—57 of which remained outstanding—and restated the three general allegations that had been issued to Bangladesh in 2011, 2016, and 2017 concerning “the alleged frequent use of enforced disappearance as a tool by law enforcement agencies, and paramilitary and armed forces to detain and even to execute individuals extrajudicially”; “the reportedly alarming rise in the number of cases of enforced disappearance in the country”; and “allegations of grave human rights abuses and violations committed by the security and intelligence forces, as well as law enforcement authorities,” respectively.</w:t>
      </w:r>
      <w:r w:rsidR="00615DAC" w:rsidRPr="005E651D">
        <w:rPr>
          <w:rStyle w:val="FootnoteReference"/>
          <w:rFonts w:cstheme="minorHAnsi"/>
          <w:szCs w:val="22"/>
        </w:rPr>
        <w:footnoteReference w:id="120"/>
      </w:r>
      <w:r w:rsidR="00615DAC" w:rsidRPr="005E651D">
        <w:rPr>
          <w:rFonts w:cstheme="minorHAnsi"/>
        </w:rPr>
        <w:t xml:space="preserve"> </w:t>
      </w:r>
      <w:r w:rsidR="00794EA4" w:rsidRPr="005E651D">
        <w:rPr>
          <w:rFonts w:cstheme="minorHAnsi"/>
        </w:rPr>
        <w:t xml:space="preserve">As both the </w:t>
      </w:r>
      <w:r w:rsidR="00AF49A8" w:rsidRPr="005E651D">
        <w:rPr>
          <w:rFonts w:cstheme="minorHAnsi"/>
          <w:szCs w:val="22"/>
        </w:rPr>
        <w:t xml:space="preserve">UN Human Rights </w:t>
      </w:r>
      <w:r w:rsidR="004C04A1" w:rsidRPr="005E651D">
        <w:rPr>
          <w:rFonts w:cstheme="minorHAnsi"/>
          <w:szCs w:val="22"/>
        </w:rPr>
        <w:t>Council</w:t>
      </w:r>
      <w:r w:rsidR="00AF49A8" w:rsidRPr="005E651D">
        <w:rPr>
          <w:rFonts w:cstheme="minorHAnsi"/>
        </w:rPr>
        <w:t xml:space="preserve"> </w:t>
      </w:r>
      <w:r w:rsidR="00794EA4" w:rsidRPr="005E651D">
        <w:rPr>
          <w:rFonts w:cstheme="minorHAnsi"/>
        </w:rPr>
        <w:t xml:space="preserve">and the </w:t>
      </w:r>
      <w:r w:rsidR="00A01829" w:rsidRPr="005E651D">
        <w:rPr>
          <w:rFonts w:cstheme="minorHAnsi"/>
        </w:rPr>
        <w:t>UN</w:t>
      </w:r>
      <w:r w:rsidR="00794EA4" w:rsidRPr="005E651D">
        <w:rPr>
          <w:rFonts w:cstheme="minorHAnsi"/>
        </w:rPr>
        <w:t xml:space="preserve"> Working Group on Enforced or Involuntary Disappearances have recognized, the Government has repeatedly ignored requests from the </w:t>
      </w:r>
      <w:r w:rsidR="00A01829" w:rsidRPr="005E651D">
        <w:rPr>
          <w:rFonts w:cstheme="minorHAnsi"/>
        </w:rPr>
        <w:t>UN</w:t>
      </w:r>
      <w:r w:rsidR="00794EA4" w:rsidRPr="005E651D">
        <w:rPr>
          <w:rFonts w:cstheme="minorHAnsi"/>
        </w:rPr>
        <w:t xml:space="preserve"> to conduct state visits and has failed to respond to</w:t>
      </w:r>
      <w:r w:rsidR="004D7DD9" w:rsidRPr="005E651D">
        <w:rPr>
          <w:rFonts w:cstheme="minorHAnsi"/>
        </w:rPr>
        <w:t xml:space="preserve"> communications concerning the S</w:t>
      </w:r>
      <w:r w:rsidR="00794EA4" w:rsidRPr="005E651D">
        <w:rPr>
          <w:rFonts w:cstheme="minorHAnsi"/>
        </w:rPr>
        <w:t>tate’s international obligations, including obligations that fall under the Convention, in particular with regards to enforced disappearances.</w:t>
      </w:r>
      <w:r w:rsidR="00CE6291" w:rsidRPr="005E651D">
        <w:rPr>
          <w:rStyle w:val="FootnoteReference"/>
          <w:rFonts w:cstheme="minorHAnsi"/>
        </w:rPr>
        <w:footnoteReference w:id="121"/>
      </w:r>
    </w:p>
    <w:p w14:paraId="2E7C697C" w14:textId="25269251" w:rsidR="00BF75BD" w:rsidRPr="005E651D" w:rsidRDefault="00615DAC" w:rsidP="00217B2C">
      <w:pPr>
        <w:pStyle w:val="BodyText"/>
        <w:rPr>
          <w:rFonts w:cstheme="minorHAnsi"/>
        </w:rPr>
      </w:pPr>
      <w:r w:rsidRPr="005E651D">
        <w:rPr>
          <w:rFonts w:cstheme="minorHAnsi"/>
        </w:rPr>
        <w:tab/>
        <w:t xml:space="preserve">Local human rights </w:t>
      </w:r>
      <w:r w:rsidR="006A2E7D" w:rsidRPr="005E651D">
        <w:rPr>
          <w:rFonts w:cstheme="minorHAnsi"/>
        </w:rPr>
        <w:t>NGOs</w:t>
      </w:r>
      <w:r w:rsidRPr="005E651D">
        <w:rPr>
          <w:rFonts w:cstheme="minorHAnsi"/>
        </w:rPr>
        <w:t xml:space="preserve"> have expressed concern that “enforced disappearances have become an instit</w:t>
      </w:r>
      <w:r w:rsidR="0087517C" w:rsidRPr="005E651D">
        <w:rPr>
          <w:rFonts w:cstheme="minorHAnsi"/>
        </w:rPr>
        <w:t>utional practice” under the Awami League rule</w:t>
      </w:r>
      <w:r w:rsidRPr="005E651D">
        <w:rPr>
          <w:rFonts w:cstheme="minorHAnsi"/>
        </w:rPr>
        <w:t>, and that “abduction, killing after the abduction, rescuing dead body [</w:t>
      </w:r>
      <w:r w:rsidRPr="005E651D">
        <w:rPr>
          <w:rFonts w:cstheme="minorHAnsi"/>
          <w:i/>
        </w:rPr>
        <w:t>sic</w:t>
      </w:r>
      <w:r w:rsidRPr="005E651D">
        <w:rPr>
          <w:rFonts w:cstheme="minorHAnsi"/>
        </w:rPr>
        <w:t>] becomes the common and daily phenomenon in Bangladesh.”</w:t>
      </w:r>
      <w:r w:rsidRPr="005E651D">
        <w:rPr>
          <w:rStyle w:val="FootnoteReference"/>
          <w:rFonts w:cstheme="minorHAnsi"/>
          <w:szCs w:val="22"/>
        </w:rPr>
        <w:footnoteReference w:id="122"/>
      </w:r>
      <w:r w:rsidR="00771F32" w:rsidRPr="005E651D">
        <w:rPr>
          <w:rFonts w:cstheme="minorHAnsi"/>
        </w:rPr>
        <w:t xml:space="preserve"> </w:t>
      </w:r>
      <w:r w:rsidRPr="005E651D">
        <w:rPr>
          <w:rFonts w:cstheme="minorHAnsi"/>
        </w:rPr>
        <w:t xml:space="preserve">Between </w:t>
      </w:r>
      <w:r w:rsidRPr="005E651D">
        <w:rPr>
          <w:rFonts w:cstheme="minorHAnsi"/>
        </w:rPr>
        <w:lastRenderedPageBreak/>
        <w:t xml:space="preserve">January and November 2018, </w:t>
      </w:r>
      <w:r w:rsidR="003C39D0" w:rsidRPr="005E651D">
        <w:rPr>
          <w:rFonts w:cstheme="minorHAnsi"/>
        </w:rPr>
        <w:t>83</w:t>
      </w:r>
      <w:r w:rsidRPr="005E651D">
        <w:rPr>
          <w:rFonts w:cstheme="minorHAnsi"/>
        </w:rPr>
        <w:t xml:space="preserve"> persons were allegedly disappeared after being abducted by memb</w:t>
      </w:r>
      <w:r w:rsidR="00A52D06" w:rsidRPr="005E651D">
        <w:rPr>
          <w:rFonts w:cstheme="minorHAnsi"/>
        </w:rPr>
        <w:t>ers of LEAs.</w:t>
      </w:r>
      <w:r w:rsidRPr="005E651D">
        <w:rPr>
          <w:rStyle w:val="FootnoteReference"/>
          <w:rFonts w:cstheme="minorHAnsi"/>
          <w:szCs w:val="22"/>
        </w:rPr>
        <w:footnoteReference w:id="123"/>
      </w:r>
      <w:r w:rsidR="0087517C" w:rsidRPr="005E651D">
        <w:rPr>
          <w:rFonts w:cstheme="minorHAnsi"/>
        </w:rPr>
        <w:t xml:space="preserve"> </w:t>
      </w:r>
    </w:p>
    <w:p w14:paraId="12CEFC2A" w14:textId="5164B6FD" w:rsidR="00DB0ECD" w:rsidRPr="005E651D" w:rsidRDefault="00BF75BD" w:rsidP="00DB0ECD">
      <w:pPr>
        <w:pStyle w:val="BodyText"/>
        <w:rPr>
          <w:rFonts w:cstheme="minorHAnsi"/>
        </w:rPr>
      </w:pPr>
      <w:r w:rsidRPr="005E651D">
        <w:rPr>
          <w:rFonts w:cstheme="minorHAnsi"/>
        </w:rPr>
        <w:tab/>
      </w:r>
      <w:r w:rsidRPr="005E651D">
        <w:rPr>
          <w:rFonts w:cstheme="minorHAnsi"/>
          <w:szCs w:val="22"/>
        </w:rPr>
        <w:t xml:space="preserve">As the Asian Legal Resource Centre has recorded, despite </w:t>
      </w:r>
      <w:r w:rsidR="00420F45" w:rsidRPr="005E651D">
        <w:rPr>
          <w:rFonts w:cstheme="minorHAnsi"/>
          <w:szCs w:val="22"/>
        </w:rPr>
        <w:t>LEAs</w:t>
      </w:r>
      <w:r w:rsidRPr="005E651D">
        <w:rPr>
          <w:rFonts w:cstheme="minorHAnsi"/>
          <w:szCs w:val="22"/>
        </w:rPr>
        <w:t>’ perennial denial of involvement in the abduction and disappearing of citizens, nearly one-fourth of the disappeared have ultimately been detained in prison and faced with</w:t>
      </w:r>
      <w:r w:rsidR="00DB3E32" w:rsidRPr="005E651D">
        <w:rPr>
          <w:rFonts w:cstheme="minorHAnsi"/>
          <w:szCs w:val="22"/>
        </w:rPr>
        <w:t xml:space="preserve"> </w:t>
      </w:r>
      <w:r w:rsidR="005911A3" w:rsidRPr="005E651D">
        <w:rPr>
          <w:rFonts w:cstheme="minorHAnsi"/>
          <w:szCs w:val="22"/>
        </w:rPr>
        <w:t>reportedly</w:t>
      </w:r>
      <w:r w:rsidRPr="005E651D">
        <w:rPr>
          <w:rFonts w:cstheme="minorHAnsi"/>
          <w:szCs w:val="22"/>
        </w:rPr>
        <w:t xml:space="preserve"> fabricated charges; those who are finally released often do not dare to speak of their experiences.</w:t>
      </w:r>
      <w:r w:rsidRPr="005E651D">
        <w:rPr>
          <w:rStyle w:val="FootnoteReference"/>
          <w:rFonts w:cstheme="minorHAnsi"/>
          <w:szCs w:val="22"/>
        </w:rPr>
        <w:footnoteReference w:id="124"/>
      </w:r>
      <w:r w:rsidRPr="005E651D">
        <w:rPr>
          <w:rFonts w:cstheme="minorHAnsi"/>
          <w:szCs w:val="22"/>
        </w:rPr>
        <w:t xml:space="preserve"> </w:t>
      </w:r>
      <w:r w:rsidR="00DB0ECD" w:rsidRPr="005E651D">
        <w:rPr>
          <w:rFonts w:cstheme="minorHAnsi"/>
          <w:szCs w:val="22"/>
        </w:rPr>
        <w:t xml:space="preserve">Perhaps most glaringly, secret recordings and other reports have surfaced that clearly document law enforcement officials recounting their personal involvement or the common practice of extrajudicial killings, enforced disappearances, and interrogative torture committed by </w:t>
      </w:r>
      <w:r w:rsidR="00B6474C" w:rsidRPr="005E651D">
        <w:rPr>
          <w:rFonts w:cstheme="minorHAnsi"/>
          <w:szCs w:val="22"/>
        </w:rPr>
        <w:t>LEAs</w:t>
      </w:r>
      <w:r w:rsidR="00DB0ECD" w:rsidRPr="005E651D">
        <w:rPr>
          <w:rFonts w:cstheme="minorHAnsi"/>
          <w:szCs w:val="22"/>
        </w:rPr>
        <w:t>.</w:t>
      </w:r>
      <w:r w:rsidR="00DB0ECD" w:rsidRPr="005E651D">
        <w:rPr>
          <w:rStyle w:val="FootnoteReference"/>
          <w:rFonts w:cstheme="minorHAnsi"/>
          <w:szCs w:val="22"/>
        </w:rPr>
        <w:footnoteReference w:id="125"/>
      </w:r>
      <w:r w:rsidR="00771F32" w:rsidRPr="005E651D">
        <w:rPr>
          <w:rFonts w:cstheme="minorHAnsi"/>
          <w:szCs w:val="22"/>
        </w:rPr>
        <w:t xml:space="preserve"> </w:t>
      </w:r>
    </w:p>
    <w:p w14:paraId="792FD7EC" w14:textId="4530F1F2" w:rsidR="00615DAC" w:rsidRPr="005E651D" w:rsidRDefault="00615DAC" w:rsidP="00217B2C">
      <w:pPr>
        <w:pStyle w:val="BodyText"/>
        <w:rPr>
          <w:rFonts w:cstheme="minorHAnsi"/>
        </w:rPr>
      </w:pPr>
      <w:r w:rsidRPr="005E651D">
        <w:rPr>
          <w:rFonts w:cstheme="minorHAnsi"/>
        </w:rPr>
        <w:tab/>
        <w:t xml:space="preserve">There are countless examples of enforced disappearances in Bangladesh, but for the purposes of this </w:t>
      </w:r>
      <w:r w:rsidR="00C86ECB" w:rsidRPr="005E651D">
        <w:rPr>
          <w:rFonts w:cstheme="minorHAnsi"/>
        </w:rPr>
        <w:t>report</w:t>
      </w:r>
      <w:r w:rsidRPr="005E651D">
        <w:rPr>
          <w:rFonts w:cstheme="minorHAnsi"/>
        </w:rPr>
        <w:t>, we highlight the cases of Ahmad Bin Quasem</w:t>
      </w:r>
      <w:r w:rsidR="00964B90" w:rsidRPr="005E651D">
        <w:rPr>
          <w:rFonts w:cstheme="minorHAnsi"/>
        </w:rPr>
        <w:t xml:space="preserve">, </w:t>
      </w:r>
      <w:r w:rsidRPr="005E651D">
        <w:rPr>
          <w:rFonts w:cstheme="minorHAnsi"/>
        </w:rPr>
        <w:t>Sajedul Islam Sumon</w:t>
      </w:r>
      <w:r w:rsidR="00964B90" w:rsidRPr="005E651D">
        <w:rPr>
          <w:rFonts w:cstheme="minorHAnsi"/>
        </w:rPr>
        <w:t>, and Khaled Hossain Sohel</w:t>
      </w:r>
      <w:r w:rsidRPr="005E651D">
        <w:rPr>
          <w:rFonts w:cstheme="minorHAnsi"/>
        </w:rPr>
        <w:t>.</w:t>
      </w:r>
    </w:p>
    <w:p w14:paraId="49D19E0B" w14:textId="473EB137" w:rsidR="00615DAC" w:rsidRPr="005E651D" w:rsidRDefault="00615DAC" w:rsidP="00B91B62">
      <w:pPr>
        <w:pStyle w:val="BodyText"/>
        <w:numPr>
          <w:ilvl w:val="0"/>
          <w:numId w:val="48"/>
        </w:numPr>
        <w:ind w:left="1080"/>
        <w:rPr>
          <w:rFonts w:cstheme="minorHAnsi"/>
        </w:rPr>
      </w:pPr>
      <w:r w:rsidRPr="005E651D">
        <w:rPr>
          <w:rFonts w:cstheme="minorHAnsi"/>
        </w:rPr>
        <w:t>On October 28, 2016, the Chair-Rapporteur of the Working Group on Enforced or Involuntary Disappearances, the Special Rapporteur on the independence of judges and lawyers, and the Special Rapporteur on torture and other cruel, inhuman or degrading treatment or punishment transmitted a joint urgent appeal to the Government concerning the case of Ahmad Bin Quasem</w:t>
      </w:r>
      <w:r w:rsidR="004C7A4C" w:rsidRPr="005E651D">
        <w:rPr>
          <w:rFonts w:cstheme="minorHAnsi"/>
        </w:rPr>
        <w:t>.</w:t>
      </w:r>
      <w:r w:rsidR="00771F32" w:rsidRPr="005E651D">
        <w:rPr>
          <w:rFonts w:cstheme="minorHAnsi"/>
        </w:rPr>
        <w:t xml:space="preserve"> </w:t>
      </w:r>
      <w:r w:rsidR="004C7A4C" w:rsidRPr="005E651D">
        <w:rPr>
          <w:rFonts w:cstheme="minorHAnsi"/>
        </w:rPr>
        <w:t>Bin Quasem</w:t>
      </w:r>
      <w:r w:rsidRPr="005E651D">
        <w:rPr>
          <w:rFonts w:cstheme="minorHAnsi"/>
        </w:rPr>
        <w:t xml:space="preserve"> </w:t>
      </w:r>
      <w:r w:rsidR="004C7A4C" w:rsidRPr="005E651D">
        <w:rPr>
          <w:rFonts w:cstheme="minorHAnsi"/>
        </w:rPr>
        <w:t>was</w:t>
      </w:r>
      <w:r w:rsidRPr="005E651D">
        <w:rPr>
          <w:rFonts w:cstheme="minorHAnsi"/>
        </w:rPr>
        <w:t xml:space="preserve"> abducted in August 2016 </w:t>
      </w:r>
      <w:r w:rsidR="004C7A4C" w:rsidRPr="005E651D">
        <w:rPr>
          <w:rFonts w:cstheme="minorHAnsi"/>
        </w:rPr>
        <w:t xml:space="preserve">in </w:t>
      </w:r>
      <w:r w:rsidRPr="005E651D">
        <w:rPr>
          <w:rFonts w:cstheme="minorHAnsi"/>
        </w:rPr>
        <w:t>connection with his legal defense work for his father, Mir Quasem Ali, who had recently been convicted by the International Crimes Tribunal of Bangladesh (“ICT”).</w:t>
      </w:r>
      <w:r w:rsidRPr="005E651D">
        <w:rPr>
          <w:rStyle w:val="FootnoteReference"/>
          <w:rFonts w:cstheme="minorHAnsi"/>
          <w:szCs w:val="22"/>
        </w:rPr>
        <w:footnoteReference w:id="126"/>
      </w:r>
      <w:r w:rsidRPr="005E651D">
        <w:rPr>
          <w:rFonts w:cstheme="minorHAnsi"/>
        </w:rPr>
        <w:t xml:space="preserve"> Mr. Quasem</w:t>
      </w:r>
      <w:r w:rsidR="00C90E04" w:rsidRPr="005E651D">
        <w:rPr>
          <w:rFonts w:cstheme="minorHAnsi"/>
        </w:rPr>
        <w:t xml:space="preserve"> was abducted with</w:t>
      </w:r>
      <w:r w:rsidRPr="005E651D">
        <w:rPr>
          <w:rFonts w:cstheme="minorHAnsi"/>
        </w:rPr>
        <w:t xml:space="preserve"> two other men</w:t>
      </w:r>
      <w:r w:rsidR="00C90E04" w:rsidRPr="005E651D">
        <w:rPr>
          <w:rFonts w:cstheme="minorHAnsi"/>
        </w:rPr>
        <w:t>, all of whom were</w:t>
      </w:r>
      <w:r w:rsidRPr="005E651D">
        <w:rPr>
          <w:rFonts w:cstheme="minorHAnsi"/>
        </w:rPr>
        <w:t xml:space="preserve"> linked to opposition political parties and had fathers that had recently </w:t>
      </w:r>
      <w:r w:rsidR="00B83194" w:rsidRPr="005E651D">
        <w:rPr>
          <w:rFonts w:cstheme="minorHAnsi"/>
        </w:rPr>
        <w:t xml:space="preserve">been </w:t>
      </w:r>
      <w:r w:rsidRPr="005E651D">
        <w:rPr>
          <w:rFonts w:cstheme="minorHAnsi"/>
        </w:rPr>
        <w:t xml:space="preserve">convicted by the ICT. This October 2016 joint appeal from three separate </w:t>
      </w:r>
      <w:r w:rsidR="00A01829" w:rsidRPr="005E651D">
        <w:rPr>
          <w:rFonts w:cstheme="minorHAnsi"/>
        </w:rPr>
        <w:t>UN</w:t>
      </w:r>
      <w:r w:rsidRPr="005E651D">
        <w:rPr>
          <w:rFonts w:cstheme="minorHAnsi"/>
        </w:rPr>
        <w:t xml:space="preserve"> Rapporteurs urged the Government to remember its “absolute and non-derogable prohibition of torture and other ill-treatment as codified in . . . Articles 1, 2 and 16 of the </w:t>
      </w:r>
      <w:r w:rsidR="004B24C2" w:rsidRPr="005E651D">
        <w:rPr>
          <w:rFonts w:cstheme="minorHAnsi"/>
        </w:rPr>
        <w:t>[CAT]</w:t>
      </w:r>
      <w:r w:rsidRPr="005E651D">
        <w:rPr>
          <w:rFonts w:cstheme="minorHAnsi"/>
        </w:rPr>
        <w:t>, ratified by your Excellency’s Government in 1998,” emphasizing that “prolonged incommunicado detention or detention in secret places can facilitate the perpetration of torture and other cruel, inhuman or degrading treatment or punishment and</w:t>
      </w:r>
      <w:r w:rsidRPr="005E651D">
        <w:rPr>
          <w:rFonts w:cstheme="minorHAnsi"/>
          <w:i/>
        </w:rPr>
        <w:t xml:space="preserve"> can in itself </w:t>
      </w:r>
      <w:r w:rsidRPr="005E651D">
        <w:rPr>
          <w:rFonts w:cstheme="minorHAnsi"/>
          <w:i/>
        </w:rPr>
        <w:lastRenderedPageBreak/>
        <w:t>constitute a form of such treatment.</w:t>
      </w:r>
      <w:r w:rsidRPr="005E651D">
        <w:rPr>
          <w:rFonts w:cstheme="minorHAnsi"/>
        </w:rPr>
        <w:t>”</w:t>
      </w:r>
      <w:r w:rsidRPr="005E651D">
        <w:rPr>
          <w:rStyle w:val="FootnoteReference"/>
          <w:rFonts w:cstheme="minorHAnsi"/>
          <w:szCs w:val="22"/>
        </w:rPr>
        <w:footnoteReference w:id="127"/>
      </w:r>
      <w:r w:rsidR="004B3865" w:rsidRPr="005E651D">
        <w:rPr>
          <w:rFonts w:cstheme="minorHAnsi"/>
        </w:rPr>
        <w:t xml:space="preserve"> </w:t>
      </w:r>
      <w:r w:rsidRPr="005E651D">
        <w:rPr>
          <w:rFonts w:cstheme="minorHAnsi"/>
        </w:rPr>
        <w:t>Despite mounting</w:t>
      </w:r>
      <w:r w:rsidR="00177EC4" w:rsidRPr="005E651D">
        <w:rPr>
          <w:rFonts w:cstheme="minorHAnsi"/>
        </w:rPr>
        <w:t xml:space="preserve"> </w:t>
      </w:r>
      <w:r w:rsidRPr="005E651D">
        <w:rPr>
          <w:rFonts w:cstheme="minorHAnsi"/>
        </w:rPr>
        <w:t>interna</w:t>
      </w:r>
      <w:r w:rsidR="0087517C" w:rsidRPr="005E651D">
        <w:rPr>
          <w:rFonts w:cstheme="minorHAnsi"/>
        </w:rPr>
        <w:t xml:space="preserve">tional support, </w:t>
      </w:r>
      <w:r w:rsidRPr="005E651D">
        <w:rPr>
          <w:rFonts w:cstheme="minorHAnsi"/>
        </w:rPr>
        <w:t>Mr. Quasem remains in secret detention some two years after his abduction,</w:t>
      </w:r>
      <w:r w:rsidRPr="005E651D">
        <w:rPr>
          <w:rStyle w:val="FootnoteReference"/>
          <w:rFonts w:cstheme="minorHAnsi"/>
          <w:szCs w:val="22"/>
        </w:rPr>
        <w:footnoteReference w:id="128"/>
      </w:r>
      <w:r w:rsidRPr="005E651D">
        <w:rPr>
          <w:rFonts w:cstheme="minorHAnsi"/>
        </w:rPr>
        <w:t xml:space="preserve"> and only one of the other two individuals kidnapped under similar circumstances has been released—notably, shortly following the</w:t>
      </w:r>
      <w:r w:rsidR="00A01829" w:rsidRPr="005E651D">
        <w:rPr>
          <w:rFonts w:cstheme="minorHAnsi"/>
        </w:rPr>
        <w:t xml:space="preserve"> joint appeal from the UN</w:t>
      </w:r>
      <w:r w:rsidR="002D7CF8" w:rsidRPr="005E651D">
        <w:rPr>
          <w:rFonts w:cstheme="minorHAnsi"/>
        </w:rPr>
        <w:t xml:space="preserve"> in February 2017, but he</w:t>
      </w:r>
      <w:r w:rsidRPr="005E651D">
        <w:rPr>
          <w:rFonts w:cstheme="minorHAnsi"/>
        </w:rPr>
        <w:t xml:space="preserve"> emerged incapable of recounting his experience.</w:t>
      </w:r>
      <w:r w:rsidRPr="005E651D">
        <w:rPr>
          <w:rStyle w:val="FootnoteReference"/>
          <w:rFonts w:cstheme="minorHAnsi"/>
          <w:szCs w:val="22"/>
        </w:rPr>
        <w:footnoteReference w:id="129"/>
      </w:r>
      <w:r w:rsidRPr="005E651D">
        <w:rPr>
          <w:rFonts w:cstheme="minorHAnsi"/>
        </w:rPr>
        <w:t xml:space="preserve"> </w:t>
      </w:r>
    </w:p>
    <w:p w14:paraId="0203AD2E" w14:textId="6F9C17D3" w:rsidR="00DB0ECD" w:rsidRPr="005E651D" w:rsidRDefault="00615DAC" w:rsidP="00C968AF">
      <w:pPr>
        <w:pStyle w:val="BodyText"/>
        <w:numPr>
          <w:ilvl w:val="0"/>
          <w:numId w:val="48"/>
        </w:numPr>
        <w:ind w:left="1080"/>
        <w:rPr>
          <w:rFonts w:cstheme="minorHAnsi"/>
        </w:rPr>
      </w:pPr>
      <w:r w:rsidRPr="005E651D">
        <w:rPr>
          <w:rFonts w:cstheme="minorHAnsi"/>
        </w:rPr>
        <w:t xml:space="preserve">Sajedul Islam Sumon, 36, was the general secretary of the BNP for his respective ward and had a criminal case filed against him. </w:t>
      </w:r>
      <w:r w:rsidR="00A32855" w:rsidRPr="005E651D">
        <w:rPr>
          <w:rFonts w:cstheme="minorHAnsi"/>
        </w:rPr>
        <w:t xml:space="preserve">On the evening of December 4, 2013, he and </w:t>
      </w:r>
      <w:r w:rsidRPr="005E651D">
        <w:rPr>
          <w:rFonts w:cstheme="minorHAnsi"/>
        </w:rPr>
        <w:t>five other BNP supporters and activists</w:t>
      </w:r>
      <w:r w:rsidR="00A32855" w:rsidRPr="005E651D">
        <w:rPr>
          <w:rFonts w:cstheme="minorHAnsi"/>
        </w:rPr>
        <w:t xml:space="preserve"> </w:t>
      </w:r>
      <w:r w:rsidRPr="005E651D">
        <w:rPr>
          <w:rFonts w:cstheme="minorHAnsi"/>
        </w:rPr>
        <w:t xml:space="preserve">were abducted by armed men in multiple cars, including one with “RAB-1” written on it. Sumon’s family went to the RAB office, but the personnel denied any involvement. Sumon’s family stayed outside the RAB office throughout the night and for the next three days. Family members went to the local police station to file a </w:t>
      </w:r>
      <w:r w:rsidR="00B83194" w:rsidRPr="005E651D">
        <w:rPr>
          <w:rFonts w:cstheme="minorHAnsi"/>
        </w:rPr>
        <w:t>General Diary entry</w:t>
      </w:r>
      <w:r w:rsidRPr="005E651D">
        <w:rPr>
          <w:rFonts w:cstheme="minorHAnsi"/>
        </w:rPr>
        <w:t xml:space="preserve"> but were told that they had to go to the place of occurrence in order to file. The family attempted to follow suit</w:t>
      </w:r>
      <w:r w:rsidR="00561088" w:rsidRPr="005E651D">
        <w:rPr>
          <w:rFonts w:cstheme="minorHAnsi"/>
        </w:rPr>
        <w:t>,</w:t>
      </w:r>
      <w:r w:rsidRPr="005E651D">
        <w:rPr>
          <w:rFonts w:cstheme="minorHAnsi"/>
        </w:rPr>
        <w:t xml:space="preserve"> but the </w:t>
      </w:r>
      <w:r w:rsidR="00093136" w:rsidRPr="005E651D">
        <w:rPr>
          <w:rFonts w:cstheme="minorHAnsi"/>
        </w:rPr>
        <w:t>on-</w:t>
      </w:r>
      <w:r w:rsidRPr="005E651D">
        <w:rPr>
          <w:rFonts w:cstheme="minorHAnsi"/>
        </w:rPr>
        <w:t xml:space="preserve">duty officer refused to allow the family to file if they claimed that RAB was involved; </w:t>
      </w:r>
      <w:r w:rsidR="003F13CD" w:rsidRPr="005E651D">
        <w:rPr>
          <w:rFonts w:cstheme="minorHAnsi"/>
        </w:rPr>
        <w:t xml:space="preserve">instead, </w:t>
      </w:r>
      <w:r w:rsidRPr="005E651D">
        <w:rPr>
          <w:rFonts w:cstheme="minorHAnsi"/>
        </w:rPr>
        <w:t xml:space="preserve">the family would need to claim that Sumon was missing. Meanwhile, family members continued to go to the RAB-1 office and RAB headquarters. </w:t>
      </w:r>
      <w:r w:rsidR="00561088" w:rsidRPr="005E651D">
        <w:rPr>
          <w:rFonts w:cstheme="minorHAnsi"/>
        </w:rPr>
        <w:t>A</w:t>
      </w:r>
      <w:r w:rsidRPr="005E651D">
        <w:rPr>
          <w:rFonts w:cstheme="minorHAnsi"/>
        </w:rPr>
        <w:t xml:space="preserve">t the end of January 2014, a RAB-1 officer </w:t>
      </w:r>
      <w:r w:rsidR="000B41C6" w:rsidRPr="005E651D">
        <w:rPr>
          <w:rFonts w:cstheme="minorHAnsi"/>
        </w:rPr>
        <w:t>ultimately</w:t>
      </w:r>
      <w:r w:rsidR="00561088" w:rsidRPr="005E651D">
        <w:rPr>
          <w:rFonts w:cstheme="minorHAnsi"/>
        </w:rPr>
        <w:t xml:space="preserve"> </w:t>
      </w:r>
      <w:r w:rsidRPr="005E651D">
        <w:rPr>
          <w:rFonts w:cstheme="minorHAnsi"/>
        </w:rPr>
        <w:t>admitted that Sumon had been detained</w:t>
      </w:r>
      <w:r w:rsidR="008921F5" w:rsidRPr="005E651D">
        <w:rPr>
          <w:rFonts w:cstheme="minorHAnsi"/>
        </w:rPr>
        <w:t xml:space="preserve"> and</w:t>
      </w:r>
      <w:r w:rsidRPr="005E651D">
        <w:rPr>
          <w:rFonts w:cstheme="minorHAnsi"/>
        </w:rPr>
        <w:t xml:space="preserve"> gave the contact information of another individual w</w:t>
      </w:r>
      <w:r w:rsidR="008921F5" w:rsidRPr="005E651D">
        <w:rPr>
          <w:rFonts w:cstheme="minorHAnsi"/>
        </w:rPr>
        <w:t>ho was in charge of</w:t>
      </w:r>
      <w:r w:rsidR="002C5930" w:rsidRPr="005E651D">
        <w:rPr>
          <w:rFonts w:cstheme="minorHAnsi"/>
        </w:rPr>
        <w:t xml:space="preserve"> the</w:t>
      </w:r>
      <w:r w:rsidR="008921F5" w:rsidRPr="005E651D">
        <w:rPr>
          <w:rFonts w:cstheme="minorHAnsi"/>
        </w:rPr>
        <w:t xml:space="preserve"> operation; however, </w:t>
      </w:r>
      <w:r w:rsidRPr="005E651D">
        <w:rPr>
          <w:rFonts w:cstheme="minorHAnsi"/>
        </w:rPr>
        <w:t xml:space="preserve">the official claimed that Sumon was not in his custody </w:t>
      </w:r>
      <w:r w:rsidR="00561088" w:rsidRPr="005E651D">
        <w:rPr>
          <w:rFonts w:cstheme="minorHAnsi"/>
        </w:rPr>
        <w:t>and</w:t>
      </w:r>
      <w:r w:rsidRPr="005E651D">
        <w:rPr>
          <w:rFonts w:cstheme="minorHAnsi"/>
        </w:rPr>
        <w:t xml:space="preserve"> they were searching for him.</w:t>
      </w:r>
      <w:r w:rsidR="00771F32" w:rsidRPr="005E651D">
        <w:rPr>
          <w:rFonts w:cstheme="minorHAnsi"/>
        </w:rPr>
        <w:t xml:space="preserve"> </w:t>
      </w:r>
      <w:r w:rsidRPr="005E651D">
        <w:rPr>
          <w:rFonts w:cstheme="minorHAnsi"/>
        </w:rPr>
        <w:t>The family was finally able to file its first written application with the RAB on March 18, 2014, some three months after Sumon’s disappearance, and filed another twelve applications between that time and August 21, 2016. An additional five appl</w:t>
      </w:r>
      <w:r w:rsidR="0087517C" w:rsidRPr="005E651D">
        <w:rPr>
          <w:rFonts w:cstheme="minorHAnsi"/>
        </w:rPr>
        <w:t xml:space="preserve">ications were filed with </w:t>
      </w:r>
      <w:r w:rsidR="008921F5" w:rsidRPr="005E651D">
        <w:rPr>
          <w:rFonts w:cstheme="minorHAnsi"/>
        </w:rPr>
        <w:t>other g</w:t>
      </w:r>
      <w:r w:rsidRPr="005E651D">
        <w:rPr>
          <w:rFonts w:cstheme="minorHAnsi"/>
        </w:rPr>
        <w:t>overnment authorities, including</w:t>
      </w:r>
      <w:r w:rsidR="003E6EFE" w:rsidRPr="005E651D">
        <w:rPr>
          <w:rFonts w:cstheme="minorHAnsi"/>
        </w:rPr>
        <w:t xml:space="preserve"> the Ministry of Home Affairs</w:t>
      </w:r>
      <w:r w:rsidRPr="005E651D">
        <w:rPr>
          <w:rFonts w:cstheme="minorHAnsi"/>
        </w:rPr>
        <w:t>, the police, and military intelligence</w:t>
      </w:r>
      <w:r w:rsidR="00561088" w:rsidRPr="005E651D">
        <w:rPr>
          <w:rFonts w:cstheme="minorHAnsi"/>
        </w:rPr>
        <w:t>.</w:t>
      </w:r>
      <w:r w:rsidRPr="005E651D">
        <w:rPr>
          <w:rFonts w:cstheme="minorHAnsi"/>
        </w:rPr>
        <w:t xml:space="preserve"> In May 2016, Sumon’s sister met with </w:t>
      </w:r>
      <w:r w:rsidR="00311D64" w:rsidRPr="005E651D">
        <w:rPr>
          <w:rFonts w:cstheme="minorHAnsi"/>
        </w:rPr>
        <w:t>a</w:t>
      </w:r>
      <w:r w:rsidR="001C2DF9" w:rsidRPr="005E651D">
        <w:rPr>
          <w:rFonts w:cstheme="minorHAnsi"/>
        </w:rPr>
        <w:t xml:space="preserve"> RAB official</w:t>
      </w:r>
      <w:r w:rsidRPr="005E651D">
        <w:rPr>
          <w:rFonts w:cstheme="minorHAnsi"/>
        </w:rPr>
        <w:t xml:space="preserve"> she had met with earlier, who had been a senior RAB-1 officer at the time of her brother’s disappearance but had since left the position. He confirmed privately that RAB-1 had conducted the operation and admitted that he had been ordered to kill the men while they were in his custody, but he had refused. Instead, the RAB’s counterterrorism branch, led by an individual who later became the head of the RAB intelligence wing, took Sumon and the others. This latter official denied any involvement but </w:t>
      </w:r>
      <w:r w:rsidR="00635E24" w:rsidRPr="005E651D">
        <w:rPr>
          <w:rFonts w:cstheme="minorHAnsi"/>
        </w:rPr>
        <w:t xml:space="preserve">also </w:t>
      </w:r>
      <w:r w:rsidRPr="005E651D">
        <w:rPr>
          <w:rFonts w:cstheme="minorHAnsi"/>
        </w:rPr>
        <w:t>claimed they were searching</w:t>
      </w:r>
      <w:r w:rsidR="001C2DF9" w:rsidRPr="005E651D">
        <w:rPr>
          <w:rFonts w:cstheme="minorHAnsi"/>
        </w:rPr>
        <w:t xml:space="preserve"> for Sumon</w:t>
      </w:r>
      <w:r w:rsidRPr="005E651D">
        <w:rPr>
          <w:rFonts w:cstheme="minorHAnsi"/>
        </w:rPr>
        <w:t xml:space="preserve">. Although the family sought information from RAB, </w:t>
      </w:r>
      <w:r w:rsidR="00551F3A" w:rsidRPr="005E651D">
        <w:rPr>
          <w:rFonts w:cstheme="minorHAnsi"/>
        </w:rPr>
        <w:t>Detective Branch</w:t>
      </w:r>
      <w:r w:rsidRPr="005E651D">
        <w:rPr>
          <w:rFonts w:cstheme="minorHAnsi"/>
        </w:rPr>
        <w:t xml:space="preserve">, and various </w:t>
      </w:r>
      <w:r w:rsidRPr="005E651D">
        <w:rPr>
          <w:rFonts w:cstheme="minorHAnsi"/>
        </w:rPr>
        <w:lastRenderedPageBreak/>
        <w:t>police stations on numerous occasions, the family could procure no information about Sumon’s detention.</w:t>
      </w:r>
      <w:r w:rsidRPr="005E651D">
        <w:rPr>
          <w:rStyle w:val="FootnoteReference"/>
          <w:rFonts w:cstheme="minorHAnsi"/>
          <w:szCs w:val="22"/>
        </w:rPr>
        <w:footnoteReference w:id="130"/>
      </w:r>
    </w:p>
    <w:p w14:paraId="4BB7CE12" w14:textId="5A5510A5" w:rsidR="00615DAC" w:rsidRPr="005E651D" w:rsidRDefault="00615DAC" w:rsidP="00C968AF">
      <w:pPr>
        <w:pStyle w:val="BodyText"/>
        <w:ind w:left="1080"/>
        <w:rPr>
          <w:rFonts w:cstheme="minorHAnsi"/>
        </w:rPr>
      </w:pPr>
      <w:r w:rsidRPr="005E651D">
        <w:rPr>
          <w:rFonts w:cstheme="minorHAnsi"/>
        </w:rPr>
        <w:t xml:space="preserve">In December 2014, a year after Sumon’s initial disappearance, Sumon’s family filed a formal complaint with the </w:t>
      </w:r>
      <w:r w:rsidR="00CC32C3" w:rsidRPr="005E651D">
        <w:rPr>
          <w:rFonts w:cstheme="minorHAnsi"/>
        </w:rPr>
        <w:t>NHRC</w:t>
      </w:r>
      <w:r w:rsidRPr="005E651D">
        <w:rPr>
          <w:rFonts w:cstheme="minorHAnsi"/>
        </w:rPr>
        <w:t>. The chair of the NHRC wrote to the senior civil servant of the Ministry of Home Affairs, conveying the a</w:t>
      </w:r>
      <w:r w:rsidR="00BD606B" w:rsidRPr="005E651D">
        <w:rPr>
          <w:rFonts w:cstheme="minorHAnsi"/>
        </w:rPr>
        <w:t>llegation and appealing to the g</w:t>
      </w:r>
      <w:r w:rsidRPr="005E651D">
        <w:rPr>
          <w:rFonts w:cstheme="minorHAnsi"/>
        </w:rPr>
        <w:t>overnment to return Sumon and the others.</w:t>
      </w:r>
      <w:r w:rsidR="009841A5" w:rsidRPr="005E651D">
        <w:rPr>
          <w:rFonts w:cstheme="minorHAnsi"/>
        </w:rPr>
        <w:t xml:space="preserve"> The M</w:t>
      </w:r>
      <w:r w:rsidRPr="005E651D">
        <w:rPr>
          <w:rFonts w:cstheme="minorHAnsi"/>
        </w:rPr>
        <w:t xml:space="preserve">inistry did not respond, and remained silent after monthly reminders were issued. Ultimately, the Ministry claimed on August 28, 2015 that Sumon’s father had filed a case with a local police station back in January 2014, and that the case was under investigation; the family responded that they had never filed such a case because the police had refused. Subsequently, the police sent a letter to Sumon’s mother asking her to come to the police station for a meeting, but that meeting never occurred. In March 2016, Sumon’s mother filed a </w:t>
      </w:r>
      <w:r w:rsidRPr="005E651D">
        <w:rPr>
          <w:rFonts w:cstheme="minorHAnsi"/>
          <w:i/>
        </w:rPr>
        <w:t xml:space="preserve">habeas corpus </w:t>
      </w:r>
      <w:r w:rsidRPr="005E651D">
        <w:rPr>
          <w:rFonts w:cstheme="minorHAnsi"/>
        </w:rPr>
        <w:t>petition with the High Court, claiming that her son was illegally detained by RAB, that authorities had failed to investigate the incident, and that the court should order the authorities to produce him before the court. On March 10, 2016, the court issued an order, requiring that the Bangladesh</w:t>
      </w:r>
      <w:r w:rsidR="0029050D" w:rsidRPr="005E651D">
        <w:rPr>
          <w:rFonts w:cstheme="minorHAnsi"/>
        </w:rPr>
        <w:t>i</w:t>
      </w:r>
      <w:r w:rsidRPr="005E651D">
        <w:rPr>
          <w:rFonts w:cstheme="minorHAnsi"/>
        </w:rPr>
        <w:t xml:space="preserve"> authorities and relevan</w:t>
      </w:r>
      <w:r w:rsidR="00E531B6" w:rsidRPr="005E651D">
        <w:rPr>
          <w:rFonts w:cstheme="minorHAnsi"/>
        </w:rPr>
        <w:t>t law enforcement officials to</w:t>
      </w:r>
      <w:r w:rsidRPr="005E651D">
        <w:rPr>
          <w:rFonts w:cstheme="minorHAnsi"/>
        </w:rPr>
        <w:t xml:space="preserve"> “show cause” as to why Sumon’s </w:t>
      </w:r>
      <w:r w:rsidR="00C14436" w:rsidRPr="005E651D">
        <w:rPr>
          <w:rFonts w:cstheme="minorHAnsi"/>
        </w:rPr>
        <w:t xml:space="preserve">disappearance </w:t>
      </w:r>
      <w:r w:rsidRPr="005E651D">
        <w:rPr>
          <w:rFonts w:cstheme="minorHAnsi"/>
        </w:rPr>
        <w:t xml:space="preserve">was not unlawful. </w:t>
      </w:r>
      <w:r w:rsidR="00C6265F" w:rsidRPr="005E651D">
        <w:rPr>
          <w:rFonts w:cstheme="minorHAnsi"/>
        </w:rPr>
        <w:t>Via an affidavit, t</w:t>
      </w:r>
      <w:r w:rsidRPr="005E651D">
        <w:rPr>
          <w:rFonts w:cstheme="minorHAnsi"/>
        </w:rPr>
        <w:t>he inspector ge</w:t>
      </w:r>
      <w:r w:rsidR="00C6265F" w:rsidRPr="005E651D">
        <w:rPr>
          <w:rFonts w:cstheme="minorHAnsi"/>
        </w:rPr>
        <w:t>neral responded</w:t>
      </w:r>
      <w:r w:rsidRPr="005E651D">
        <w:rPr>
          <w:rFonts w:cstheme="minorHAnsi"/>
        </w:rPr>
        <w:t xml:space="preserve"> that neither the RAB nor any other unit of the police had arrested Sumon. RAB-1 also filed an affidavit disclaiming that it had arrested or otherwise taken Sumon and the others. As of July 2017, no further </w:t>
      </w:r>
      <w:r w:rsidR="00836974" w:rsidRPr="005E651D">
        <w:rPr>
          <w:rFonts w:cstheme="minorHAnsi"/>
        </w:rPr>
        <w:t>court hearing had occurred</w:t>
      </w:r>
      <w:r w:rsidR="007411B5" w:rsidRPr="005E651D">
        <w:rPr>
          <w:rFonts w:cstheme="minorHAnsi"/>
        </w:rPr>
        <w:t xml:space="preserve"> and Sumon remains</w:t>
      </w:r>
      <w:r w:rsidRPr="005E651D">
        <w:rPr>
          <w:rFonts w:cstheme="minorHAnsi"/>
        </w:rPr>
        <w:t xml:space="preserve"> disappeared.</w:t>
      </w:r>
      <w:r w:rsidRPr="005E651D">
        <w:rPr>
          <w:rStyle w:val="FootnoteReference"/>
          <w:rFonts w:cstheme="minorHAnsi"/>
          <w:szCs w:val="22"/>
        </w:rPr>
        <w:footnoteReference w:id="131"/>
      </w:r>
    </w:p>
    <w:p w14:paraId="475E2CB7" w14:textId="2EA336CE" w:rsidR="00DB0ECD" w:rsidRPr="005E651D" w:rsidRDefault="00964B90" w:rsidP="00DB0ECD">
      <w:pPr>
        <w:pStyle w:val="BodyText"/>
        <w:numPr>
          <w:ilvl w:val="0"/>
          <w:numId w:val="48"/>
        </w:numPr>
        <w:ind w:left="1080"/>
        <w:rPr>
          <w:rFonts w:cstheme="minorHAnsi"/>
          <w:i/>
        </w:rPr>
      </w:pPr>
      <w:r w:rsidRPr="00894F47">
        <w:rPr>
          <w:rFonts w:cstheme="minorHAnsi"/>
          <w:szCs w:val="22"/>
        </w:rPr>
        <w:t>Khaled Hossain Sohel,</w:t>
      </w:r>
      <w:r w:rsidRPr="005E651D">
        <w:rPr>
          <w:rFonts w:cstheme="minorHAnsi"/>
          <w:szCs w:val="22"/>
        </w:rPr>
        <w:t xml:space="preserve"> a BNP student activist with no known criminal cases filed against him, was residing away from his family home</w:t>
      </w:r>
      <w:r w:rsidR="005D6056" w:rsidRPr="005E651D">
        <w:rPr>
          <w:rFonts w:cstheme="minorHAnsi"/>
          <w:szCs w:val="22"/>
        </w:rPr>
        <w:t xml:space="preserve"> to seek safety </w:t>
      </w:r>
      <w:r w:rsidRPr="005E651D">
        <w:rPr>
          <w:rFonts w:cstheme="minorHAnsi"/>
          <w:szCs w:val="22"/>
        </w:rPr>
        <w:t>in light of the political climate</w:t>
      </w:r>
      <w:r w:rsidR="003E6EFE" w:rsidRPr="005E651D">
        <w:rPr>
          <w:rFonts w:cstheme="minorHAnsi"/>
          <w:szCs w:val="22"/>
        </w:rPr>
        <w:t xml:space="preserve"> and nature of police conduct</w:t>
      </w:r>
      <w:r w:rsidRPr="005E651D">
        <w:rPr>
          <w:rFonts w:cstheme="minorHAnsi"/>
          <w:szCs w:val="22"/>
        </w:rPr>
        <w:t xml:space="preserve">. </w:t>
      </w:r>
      <w:r w:rsidR="0050695B" w:rsidRPr="005E651D">
        <w:rPr>
          <w:rFonts w:cstheme="minorHAnsi"/>
          <w:szCs w:val="22"/>
        </w:rPr>
        <w:t>However,</w:t>
      </w:r>
      <w:r w:rsidR="00894F47">
        <w:rPr>
          <w:rFonts w:cstheme="minorHAnsi"/>
          <w:szCs w:val="22"/>
        </w:rPr>
        <w:t xml:space="preserve"> in 2013</w:t>
      </w:r>
      <w:r w:rsidR="0050695B" w:rsidRPr="005E651D">
        <w:rPr>
          <w:rFonts w:cstheme="minorHAnsi"/>
          <w:szCs w:val="22"/>
        </w:rPr>
        <w:t xml:space="preserve"> </w:t>
      </w:r>
      <w:proofErr w:type="spellStart"/>
      <w:r w:rsidRPr="005E651D">
        <w:rPr>
          <w:rFonts w:cstheme="minorHAnsi"/>
          <w:szCs w:val="22"/>
        </w:rPr>
        <w:t>Sohel’s</w:t>
      </w:r>
      <w:proofErr w:type="spellEnd"/>
      <w:r w:rsidRPr="005E651D">
        <w:rPr>
          <w:rFonts w:cstheme="minorHAnsi"/>
          <w:szCs w:val="22"/>
        </w:rPr>
        <w:t xml:space="preserve"> colleague </w:t>
      </w:r>
      <w:r w:rsidR="00551F3A" w:rsidRPr="005E651D">
        <w:rPr>
          <w:rFonts w:cstheme="minorHAnsi"/>
          <w:szCs w:val="22"/>
        </w:rPr>
        <w:t>realized</w:t>
      </w:r>
      <w:r w:rsidRPr="005E651D">
        <w:rPr>
          <w:rFonts w:cstheme="minorHAnsi"/>
          <w:szCs w:val="22"/>
        </w:rPr>
        <w:t xml:space="preserve"> Sohel was missing when he was not reachable by his cell phone and notified Sohel’s wife. Fearing he had been arrested, family members and friends contacted various police stations. During this time, a friend notified the family that </w:t>
      </w:r>
      <w:r w:rsidR="008F56E4" w:rsidRPr="005E651D">
        <w:rPr>
          <w:rFonts w:cstheme="minorHAnsi"/>
          <w:szCs w:val="22"/>
        </w:rPr>
        <w:t>LEAs</w:t>
      </w:r>
      <w:r w:rsidRPr="005E651D">
        <w:rPr>
          <w:rFonts w:cstheme="minorHAnsi"/>
          <w:szCs w:val="22"/>
        </w:rPr>
        <w:t xml:space="preserve"> had taken Sohel late at night. The following day, Sohel’s wife filed a missing person complaint at the local police station, and Sohel’s sister </w:t>
      </w:r>
      <w:r w:rsidR="00B83194" w:rsidRPr="005E651D">
        <w:rPr>
          <w:rFonts w:cstheme="minorHAnsi"/>
          <w:szCs w:val="22"/>
        </w:rPr>
        <w:t>was told she could not file a General Diary</w:t>
      </w:r>
      <w:r w:rsidR="000F5CAA" w:rsidRPr="005E651D">
        <w:rPr>
          <w:rFonts w:cstheme="minorHAnsi"/>
          <w:szCs w:val="22"/>
        </w:rPr>
        <w:t xml:space="preserve"> application</w:t>
      </w:r>
      <w:r w:rsidRPr="005E651D">
        <w:rPr>
          <w:rFonts w:cstheme="minorHAnsi"/>
          <w:szCs w:val="22"/>
        </w:rPr>
        <w:t xml:space="preserve"> if she alleged involvement of law enforcement and could come back the next day provided she file a missing person </w:t>
      </w:r>
      <w:r w:rsidR="00B83194" w:rsidRPr="005E651D">
        <w:rPr>
          <w:rFonts w:cstheme="minorHAnsi"/>
          <w:szCs w:val="22"/>
        </w:rPr>
        <w:t>General Diary</w:t>
      </w:r>
      <w:r w:rsidRPr="005E651D">
        <w:rPr>
          <w:rFonts w:cstheme="minorHAnsi"/>
          <w:szCs w:val="22"/>
        </w:rPr>
        <w:t xml:space="preserve">. Officers at </w:t>
      </w:r>
      <w:r w:rsidR="00551F3A" w:rsidRPr="005E651D">
        <w:rPr>
          <w:rFonts w:cstheme="minorHAnsi"/>
          <w:szCs w:val="22"/>
        </w:rPr>
        <w:t>Detective Branch</w:t>
      </w:r>
      <w:r w:rsidR="000F5CAA" w:rsidRPr="005E651D">
        <w:rPr>
          <w:rFonts w:cstheme="minorHAnsi"/>
          <w:szCs w:val="22"/>
        </w:rPr>
        <w:t xml:space="preserve"> headquarters denied that he </w:t>
      </w:r>
      <w:r w:rsidRPr="005E651D">
        <w:rPr>
          <w:rFonts w:cstheme="minorHAnsi"/>
          <w:szCs w:val="22"/>
        </w:rPr>
        <w:t xml:space="preserve">was in their custody, first inquiring whether Sohel had any political affiliation and telling Sohel’s wife not to “hang around here.” Sohel’s wife and other family members tried repeatedly for ten days to speak with </w:t>
      </w:r>
      <w:r w:rsidR="00551F3A" w:rsidRPr="005E651D">
        <w:rPr>
          <w:rFonts w:cstheme="minorHAnsi"/>
          <w:szCs w:val="22"/>
        </w:rPr>
        <w:t>Detective Branch</w:t>
      </w:r>
      <w:r w:rsidRPr="005E651D">
        <w:rPr>
          <w:rFonts w:cstheme="minorHAnsi"/>
          <w:szCs w:val="22"/>
        </w:rPr>
        <w:t xml:space="preserve"> officials but were told their efforts would be fruitless. Three individuals who had been abducted with Sohel were later released and notified Sohel’s wife of what had occurred; however, all three went into hiding. Six months after Sohel was disappeared, the police established a 40-member anti-kidnapping brigade and Sohel’s wife filed an application, again requesting an investigation into Sohel’s disappearance. She then met with an additional deputy commissioner of police who placed her in contact with a </w:t>
      </w:r>
      <w:r w:rsidR="00551F3A" w:rsidRPr="005E651D">
        <w:rPr>
          <w:rFonts w:cstheme="minorHAnsi"/>
          <w:szCs w:val="22"/>
        </w:rPr>
        <w:t>Detective Branch</w:t>
      </w:r>
      <w:r w:rsidRPr="005E651D">
        <w:rPr>
          <w:rFonts w:cstheme="minorHAnsi"/>
          <w:szCs w:val="22"/>
        </w:rPr>
        <w:t xml:space="preserve"> official. No further information was received.</w:t>
      </w:r>
      <w:r w:rsidRPr="005E651D">
        <w:rPr>
          <w:rStyle w:val="FootnoteReference"/>
          <w:rFonts w:cstheme="minorHAnsi"/>
          <w:szCs w:val="22"/>
        </w:rPr>
        <w:footnoteReference w:id="132"/>
      </w:r>
    </w:p>
    <w:p w14:paraId="549FB5F4" w14:textId="216D2241" w:rsidR="0028734F" w:rsidRPr="005E651D" w:rsidRDefault="0028734F" w:rsidP="0028734F">
      <w:pPr>
        <w:pStyle w:val="BodyText"/>
        <w:rPr>
          <w:rFonts w:cstheme="minorHAnsi"/>
          <w:i/>
        </w:rPr>
      </w:pPr>
      <w:r w:rsidRPr="005E651D">
        <w:rPr>
          <w:rFonts w:cstheme="minorHAnsi"/>
        </w:rPr>
        <w:tab/>
        <w:t>As evidenced by the narratives of Quasem, Sumon, and Sohel, the practice of enforced disappearances have ravaged families and left them with no answers</w:t>
      </w:r>
      <w:r w:rsidR="00E77DE0" w:rsidRPr="005E651D">
        <w:rPr>
          <w:rFonts w:cstheme="minorHAnsi"/>
        </w:rPr>
        <w:t xml:space="preserve"> or truth. Indeed, this practice directly </w:t>
      </w:r>
      <w:r w:rsidR="00E77DE0" w:rsidRPr="005E651D">
        <w:rPr>
          <w:rFonts w:cstheme="minorHAnsi"/>
        </w:rPr>
        <w:lastRenderedPageBreak/>
        <w:t xml:space="preserve">violates </w:t>
      </w:r>
      <w:r w:rsidR="00E77DE0" w:rsidRPr="005E651D">
        <w:rPr>
          <w:rFonts w:cstheme="minorHAnsi"/>
          <w:szCs w:val="22"/>
        </w:rPr>
        <w:t>Convention Articles 2, 13, and 14, and the Government must adopt certain approaches to mitigate the damage such enforced disappearances has caused to Bangladeshi society.</w:t>
      </w:r>
    </w:p>
    <w:p w14:paraId="036C779B" w14:textId="694F0BD9" w:rsidR="00E1324F" w:rsidRPr="005E651D" w:rsidRDefault="00E1324F" w:rsidP="00E1324F">
      <w:pPr>
        <w:pStyle w:val="Heading2"/>
        <w:rPr>
          <w:rFonts w:asciiTheme="minorHAnsi" w:hAnsiTheme="minorHAnsi" w:cstheme="minorHAnsi"/>
        </w:rPr>
      </w:pPr>
      <w:bookmarkStart w:id="70" w:name="_Toc11053845"/>
      <w:bookmarkStart w:id="71" w:name="_Toc11879538"/>
      <w:bookmarkStart w:id="72" w:name="_Toc11883199"/>
      <w:bookmarkStart w:id="73" w:name="_Toc11922677"/>
      <w:bookmarkStart w:id="74" w:name="_Toc11945118"/>
      <w:r w:rsidRPr="005E651D">
        <w:rPr>
          <w:rFonts w:asciiTheme="minorHAnsi" w:hAnsiTheme="minorHAnsi" w:cstheme="minorHAnsi"/>
        </w:rPr>
        <w:t>Sexual Violence and Rape</w:t>
      </w:r>
      <w:bookmarkEnd w:id="70"/>
      <w:bookmarkEnd w:id="71"/>
      <w:bookmarkEnd w:id="72"/>
      <w:bookmarkEnd w:id="73"/>
      <w:bookmarkEnd w:id="74"/>
    </w:p>
    <w:p w14:paraId="39001448" w14:textId="033F2D5F" w:rsidR="000B020C" w:rsidRPr="005E651D" w:rsidRDefault="000B020C" w:rsidP="00A02B84">
      <w:pPr>
        <w:pStyle w:val="BodyText"/>
        <w:rPr>
          <w:rFonts w:cstheme="minorHAnsi"/>
        </w:rPr>
      </w:pPr>
      <w:r w:rsidRPr="005E651D">
        <w:rPr>
          <w:rFonts w:cstheme="minorHAnsi"/>
        </w:rPr>
        <w:tab/>
        <w:t xml:space="preserve">State actors in Bangladesh, such as </w:t>
      </w:r>
      <w:r w:rsidR="00D018F8" w:rsidRPr="005E651D">
        <w:rPr>
          <w:rFonts w:cstheme="minorHAnsi"/>
        </w:rPr>
        <w:t xml:space="preserve">LEAs and </w:t>
      </w:r>
      <w:r w:rsidR="001778B2" w:rsidRPr="005E651D">
        <w:rPr>
          <w:rFonts w:cstheme="minorHAnsi"/>
        </w:rPr>
        <w:t>officials of the ruling party</w:t>
      </w:r>
      <w:r w:rsidRPr="005E651D">
        <w:rPr>
          <w:rFonts w:cstheme="minorHAnsi"/>
        </w:rPr>
        <w:t>, commit acts of sexual violence and rape against civilians in violation of the Convention.</w:t>
      </w:r>
      <w:r w:rsidR="00A02B84" w:rsidRPr="005E651D">
        <w:rPr>
          <w:rFonts w:cstheme="minorHAnsi"/>
        </w:rPr>
        <w:t xml:space="preserve"> </w:t>
      </w:r>
    </w:p>
    <w:p w14:paraId="546B91C2" w14:textId="6F487F65" w:rsidR="000B020C" w:rsidRPr="005E651D" w:rsidRDefault="000B020C" w:rsidP="0043435E">
      <w:pPr>
        <w:pStyle w:val="BodyText"/>
        <w:rPr>
          <w:rFonts w:cstheme="minorHAnsi"/>
          <w:szCs w:val="22"/>
        </w:rPr>
      </w:pPr>
      <w:r w:rsidRPr="005E651D">
        <w:rPr>
          <w:rFonts w:cstheme="minorHAnsi"/>
        </w:rPr>
        <w:tab/>
      </w:r>
      <w:r w:rsidR="008918E3" w:rsidRPr="005E651D">
        <w:rPr>
          <w:rFonts w:cstheme="minorHAnsi"/>
          <w:szCs w:val="22"/>
        </w:rPr>
        <w:t xml:space="preserve">The </w:t>
      </w:r>
      <w:r w:rsidR="009D5BA8" w:rsidRPr="005E651D">
        <w:rPr>
          <w:rFonts w:cstheme="minorHAnsi"/>
          <w:szCs w:val="22"/>
        </w:rPr>
        <w:t>CAT</w:t>
      </w:r>
      <w:r w:rsidR="008918E3" w:rsidRPr="005E651D">
        <w:rPr>
          <w:rFonts w:cstheme="minorHAnsi"/>
          <w:szCs w:val="22"/>
        </w:rPr>
        <w:t xml:space="preserve"> has </w:t>
      </w:r>
      <w:r w:rsidR="00F23260" w:rsidRPr="005E651D">
        <w:rPr>
          <w:rFonts w:cstheme="minorHAnsi"/>
          <w:szCs w:val="22"/>
        </w:rPr>
        <w:t>considered rape by state officials to be a form of torture that violates the Convention.</w:t>
      </w:r>
      <w:r w:rsidR="00F23260" w:rsidRPr="005E651D">
        <w:rPr>
          <w:rStyle w:val="FootnoteReference"/>
          <w:rFonts w:cstheme="minorHAnsi"/>
          <w:szCs w:val="22"/>
        </w:rPr>
        <w:footnoteReference w:id="133"/>
      </w:r>
      <w:r w:rsidR="00771F32" w:rsidRPr="005E651D">
        <w:rPr>
          <w:rFonts w:cstheme="minorHAnsi"/>
          <w:szCs w:val="22"/>
        </w:rPr>
        <w:t xml:space="preserve"> </w:t>
      </w:r>
      <w:r w:rsidR="00C86B17" w:rsidRPr="005E651D">
        <w:rPr>
          <w:rFonts w:cstheme="minorHAnsi"/>
          <w:szCs w:val="22"/>
        </w:rPr>
        <w:t xml:space="preserve">The Committee first </w:t>
      </w:r>
      <w:r w:rsidR="008918E3" w:rsidRPr="005E651D">
        <w:rPr>
          <w:rFonts w:cstheme="minorHAnsi"/>
          <w:szCs w:val="22"/>
        </w:rPr>
        <w:t>recognized</w:t>
      </w:r>
      <w:r w:rsidR="00C86B17" w:rsidRPr="005E651D">
        <w:rPr>
          <w:rFonts w:cstheme="minorHAnsi"/>
          <w:szCs w:val="22"/>
        </w:rPr>
        <w:t xml:space="preserve"> rape as a violation of the Convention</w:t>
      </w:r>
      <w:r w:rsidR="0043435E" w:rsidRPr="005E651D">
        <w:rPr>
          <w:rFonts w:cstheme="minorHAnsi"/>
          <w:szCs w:val="22"/>
        </w:rPr>
        <w:t xml:space="preserve"> in 200</w:t>
      </w:r>
      <w:r w:rsidR="00AA50C1" w:rsidRPr="005E651D">
        <w:rPr>
          <w:rFonts w:cstheme="minorHAnsi"/>
          <w:szCs w:val="22"/>
        </w:rPr>
        <w:t>7</w:t>
      </w:r>
      <w:r w:rsidR="00C86B17" w:rsidRPr="005E651D">
        <w:rPr>
          <w:rFonts w:cstheme="minorHAnsi"/>
          <w:szCs w:val="22"/>
        </w:rPr>
        <w:t>, when it found</w:t>
      </w:r>
      <w:r w:rsidR="0043435E" w:rsidRPr="005E651D">
        <w:rPr>
          <w:rFonts w:cstheme="minorHAnsi"/>
          <w:szCs w:val="22"/>
        </w:rPr>
        <w:t xml:space="preserve"> that “sexual abuse by the police . . . constitutes torture even though it was perpetrated outside formal detention facilities.”</w:t>
      </w:r>
      <w:r w:rsidR="0043435E" w:rsidRPr="005E651D">
        <w:rPr>
          <w:rStyle w:val="FootnoteReference"/>
          <w:rFonts w:cstheme="minorHAnsi"/>
          <w:szCs w:val="22"/>
        </w:rPr>
        <w:footnoteReference w:id="134"/>
      </w:r>
      <w:r w:rsidR="00771F32" w:rsidRPr="005E651D">
        <w:rPr>
          <w:rFonts w:cstheme="minorHAnsi"/>
          <w:szCs w:val="22"/>
        </w:rPr>
        <w:t xml:space="preserve"> </w:t>
      </w:r>
      <w:r w:rsidR="0043435E" w:rsidRPr="005E651D">
        <w:rPr>
          <w:rFonts w:cstheme="minorHAnsi"/>
          <w:szCs w:val="22"/>
        </w:rPr>
        <w:t>Today, the Committee consistently considers and decries rape and other forms of sexual violence when reviewing State parties.</w:t>
      </w:r>
      <w:r w:rsidR="0043435E" w:rsidRPr="005E651D">
        <w:rPr>
          <w:rStyle w:val="FootnoteReference"/>
          <w:rFonts w:cstheme="minorHAnsi"/>
          <w:szCs w:val="22"/>
        </w:rPr>
        <w:footnoteReference w:id="135"/>
      </w:r>
    </w:p>
    <w:p w14:paraId="24E59BB8" w14:textId="36A156B5" w:rsidR="006C6366" w:rsidRPr="005E651D" w:rsidRDefault="00F159AB" w:rsidP="006C6366">
      <w:pPr>
        <w:pStyle w:val="BodyText"/>
        <w:rPr>
          <w:rFonts w:cstheme="minorHAnsi"/>
          <w:szCs w:val="22"/>
        </w:rPr>
      </w:pPr>
      <w:r w:rsidRPr="005E651D">
        <w:rPr>
          <w:rFonts w:cstheme="minorHAnsi"/>
          <w:szCs w:val="22"/>
        </w:rPr>
        <w:tab/>
        <w:t>Organizations at both the local and national level</w:t>
      </w:r>
      <w:r w:rsidR="007411B5" w:rsidRPr="005E651D">
        <w:rPr>
          <w:rFonts w:cstheme="minorHAnsi"/>
          <w:szCs w:val="22"/>
        </w:rPr>
        <w:t>s</w:t>
      </w:r>
      <w:r w:rsidRPr="005E651D">
        <w:rPr>
          <w:rFonts w:cstheme="minorHAnsi"/>
          <w:szCs w:val="22"/>
        </w:rPr>
        <w:t xml:space="preserve"> have recogniz</w:t>
      </w:r>
      <w:r w:rsidR="008C62F7" w:rsidRPr="005E651D">
        <w:rPr>
          <w:rFonts w:cstheme="minorHAnsi"/>
          <w:szCs w:val="22"/>
        </w:rPr>
        <w:t>ed rape and sexual violence by S</w:t>
      </w:r>
      <w:r w:rsidRPr="005E651D">
        <w:rPr>
          <w:rFonts w:cstheme="minorHAnsi"/>
          <w:szCs w:val="22"/>
        </w:rPr>
        <w:t>tate actors as a pervasive problem in Bangladesh.</w:t>
      </w:r>
      <w:r w:rsidR="00771F32" w:rsidRPr="005E651D">
        <w:rPr>
          <w:rFonts w:cstheme="minorHAnsi"/>
          <w:szCs w:val="22"/>
        </w:rPr>
        <w:t xml:space="preserve"> </w:t>
      </w:r>
      <w:r w:rsidR="00F06CAA" w:rsidRPr="005E651D">
        <w:rPr>
          <w:rFonts w:cstheme="minorHAnsi"/>
          <w:szCs w:val="22"/>
        </w:rPr>
        <w:t xml:space="preserve">The </w:t>
      </w:r>
      <w:r w:rsidR="00140493" w:rsidRPr="005E651D">
        <w:rPr>
          <w:rFonts w:cstheme="minorHAnsi"/>
          <w:szCs w:val="22"/>
        </w:rPr>
        <w:t>State Department</w:t>
      </w:r>
      <w:r w:rsidR="00BC6DCF" w:rsidRPr="005E651D">
        <w:rPr>
          <w:rFonts w:cstheme="minorHAnsi"/>
          <w:szCs w:val="22"/>
        </w:rPr>
        <w:t xml:space="preserve"> R</w:t>
      </w:r>
      <w:r w:rsidR="00202583" w:rsidRPr="005E651D">
        <w:rPr>
          <w:rFonts w:cstheme="minorHAnsi"/>
          <w:szCs w:val="22"/>
        </w:rPr>
        <w:t xml:space="preserve">eport </w:t>
      </w:r>
      <w:r w:rsidR="00F06CAA" w:rsidRPr="005E651D">
        <w:rPr>
          <w:rFonts w:cstheme="minorHAnsi"/>
          <w:szCs w:val="22"/>
        </w:rPr>
        <w:t>found that security forces used rape and other sexual abuses to “g</w:t>
      </w:r>
      <w:r w:rsidR="00E723D9" w:rsidRPr="005E651D">
        <w:rPr>
          <w:rFonts w:cstheme="minorHAnsi"/>
          <w:szCs w:val="22"/>
        </w:rPr>
        <w:t>ather information from alleged militants and members of political opposition parties.</w:t>
      </w:r>
      <w:r w:rsidR="00F06CAA" w:rsidRPr="005E651D">
        <w:rPr>
          <w:rFonts w:cstheme="minorHAnsi"/>
          <w:szCs w:val="22"/>
        </w:rPr>
        <w:t>”</w:t>
      </w:r>
      <w:r w:rsidR="00E723D9" w:rsidRPr="005E651D">
        <w:rPr>
          <w:rStyle w:val="FootnoteReference"/>
          <w:rFonts w:cstheme="minorHAnsi"/>
          <w:szCs w:val="22"/>
        </w:rPr>
        <w:footnoteReference w:id="136"/>
      </w:r>
      <w:r w:rsidR="00771F32" w:rsidRPr="005E651D">
        <w:rPr>
          <w:rFonts w:cstheme="minorHAnsi"/>
          <w:szCs w:val="22"/>
        </w:rPr>
        <w:t xml:space="preserve"> </w:t>
      </w:r>
      <w:r w:rsidR="00A80D10" w:rsidRPr="005E651D">
        <w:rPr>
          <w:rFonts w:cstheme="minorHAnsi"/>
          <w:szCs w:val="22"/>
        </w:rPr>
        <w:t xml:space="preserve">Local </w:t>
      </w:r>
      <w:r w:rsidR="00D018F8" w:rsidRPr="005E651D">
        <w:rPr>
          <w:rFonts w:cstheme="minorHAnsi"/>
          <w:szCs w:val="22"/>
        </w:rPr>
        <w:t>NGOs</w:t>
      </w:r>
      <w:r w:rsidR="00A80D10" w:rsidRPr="005E651D">
        <w:rPr>
          <w:rFonts w:cstheme="minorHAnsi"/>
          <w:szCs w:val="22"/>
        </w:rPr>
        <w:t xml:space="preserve"> have identified numerous instances of rape and sexual violence committed by members of the ruling political parties, in particular the Aw</w:t>
      </w:r>
      <w:r w:rsidR="00613A4F" w:rsidRPr="005E651D">
        <w:rPr>
          <w:rFonts w:cstheme="minorHAnsi"/>
          <w:szCs w:val="22"/>
        </w:rPr>
        <w:t>ami League</w:t>
      </w:r>
      <w:r w:rsidR="00A80D10" w:rsidRPr="005E651D">
        <w:rPr>
          <w:rFonts w:cstheme="minorHAnsi"/>
          <w:szCs w:val="22"/>
        </w:rPr>
        <w:t xml:space="preserve"> and individuals backed by those political parties.</w:t>
      </w:r>
      <w:r w:rsidR="00771F32" w:rsidRPr="005E651D">
        <w:rPr>
          <w:rFonts w:cstheme="minorHAnsi"/>
          <w:szCs w:val="22"/>
        </w:rPr>
        <w:t xml:space="preserve"> </w:t>
      </w:r>
      <w:r w:rsidR="006C6366" w:rsidRPr="005E651D">
        <w:rPr>
          <w:rFonts w:cstheme="minorHAnsi"/>
          <w:szCs w:val="22"/>
        </w:rPr>
        <w:t>Odhikar has reported that the ruling party leaders, activists</w:t>
      </w:r>
      <w:r w:rsidR="00613A4F" w:rsidRPr="005E651D">
        <w:rPr>
          <w:rFonts w:cstheme="minorHAnsi"/>
          <w:szCs w:val="22"/>
        </w:rPr>
        <w:t>,</w:t>
      </w:r>
      <w:r w:rsidR="006C6366" w:rsidRPr="005E651D">
        <w:rPr>
          <w:rFonts w:cstheme="minorHAnsi"/>
          <w:szCs w:val="22"/>
        </w:rPr>
        <w:t xml:space="preserve"> and supporters are enjoying impunity </w:t>
      </w:r>
      <w:r w:rsidR="008905AC" w:rsidRPr="005E651D">
        <w:rPr>
          <w:rFonts w:cstheme="minorHAnsi"/>
          <w:szCs w:val="22"/>
        </w:rPr>
        <w:t>when</w:t>
      </w:r>
      <w:r w:rsidR="006C6366" w:rsidRPr="005E651D">
        <w:rPr>
          <w:rFonts w:cstheme="minorHAnsi"/>
          <w:szCs w:val="22"/>
        </w:rPr>
        <w:t xml:space="preserve"> carrying out various kinds of violence against women, including rape.</w:t>
      </w:r>
      <w:r w:rsidR="006C6366" w:rsidRPr="005E651D">
        <w:rPr>
          <w:rStyle w:val="FootnoteReference"/>
          <w:rFonts w:cstheme="minorHAnsi"/>
          <w:szCs w:val="22"/>
        </w:rPr>
        <w:footnoteReference w:id="137"/>
      </w:r>
      <w:r w:rsidR="00771F32" w:rsidRPr="005E651D">
        <w:rPr>
          <w:rFonts w:cstheme="minorHAnsi"/>
          <w:szCs w:val="22"/>
        </w:rPr>
        <w:t xml:space="preserve"> </w:t>
      </w:r>
      <w:r w:rsidR="006C6366" w:rsidRPr="005E651D">
        <w:rPr>
          <w:rFonts w:cstheme="minorHAnsi"/>
          <w:szCs w:val="22"/>
        </w:rPr>
        <w:t>Examples of these findings include:</w:t>
      </w:r>
    </w:p>
    <w:p w14:paraId="712BFDAE" w14:textId="5D4B7BBD" w:rsidR="00526E97" w:rsidRPr="005E651D" w:rsidRDefault="00526E97" w:rsidP="00CC3A78">
      <w:pPr>
        <w:pStyle w:val="BodyText"/>
        <w:numPr>
          <w:ilvl w:val="0"/>
          <w:numId w:val="43"/>
        </w:numPr>
        <w:rPr>
          <w:rFonts w:cstheme="minorHAnsi"/>
          <w:szCs w:val="22"/>
        </w:rPr>
      </w:pPr>
      <w:r w:rsidRPr="005E651D">
        <w:rPr>
          <w:rFonts w:cstheme="minorHAnsi"/>
          <w:szCs w:val="22"/>
        </w:rPr>
        <w:t xml:space="preserve">In 2017, Awami League official Mohammed al-Helal </w:t>
      </w:r>
      <w:r w:rsidR="00131CD1" w:rsidRPr="005E651D">
        <w:rPr>
          <w:rFonts w:cstheme="minorHAnsi"/>
          <w:szCs w:val="22"/>
        </w:rPr>
        <w:t xml:space="preserve">allegedly </w:t>
      </w:r>
      <w:r w:rsidRPr="005E651D">
        <w:rPr>
          <w:rFonts w:cstheme="minorHAnsi"/>
          <w:szCs w:val="22"/>
        </w:rPr>
        <w:t>raped an 18-year-old girl in Sherpur Upazila. He was detained by locals, but the officer-in-charge, Khan Mohammed Erfan, would not file a case against him and released him within hours.</w:t>
      </w:r>
      <w:r w:rsidRPr="005E651D">
        <w:rPr>
          <w:rStyle w:val="FootnoteReference"/>
          <w:rFonts w:cstheme="minorHAnsi"/>
          <w:szCs w:val="22"/>
        </w:rPr>
        <w:footnoteReference w:id="138"/>
      </w:r>
    </w:p>
    <w:p w14:paraId="544E1A6A" w14:textId="17553208" w:rsidR="00815E40" w:rsidRPr="005E651D" w:rsidRDefault="003208B9" w:rsidP="00815E40">
      <w:pPr>
        <w:pStyle w:val="BodyText"/>
        <w:numPr>
          <w:ilvl w:val="0"/>
          <w:numId w:val="43"/>
        </w:numPr>
        <w:rPr>
          <w:rFonts w:cstheme="minorHAnsi"/>
          <w:szCs w:val="22"/>
        </w:rPr>
      </w:pPr>
      <w:r w:rsidRPr="005E651D">
        <w:rPr>
          <w:rFonts w:cstheme="minorHAnsi"/>
          <w:szCs w:val="22"/>
        </w:rPr>
        <w:t xml:space="preserve">In December </w:t>
      </w:r>
      <w:r w:rsidR="00217077" w:rsidRPr="005E651D">
        <w:rPr>
          <w:rFonts w:cstheme="minorHAnsi"/>
          <w:szCs w:val="22"/>
        </w:rPr>
        <w:t>2018</w:t>
      </w:r>
      <w:r w:rsidRPr="005E651D">
        <w:rPr>
          <w:rFonts w:cstheme="minorHAnsi"/>
          <w:szCs w:val="22"/>
        </w:rPr>
        <w:t xml:space="preserve">, the wife of </w:t>
      </w:r>
      <w:r w:rsidR="00CC3A78" w:rsidRPr="005E651D">
        <w:rPr>
          <w:rFonts w:cstheme="minorHAnsi"/>
          <w:szCs w:val="22"/>
        </w:rPr>
        <w:t xml:space="preserve">Abul Hossain, </w:t>
      </w:r>
      <w:r w:rsidRPr="005E651D">
        <w:rPr>
          <w:rFonts w:cstheme="minorHAnsi"/>
          <w:szCs w:val="22"/>
        </w:rPr>
        <w:t>a BNP activist</w:t>
      </w:r>
      <w:r w:rsidR="00CC3A78" w:rsidRPr="005E651D">
        <w:rPr>
          <w:rFonts w:cstheme="minorHAnsi"/>
          <w:szCs w:val="22"/>
        </w:rPr>
        <w:t>,</w:t>
      </w:r>
      <w:r w:rsidRPr="005E651D">
        <w:rPr>
          <w:rFonts w:cstheme="minorHAnsi"/>
          <w:szCs w:val="22"/>
        </w:rPr>
        <w:t xml:space="preserve"> was gang raped</w:t>
      </w:r>
      <w:r w:rsidR="003A6C38" w:rsidRPr="005E651D">
        <w:rPr>
          <w:rFonts w:cstheme="minorHAnsi"/>
          <w:szCs w:val="22"/>
        </w:rPr>
        <w:t xml:space="preserve"> at gun point</w:t>
      </w:r>
      <w:r w:rsidRPr="005E651D">
        <w:rPr>
          <w:rFonts w:cstheme="minorHAnsi"/>
          <w:szCs w:val="22"/>
        </w:rPr>
        <w:t xml:space="preserve"> </w:t>
      </w:r>
      <w:r w:rsidR="008A1D98" w:rsidRPr="005E651D">
        <w:rPr>
          <w:rFonts w:cstheme="minorHAnsi"/>
          <w:szCs w:val="22"/>
        </w:rPr>
        <w:t xml:space="preserve">in Kabirhat of Noakhali District </w:t>
      </w:r>
      <w:r w:rsidRPr="005E651D">
        <w:rPr>
          <w:rFonts w:cstheme="minorHAnsi"/>
          <w:szCs w:val="22"/>
        </w:rPr>
        <w:t>by</w:t>
      </w:r>
      <w:r w:rsidR="008A1D98" w:rsidRPr="005E651D">
        <w:rPr>
          <w:rFonts w:cstheme="minorHAnsi"/>
          <w:szCs w:val="22"/>
        </w:rPr>
        <w:t xml:space="preserve"> members of a youth wing of the</w:t>
      </w:r>
      <w:r w:rsidRPr="005E651D">
        <w:rPr>
          <w:rFonts w:cstheme="minorHAnsi"/>
          <w:szCs w:val="22"/>
        </w:rPr>
        <w:t xml:space="preserve"> Awami League</w:t>
      </w:r>
      <w:r w:rsidR="00CC3A78" w:rsidRPr="005E651D">
        <w:rPr>
          <w:rFonts w:cstheme="minorHAnsi"/>
          <w:szCs w:val="22"/>
        </w:rPr>
        <w:t xml:space="preserve"> called</w:t>
      </w:r>
      <w:r w:rsidR="008A1D98" w:rsidRPr="005E651D">
        <w:rPr>
          <w:rFonts w:cstheme="minorHAnsi"/>
          <w:szCs w:val="22"/>
        </w:rPr>
        <w:t xml:space="preserve"> Jubo League</w:t>
      </w:r>
      <w:r w:rsidRPr="005E651D">
        <w:rPr>
          <w:rFonts w:cstheme="minorHAnsi"/>
          <w:szCs w:val="22"/>
        </w:rPr>
        <w:t>.</w:t>
      </w:r>
      <w:r w:rsidR="00771F32" w:rsidRPr="005E651D">
        <w:rPr>
          <w:rFonts w:cstheme="minorHAnsi"/>
          <w:szCs w:val="22"/>
        </w:rPr>
        <w:t xml:space="preserve"> </w:t>
      </w:r>
      <w:r w:rsidR="00D36F64" w:rsidRPr="005E651D">
        <w:rPr>
          <w:rFonts w:cstheme="minorHAnsi"/>
          <w:szCs w:val="22"/>
        </w:rPr>
        <w:t xml:space="preserve">The </w:t>
      </w:r>
      <w:r w:rsidRPr="005E651D">
        <w:rPr>
          <w:rFonts w:cstheme="minorHAnsi"/>
          <w:szCs w:val="22"/>
        </w:rPr>
        <w:t xml:space="preserve">NHRC </w:t>
      </w:r>
      <w:r w:rsidR="006C6366" w:rsidRPr="005E651D">
        <w:rPr>
          <w:rFonts w:cstheme="minorHAnsi"/>
          <w:szCs w:val="22"/>
        </w:rPr>
        <w:t>established an inquiry committee, ultimately finding no proof that the rape and injuries sustained had occurred in connection with the elections.</w:t>
      </w:r>
      <w:r w:rsidR="00771F32" w:rsidRPr="005E651D">
        <w:rPr>
          <w:rFonts w:cstheme="minorHAnsi"/>
          <w:szCs w:val="22"/>
        </w:rPr>
        <w:t xml:space="preserve"> </w:t>
      </w:r>
      <w:r w:rsidRPr="005E651D">
        <w:rPr>
          <w:rFonts w:cstheme="minorHAnsi"/>
          <w:szCs w:val="22"/>
        </w:rPr>
        <w:t>In response to backlash</w:t>
      </w:r>
      <w:r w:rsidR="00560634" w:rsidRPr="005E651D">
        <w:rPr>
          <w:rFonts w:cstheme="minorHAnsi"/>
          <w:szCs w:val="22"/>
        </w:rPr>
        <w:t xml:space="preserve"> </w:t>
      </w:r>
      <w:r w:rsidR="006C6366" w:rsidRPr="005E651D">
        <w:rPr>
          <w:rFonts w:cstheme="minorHAnsi"/>
          <w:szCs w:val="22"/>
        </w:rPr>
        <w:t xml:space="preserve">from </w:t>
      </w:r>
      <w:r w:rsidR="006C6366" w:rsidRPr="005E651D">
        <w:rPr>
          <w:rFonts w:cstheme="minorHAnsi"/>
          <w:szCs w:val="22"/>
        </w:rPr>
        <w:lastRenderedPageBreak/>
        <w:t>the community</w:t>
      </w:r>
      <w:r w:rsidRPr="005E651D">
        <w:rPr>
          <w:rFonts w:cstheme="minorHAnsi"/>
          <w:szCs w:val="22"/>
        </w:rPr>
        <w:t xml:space="preserve">, the NHRC later tried to distance itself from </w:t>
      </w:r>
      <w:r w:rsidR="00613A4F" w:rsidRPr="005E651D">
        <w:rPr>
          <w:rFonts w:cstheme="minorHAnsi"/>
          <w:szCs w:val="22"/>
        </w:rPr>
        <w:t>its own</w:t>
      </w:r>
      <w:r w:rsidRPr="005E651D">
        <w:rPr>
          <w:rFonts w:cstheme="minorHAnsi"/>
          <w:szCs w:val="22"/>
        </w:rPr>
        <w:t xml:space="preserve"> investigative committee’s findings.</w:t>
      </w:r>
      <w:r w:rsidRPr="005E651D">
        <w:rPr>
          <w:rStyle w:val="FootnoteReference"/>
          <w:rFonts w:cstheme="minorHAnsi"/>
          <w:szCs w:val="22"/>
        </w:rPr>
        <w:footnoteReference w:id="139"/>
      </w:r>
    </w:p>
    <w:p w14:paraId="6D5A7100" w14:textId="3E65934C" w:rsidR="00CC3A78" w:rsidRPr="005E651D" w:rsidRDefault="006C6366" w:rsidP="00815E40">
      <w:pPr>
        <w:pStyle w:val="BodyText"/>
        <w:numPr>
          <w:ilvl w:val="0"/>
          <w:numId w:val="43"/>
        </w:numPr>
        <w:rPr>
          <w:rFonts w:cstheme="minorHAnsi"/>
          <w:szCs w:val="22"/>
        </w:rPr>
      </w:pPr>
      <w:r w:rsidRPr="005E651D">
        <w:rPr>
          <w:rFonts w:cstheme="minorHAnsi"/>
          <w:szCs w:val="22"/>
        </w:rPr>
        <w:t xml:space="preserve">In February 2019, a woman and a young girl went to the Saturia Police Station in Manikganj district to </w:t>
      </w:r>
      <w:r w:rsidR="00715C51" w:rsidRPr="005E651D">
        <w:rPr>
          <w:rFonts w:cstheme="minorHAnsi"/>
          <w:szCs w:val="22"/>
        </w:rPr>
        <w:t xml:space="preserve">recover money taken </w:t>
      </w:r>
      <w:r w:rsidR="00D36F64" w:rsidRPr="005E651D">
        <w:rPr>
          <w:rFonts w:cstheme="minorHAnsi"/>
          <w:szCs w:val="22"/>
        </w:rPr>
        <w:t xml:space="preserve">from them </w:t>
      </w:r>
      <w:r w:rsidR="00715C51" w:rsidRPr="005E651D">
        <w:rPr>
          <w:rFonts w:cstheme="minorHAnsi"/>
          <w:szCs w:val="22"/>
        </w:rPr>
        <w:t>by Sub-Inspector Sekendar Hossain.</w:t>
      </w:r>
      <w:r w:rsidR="00771F32" w:rsidRPr="005E651D">
        <w:rPr>
          <w:rFonts w:cstheme="minorHAnsi"/>
          <w:szCs w:val="22"/>
        </w:rPr>
        <w:t xml:space="preserve"> </w:t>
      </w:r>
      <w:r w:rsidR="00715C51" w:rsidRPr="005E651D">
        <w:rPr>
          <w:rFonts w:cstheme="minorHAnsi"/>
          <w:szCs w:val="22"/>
        </w:rPr>
        <w:t>Sub-Inspector Hossain and Assistant Sub-Inspector Mazharul took them to the guest house of the Direct Council</w:t>
      </w:r>
      <w:r w:rsidR="00827C67" w:rsidRPr="005E651D">
        <w:rPr>
          <w:rFonts w:cstheme="minorHAnsi"/>
          <w:szCs w:val="22"/>
        </w:rPr>
        <w:t xml:space="preserve"> (</w:t>
      </w:r>
      <w:r w:rsidR="00624476" w:rsidRPr="005E651D">
        <w:rPr>
          <w:rFonts w:cstheme="minorHAnsi"/>
          <w:szCs w:val="22"/>
        </w:rPr>
        <w:t xml:space="preserve">the </w:t>
      </w:r>
      <w:r w:rsidR="00A24337" w:rsidRPr="005E651D">
        <w:rPr>
          <w:rFonts w:cstheme="minorHAnsi"/>
          <w:szCs w:val="22"/>
        </w:rPr>
        <w:t xml:space="preserve">local </w:t>
      </w:r>
      <w:r w:rsidR="00827C67" w:rsidRPr="005E651D">
        <w:rPr>
          <w:rFonts w:cstheme="minorHAnsi"/>
          <w:szCs w:val="22"/>
        </w:rPr>
        <w:t>district government body)</w:t>
      </w:r>
      <w:r w:rsidR="00715C51" w:rsidRPr="005E651D">
        <w:rPr>
          <w:rFonts w:cstheme="minorHAnsi"/>
          <w:szCs w:val="22"/>
        </w:rPr>
        <w:t xml:space="preserve">, where they </w:t>
      </w:r>
      <w:r w:rsidR="00D829E9" w:rsidRPr="005E651D">
        <w:rPr>
          <w:rFonts w:cstheme="minorHAnsi"/>
          <w:szCs w:val="22"/>
        </w:rPr>
        <w:t xml:space="preserve">allegedly </w:t>
      </w:r>
      <w:r w:rsidR="00715C51" w:rsidRPr="005E651D">
        <w:rPr>
          <w:rFonts w:cstheme="minorHAnsi"/>
          <w:szCs w:val="22"/>
        </w:rPr>
        <w:t>confined the woman to a roo</w:t>
      </w:r>
      <w:r w:rsidR="00587BDF" w:rsidRPr="005E651D">
        <w:rPr>
          <w:rFonts w:cstheme="minorHAnsi"/>
          <w:szCs w:val="22"/>
        </w:rPr>
        <w:t>m</w:t>
      </w:r>
      <w:r w:rsidR="00715C51" w:rsidRPr="005E651D">
        <w:rPr>
          <w:rFonts w:cstheme="minorHAnsi"/>
          <w:szCs w:val="22"/>
        </w:rPr>
        <w:t>, forced the young girl to take drugs, and then raped her.</w:t>
      </w:r>
      <w:r w:rsidR="00715C51" w:rsidRPr="005E651D">
        <w:rPr>
          <w:rStyle w:val="FootnoteReference"/>
          <w:rFonts w:cstheme="minorHAnsi"/>
          <w:szCs w:val="22"/>
        </w:rPr>
        <w:footnoteReference w:id="140"/>
      </w:r>
    </w:p>
    <w:p w14:paraId="6F51BDF0" w14:textId="540F8685" w:rsidR="00B63024" w:rsidRPr="005E651D" w:rsidRDefault="003A5B6F" w:rsidP="00F8651A">
      <w:pPr>
        <w:pStyle w:val="BodyText"/>
        <w:numPr>
          <w:ilvl w:val="0"/>
          <w:numId w:val="43"/>
        </w:numPr>
        <w:rPr>
          <w:rFonts w:cstheme="minorHAnsi"/>
          <w:szCs w:val="22"/>
        </w:rPr>
      </w:pPr>
      <w:r w:rsidRPr="005E651D">
        <w:rPr>
          <w:rFonts w:cstheme="minorHAnsi"/>
          <w:szCs w:val="22"/>
        </w:rPr>
        <w:t>In March 2019, a Juba League</w:t>
      </w:r>
      <w:r w:rsidR="0002378C" w:rsidRPr="005E651D">
        <w:rPr>
          <w:rStyle w:val="FootnoteReference"/>
          <w:rFonts w:cstheme="minorHAnsi"/>
          <w:szCs w:val="22"/>
        </w:rPr>
        <w:footnoteReference w:id="141"/>
      </w:r>
      <w:r w:rsidRPr="005E651D">
        <w:rPr>
          <w:rFonts w:cstheme="minorHAnsi"/>
          <w:szCs w:val="22"/>
        </w:rPr>
        <w:t xml:space="preserve"> </w:t>
      </w:r>
      <w:r w:rsidR="00613A4F" w:rsidRPr="005E651D">
        <w:rPr>
          <w:rFonts w:cstheme="minorHAnsi"/>
          <w:szCs w:val="22"/>
        </w:rPr>
        <w:t xml:space="preserve">activist named Alauddin </w:t>
      </w:r>
      <w:r w:rsidR="00D96B7F" w:rsidRPr="005E651D">
        <w:rPr>
          <w:rFonts w:cstheme="minorHAnsi"/>
          <w:szCs w:val="22"/>
        </w:rPr>
        <w:t xml:space="preserve">allegedly </w:t>
      </w:r>
      <w:r w:rsidR="00613A4F" w:rsidRPr="005E651D">
        <w:rPr>
          <w:rFonts w:cstheme="minorHAnsi"/>
          <w:szCs w:val="22"/>
        </w:rPr>
        <w:t>raped a</w:t>
      </w:r>
      <w:r w:rsidRPr="005E651D">
        <w:rPr>
          <w:rFonts w:cstheme="minorHAnsi"/>
          <w:szCs w:val="22"/>
        </w:rPr>
        <w:t xml:space="preserve"> woman in Subarnachar of Noakhali Distribut.</w:t>
      </w:r>
      <w:r w:rsidR="00771F32" w:rsidRPr="005E651D">
        <w:rPr>
          <w:rFonts w:cstheme="minorHAnsi"/>
          <w:szCs w:val="22"/>
        </w:rPr>
        <w:t xml:space="preserve"> </w:t>
      </w:r>
      <w:r w:rsidRPr="005E651D">
        <w:rPr>
          <w:rFonts w:cstheme="minorHAnsi"/>
          <w:szCs w:val="22"/>
        </w:rPr>
        <w:t xml:space="preserve">Alauddin was apprehended by locals and brought to a local </w:t>
      </w:r>
      <w:r w:rsidR="00526E97" w:rsidRPr="005E651D">
        <w:rPr>
          <w:rFonts w:cstheme="minorHAnsi"/>
          <w:szCs w:val="22"/>
        </w:rPr>
        <w:t xml:space="preserve">government </w:t>
      </w:r>
      <w:r w:rsidRPr="005E651D">
        <w:rPr>
          <w:rFonts w:cstheme="minorHAnsi"/>
          <w:szCs w:val="22"/>
        </w:rPr>
        <w:t xml:space="preserve">official, Nuru Mia, who released him for 60,000 taka </w:t>
      </w:r>
      <w:r w:rsidR="00FC6231" w:rsidRPr="005E651D">
        <w:rPr>
          <w:rFonts w:cstheme="minorHAnsi"/>
          <w:szCs w:val="22"/>
        </w:rPr>
        <w:t xml:space="preserve">(approximately $710 USD) </w:t>
      </w:r>
      <w:r w:rsidRPr="005E651D">
        <w:rPr>
          <w:rFonts w:cstheme="minorHAnsi"/>
          <w:szCs w:val="22"/>
        </w:rPr>
        <w:t>instead of bringing him to the police.</w:t>
      </w:r>
      <w:r w:rsidRPr="005E651D">
        <w:rPr>
          <w:rStyle w:val="FootnoteReference"/>
          <w:rFonts w:cstheme="minorHAnsi"/>
          <w:szCs w:val="22"/>
        </w:rPr>
        <w:footnoteReference w:id="142"/>
      </w:r>
    </w:p>
    <w:p w14:paraId="72A87840" w14:textId="48EFD087" w:rsidR="0088335A" w:rsidRPr="005E651D" w:rsidRDefault="0088335A" w:rsidP="0088335A">
      <w:pPr>
        <w:pStyle w:val="BodyText"/>
        <w:ind w:firstLine="360"/>
        <w:rPr>
          <w:rFonts w:cstheme="minorHAnsi"/>
          <w:szCs w:val="22"/>
        </w:rPr>
      </w:pPr>
      <w:r w:rsidRPr="005E651D">
        <w:rPr>
          <w:rFonts w:cstheme="minorHAnsi"/>
          <w:szCs w:val="22"/>
        </w:rPr>
        <w:t>As these examples show,</w:t>
      </w:r>
      <w:r w:rsidR="00694829" w:rsidRPr="005E651D">
        <w:rPr>
          <w:rFonts w:cstheme="minorHAnsi"/>
          <w:szCs w:val="22"/>
        </w:rPr>
        <w:t xml:space="preserve"> State actors and individuals acting with support from ruling political parties are subjecting</w:t>
      </w:r>
      <w:r w:rsidRPr="005E651D">
        <w:rPr>
          <w:rFonts w:cstheme="minorHAnsi"/>
          <w:szCs w:val="22"/>
        </w:rPr>
        <w:t xml:space="preserve"> Bangladeshi citizens</w:t>
      </w:r>
      <w:r w:rsidR="00694829" w:rsidRPr="005E651D">
        <w:rPr>
          <w:rFonts w:cstheme="minorHAnsi"/>
          <w:szCs w:val="22"/>
        </w:rPr>
        <w:t xml:space="preserve"> </w:t>
      </w:r>
      <w:r w:rsidRPr="005E651D">
        <w:rPr>
          <w:rFonts w:cstheme="minorHAnsi"/>
          <w:szCs w:val="22"/>
        </w:rPr>
        <w:t>to acts of rape and sexual violenc</w:t>
      </w:r>
      <w:r w:rsidR="00694829" w:rsidRPr="005E651D">
        <w:rPr>
          <w:rFonts w:cstheme="minorHAnsi"/>
          <w:szCs w:val="22"/>
        </w:rPr>
        <w:t>e</w:t>
      </w:r>
      <w:r w:rsidR="003850F0" w:rsidRPr="005E651D">
        <w:rPr>
          <w:rFonts w:cstheme="minorHAnsi"/>
          <w:szCs w:val="22"/>
        </w:rPr>
        <w:t xml:space="preserve">. </w:t>
      </w:r>
      <w:r w:rsidR="00694829" w:rsidRPr="005E651D">
        <w:rPr>
          <w:rFonts w:cstheme="minorHAnsi"/>
          <w:szCs w:val="22"/>
        </w:rPr>
        <w:t xml:space="preserve">These acts, which have been classified by the </w:t>
      </w:r>
      <w:r w:rsidR="00761A91" w:rsidRPr="005E651D">
        <w:rPr>
          <w:rFonts w:cstheme="minorHAnsi"/>
          <w:szCs w:val="22"/>
        </w:rPr>
        <w:t>Committee</w:t>
      </w:r>
      <w:r w:rsidR="00694829" w:rsidRPr="005E651D">
        <w:rPr>
          <w:rFonts w:cstheme="minorHAnsi"/>
          <w:szCs w:val="22"/>
        </w:rPr>
        <w:t xml:space="preserve"> as torture and ill treatmen</w:t>
      </w:r>
      <w:r w:rsidR="00516663" w:rsidRPr="005E651D">
        <w:rPr>
          <w:rFonts w:cstheme="minorHAnsi"/>
          <w:szCs w:val="22"/>
        </w:rPr>
        <w:t>t</w:t>
      </w:r>
      <w:r w:rsidR="00694829" w:rsidRPr="005E651D">
        <w:rPr>
          <w:rFonts w:cstheme="minorHAnsi"/>
          <w:szCs w:val="22"/>
        </w:rPr>
        <w:t>, are being perpetuated in violation of Bangladesh’</w:t>
      </w:r>
      <w:r w:rsidR="001834DA" w:rsidRPr="005E651D">
        <w:rPr>
          <w:rFonts w:cstheme="minorHAnsi"/>
          <w:szCs w:val="22"/>
        </w:rPr>
        <w:t>s Convention obligations, including under Articles 2 and 16.</w:t>
      </w:r>
    </w:p>
    <w:p w14:paraId="386E2475" w14:textId="30760ECE" w:rsidR="007B36FF" w:rsidRPr="005E651D" w:rsidRDefault="00E1324F" w:rsidP="007B36FF">
      <w:pPr>
        <w:pStyle w:val="Heading2"/>
        <w:rPr>
          <w:rFonts w:asciiTheme="minorHAnsi" w:hAnsiTheme="minorHAnsi" w:cstheme="minorHAnsi"/>
        </w:rPr>
      </w:pPr>
      <w:bookmarkStart w:id="75" w:name="_Toc11053846"/>
      <w:bookmarkStart w:id="76" w:name="_Toc11879539"/>
      <w:bookmarkStart w:id="77" w:name="_Toc11883200"/>
      <w:bookmarkStart w:id="78" w:name="_Toc11922678"/>
      <w:bookmarkStart w:id="79" w:name="_Toc11945119"/>
      <w:r w:rsidRPr="005E651D">
        <w:rPr>
          <w:rFonts w:asciiTheme="minorHAnsi" w:hAnsiTheme="minorHAnsi" w:cstheme="minorHAnsi"/>
        </w:rPr>
        <w:t>Inadequate Prison Conditions</w:t>
      </w:r>
      <w:bookmarkEnd w:id="75"/>
      <w:bookmarkEnd w:id="76"/>
      <w:bookmarkEnd w:id="77"/>
      <w:bookmarkEnd w:id="78"/>
      <w:bookmarkEnd w:id="79"/>
      <w:r w:rsidRPr="005E651D">
        <w:rPr>
          <w:rFonts w:asciiTheme="minorHAnsi" w:hAnsiTheme="minorHAnsi" w:cstheme="minorHAnsi"/>
        </w:rPr>
        <w:t xml:space="preserve"> </w:t>
      </w:r>
    </w:p>
    <w:p w14:paraId="36FA9023" w14:textId="104F4A02" w:rsidR="006D663F" w:rsidRPr="005E651D" w:rsidRDefault="007B36FF" w:rsidP="006D663F">
      <w:pPr>
        <w:rPr>
          <w:rFonts w:cstheme="minorHAnsi"/>
          <w:szCs w:val="22"/>
        </w:rPr>
      </w:pPr>
      <w:r w:rsidRPr="005E651D">
        <w:rPr>
          <w:rFonts w:cstheme="minorHAnsi"/>
        </w:rPr>
        <w:tab/>
      </w:r>
      <w:r w:rsidR="006D663F" w:rsidRPr="005E651D">
        <w:rPr>
          <w:rFonts w:cstheme="minorHAnsi"/>
        </w:rPr>
        <w:t xml:space="preserve">Bangladesh’s prison conditions are inadequate to such a degree that the country is </w:t>
      </w:r>
      <w:r w:rsidR="006D663F" w:rsidRPr="005E651D">
        <w:rPr>
          <w:rFonts w:cstheme="minorHAnsi"/>
          <w:szCs w:val="22"/>
        </w:rPr>
        <w:t>in violation of its ob</w:t>
      </w:r>
      <w:r w:rsidR="003148A3" w:rsidRPr="005E651D">
        <w:rPr>
          <w:rFonts w:cstheme="minorHAnsi"/>
          <w:szCs w:val="22"/>
        </w:rPr>
        <w:t xml:space="preserve">ligations under the Convention. </w:t>
      </w:r>
      <w:r w:rsidR="006D663F" w:rsidRPr="005E651D">
        <w:rPr>
          <w:rFonts w:cstheme="minorHAnsi"/>
        </w:rPr>
        <w:t xml:space="preserve">The </w:t>
      </w:r>
      <w:r w:rsidR="009D5BA8" w:rsidRPr="005E651D">
        <w:rPr>
          <w:rFonts w:cstheme="minorHAnsi"/>
        </w:rPr>
        <w:t>CAT</w:t>
      </w:r>
      <w:r w:rsidR="006D663F" w:rsidRPr="005E651D">
        <w:rPr>
          <w:rFonts w:cstheme="minorHAnsi"/>
        </w:rPr>
        <w:t xml:space="preserve"> has recognized that </w:t>
      </w:r>
      <w:r w:rsidR="00526E97" w:rsidRPr="005E651D">
        <w:rPr>
          <w:rFonts w:cstheme="minorHAnsi"/>
        </w:rPr>
        <w:t xml:space="preserve">inadequate </w:t>
      </w:r>
      <w:r w:rsidR="006D663F" w:rsidRPr="005E651D">
        <w:rPr>
          <w:rFonts w:cstheme="minorHAnsi"/>
        </w:rPr>
        <w:t>conditions of detention may themselves constitute ill-treatment or, in extreme cases, torture.</w:t>
      </w:r>
      <w:r w:rsidR="006D663F" w:rsidRPr="005E651D">
        <w:rPr>
          <w:rStyle w:val="FootnoteReference"/>
          <w:rFonts w:cstheme="minorHAnsi"/>
        </w:rPr>
        <w:footnoteReference w:id="143"/>
      </w:r>
      <w:r w:rsidR="00771F32" w:rsidRPr="005E651D">
        <w:rPr>
          <w:rFonts w:cstheme="minorHAnsi"/>
        </w:rPr>
        <w:t xml:space="preserve"> </w:t>
      </w:r>
      <w:r w:rsidR="00613A4F" w:rsidRPr="005E651D">
        <w:rPr>
          <w:rFonts w:cstheme="minorHAnsi"/>
        </w:rPr>
        <w:t>A</w:t>
      </w:r>
      <w:r w:rsidR="006D663F" w:rsidRPr="005E651D">
        <w:rPr>
          <w:rFonts w:cstheme="minorHAnsi"/>
          <w:szCs w:val="22"/>
        </w:rPr>
        <w:t>s required under Article 11 of the Convention, the Government is required to “keep under systematic review” the “practices as well as arrangements for the custody and treatment of persons” subject to arrest, detention, or imprisonment within its jurisdiction, and inadequate prison conditions also bear on the cruel, inhuman, and degrading treatment or punishment that the Convention proscribes under Article 16 and/or</w:t>
      </w:r>
      <w:r w:rsidR="005550C2" w:rsidRPr="005E651D">
        <w:rPr>
          <w:rFonts w:cstheme="minorHAnsi"/>
          <w:szCs w:val="22"/>
        </w:rPr>
        <w:t xml:space="preserve"> acts of torture under Article 2</w:t>
      </w:r>
      <w:r w:rsidR="006D663F" w:rsidRPr="005E651D">
        <w:rPr>
          <w:rFonts w:cstheme="minorHAnsi"/>
          <w:szCs w:val="22"/>
        </w:rPr>
        <w:t>, as recognized by the Committee.</w:t>
      </w:r>
      <w:r w:rsidR="006D663F" w:rsidRPr="005E651D">
        <w:rPr>
          <w:rStyle w:val="FootnoteReference"/>
          <w:rFonts w:cstheme="minorHAnsi"/>
          <w:szCs w:val="22"/>
        </w:rPr>
        <w:footnoteReference w:id="144"/>
      </w:r>
      <w:r w:rsidR="00C70434" w:rsidRPr="005E651D">
        <w:rPr>
          <w:rFonts w:cstheme="minorHAnsi"/>
          <w:szCs w:val="22"/>
        </w:rPr>
        <w:t xml:space="preserve"> </w:t>
      </w:r>
    </w:p>
    <w:p w14:paraId="361F2EF8" w14:textId="4D81CA74" w:rsidR="006D663F" w:rsidRPr="005E651D" w:rsidRDefault="006D663F" w:rsidP="006D663F">
      <w:pPr>
        <w:rPr>
          <w:rFonts w:cstheme="minorHAnsi"/>
          <w:szCs w:val="22"/>
        </w:rPr>
      </w:pPr>
    </w:p>
    <w:p w14:paraId="6559A1F4" w14:textId="78AF279B" w:rsidR="006D663F" w:rsidRPr="005E651D" w:rsidRDefault="006D663F" w:rsidP="006D663F">
      <w:pPr>
        <w:rPr>
          <w:rFonts w:cstheme="minorHAnsi"/>
          <w:szCs w:val="22"/>
        </w:rPr>
      </w:pPr>
      <w:r w:rsidRPr="005E651D">
        <w:rPr>
          <w:rFonts w:cstheme="minorHAnsi"/>
          <w:szCs w:val="22"/>
        </w:rPr>
        <w:tab/>
        <w:t>U</w:t>
      </w:r>
      <w:r w:rsidR="0073703C" w:rsidRPr="005E651D">
        <w:rPr>
          <w:rFonts w:cstheme="minorHAnsi"/>
          <w:szCs w:val="22"/>
        </w:rPr>
        <w:t>N</w:t>
      </w:r>
      <w:r w:rsidRPr="005E651D">
        <w:rPr>
          <w:rFonts w:cstheme="minorHAnsi"/>
          <w:szCs w:val="22"/>
        </w:rPr>
        <w:t xml:space="preserve"> representatives have acknowledged the inadequate conditions of jails in Bangladesh.</w:t>
      </w:r>
      <w:r w:rsidR="00771F32" w:rsidRPr="005E651D">
        <w:rPr>
          <w:rFonts w:cstheme="minorHAnsi"/>
          <w:szCs w:val="22"/>
        </w:rPr>
        <w:t xml:space="preserve"> </w:t>
      </w:r>
      <w:r w:rsidRPr="005E651D">
        <w:rPr>
          <w:rFonts w:cstheme="minorHAnsi"/>
          <w:szCs w:val="22"/>
        </w:rPr>
        <w:t>In a 2013 visit to Bangladesh by the Special Rapporteur on violence against women, the Special Rapporteur noted the “shortcomings in the conditions of detention, especially with regard to detainees’ access to health care and hygiene” and issues with overcrowding.</w:t>
      </w:r>
      <w:r w:rsidRPr="005E651D">
        <w:rPr>
          <w:rStyle w:val="FootnoteReference"/>
          <w:rFonts w:cstheme="minorHAnsi"/>
          <w:szCs w:val="22"/>
        </w:rPr>
        <w:footnoteReference w:id="145"/>
      </w:r>
      <w:r w:rsidR="00771F32" w:rsidRPr="005E651D">
        <w:rPr>
          <w:rFonts w:cstheme="minorHAnsi"/>
          <w:szCs w:val="22"/>
        </w:rPr>
        <w:t xml:space="preserve"> </w:t>
      </w:r>
      <w:r w:rsidR="0073703C" w:rsidRPr="005E651D">
        <w:rPr>
          <w:rFonts w:cstheme="minorHAnsi"/>
          <w:szCs w:val="22"/>
        </w:rPr>
        <w:t xml:space="preserve">The </w:t>
      </w:r>
      <w:r w:rsidR="00AF49A8" w:rsidRPr="005E651D">
        <w:rPr>
          <w:rFonts w:cstheme="minorHAnsi"/>
          <w:szCs w:val="22"/>
        </w:rPr>
        <w:t xml:space="preserve">UN Human Rights Committee </w:t>
      </w:r>
      <w:r w:rsidRPr="005E651D">
        <w:rPr>
          <w:rFonts w:cstheme="minorHAnsi"/>
          <w:szCs w:val="22"/>
        </w:rPr>
        <w:t>has similarly expressed concerns regarding the “overcrowding [and] unsanitary conditions” that pervade detention facilities in Bangladesh.</w:t>
      </w:r>
      <w:r w:rsidRPr="005E651D">
        <w:rPr>
          <w:rStyle w:val="FootnoteReference"/>
          <w:rFonts w:cstheme="minorHAnsi"/>
          <w:szCs w:val="22"/>
        </w:rPr>
        <w:footnoteReference w:id="146"/>
      </w:r>
      <w:r w:rsidR="00771F32" w:rsidRPr="005E651D">
        <w:rPr>
          <w:rFonts w:cstheme="minorHAnsi"/>
          <w:szCs w:val="22"/>
        </w:rPr>
        <w:t xml:space="preserve"> </w:t>
      </w:r>
      <w:r w:rsidRPr="005E651D">
        <w:rPr>
          <w:rFonts w:cstheme="minorHAnsi"/>
          <w:szCs w:val="22"/>
        </w:rPr>
        <w:t xml:space="preserve">The </w:t>
      </w:r>
      <w:r w:rsidR="00C70434" w:rsidRPr="005E651D">
        <w:rPr>
          <w:rFonts w:cstheme="minorHAnsi"/>
          <w:szCs w:val="22"/>
        </w:rPr>
        <w:t>ICCPR’s concluding observations on Bangladesh in</w:t>
      </w:r>
      <w:r w:rsidRPr="005E651D">
        <w:rPr>
          <w:rFonts w:cstheme="minorHAnsi"/>
          <w:szCs w:val="22"/>
        </w:rPr>
        <w:t xml:space="preserve"> 2017 </w:t>
      </w:r>
      <w:r w:rsidR="00C70434" w:rsidRPr="005E651D">
        <w:rPr>
          <w:rFonts w:cstheme="minorHAnsi"/>
          <w:szCs w:val="22"/>
        </w:rPr>
        <w:t xml:space="preserve">specifically </w:t>
      </w:r>
      <w:r w:rsidRPr="005E651D">
        <w:rPr>
          <w:rFonts w:cstheme="minorHAnsi"/>
          <w:szCs w:val="22"/>
        </w:rPr>
        <w:t xml:space="preserve">expressed concerns about the state of prisons in Bangladesh, highlighting </w:t>
      </w:r>
      <w:r w:rsidRPr="005E651D">
        <w:rPr>
          <w:rFonts w:cstheme="minorHAnsi"/>
        </w:rPr>
        <w:t>“</w:t>
      </w:r>
      <w:r w:rsidRPr="005E651D">
        <w:rPr>
          <w:rFonts w:cstheme="minorHAnsi"/>
          <w:szCs w:val="22"/>
        </w:rPr>
        <w:t>overcrowding, unsanitary conditions and extortion of inmates and their relatives by prison guards to enjoy basic rights.”</w:t>
      </w:r>
      <w:r w:rsidR="00771F32" w:rsidRPr="005E651D">
        <w:rPr>
          <w:rFonts w:cstheme="minorHAnsi"/>
          <w:szCs w:val="22"/>
        </w:rPr>
        <w:t xml:space="preserve"> </w:t>
      </w:r>
      <w:r w:rsidRPr="005E651D">
        <w:rPr>
          <w:rFonts w:cstheme="minorHAnsi"/>
          <w:szCs w:val="22"/>
        </w:rPr>
        <w:t>The report also noted “the high number of deaths in prisons over the past five years, all of which are attributed by the State party to natural causes or suicide, while reports indicate that at least some of these deaths can be attributed to poor prison conditions, negligence by the authorities or lack of access to treatment, and some are cases of death as a result of injuries sustained by torture while in police custody (arts. 6-7 and 9-10).”</w:t>
      </w:r>
      <w:r w:rsidRPr="005E651D">
        <w:rPr>
          <w:rStyle w:val="FootnoteReference"/>
          <w:rFonts w:cstheme="minorHAnsi"/>
          <w:szCs w:val="22"/>
        </w:rPr>
        <w:footnoteReference w:id="147"/>
      </w:r>
    </w:p>
    <w:p w14:paraId="3AA700E2" w14:textId="77777777" w:rsidR="006D663F" w:rsidRPr="005E651D" w:rsidRDefault="006D663F" w:rsidP="006D663F">
      <w:pPr>
        <w:rPr>
          <w:rFonts w:cstheme="minorHAnsi"/>
          <w:szCs w:val="22"/>
        </w:rPr>
      </w:pPr>
    </w:p>
    <w:p w14:paraId="33D99F84" w14:textId="4E6FB38B" w:rsidR="006D663F" w:rsidRPr="005E651D" w:rsidRDefault="006D663F" w:rsidP="006D663F">
      <w:pPr>
        <w:rPr>
          <w:rFonts w:cstheme="minorHAnsi"/>
          <w:szCs w:val="22"/>
        </w:rPr>
      </w:pPr>
      <w:r w:rsidRPr="005E651D">
        <w:rPr>
          <w:rFonts w:cstheme="minorHAnsi"/>
          <w:szCs w:val="22"/>
        </w:rPr>
        <w:tab/>
      </w:r>
      <w:r w:rsidR="004E0792" w:rsidRPr="005E651D">
        <w:rPr>
          <w:rFonts w:cstheme="minorHAnsi"/>
          <w:szCs w:val="22"/>
        </w:rPr>
        <w:t>I</w:t>
      </w:r>
      <w:r w:rsidRPr="005E651D">
        <w:rPr>
          <w:rFonts w:cstheme="minorHAnsi"/>
          <w:szCs w:val="22"/>
        </w:rPr>
        <w:t xml:space="preserve">nternational </w:t>
      </w:r>
      <w:r w:rsidR="004E0792" w:rsidRPr="005E651D">
        <w:rPr>
          <w:rFonts w:cstheme="minorHAnsi"/>
          <w:szCs w:val="22"/>
        </w:rPr>
        <w:t xml:space="preserve">entities </w:t>
      </w:r>
      <w:r w:rsidRPr="005E651D">
        <w:rPr>
          <w:rFonts w:cstheme="minorHAnsi"/>
          <w:szCs w:val="22"/>
        </w:rPr>
        <w:t xml:space="preserve">and local </w:t>
      </w:r>
      <w:r w:rsidR="00D018F8" w:rsidRPr="005E651D">
        <w:rPr>
          <w:rFonts w:cstheme="minorHAnsi"/>
          <w:szCs w:val="22"/>
        </w:rPr>
        <w:t>NGOs</w:t>
      </w:r>
      <w:r w:rsidRPr="005E651D">
        <w:rPr>
          <w:rFonts w:cstheme="minorHAnsi"/>
          <w:szCs w:val="22"/>
        </w:rPr>
        <w:t xml:space="preserve"> </w:t>
      </w:r>
      <w:r w:rsidR="004E0792" w:rsidRPr="005E651D">
        <w:rPr>
          <w:rFonts w:cstheme="minorHAnsi"/>
          <w:szCs w:val="22"/>
        </w:rPr>
        <w:t xml:space="preserve">also </w:t>
      </w:r>
      <w:r w:rsidRPr="005E651D">
        <w:rPr>
          <w:rFonts w:cstheme="minorHAnsi"/>
          <w:szCs w:val="22"/>
        </w:rPr>
        <w:t>have documented the deterioration of detention facilities in Bangladesh.</w:t>
      </w:r>
      <w:r w:rsidR="00771F32" w:rsidRPr="005E651D">
        <w:rPr>
          <w:rFonts w:cstheme="minorHAnsi"/>
          <w:szCs w:val="22"/>
        </w:rPr>
        <w:t xml:space="preserve"> </w:t>
      </w:r>
      <w:r w:rsidR="00F64A8B" w:rsidRPr="005E651D">
        <w:rPr>
          <w:rFonts w:cstheme="minorHAnsi"/>
          <w:szCs w:val="22"/>
        </w:rPr>
        <w:t xml:space="preserve">The </w:t>
      </w:r>
      <w:r w:rsidR="00140493" w:rsidRPr="005E651D">
        <w:rPr>
          <w:rFonts w:cstheme="minorHAnsi"/>
          <w:szCs w:val="22"/>
        </w:rPr>
        <w:t>State Department</w:t>
      </w:r>
      <w:r w:rsidR="00BC6DCF" w:rsidRPr="005E651D">
        <w:rPr>
          <w:rFonts w:cstheme="minorHAnsi"/>
          <w:szCs w:val="22"/>
        </w:rPr>
        <w:t xml:space="preserve"> Report</w:t>
      </w:r>
      <w:r w:rsidR="00F64A8B" w:rsidRPr="005E651D">
        <w:rPr>
          <w:rFonts w:cstheme="minorHAnsi"/>
          <w:szCs w:val="22"/>
        </w:rPr>
        <w:t xml:space="preserve"> flagged concerns about “overcrowding, inadequate facilities, and a lack of proper sanitation.”</w:t>
      </w:r>
      <w:r w:rsidR="00F64A8B" w:rsidRPr="005E651D">
        <w:rPr>
          <w:rStyle w:val="FootnoteReference"/>
          <w:rFonts w:cstheme="minorHAnsi"/>
          <w:szCs w:val="22"/>
        </w:rPr>
        <w:footnoteReference w:id="148"/>
      </w:r>
      <w:r w:rsidR="00771F32" w:rsidRPr="005E651D">
        <w:rPr>
          <w:rFonts w:cstheme="minorHAnsi"/>
          <w:szCs w:val="22"/>
        </w:rPr>
        <w:t xml:space="preserve"> </w:t>
      </w:r>
      <w:r w:rsidRPr="005E651D">
        <w:rPr>
          <w:rFonts w:cstheme="minorHAnsi"/>
          <w:szCs w:val="22"/>
        </w:rPr>
        <w:t xml:space="preserve">Per the </w:t>
      </w:r>
      <w:r w:rsidR="00F64A8B" w:rsidRPr="005E651D">
        <w:rPr>
          <w:rFonts w:cstheme="minorHAnsi"/>
          <w:szCs w:val="22"/>
        </w:rPr>
        <w:t>same</w:t>
      </w:r>
      <w:r w:rsidRPr="005E651D">
        <w:rPr>
          <w:rFonts w:cstheme="minorHAnsi"/>
          <w:szCs w:val="22"/>
        </w:rPr>
        <w:t xml:space="preserve"> report, in November 2018, there were over 95,000 prisoners in a system designed to hold only 37,000 inmates.</w:t>
      </w:r>
      <w:r w:rsidRPr="005E651D">
        <w:rPr>
          <w:rStyle w:val="FootnoteReference"/>
          <w:rFonts w:cstheme="minorHAnsi"/>
          <w:szCs w:val="22"/>
        </w:rPr>
        <w:footnoteReference w:id="149"/>
      </w:r>
      <w:r w:rsidR="00771F32" w:rsidRPr="005E651D">
        <w:rPr>
          <w:rFonts w:cstheme="minorHAnsi"/>
          <w:szCs w:val="22"/>
        </w:rPr>
        <w:t xml:space="preserve"> </w:t>
      </w:r>
      <w:r w:rsidRPr="005E651D">
        <w:rPr>
          <w:rFonts w:cstheme="minorHAnsi"/>
          <w:szCs w:val="22"/>
        </w:rPr>
        <w:t>Odhikar reported that in March 2019, the prison system continued to hold many more prisoners than its capacity, with over 86,500 inmates.</w:t>
      </w:r>
      <w:r w:rsidRPr="005E651D">
        <w:rPr>
          <w:rStyle w:val="FootnoteReference"/>
          <w:rFonts w:cstheme="minorHAnsi"/>
          <w:szCs w:val="22"/>
        </w:rPr>
        <w:footnoteReference w:id="150"/>
      </w:r>
      <w:r w:rsidR="00771F32" w:rsidRPr="005E651D">
        <w:rPr>
          <w:rFonts w:cstheme="minorHAnsi"/>
          <w:szCs w:val="22"/>
        </w:rPr>
        <w:t xml:space="preserve"> </w:t>
      </w:r>
    </w:p>
    <w:p w14:paraId="3EC95462" w14:textId="77777777" w:rsidR="006D663F" w:rsidRPr="005E651D" w:rsidRDefault="006D663F" w:rsidP="006D663F">
      <w:pPr>
        <w:rPr>
          <w:rFonts w:cstheme="minorHAnsi"/>
          <w:szCs w:val="22"/>
        </w:rPr>
      </w:pPr>
    </w:p>
    <w:p w14:paraId="2BE32F29" w14:textId="44BAE471" w:rsidR="006D663F" w:rsidRPr="005E651D" w:rsidRDefault="006D663F" w:rsidP="006D663F">
      <w:pPr>
        <w:rPr>
          <w:rFonts w:cstheme="minorHAnsi"/>
          <w:szCs w:val="22"/>
        </w:rPr>
      </w:pPr>
      <w:r w:rsidRPr="005E651D">
        <w:rPr>
          <w:rFonts w:cstheme="minorHAnsi"/>
          <w:szCs w:val="22"/>
        </w:rPr>
        <w:tab/>
        <w:t>As a result of overcrowding, conditions within the detention facilities are highly deficient.</w:t>
      </w:r>
      <w:r w:rsidR="00771F32" w:rsidRPr="005E651D">
        <w:rPr>
          <w:rFonts w:cstheme="minorHAnsi"/>
          <w:szCs w:val="22"/>
        </w:rPr>
        <w:t xml:space="preserve"> </w:t>
      </w:r>
      <w:r w:rsidRPr="005E651D">
        <w:rPr>
          <w:rFonts w:cstheme="minorHAnsi"/>
          <w:szCs w:val="22"/>
        </w:rPr>
        <w:t>In some cases</w:t>
      </w:r>
      <w:r w:rsidR="0087517C" w:rsidRPr="005E651D">
        <w:rPr>
          <w:rFonts w:cstheme="minorHAnsi"/>
          <w:szCs w:val="22"/>
        </w:rPr>
        <w:t>, lack of space has led to the G</w:t>
      </w:r>
      <w:r w:rsidRPr="005E651D">
        <w:rPr>
          <w:rFonts w:cstheme="minorHAnsi"/>
          <w:szCs w:val="22"/>
        </w:rPr>
        <w:t>overnment holding inmates in wholly inadequate spaces.</w:t>
      </w:r>
      <w:r w:rsidR="00771F32" w:rsidRPr="005E651D">
        <w:rPr>
          <w:rFonts w:cstheme="minorHAnsi"/>
          <w:szCs w:val="22"/>
        </w:rPr>
        <w:t xml:space="preserve"> </w:t>
      </w:r>
      <w:r w:rsidRPr="005E651D">
        <w:rPr>
          <w:rFonts w:cstheme="minorHAnsi"/>
          <w:szCs w:val="22"/>
        </w:rPr>
        <w:t xml:space="preserve">For example, in January 2019, approximately 100 inmates were held in an abandoned warehouse in the Khulna District Jail, with many prisoners reportedly becoming ill due to the poor conditions of the </w:t>
      </w:r>
      <w:r w:rsidRPr="005E651D">
        <w:rPr>
          <w:rFonts w:cstheme="minorHAnsi"/>
          <w:szCs w:val="22"/>
        </w:rPr>
        <w:lastRenderedPageBreak/>
        <w:t>warehouse.</w:t>
      </w:r>
      <w:r w:rsidRPr="005E651D">
        <w:rPr>
          <w:rStyle w:val="FootnoteReference"/>
          <w:rFonts w:cstheme="minorHAnsi"/>
          <w:szCs w:val="22"/>
        </w:rPr>
        <w:footnoteReference w:id="151"/>
      </w:r>
      <w:r w:rsidR="00771F32" w:rsidRPr="005E651D">
        <w:rPr>
          <w:rFonts w:cstheme="minorHAnsi"/>
          <w:szCs w:val="22"/>
        </w:rPr>
        <w:t xml:space="preserve"> </w:t>
      </w:r>
      <w:r w:rsidRPr="005E651D">
        <w:rPr>
          <w:rFonts w:cstheme="minorHAnsi"/>
          <w:szCs w:val="22"/>
        </w:rPr>
        <w:t xml:space="preserve">In other cases, prisoners were not provided sufficient access to toilets </w:t>
      </w:r>
      <w:r w:rsidR="00E6211B" w:rsidRPr="005E651D">
        <w:rPr>
          <w:rFonts w:cstheme="minorHAnsi"/>
          <w:szCs w:val="22"/>
        </w:rPr>
        <w:t xml:space="preserve">and potable water, </w:t>
      </w:r>
      <w:r w:rsidRPr="005E651D">
        <w:rPr>
          <w:rFonts w:cstheme="minorHAnsi"/>
          <w:szCs w:val="22"/>
        </w:rPr>
        <w:t>and were forced to sleep in shifts.</w:t>
      </w:r>
      <w:r w:rsidR="00E6211B" w:rsidRPr="005E651D">
        <w:rPr>
          <w:rStyle w:val="FootnoteReference"/>
          <w:rFonts w:cstheme="minorHAnsi"/>
          <w:szCs w:val="22"/>
        </w:rPr>
        <w:footnoteReference w:id="152"/>
      </w:r>
      <w:r w:rsidR="00771F32" w:rsidRPr="005E651D">
        <w:rPr>
          <w:rFonts w:cstheme="minorHAnsi"/>
          <w:szCs w:val="22"/>
        </w:rPr>
        <w:t xml:space="preserve"> </w:t>
      </w:r>
      <w:r w:rsidRPr="005E651D">
        <w:rPr>
          <w:rFonts w:cstheme="minorHAnsi"/>
          <w:szCs w:val="22"/>
        </w:rPr>
        <w:t>Some of the detention facilities also subject inmates to high temperatures and poor ventilation.</w:t>
      </w:r>
      <w:r w:rsidR="001E2CB2" w:rsidRPr="005E651D">
        <w:rPr>
          <w:rStyle w:val="FootnoteReference"/>
          <w:rFonts w:cstheme="minorHAnsi"/>
          <w:szCs w:val="22"/>
        </w:rPr>
        <w:footnoteReference w:id="153"/>
      </w:r>
      <w:r w:rsidR="00771F32" w:rsidRPr="005E651D">
        <w:rPr>
          <w:rFonts w:cstheme="minorHAnsi"/>
          <w:szCs w:val="22"/>
        </w:rPr>
        <w:t xml:space="preserve"> </w:t>
      </w:r>
      <w:r w:rsidR="0055292B" w:rsidRPr="005E651D">
        <w:rPr>
          <w:rFonts w:cstheme="minorHAnsi"/>
          <w:szCs w:val="22"/>
        </w:rPr>
        <w:t>The U.S. State Department has noted</w:t>
      </w:r>
      <w:r w:rsidRPr="005E651D">
        <w:rPr>
          <w:rFonts w:cstheme="minorHAnsi"/>
          <w:szCs w:val="22"/>
        </w:rPr>
        <w:t xml:space="preserve"> that adult</w:t>
      </w:r>
      <w:r w:rsidR="00F64A8B" w:rsidRPr="005E651D">
        <w:rPr>
          <w:rFonts w:cstheme="minorHAnsi"/>
          <w:szCs w:val="22"/>
        </w:rPr>
        <w:t>s</w:t>
      </w:r>
      <w:r w:rsidRPr="005E651D">
        <w:rPr>
          <w:rFonts w:cstheme="minorHAnsi"/>
          <w:szCs w:val="22"/>
        </w:rPr>
        <w:t xml:space="preserve"> and juveniles </w:t>
      </w:r>
      <w:r w:rsidR="0055292B" w:rsidRPr="005E651D">
        <w:rPr>
          <w:rFonts w:cstheme="minorHAnsi"/>
          <w:szCs w:val="22"/>
        </w:rPr>
        <w:t>are commonly</w:t>
      </w:r>
      <w:r w:rsidRPr="005E651D">
        <w:rPr>
          <w:rFonts w:cstheme="minorHAnsi"/>
          <w:szCs w:val="22"/>
        </w:rPr>
        <w:t xml:space="preserve"> incarcerated together, even though local law requires juveniles and adults to be held separately, and women </w:t>
      </w:r>
      <w:r w:rsidR="00884330" w:rsidRPr="005E651D">
        <w:rPr>
          <w:rFonts w:cstheme="minorHAnsi"/>
          <w:szCs w:val="22"/>
        </w:rPr>
        <w:t xml:space="preserve">who were </w:t>
      </w:r>
      <w:r w:rsidRPr="005E651D">
        <w:rPr>
          <w:rFonts w:cstheme="minorHAnsi"/>
          <w:szCs w:val="22"/>
        </w:rPr>
        <w:t>being held in “safe custody” (</w:t>
      </w:r>
      <w:r w:rsidRPr="005E651D">
        <w:rPr>
          <w:rFonts w:cstheme="minorHAnsi"/>
          <w:i/>
          <w:szCs w:val="22"/>
        </w:rPr>
        <w:t>i.e.</w:t>
      </w:r>
      <w:r w:rsidRPr="005E651D">
        <w:rPr>
          <w:rFonts w:cstheme="minorHAnsi"/>
          <w:szCs w:val="22"/>
        </w:rPr>
        <w:t>, to protect victims of crimes such a</w:t>
      </w:r>
      <w:r w:rsidR="002A24D1" w:rsidRPr="005E651D">
        <w:rPr>
          <w:rFonts w:cstheme="minorHAnsi"/>
          <w:szCs w:val="22"/>
        </w:rPr>
        <w:t>s</w:t>
      </w:r>
      <w:r w:rsidRPr="005E651D">
        <w:rPr>
          <w:rFonts w:cstheme="minorHAnsi"/>
          <w:szCs w:val="22"/>
        </w:rPr>
        <w:t xml:space="preserve"> rape, trafficking, and domestic violence</w:t>
      </w:r>
      <w:r w:rsidR="00D6497D" w:rsidRPr="005E651D">
        <w:rPr>
          <w:rFonts w:cstheme="minorHAnsi"/>
          <w:szCs w:val="22"/>
        </w:rPr>
        <w:t xml:space="preserve"> from their perpetrators</w:t>
      </w:r>
      <w:r w:rsidRPr="005E651D">
        <w:rPr>
          <w:rFonts w:cstheme="minorHAnsi"/>
          <w:szCs w:val="22"/>
        </w:rPr>
        <w:t>) were sometimes housed together with criminals.</w:t>
      </w:r>
      <w:r w:rsidRPr="005E651D">
        <w:rPr>
          <w:rStyle w:val="FootnoteReference"/>
          <w:rFonts w:cstheme="minorHAnsi"/>
          <w:szCs w:val="22"/>
        </w:rPr>
        <w:footnoteReference w:id="154"/>
      </w:r>
      <w:r w:rsidR="00771F32" w:rsidRPr="005E651D">
        <w:rPr>
          <w:rFonts w:cstheme="minorHAnsi"/>
          <w:szCs w:val="22"/>
        </w:rPr>
        <w:t xml:space="preserve"> </w:t>
      </w:r>
    </w:p>
    <w:p w14:paraId="4595079E" w14:textId="77777777" w:rsidR="006D663F" w:rsidRPr="005E651D" w:rsidRDefault="006D663F" w:rsidP="006D663F">
      <w:pPr>
        <w:rPr>
          <w:rFonts w:cstheme="minorHAnsi"/>
          <w:szCs w:val="22"/>
        </w:rPr>
      </w:pPr>
    </w:p>
    <w:p w14:paraId="2673E6CB" w14:textId="4A8C0F15" w:rsidR="00B465FC" w:rsidRPr="005E651D" w:rsidRDefault="006D663F" w:rsidP="006D663F">
      <w:pPr>
        <w:pStyle w:val="BodyText"/>
        <w:rPr>
          <w:rFonts w:cstheme="minorHAnsi"/>
          <w:szCs w:val="22"/>
        </w:rPr>
      </w:pPr>
      <w:r w:rsidRPr="005E651D">
        <w:rPr>
          <w:rFonts w:cstheme="minorHAnsi"/>
          <w:szCs w:val="22"/>
        </w:rPr>
        <w:tab/>
      </w:r>
      <w:r w:rsidR="0008659C" w:rsidRPr="005E651D">
        <w:rPr>
          <w:rFonts w:cstheme="minorHAnsi"/>
          <w:szCs w:val="22"/>
        </w:rPr>
        <w:t>Other reports have noted that m</w:t>
      </w:r>
      <w:r w:rsidR="00DE6B06" w:rsidRPr="005E651D">
        <w:rPr>
          <w:rFonts w:cstheme="minorHAnsi"/>
          <w:szCs w:val="22"/>
        </w:rPr>
        <w:t xml:space="preserve">ass arrests </w:t>
      </w:r>
      <w:r w:rsidRPr="005E651D">
        <w:rPr>
          <w:rFonts w:cstheme="minorHAnsi"/>
          <w:szCs w:val="22"/>
        </w:rPr>
        <w:t xml:space="preserve">have contributed to the </w:t>
      </w:r>
      <w:r w:rsidR="006130F1" w:rsidRPr="005E651D">
        <w:rPr>
          <w:rFonts w:cstheme="minorHAnsi"/>
          <w:szCs w:val="22"/>
        </w:rPr>
        <w:t>“grossly overpopulated”</w:t>
      </w:r>
      <w:r w:rsidRPr="005E651D">
        <w:rPr>
          <w:rFonts w:cstheme="minorHAnsi"/>
          <w:szCs w:val="22"/>
        </w:rPr>
        <w:t xml:space="preserve"> prison system, exacerbating already poor conditions and leading to numerous identified deaths due to lack of access to proper treatment facilities or alleged negligence by prison authorities.</w:t>
      </w:r>
      <w:r w:rsidRPr="005E651D">
        <w:rPr>
          <w:rStyle w:val="FootnoteReference"/>
          <w:rFonts w:cstheme="minorHAnsi"/>
          <w:szCs w:val="22"/>
        </w:rPr>
        <w:footnoteReference w:id="155"/>
      </w:r>
      <w:r w:rsidR="004E6B5F" w:rsidRPr="005E651D">
        <w:rPr>
          <w:rFonts w:cstheme="minorHAnsi"/>
          <w:szCs w:val="22"/>
        </w:rPr>
        <w:t xml:space="preserve"> In 2018, </w:t>
      </w:r>
      <w:r w:rsidR="00AC4DB9" w:rsidRPr="005E651D">
        <w:rPr>
          <w:rFonts w:cstheme="minorHAnsi"/>
          <w:szCs w:val="22"/>
        </w:rPr>
        <w:t xml:space="preserve">Bangladesh-based NGO Ain o Salish Kendra </w:t>
      </w:r>
      <w:r w:rsidR="004E6B5F" w:rsidRPr="005E651D">
        <w:rPr>
          <w:rFonts w:cstheme="minorHAnsi"/>
          <w:szCs w:val="22"/>
        </w:rPr>
        <w:t>recorded that poor prison conditions contributed to 74 deaths,</w:t>
      </w:r>
      <w:r w:rsidR="004E6B5F" w:rsidRPr="005E651D">
        <w:rPr>
          <w:rStyle w:val="FootnoteReference"/>
          <w:rFonts w:cstheme="minorHAnsi"/>
          <w:szCs w:val="22"/>
        </w:rPr>
        <w:footnoteReference w:id="156"/>
      </w:r>
      <w:r w:rsidR="004E6B5F" w:rsidRPr="005E651D">
        <w:rPr>
          <w:rFonts w:cstheme="minorHAnsi"/>
          <w:szCs w:val="22"/>
        </w:rPr>
        <w:t xml:space="preserve"> and Odhikar recorded another 11 deaths in jail between January and March 2019.</w:t>
      </w:r>
      <w:r w:rsidR="004E6B5F" w:rsidRPr="005E651D">
        <w:rPr>
          <w:rStyle w:val="FootnoteReference"/>
          <w:rFonts w:cstheme="minorHAnsi"/>
          <w:szCs w:val="22"/>
        </w:rPr>
        <w:footnoteReference w:id="157"/>
      </w:r>
    </w:p>
    <w:p w14:paraId="7A2B6D85" w14:textId="75C9D3A6" w:rsidR="00DF6E61" w:rsidRPr="005E651D" w:rsidRDefault="00DF6E61" w:rsidP="006D663F">
      <w:pPr>
        <w:pStyle w:val="BodyText"/>
        <w:rPr>
          <w:rFonts w:cstheme="minorHAnsi"/>
          <w:szCs w:val="22"/>
        </w:rPr>
      </w:pPr>
      <w:r w:rsidRPr="005E651D">
        <w:rPr>
          <w:rFonts w:cstheme="minorHAnsi"/>
          <w:szCs w:val="22"/>
        </w:rPr>
        <w:tab/>
        <w:t>The poor</w:t>
      </w:r>
      <w:r w:rsidR="00B214DF" w:rsidRPr="005E651D">
        <w:rPr>
          <w:rFonts w:cstheme="minorHAnsi"/>
          <w:szCs w:val="22"/>
        </w:rPr>
        <w:t>, overcrowded</w:t>
      </w:r>
      <w:r w:rsidRPr="005E651D">
        <w:rPr>
          <w:rFonts w:cstheme="minorHAnsi"/>
          <w:szCs w:val="22"/>
        </w:rPr>
        <w:t xml:space="preserve"> conditions of Bangladesh’s jail system subject prisoners to </w:t>
      </w:r>
      <w:r w:rsidR="00814791" w:rsidRPr="005E651D">
        <w:rPr>
          <w:rFonts w:cstheme="minorHAnsi"/>
          <w:szCs w:val="22"/>
        </w:rPr>
        <w:t>treatment</w:t>
      </w:r>
      <w:r w:rsidRPr="005E651D">
        <w:rPr>
          <w:rFonts w:cstheme="minorHAnsi"/>
          <w:szCs w:val="22"/>
        </w:rPr>
        <w:t xml:space="preserve"> that, per the Committee’s</w:t>
      </w:r>
      <w:r w:rsidR="00761A91" w:rsidRPr="005E651D">
        <w:rPr>
          <w:rFonts w:cstheme="minorHAnsi"/>
          <w:szCs w:val="22"/>
        </w:rPr>
        <w:t xml:space="preserve"> </w:t>
      </w:r>
      <w:r w:rsidR="00034A24" w:rsidRPr="005E651D">
        <w:rPr>
          <w:rFonts w:cstheme="minorHAnsi"/>
          <w:szCs w:val="22"/>
        </w:rPr>
        <w:t xml:space="preserve">previous state reports, </w:t>
      </w:r>
      <w:r w:rsidR="003D27DF" w:rsidRPr="005E651D">
        <w:rPr>
          <w:rFonts w:cstheme="minorHAnsi"/>
          <w:szCs w:val="22"/>
        </w:rPr>
        <w:t xml:space="preserve">may </w:t>
      </w:r>
      <w:r w:rsidR="00034A24" w:rsidRPr="005E651D">
        <w:rPr>
          <w:rFonts w:cstheme="minorHAnsi"/>
          <w:szCs w:val="22"/>
        </w:rPr>
        <w:t>constitute ill treatment and, in extreme cases, torture in violation of Articles, 11, and 16 of the Convention.</w:t>
      </w:r>
    </w:p>
    <w:p w14:paraId="2AFBA11F" w14:textId="3B2D6F94" w:rsidR="00BB3006" w:rsidRPr="005E651D" w:rsidRDefault="00BB3006" w:rsidP="00FE168F">
      <w:pPr>
        <w:pStyle w:val="Heading1"/>
        <w:rPr>
          <w:rFonts w:asciiTheme="minorHAnsi" w:hAnsiTheme="minorHAnsi" w:cstheme="minorHAnsi"/>
        </w:rPr>
      </w:pPr>
      <w:bookmarkStart w:id="80" w:name="_Toc11053847"/>
      <w:bookmarkStart w:id="81" w:name="_Toc11879540"/>
      <w:bookmarkStart w:id="82" w:name="_Toc11883201"/>
      <w:bookmarkStart w:id="83" w:name="_Toc11922679"/>
      <w:bookmarkStart w:id="84" w:name="_Toc11945120"/>
      <w:r w:rsidRPr="005E651D">
        <w:rPr>
          <w:rFonts w:asciiTheme="minorHAnsi" w:hAnsiTheme="minorHAnsi" w:cstheme="minorHAnsi"/>
        </w:rPr>
        <w:t>Observations &amp; Recommendations</w:t>
      </w:r>
      <w:bookmarkEnd w:id="80"/>
      <w:bookmarkEnd w:id="81"/>
      <w:bookmarkEnd w:id="82"/>
      <w:bookmarkEnd w:id="83"/>
      <w:bookmarkEnd w:id="84"/>
    </w:p>
    <w:p w14:paraId="522856EA" w14:textId="3055E0CA" w:rsidR="00250133" w:rsidRPr="005E651D" w:rsidRDefault="00BB3006" w:rsidP="00D22188">
      <w:pPr>
        <w:pStyle w:val="BodyTextFirstIndent"/>
        <w:ind w:firstLine="720"/>
        <w:rPr>
          <w:rFonts w:cstheme="minorHAnsi"/>
        </w:rPr>
      </w:pPr>
      <w:r w:rsidRPr="005E651D">
        <w:rPr>
          <w:rFonts w:cstheme="minorHAnsi"/>
        </w:rPr>
        <w:t xml:space="preserve">As further elucidated in </w:t>
      </w:r>
      <w:r w:rsidR="0055737F" w:rsidRPr="005E651D">
        <w:rPr>
          <w:rFonts w:cstheme="minorHAnsi"/>
        </w:rPr>
        <w:t xml:space="preserve">Section </w:t>
      </w:r>
      <w:r w:rsidR="0055737F" w:rsidRPr="005E651D">
        <w:rPr>
          <w:rFonts w:cstheme="minorHAnsi"/>
          <w:highlight w:val="yellow"/>
        </w:rPr>
        <w:fldChar w:fldCharType="begin"/>
      </w:r>
      <w:r w:rsidR="0055737F" w:rsidRPr="005E651D">
        <w:rPr>
          <w:rFonts w:cstheme="minorHAnsi"/>
        </w:rPr>
        <w:instrText xml:space="preserve"> REF _Ref10728583 \w \h </w:instrText>
      </w:r>
      <w:r w:rsidR="005E651D">
        <w:rPr>
          <w:rFonts w:cstheme="minorHAnsi"/>
          <w:highlight w:val="yellow"/>
        </w:rPr>
        <w:instrText xml:space="preserve"> \* MERGEFORMAT </w:instrText>
      </w:r>
      <w:r w:rsidR="0055737F" w:rsidRPr="005E651D">
        <w:rPr>
          <w:rFonts w:cstheme="minorHAnsi"/>
          <w:highlight w:val="yellow"/>
        </w:rPr>
      </w:r>
      <w:r w:rsidR="0055737F" w:rsidRPr="005E651D">
        <w:rPr>
          <w:rFonts w:cstheme="minorHAnsi"/>
          <w:highlight w:val="yellow"/>
        </w:rPr>
        <w:fldChar w:fldCharType="separate"/>
      </w:r>
      <w:r w:rsidR="00D96A88">
        <w:rPr>
          <w:rFonts w:cstheme="minorHAnsi"/>
        </w:rPr>
        <w:t>III</w:t>
      </w:r>
      <w:r w:rsidR="0055737F" w:rsidRPr="005E651D">
        <w:rPr>
          <w:rFonts w:cstheme="minorHAnsi"/>
          <w:highlight w:val="yellow"/>
        </w:rPr>
        <w:fldChar w:fldCharType="end"/>
      </w:r>
      <w:r w:rsidR="0055737F" w:rsidRPr="005E651D">
        <w:rPr>
          <w:rFonts w:cstheme="minorHAnsi"/>
        </w:rPr>
        <w:t xml:space="preserve"> </w:t>
      </w:r>
      <w:r w:rsidRPr="005E651D">
        <w:rPr>
          <w:rFonts w:cstheme="minorHAnsi"/>
        </w:rPr>
        <w:t>and as recently reaffirmed in the third cycle UPR of Bangladesh, it is</w:t>
      </w:r>
      <w:r w:rsidR="0087517C" w:rsidRPr="005E651D">
        <w:rPr>
          <w:rFonts w:cstheme="minorHAnsi"/>
        </w:rPr>
        <w:t xml:space="preserve"> incumbent upon the Government</w:t>
      </w:r>
      <w:r w:rsidRPr="005E651D">
        <w:rPr>
          <w:rFonts w:cstheme="minorHAnsi"/>
        </w:rPr>
        <w:t xml:space="preserve"> to “take urgent measures to observe human rights in criminal justice and law enforcement officials and address serious allegations of extrajudicial executions, disappearances and torture.”</w:t>
      </w:r>
      <w:r w:rsidRPr="005E651D">
        <w:rPr>
          <w:rStyle w:val="FootnoteReference"/>
          <w:rFonts w:cstheme="minorHAnsi"/>
          <w:szCs w:val="22"/>
        </w:rPr>
        <w:footnoteReference w:id="158"/>
      </w:r>
      <w:r w:rsidR="0073703C" w:rsidRPr="005E651D">
        <w:rPr>
          <w:rFonts w:cstheme="minorHAnsi"/>
        </w:rPr>
        <w:t xml:space="preserve"> In particular, the UN</w:t>
      </w:r>
      <w:r w:rsidRPr="005E651D">
        <w:rPr>
          <w:rFonts w:cstheme="minorHAnsi"/>
        </w:rPr>
        <w:t xml:space="preserve"> High Commissioner for Human Rights</w:t>
      </w:r>
      <w:r w:rsidR="009975EF" w:rsidRPr="005E651D">
        <w:rPr>
          <w:rFonts w:cstheme="minorHAnsi"/>
        </w:rPr>
        <w:t xml:space="preserve"> has</w:t>
      </w:r>
      <w:r w:rsidRPr="005E651D">
        <w:rPr>
          <w:rFonts w:cstheme="minorHAnsi"/>
        </w:rPr>
        <w:t xml:space="preserve"> noted that Bangladesh still needs to implement recommendations that it accepted during the second UPR cycle, conducted in April 2013, which similarly raised concerns regarding extrajudicial executions, enforced disappearances, and torture.</w:t>
      </w:r>
      <w:r w:rsidRPr="005E651D">
        <w:rPr>
          <w:rStyle w:val="FootnoteReference"/>
          <w:rFonts w:cstheme="minorHAnsi"/>
          <w:szCs w:val="22"/>
        </w:rPr>
        <w:footnoteReference w:id="159"/>
      </w:r>
      <w:r w:rsidRPr="005E651D">
        <w:rPr>
          <w:rFonts w:cstheme="minorHAnsi"/>
        </w:rPr>
        <w:t xml:space="preserve"> As the High Commissioner pointed out, and consistent with Bangladesh’s obligations under the Convention, Bangladesh must conduct “[p]rompt and thorough investigation of all allegations of extra-judicial execution, abductions and forced disappearances, taking place within law enforcement agencies, while ensuring that the perpetrators are brought to justice,” as some </w:t>
      </w:r>
      <w:r w:rsidR="00C97F5A" w:rsidRPr="005E651D">
        <w:rPr>
          <w:rFonts w:cstheme="minorHAnsi"/>
        </w:rPr>
        <w:t>six</w:t>
      </w:r>
      <w:r w:rsidRPr="005E651D">
        <w:rPr>
          <w:rFonts w:cstheme="minorHAnsi"/>
        </w:rPr>
        <w:t xml:space="preserve"> years later these issues have gone unaddressed.</w:t>
      </w:r>
      <w:r w:rsidRPr="005E651D">
        <w:rPr>
          <w:rStyle w:val="FootnoteReference"/>
          <w:rFonts w:cstheme="minorHAnsi"/>
          <w:szCs w:val="22"/>
        </w:rPr>
        <w:footnoteReference w:id="160"/>
      </w:r>
      <w:r w:rsidRPr="005E651D">
        <w:rPr>
          <w:rFonts w:cstheme="minorHAnsi"/>
        </w:rPr>
        <w:t xml:space="preserve"> Fulfillment of these obligations should and must include “[p]rotection of human rights defenders and journalists and ensuring the prompt and impartial </w:t>
      </w:r>
      <w:r w:rsidRPr="005E651D">
        <w:rPr>
          <w:rFonts w:cstheme="minorHAnsi"/>
        </w:rPr>
        <w:lastRenderedPageBreak/>
        <w:t>investigations into cases of killings, abduction attempts, physical attacks and threats against them” and “[e]nding impunity by conducting thorough investigations and criminal prosecutions of human rights violations and abuses against human rights defenders, journalists, [and] bloggers . . . .”</w:t>
      </w:r>
      <w:r w:rsidRPr="005E651D">
        <w:rPr>
          <w:rStyle w:val="FootnoteReference"/>
          <w:rFonts w:cstheme="minorHAnsi"/>
          <w:szCs w:val="22"/>
        </w:rPr>
        <w:footnoteReference w:id="161"/>
      </w:r>
      <w:r w:rsidR="00250133" w:rsidRPr="005E651D">
        <w:rPr>
          <w:rFonts w:cstheme="minorHAnsi"/>
        </w:rPr>
        <w:t xml:space="preserve"> </w:t>
      </w:r>
    </w:p>
    <w:p w14:paraId="31D8D0C2" w14:textId="02859445" w:rsidR="00B465FC" w:rsidRPr="005E651D" w:rsidRDefault="0096599C" w:rsidP="007264B8">
      <w:pPr>
        <w:rPr>
          <w:rFonts w:cstheme="minorHAnsi"/>
        </w:rPr>
      </w:pPr>
      <w:r w:rsidRPr="005E651D">
        <w:rPr>
          <w:rFonts w:cstheme="minorHAnsi"/>
        </w:rPr>
        <w:tab/>
      </w:r>
      <w:r w:rsidR="00E477AB" w:rsidRPr="005E651D">
        <w:rPr>
          <w:rFonts w:cstheme="minorHAnsi"/>
        </w:rPr>
        <w:t xml:space="preserve">Robert F. Kennedy Human Rights </w:t>
      </w:r>
      <w:r w:rsidR="00250133" w:rsidRPr="005E651D">
        <w:rPr>
          <w:rFonts w:cstheme="minorHAnsi"/>
        </w:rPr>
        <w:t>further respectfully request that the CAT urge the Government of Bangladesh to immediately address the following recommendations</w:t>
      </w:r>
    </w:p>
    <w:p w14:paraId="1B19EB59" w14:textId="77777777" w:rsidR="007264B8" w:rsidRPr="005E651D" w:rsidRDefault="007264B8" w:rsidP="007264B8">
      <w:pPr>
        <w:rPr>
          <w:rFonts w:cstheme="minorHAnsi"/>
        </w:rPr>
      </w:pPr>
    </w:p>
    <w:p w14:paraId="729F5D84" w14:textId="77777777" w:rsidR="0097733B" w:rsidRPr="005E651D" w:rsidRDefault="000572C9" w:rsidP="000572C9">
      <w:pPr>
        <w:pStyle w:val="ListParagraph"/>
        <w:numPr>
          <w:ilvl w:val="0"/>
          <w:numId w:val="49"/>
        </w:numPr>
        <w:rPr>
          <w:rFonts w:cstheme="minorHAnsi"/>
          <w:szCs w:val="22"/>
        </w:rPr>
      </w:pPr>
      <w:r w:rsidRPr="005E651D">
        <w:rPr>
          <w:rFonts w:cstheme="minorHAnsi"/>
          <w:szCs w:val="22"/>
        </w:rPr>
        <w:t xml:space="preserve">The Government, consistent with its obligations under, </w:t>
      </w:r>
      <w:r w:rsidRPr="005E651D">
        <w:rPr>
          <w:rFonts w:cstheme="minorHAnsi"/>
          <w:i/>
          <w:szCs w:val="22"/>
        </w:rPr>
        <w:t>inter alia</w:t>
      </w:r>
      <w:r w:rsidRPr="005E651D">
        <w:rPr>
          <w:rFonts w:cstheme="minorHAnsi"/>
          <w:szCs w:val="22"/>
        </w:rPr>
        <w:t>, Articles 13 and 14 of the Convention, must ensure that</w:t>
      </w:r>
      <w:r w:rsidR="0097733B" w:rsidRPr="005E651D">
        <w:rPr>
          <w:rFonts w:cstheme="minorHAnsi"/>
          <w:szCs w:val="22"/>
        </w:rPr>
        <w:t>:</w:t>
      </w:r>
    </w:p>
    <w:p w14:paraId="3BCEE545" w14:textId="787C60C6" w:rsidR="0097733B" w:rsidRPr="005E651D" w:rsidRDefault="000572C9" w:rsidP="0097733B">
      <w:pPr>
        <w:pStyle w:val="ListParagraph"/>
        <w:numPr>
          <w:ilvl w:val="1"/>
          <w:numId w:val="52"/>
        </w:numPr>
        <w:rPr>
          <w:rFonts w:cstheme="minorHAnsi"/>
          <w:szCs w:val="22"/>
        </w:rPr>
      </w:pPr>
      <w:r w:rsidRPr="005E651D">
        <w:rPr>
          <w:rFonts w:cstheme="minorHAnsi"/>
          <w:szCs w:val="22"/>
        </w:rPr>
        <w:t>any victim or aggrieved third party has the right to complain and has unfettered access to the prescribed complaint system, w</w:t>
      </w:r>
      <w:r w:rsidR="001760BE" w:rsidRPr="005E651D">
        <w:rPr>
          <w:rFonts w:cstheme="minorHAnsi"/>
          <w:szCs w:val="22"/>
        </w:rPr>
        <w:t>ith the S</w:t>
      </w:r>
      <w:r w:rsidRPr="005E651D">
        <w:rPr>
          <w:rFonts w:cstheme="minorHAnsi"/>
          <w:szCs w:val="22"/>
        </w:rPr>
        <w:t>tate making any necessary amendments to its complaint process</w:t>
      </w:r>
      <w:r w:rsidR="001760BE" w:rsidRPr="005E651D">
        <w:rPr>
          <w:rFonts w:cstheme="minorHAnsi"/>
          <w:szCs w:val="22"/>
        </w:rPr>
        <w:t>es</w:t>
      </w:r>
      <w:r w:rsidRPr="005E651D">
        <w:rPr>
          <w:rFonts w:cstheme="minorHAnsi"/>
          <w:szCs w:val="22"/>
        </w:rPr>
        <w:t xml:space="preserve"> as may be necessary to ensure such</w:t>
      </w:r>
      <w:r w:rsidR="00E477AB" w:rsidRPr="005E651D">
        <w:rPr>
          <w:rFonts w:cstheme="minorHAnsi"/>
          <w:szCs w:val="22"/>
        </w:rPr>
        <w:t xml:space="preserve"> complaints can be filed</w:t>
      </w:r>
      <w:r w:rsidR="00BC3956" w:rsidRPr="005E651D">
        <w:rPr>
          <w:rFonts w:cstheme="minorHAnsi"/>
          <w:szCs w:val="22"/>
        </w:rPr>
        <w:t xml:space="preserve"> and effectively pursued</w:t>
      </w:r>
      <w:r w:rsidR="00E477AB" w:rsidRPr="005E651D">
        <w:rPr>
          <w:rFonts w:cstheme="minorHAnsi"/>
          <w:szCs w:val="22"/>
        </w:rPr>
        <w:t>;</w:t>
      </w:r>
    </w:p>
    <w:p w14:paraId="5ED82E10" w14:textId="1647BC1A" w:rsidR="0097733B" w:rsidRPr="005E651D" w:rsidRDefault="00E477AB" w:rsidP="0097733B">
      <w:pPr>
        <w:pStyle w:val="ListParagraph"/>
        <w:numPr>
          <w:ilvl w:val="1"/>
          <w:numId w:val="52"/>
        </w:numPr>
        <w:rPr>
          <w:rFonts w:cstheme="minorHAnsi"/>
          <w:szCs w:val="22"/>
        </w:rPr>
      </w:pPr>
      <w:r w:rsidRPr="005E651D">
        <w:rPr>
          <w:rFonts w:cstheme="minorHAnsi"/>
          <w:szCs w:val="22"/>
        </w:rPr>
        <w:t>LEAs</w:t>
      </w:r>
      <w:r w:rsidR="000572C9" w:rsidRPr="005E651D">
        <w:rPr>
          <w:rFonts w:cstheme="minorHAnsi"/>
          <w:szCs w:val="22"/>
        </w:rPr>
        <w:t xml:space="preserve"> are trained and overseen, at all levels, to ensure that the prescribed complaint process is provided for and not selectively withheld upon allegations of LEA involvement;</w:t>
      </w:r>
    </w:p>
    <w:p w14:paraId="7083624A" w14:textId="5BD35457" w:rsidR="0097733B" w:rsidRPr="005E651D" w:rsidRDefault="000572C9" w:rsidP="0097733B">
      <w:pPr>
        <w:pStyle w:val="ListParagraph"/>
        <w:numPr>
          <w:ilvl w:val="1"/>
          <w:numId w:val="52"/>
        </w:numPr>
        <w:rPr>
          <w:rFonts w:cstheme="minorHAnsi"/>
          <w:szCs w:val="22"/>
        </w:rPr>
      </w:pPr>
      <w:r w:rsidRPr="005E651D">
        <w:rPr>
          <w:rFonts w:cstheme="minorHAnsi"/>
          <w:szCs w:val="22"/>
        </w:rPr>
        <w:t>complainants and witnesses can access protection against ill-treatment or intimidation that may result from filing a complaint or providing evidence; and</w:t>
      </w:r>
    </w:p>
    <w:p w14:paraId="42DAD5BD" w14:textId="33D8B34A" w:rsidR="000572C9" w:rsidRPr="005E651D" w:rsidRDefault="000572C9" w:rsidP="0097733B">
      <w:pPr>
        <w:pStyle w:val="ListParagraph"/>
        <w:numPr>
          <w:ilvl w:val="1"/>
          <w:numId w:val="52"/>
        </w:numPr>
        <w:rPr>
          <w:rFonts w:cstheme="minorHAnsi"/>
          <w:szCs w:val="22"/>
        </w:rPr>
      </w:pPr>
      <w:r w:rsidRPr="005E651D">
        <w:rPr>
          <w:rFonts w:cstheme="minorHAnsi"/>
          <w:szCs w:val="22"/>
        </w:rPr>
        <w:t>LEAs are sanctioned for any acts of ill-treatment or intimidation that they inflict in association with filing a complaint.</w:t>
      </w:r>
    </w:p>
    <w:p w14:paraId="1A3589BF" w14:textId="77777777" w:rsidR="00B462CE" w:rsidRPr="005E651D" w:rsidRDefault="00B462CE" w:rsidP="00B462CE">
      <w:pPr>
        <w:pStyle w:val="ListParagraph"/>
        <w:rPr>
          <w:rFonts w:cstheme="minorHAnsi"/>
          <w:szCs w:val="22"/>
        </w:rPr>
      </w:pPr>
    </w:p>
    <w:p w14:paraId="177626A2" w14:textId="77777777" w:rsidR="006B7487" w:rsidRPr="005E651D" w:rsidRDefault="000572C9" w:rsidP="000572C9">
      <w:pPr>
        <w:pStyle w:val="ListParagraph"/>
        <w:numPr>
          <w:ilvl w:val="0"/>
          <w:numId w:val="49"/>
        </w:numPr>
        <w:rPr>
          <w:rFonts w:cstheme="minorHAnsi"/>
          <w:szCs w:val="22"/>
        </w:rPr>
      </w:pPr>
      <w:r w:rsidRPr="005E651D">
        <w:rPr>
          <w:rFonts w:cstheme="minorHAnsi"/>
          <w:szCs w:val="22"/>
        </w:rPr>
        <w:t>The Government should fortify the mandate of the NHRC, by, at a minimum</w:t>
      </w:r>
      <w:r w:rsidR="006B7487" w:rsidRPr="005E651D">
        <w:rPr>
          <w:rFonts w:cstheme="minorHAnsi"/>
          <w:szCs w:val="22"/>
        </w:rPr>
        <w:t>:</w:t>
      </w:r>
    </w:p>
    <w:p w14:paraId="3FCFADD4" w14:textId="7F5EC5B1" w:rsidR="006B7487" w:rsidRPr="005E651D" w:rsidRDefault="000572C9" w:rsidP="006B7487">
      <w:pPr>
        <w:pStyle w:val="ListParagraph"/>
        <w:numPr>
          <w:ilvl w:val="1"/>
          <w:numId w:val="53"/>
        </w:numPr>
        <w:rPr>
          <w:rFonts w:cstheme="minorHAnsi"/>
          <w:szCs w:val="22"/>
        </w:rPr>
      </w:pPr>
      <w:r w:rsidRPr="005E651D">
        <w:rPr>
          <w:rFonts w:cstheme="minorHAnsi"/>
          <w:szCs w:val="22"/>
        </w:rPr>
        <w:t xml:space="preserve">granting the </w:t>
      </w:r>
      <w:r w:rsidR="00824854" w:rsidRPr="005E651D">
        <w:rPr>
          <w:rFonts w:cstheme="minorHAnsi"/>
          <w:szCs w:val="22"/>
        </w:rPr>
        <w:t>NHRC</w:t>
      </w:r>
      <w:r w:rsidRPr="005E651D">
        <w:rPr>
          <w:rFonts w:cstheme="minorHAnsi"/>
          <w:szCs w:val="22"/>
        </w:rPr>
        <w:t xml:space="preserve"> full investigative authority to investigate cases alleging human rights violations committed by LEAs;</w:t>
      </w:r>
    </w:p>
    <w:p w14:paraId="0FE0AD61" w14:textId="55B0EE80" w:rsidR="006B7487" w:rsidRPr="005E651D" w:rsidRDefault="000572C9" w:rsidP="006B7487">
      <w:pPr>
        <w:pStyle w:val="ListParagraph"/>
        <w:numPr>
          <w:ilvl w:val="1"/>
          <w:numId w:val="53"/>
        </w:numPr>
        <w:rPr>
          <w:rFonts w:cstheme="minorHAnsi"/>
          <w:szCs w:val="22"/>
        </w:rPr>
      </w:pPr>
      <w:r w:rsidRPr="005E651D">
        <w:rPr>
          <w:rFonts w:cstheme="minorHAnsi"/>
          <w:szCs w:val="22"/>
        </w:rPr>
        <w:t xml:space="preserve">ensuring the </w:t>
      </w:r>
      <w:r w:rsidR="003B5262" w:rsidRPr="005E651D">
        <w:rPr>
          <w:rFonts w:cstheme="minorHAnsi"/>
          <w:szCs w:val="22"/>
        </w:rPr>
        <w:t>NHRC’s</w:t>
      </w:r>
      <w:r w:rsidRPr="005E651D">
        <w:rPr>
          <w:rFonts w:cstheme="minorHAnsi"/>
          <w:szCs w:val="22"/>
        </w:rPr>
        <w:t xml:space="preserve"> autonomy from the government through a transparent selection of members; and</w:t>
      </w:r>
    </w:p>
    <w:p w14:paraId="60469BA9" w14:textId="03450B32" w:rsidR="000572C9" w:rsidRPr="005E651D" w:rsidRDefault="000572C9" w:rsidP="006B7487">
      <w:pPr>
        <w:pStyle w:val="ListParagraph"/>
        <w:numPr>
          <w:ilvl w:val="1"/>
          <w:numId w:val="53"/>
        </w:numPr>
        <w:rPr>
          <w:rFonts w:cstheme="minorHAnsi"/>
          <w:szCs w:val="22"/>
        </w:rPr>
      </w:pPr>
      <w:proofErr w:type="gramStart"/>
      <w:r w:rsidRPr="005E651D">
        <w:rPr>
          <w:rFonts w:cstheme="minorHAnsi"/>
          <w:szCs w:val="22"/>
        </w:rPr>
        <w:t>ensuring</w:t>
      </w:r>
      <w:proofErr w:type="gramEnd"/>
      <w:r w:rsidRPr="005E651D">
        <w:rPr>
          <w:rFonts w:cstheme="minorHAnsi"/>
          <w:szCs w:val="22"/>
        </w:rPr>
        <w:t xml:space="preserve"> that the </w:t>
      </w:r>
      <w:r w:rsidR="003B5262" w:rsidRPr="005E651D">
        <w:rPr>
          <w:rFonts w:cstheme="minorHAnsi"/>
          <w:szCs w:val="22"/>
        </w:rPr>
        <w:t>NHRC</w:t>
      </w:r>
      <w:r w:rsidRPr="005E651D">
        <w:rPr>
          <w:rFonts w:cstheme="minorHAnsi"/>
          <w:szCs w:val="22"/>
        </w:rPr>
        <w:t xml:space="preserve"> has adequate resources and access to places of detention and other locations where persons may be held in custody or treated for their welfare.</w:t>
      </w:r>
    </w:p>
    <w:p w14:paraId="67AF6762" w14:textId="77777777" w:rsidR="00B462CE" w:rsidRPr="005E651D" w:rsidRDefault="00B462CE" w:rsidP="00B462CE">
      <w:pPr>
        <w:pStyle w:val="ListParagraph"/>
        <w:rPr>
          <w:rFonts w:cstheme="minorHAnsi"/>
          <w:szCs w:val="22"/>
        </w:rPr>
      </w:pPr>
    </w:p>
    <w:p w14:paraId="0FCE80BC" w14:textId="2C6AEA1F" w:rsidR="000572C9" w:rsidRPr="005E651D" w:rsidRDefault="000572C9" w:rsidP="000572C9">
      <w:pPr>
        <w:pStyle w:val="ListParagraph"/>
        <w:numPr>
          <w:ilvl w:val="0"/>
          <w:numId w:val="49"/>
        </w:numPr>
        <w:rPr>
          <w:rFonts w:cstheme="minorHAnsi"/>
          <w:szCs w:val="22"/>
        </w:rPr>
      </w:pPr>
      <w:r w:rsidRPr="005E651D">
        <w:rPr>
          <w:rFonts w:cstheme="minorHAnsi"/>
          <w:szCs w:val="22"/>
        </w:rPr>
        <w:t>The Government should ensure that the directive issued by the Supreme Court of Bangladesh in 2016, concerning warrantless arrest and prolonged pre-trial detention and rearrest, is implemented, and provide adequate training on, and oversight over, practices concerning the granting of bail and treatment of prisoners subjected to prolonged pre-trial detention, with a view to addressing the underlying structural issues that enable prolonged detention.</w:t>
      </w:r>
      <w:r w:rsidRPr="005E651D">
        <w:rPr>
          <w:rStyle w:val="FootnoteReference"/>
          <w:rFonts w:cstheme="minorHAnsi"/>
          <w:szCs w:val="22"/>
        </w:rPr>
        <w:footnoteReference w:id="162"/>
      </w:r>
    </w:p>
    <w:p w14:paraId="1CA46E5F" w14:textId="77777777" w:rsidR="00B462CE" w:rsidRPr="005E651D" w:rsidRDefault="00B462CE" w:rsidP="00B462CE">
      <w:pPr>
        <w:pStyle w:val="ListParagraph"/>
        <w:rPr>
          <w:rFonts w:cstheme="minorHAnsi"/>
          <w:szCs w:val="22"/>
        </w:rPr>
      </w:pPr>
    </w:p>
    <w:p w14:paraId="65F1356C" w14:textId="33AF7C0C" w:rsidR="000572C9" w:rsidRPr="005E651D" w:rsidRDefault="000572C9" w:rsidP="000572C9">
      <w:pPr>
        <w:pStyle w:val="ListParagraph"/>
        <w:numPr>
          <w:ilvl w:val="0"/>
          <w:numId w:val="49"/>
        </w:numPr>
        <w:rPr>
          <w:rFonts w:cstheme="minorHAnsi"/>
          <w:szCs w:val="22"/>
        </w:rPr>
      </w:pPr>
      <w:r w:rsidRPr="005E651D">
        <w:rPr>
          <w:rFonts w:cstheme="minorHAnsi"/>
        </w:rPr>
        <w:t xml:space="preserve">The Government should investigate all cases of alleged </w:t>
      </w:r>
      <w:r w:rsidR="00E477AB" w:rsidRPr="005E651D">
        <w:rPr>
          <w:rFonts w:cstheme="minorHAnsi"/>
        </w:rPr>
        <w:t>extrajudicial</w:t>
      </w:r>
      <w:r w:rsidRPr="005E651D">
        <w:rPr>
          <w:rFonts w:cstheme="minorHAnsi"/>
        </w:rPr>
        <w:t xml:space="preserve"> killings, enforced disappearances and excessive use of force, and p</w:t>
      </w:r>
      <w:r w:rsidRPr="005E651D">
        <w:rPr>
          <w:rFonts w:cstheme="minorHAnsi"/>
          <w:szCs w:val="22"/>
        </w:rPr>
        <w:t xml:space="preserve">rosecute and punish perpetrators, including LEAs, with appropriate sanctions and provide full reparation to the victims and their families. </w:t>
      </w:r>
    </w:p>
    <w:p w14:paraId="1FCE875B" w14:textId="77777777" w:rsidR="00B462CE" w:rsidRPr="005E651D" w:rsidRDefault="00B462CE" w:rsidP="00B462CE">
      <w:pPr>
        <w:pStyle w:val="ListParagraph"/>
        <w:rPr>
          <w:rFonts w:cstheme="minorHAnsi"/>
          <w:szCs w:val="22"/>
        </w:rPr>
      </w:pPr>
    </w:p>
    <w:p w14:paraId="719B54F0" w14:textId="56E4E931" w:rsidR="000572C9" w:rsidRPr="005E651D" w:rsidRDefault="000572C9" w:rsidP="000572C9">
      <w:pPr>
        <w:pStyle w:val="ListParagraph"/>
        <w:numPr>
          <w:ilvl w:val="0"/>
          <w:numId w:val="49"/>
        </w:numPr>
        <w:rPr>
          <w:rFonts w:cstheme="minorHAnsi"/>
          <w:szCs w:val="22"/>
        </w:rPr>
      </w:pPr>
      <w:r w:rsidRPr="005E651D">
        <w:rPr>
          <w:rFonts w:cstheme="minorHAnsi"/>
          <w:szCs w:val="22"/>
        </w:rPr>
        <w:t xml:space="preserve">For cases of enforced disappearances, the Government should have a duty to investigate and establish the truth about the fate and whereabouts of victims and ensure that victims of enforced disappearance and their families receive truthful reports </w:t>
      </w:r>
      <w:r w:rsidR="00D829E9" w:rsidRPr="005E651D">
        <w:rPr>
          <w:rFonts w:cstheme="minorHAnsi"/>
          <w:szCs w:val="22"/>
        </w:rPr>
        <w:t>memorializing</w:t>
      </w:r>
      <w:r w:rsidRPr="005E651D">
        <w:rPr>
          <w:rFonts w:cstheme="minorHAnsi"/>
          <w:szCs w:val="22"/>
        </w:rPr>
        <w:t xml:space="preserve"> investigations.</w:t>
      </w:r>
    </w:p>
    <w:p w14:paraId="094ED3E1" w14:textId="77777777" w:rsidR="00B462CE" w:rsidRPr="005E651D" w:rsidRDefault="00B462CE" w:rsidP="00B462CE">
      <w:pPr>
        <w:pStyle w:val="ListParagraph"/>
        <w:rPr>
          <w:rFonts w:cstheme="minorHAnsi"/>
          <w:szCs w:val="22"/>
        </w:rPr>
      </w:pPr>
    </w:p>
    <w:p w14:paraId="5CCD01F8" w14:textId="5F0F3B64" w:rsidR="00E477AB" w:rsidRPr="005E651D" w:rsidRDefault="00E477AB" w:rsidP="00E477AB">
      <w:pPr>
        <w:pStyle w:val="ListParagraph"/>
        <w:numPr>
          <w:ilvl w:val="0"/>
          <w:numId w:val="49"/>
        </w:numPr>
        <w:rPr>
          <w:rFonts w:cstheme="minorHAnsi"/>
        </w:rPr>
      </w:pPr>
      <w:r w:rsidRPr="005E651D">
        <w:rPr>
          <w:rFonts w:cstheme="minorHAnsi"/>
          <w:szCs w:val="22"/>
        </w:rPr>
        <w:t>The Government should take prompt measures to prevent all acts of torture and ill-treatment, including rape and other forms of sexual violence</w:t>
      </w:r>
      <w:r w:rsidRPr="005E651D">
        <w:rPr>
          <w:rFonts w:cstheme="minorHAnsi"/>
          <w:sz w:val="20"/>
        </w:rPr>
        <w:t>.</w:t>
      </w:r>
    </w:p>
    <w:p w14:paraId="666661A3" w14:textId="77777777" w:rsidR="00B462CE" w:rsidRPr="005E651D" w:rsidRDefault="00B462CE" w:rsidP="00B462CE">
      <w:pPr>
        <w:pStyle w:val="ListParagraph"/>
        <w:rPr>
          <w:rFonts w:cstheme="minorHAnsi"/>
        </w:rPr>
      </w:pPr>
    </w:p>
    <w:p w14:paraId="022AE2BF" w14:textId="5D234E6A" w:rsidR="005874F1" w:rsidRPr="005E651D" w:rsidRDefault="000572C9" w:rsidP="00B118A8">
      <w:pPr>
        <w:pStyle w:val="ListParagraph"/>
        <w:numPr>
          <w:ilvl w:val="0"/>
          <w:numId w:val="49"/>
        </w:numPr>
        <w:rPr>
          <w:rFonts w:cstheme="minorHAnsi"/>
          <w:szCs w:val="22"/>
        </w:rPr>
      </w:pPr>
      <w:r w:rsidRPr="005E651D">
        <w:rPr>
          <w:rFonts w:cstheme="minorHAnsi"/>
          <w:szCs w:val="22"/>
        </w:rPr>
        <w:t>The Government should improve the conditions of detention in police stations and prisons so as to bring them into conformity with Article</w:t>
      </w:r>
      <w:r w:rsidR="00164326" w:rsidRPr="005E651D">
        <w:rPr>
          <w:rFonts w:cstheme="minorHAnsi"/>
          <w:szCs w:val="22"/>
        </w:rPr>
        <w:t>s 2 and</w:t>
      </w:r>
      <w:r w:rsidR="00B118A8" w:rsidRPr="005E651D">
        <w:rPr>
          <w:rFonts w:cstheme="minorHAnsi"/>
          <w:szCs w:val="22"/>
        </w:rPr>
        <w:t xml:space="preserve"> 16 of the Convention, including a reduction of both the</w:t>
      </w:r>
      <w:r w:rsidRPr="005E651D">
        <w:rPr>
          <w:rFonts w:cstheme="minorHAnsi"/>
          <w:szCs w:val="22"/>
        </w:rPr>
        <w:t xml:space="preserve"> number of persons in the prison system and overcrowding </w:t>
      </w:r>
      <w:r w:rsidR="00B118A8" w:rsidRPr="005E651D">
        <w:rPr>
          <w:rFonts w:cstheme="minorHAnsi"/>
          <w:szCs w:val="22"/>
        </w:rPr>
        <w:t>within the prisons.</w:t>
      </w:r>
      <w:r w:rsidR="00B118A8" w:rsidRPr="005E651D">
        <w:rPr>
          <w:rFonts w:cstheme="minorHAnsi"/>
        </w:rPr>
        <w:t xml:space="preserve"> </w:t>
      </w:r>
    </w:p>
    <w:sectPr w:rsidR="005874F1" w:rsidRPr="005E651D" w:rsidSect="00D3133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260" w14:textId="77777777" w:rsidR="00B36153" w:rsidRDefault="00B36153" w:rsidP="00BF44A2">
      <w:r>
        <w:separator/>
      </w:r>
    </w:p>
  </w:endnote>
  <w:endnote w:type="continuationSeparator" w:id="0">
    <w:p w14:paraId="008301C6" w14:textId="77777777" w:rsidR="00B36153" w:rsidRDefault="00B36153" w:rsidP="00BF44A2">
      <w:r>
        <w:continuationSeparator/>
      </w:r>
    </w:p>
  </w:endnote>
  <w:endnote w:type="continuationNotice" w:id="1">
    <w:p w14:paraId="21A0EE8B" w14:textId="77777777" w:rsidR="00B36153" w:rsidRDefault="00B36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149430"/>
      <w:docPartObj>
        <w:docPartGallery w:val="Page Numbers (Bottom of Page)"/>
        <w:docPartUnique/>
      </w:docPartObj>
    </w:sdtPr>
    <w:sdtEndPr>
      <w:rPr>
        <w:noProof/>
      </w:rPr>
    </w:sdtEndPr>
    <w:sdtContent>
      <w:p w14:paraId="7BE59337" w14:textId="1793DAAD" w:rsidR="00E24593" w:rsidRDefault="00E24593" w:rsidP="00790A02">
        <w:pPr>
          <w:pStyle w:val="Footer"/>
          <w:jc w:val="center"/>
        </w:pPr>
        <w:r w:rsidRPr="00D67705">
          <w:fldChar w:fldCharType="begin"/>
        </w:r>
        <w:r w:rsidRPr="00D67705">
          <w:instrText xml:space="preserve"> PAGE   \* MERGEFORMAT </w:instrText>
        </w:r>
        <w:r w:rsidRPr="00D67705">
          <w:fldChar w:fldCharType="separate"/>
        </w:r>
        <w:r w:rsidR="00D96A88">
          <w:rPr>
            <w:noProof/>
          </w:rPr>
          <w:t>19</w:t>
        </w:r>
        <w:r w:rsidRPr="00D67705">
          <w:rPr>
            <w:noProof/>
          </w:rPr>
          <w:fldChar w:fldCharType="end"/>
        </w:r>
      </w:p>
    </w:sdtContent>
  </w:sdt>
  <w:p w14:paraId="69841A43" w14:textId="77777777" w:rsidR="00E24593" w:rsidRDefault="00E24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F2D3C" w14:textId="77777777" w:rsidR="00B36153" w:rsidRDefault="00B36153" w:rsidP="00BF44A2">
      <w:r>
        <w:separator/>
      </w:r>
    </w:p>
  </w:footnote>
  <w:footnote w:type="continuationSeparator" w:id="0">
    <w:p w14:paraId="220B264D" w14:textId="77777777" w:rsidR="00B36153" w:rsidRPr="00BF44A2" w:rsidRDefault="00B36153" w:rsidP="00BF44A2">
      <w:r>
        <w:separator/>
      </w:r>
    </w:p>
  </w:footnote>
  <w:footnote w:type="continuationNotice" w:id="1">
    <w:p w14:paraId="5EBFEA4E" w14:textId="77777777" w:rsidR="00B36153" w:rsidRDefault="00B36153">
      <w:r>
        <w:t>(</w:t>
      </w:r>
      <w:proofErr w:type="gramStart"/>
      <w:r>
        <w:t>continued</w:t>
      </w:r>
      <w:proofErr w:type="gramEnd"/>
      <w:r>
        <w:t>…)</w:t>
      </w:r>
    </w:p>
  </w:footnote>
  <w:footnote w:id="2">
    <w:p w14:paraId="33B28A03" w14:textId="0E166E14" w:rsidR="00E24593" w:rsidRPr="004F2222" w:rsidRDefault="00E24593" w:rsidP="00C12EF4">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Convention against Torture and Other Cruel, Inhuman or Degrading Treatment or Punishment, arts. 1-2, 16, U.N. Doc. 23/56 (Dec. 10, 1984), </w:t>
      </w:r>
      <w:r w:rsidRPr="004F2222">
        <w:rPr>
          <w:rFonts w:asciiTheme="majorHAnsi" w:hAnsiTheme="majorHAnsi" w:cstheme="majorHAnsi"/>
          <w:i/>
          <w:sz w:val="20"/>
        </w:rPr>
        <w:t>entered into force</w:t>
      </w:r>
      <w:r w:rsidRPr="004F2222">
        <w:rPr>
          <w:rFonts w:asciiTheme="majorHAnsi" w:hAnsiTheme="majorHAnsi" w:cstheme="majorHAnsi"/>
          <w:sz w:val="20"/>
        </w:rPr>
        <w:t xml:space="preserve"> June 26, 1987 [hereinafter Convention against Torture]. </w:t>
      </w:r>
    </w:p>
  </w:footnote>
  <w:footnote w:id="3">
    <w:p w14:paraId="6365731F" w14:textId="3B48FB50" w:rsidR="00E24593" w:rsidRPr="004F2222" w:rsidRDefault="00E24593" w:rsidP="00B841C1">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U.N. Committee </w:t>
      </w:r>
      <w:proofErr w:type="gramStart"/>
      <w:r w:rsidRPr="004F2222">
        <w:rPr>
          <w:rFonts w:asciiTheme="majorHAnsi" w:hAnsiTheme="majorHAnsi" w:cstheme="majorHAnsi"/>
          <w:sz w:val="20"/>
        </w:rPr>
        <w:t>Against</w:t>
      </w:r>
      <w:proofErr w:type="gramEnd"/>
      <w:r w:rsidRPr="004F2222">
        <w:rPr>
          <w:rFonts w:asciiTheme="majorHAnsi" w:hAnsiTheme="majorHAnsi" w:cstheme="majorHAnsi"/>
          <w:sz w:val="20"/>
        </w:rPr>
        <w:t xml:space="preserve"> Torture, General Comment No. 2, U.N. Doc. </w:t>
      </w:r>
      <w:r w:rsidRPr="004F2222">
        <w:rPr>
          <w:rFonts w:asciiTheme="majorHAnsi" w:hAnsiTheme="majorHAnsi" w:cstheme="majorHAnsi"/>
          <w:sz w:val="20"/>
        </w:rPr>
        <w:fldChar w:fldCharType="begin"/>
      </w:r>
      <w:r w:rsidRPr="004F2222">
        <w:rPr>
          <w:rFonts w:asciiTheme="majorHAnsi" w:hAnsiTheme="majorHAnsi" w:cstheme="majorHAnsi"/>
          <w:sz w:val="20"/>
        </w:rPr>
        <w:instrText xml:space="preserve"> FILLIN "Symbol" \* MERGEFORMAT </w:instrText>
      </w:r>
      <w:r w:rsidRPr="004F2222">
        <w:rPr>
          <w:rFonts w:asciiTheme="majorHAnsi" w:hAnsiTheme="majorHAnsi" w:cstheme="majorHAnsi"/>
          <w:sz w:val="20"/>
        </w:rPr>
        <w:fldChar w:fldCharType="separate"/>
      </w:r>
      <w:r w:rsidRPr="004F2222">
        <w:rPr>
          <w:rFonts w:asciiTheme="majorHAnsi" w:hAnsiTheme="majorHAnsi" w:cstheme="majorHAnsi"/>
          <w:sz w:val="20"/>
        </w:rPr>
        <w:t>CAT/C/</w:t>
      </w:r>
      <w:r w:rsidRPr="004F2222">
        <w:rPr>
          <w:rFonts w:asciiTheme="majorHAnsi" w:hAnsiTheme="majorHAnsi" w:cstheme="majorHAnsi"/>
          <w:sz w:val="20"/>
        </w:rPr>
        <w:fldChar w:fldCharType="end"/>
      </w:r>
      <w:r w:rsidRPr="004F2222">
        <w:rPr>
          <w:rFonts w:asciiTheme="majorHAnsi" w:hAnsiTheme="majorHAnsi" w:cstheme="majorHAnsi"/>
          <w:sz w:val="20"/>
        </w:rPr>
        <w:t>GC/2, ¶ 5 (Jan. 24, 2008);</w:t>
      </w:r>
      <w:r w:rsidRPr="004F2222">
        <w:rPr>
          <w:rFonts w:asciiTheme="majorHAnsi" w:hAnsiTheme="majorHAnsi" w:cstheme="majorHAnsi"/>
          <w:i/>
          <w:sz w:val="20"/>
        </w:rPr>
        <w:t xml:space="preserve"> see also</w:t>
      </w:r>
      <w:r w:rsidRPr="004F2222">
        <w:rPr>
          <w:rFonts w:asciiTheme="majorHAnsi" w:hAnsiTheme="majorHAnsi" w:cstheme="majorHAnsi"/>
          <w:sz w:val="20"/>
        </w:rPr>
        <w:t xml:space="preserve"> International Covenant on Civil and Political Rights, art. 7 (Dec. 16, 1966, </w:t>
      </w:r>
      <w:r w:rsidRPr="004F2222">
        <w:rPr>
          <w:rFonts w:asciiTheme="majorHAnsi" w:hAnsiTheme="majorHAnsi" w:cstheme="majorHAnsi"/>
          <w:i/>
          <w:sz w:val="20"/>
        </w:rPr>
        <w:t>entered into force</w:t>
      </w:r>
      <w:r w:rsidRPr="004F2222">
        <w:rPr>
          <w:rFonts w:asciiTheme="majorHAnsi" w:hAnsiTheme="majorHAnsi" w:cstheme="majorHAnsi"/>
          <w:sz w:val="20"/>
        </w:rPr>
        <w:t xml:space="preserve"> March 23, 1976); Universal Declaration of Human Rights, art. 5, U.N. Doc. A/RES/217 A (III) (Dec. 10, 1948).</w:t>
      </w:r>
    </w:p>
  </w:footnote>
  <w:footnote w:id="4">
    <w:p w14:paraId="45FE6AE4" w14:textId="77777777"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Convention against Torture, arts. 2, 10-14, 16.</w:t>
      </w:r>
    </w:p>
  </w:footnote>
  <w:footnote w:id="5">
    <w:p w14:paraId="4C57859E" w14:textId="3C52FC6B" w:rsidR="00E24593" w:rsidRPr="004F2222" w:rsidRDefault="00E24593" w:rsidP="00C12EF4">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U.N. Human Rights Council, Compilation on Bangladesh, Report of the Office of the United Nations High Commissioner for Human Rights, U.N. Doc. A/HRC/WG.6/30/BGD/2, ¶ 8 (Mar. 19, 2018); </w:t>
      </w:r>
      <w:r w:rsidRPr="004F2222">
        <w:rPr>
          <w:rFonts w:asciiTheme="majorHAnsi" w:hAnsiTheme="majorHAnsi" w:cstheme="majorHAnsi"/>
          <w:i/>
          <w:sz w:val="20"/>
        </w:rPr>
        <w:t>see also</w:t>
      </w:r>
      <w:r w:rsidRPr="004F2222">
        <w:rPr>
          <w:rFonts w:asciiTheme="majorHAnsi" w:hAnsiTheme="majorHAnsi" w:cstheme="majorHAnsi"/>
          <w:sz w:val="20"/>
        </w:rPr>
        <w:t xml:space="preserve"> Convention against Torture, art. 19. </w:t>
      </w:r>
    </w:p>
  </w:footnote>
  <w:footnote w:id="6">
    <w:p w14:paraId="54ADE19A" w14:textId="53182706" w:rsidR="00E24593" w:rsidRPr="004F2222" w:rsidRDefault="00E24593" w:rsidP="00C12EF4">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w:t>
      </w:r>
      <w:r w:rsidRPr="004F2222">
        <w:rPr>
          <w:rFonts w:asciiTheme="majorHAnsi" w:hAnsiTheme="majorHAnsi" w:cstheme="majorHAnsi"/>
          <w:i/>
          <w:sz w:val="20"/>
        </w:rPr>
        <w:t xml:space="preserve"> id.</w:t>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Bangladesh 2018 Human Rights Report</w:t>
      </w:r>
      <w:r w:rsidRPr="004F2222">
        <w:rPr>
          <w:rFonts w:asciiTheme="majorHAnsi" w:hAnsiTheme="majorHAnsi" w:cstheme="majorHAnsi"/>
          <w:sz w:val="20"/>
        </w:rPr>
        <w:t xml:space="preserve">, 1 (Mar. 11, 2019), https://bd.usembassy.gov/wp-content/uploads/sites/70/HUman-Rights-Report.pdf [hereinafter </w:t>
      </w:r>
      <w:r w:rsidRPr="004F2222">
        <w:rPr>
          <w:rFonts w:asciiTheme="majorHAnsi" w:hAnsiTheme="majorHAnsi" w:cstheme="majorHAnsi"/>
          <w:smallCaps/>
          <w:sz w:val="20"/>
        </w:rPr>
        <w:t>U.S. Department of State, Bangladesh 2018 Human Rights Rep</w:t>
      </w:r>
      <w:r w:rsidR="00115221">
        <w:rPr>
          <w:rFonts w:asciiTheme="majorHAnsi" w:hAnsiTheme="majorHAnsi" w:cstheme="majorHAnsi"/>
          <w:smallCaps/>
          <w:sz w:val="20"/>
        </w:rPr>
        <w:t xml:space="preserve"> </w:t>
      </w:r>
      <w:r w:rsidRPr="004F2222">
        <w:rPr>
          <w:rFonts w:asciiTheme="majorHAnsi" w:hAnsiTheme="majorHAnsi" w:cstheme="majorHAnsi"/>
          <w:smallCaps/>
          <w:sz w:val="20"/>
        </w:rPr>
        <w:t>ort</w:t>
      </w:r>
      <w:r w:rsidRPr="004F2222">
        <w:rPr>
          <w:rFonts w:asciiTheme="majorHAnsi" w:hAnsiTheme="majorHAnsi" w:cstheme="majorHAnsi"/>
          <w:sz w:val="20"/>
        </w:rPr>
        <w:t>].</w:t>
      </w:r>
    </w:p>
  </w:footnote>
  <w:footnote w:id="7">
    <w:p w14:paraId="3F4ECBFC" w14:textId="742EC9A4" w:rsidR="00E24593" w:rsidRPr="004F2222" w:rsidRDefault="00E24593" w:rsidP="00271166">
      <w:pPr>
        <w:pStyle w:val="FootnoteText"/>
        <w:rPr>
          <w:rFonts w:asciiTheme="majorHAnsi" w:hAnsiTheme="majorHAnsi" w:cstheme="majorHAnsi"/>
          <w: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generally </w:t>
      </w:r>
      <w:r w:rsidRPr="004F2222">
        <w:rPr>
          <w:rFonts w:asciiTheme="majorHAnsi" w:hAnsiTheme="majorHAnsi" w:cstheme="majorHAnsi"/>
          <w:smallCaps/>
          <w:sz w:val="20"/>
        </w:rPr>
        <w:t>Human Rights Watch, “Creating panic”: Bangladesh Election crackdown on Political opponents and critics</w:t>
      </w:r>
      <w:r w:rsidRPr="004F2222">
        <w:rPr>
          <w:rFonts w:asciiTheme="majorHAnsi" w:hAnsiTheme="majorHAnsi" w:cstheme="majorHAnsi"/>
          <w:sz w:val="20"/>
        </w:rPr>
        <w:t xml:space="preserve"> (Dec. 2018), https://www.hrw.org/report/2018/12/22/creating-panic/bangladesh-election-crackdown-political-opponents-and-critics. According to the BNP, in the eight-week period leading up to the December 2018 elections (September 1, 2018 through November 14, 2018), 434,975 criminal charges were brought against BNP members. </w:t>
      </w:r>
      <w:r w:rsidRPr="004F2222">
        <w:rPr>
          <w:rFonts w:asciiTheme="majorHAnsi" w:hAnsiTheme="majorHAnsi" w:cstheme="majorHAnsi"/>
          <w:i/>
          <w:sz w:val="20"/>
        </w:rPr>
        <w:t xml:space="preserve">See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at 9.</w:t>
      </w:r>
    </w:p>
  </w:footnote>
  <w:footnote w:id="8">
    <w:p w14:paraId="3285261C" w14:textId="06BF5459" w:rsidR="00E24593" w:rsidRPr="004F2222" w:rsidRDefault="00E24593" w:rsidP="00B02D28">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2016 Country Reports on Human Rights Practices - Bangladesh</w:t>
      </w:r>
      <w:r w:rsidRPr="004F2222">
        <w:rPr>
          <w:rFonts w:asciiTheme="majorHAnsi" w:hAnsiTheme="majorHAnsi" w:cstheme="majorHAnsi"/>
          <w:sz w:val="20"/>
        </w:rPr>
        <w:t xml:space="preserve">, sec. 1(d) (Mar. 3, 2017), https://www.refworld.org/docid/58ec8a7113.html;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at 8.</w:t>
      </w:r>
    </w:p>
  </w:footnote>
  <w:footnote w:id="9">
    <w:p w14:paraId="4BCEE308" w14:textId="1775245A" w:rsidR="00E24593" w:rsidRPr="004F2222" w:rsidRDefault="00E24593" w:rsidP="001030A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Human Rights Watch, “Crossfire”: Continued Human Rights Abuses by Bangladesh’s Rapid Action Battalion</w:t>
      </w:r>
      <w:r w:rsidRPr="004F2222">
        <w:rPr>
          <w:rFonts w:asciiTheme="majorHAnsi" w:hAnsiTheme="majorHAnsi" w:cstheme="majorHAnsi"/>
          <w:sz w:val="20"/>
        </w:rPr>
        <w:t xml:space="preserve"> (May 2011), https://www.hrw.org/report/2011/05/10/crossfire/continued-human-rights-abuses-bangladeshs-rapid-action-battalion; </w:t>
      </w:r>
      <w:r w:rsidRPr="004F2222">
        <w:rPr>
          <w:rFonts w:asciiTheme="majorHAnsi" w:hAnsiTheme="majorHAnsi" w:cstheme="majorHAnsi"/>
          <w:smallCaps/>
          <w:sz w:val="20"/>
        </w:rPr>
        <w:t xml:space="preserve">Human Rights Watch, Judge, Jury, and Executioner: Torture and Extrajudicial Killings by Bangladesh’s Elite Security Force </w:t>
      </w:r>
      <w:r w:rsidRPr="004F2222">
        <w:rPr>
          <w:rFonts w:asciiTheme="majorHAnsi" w:hAnsiTheme="majorHAnsi" w:cstheme="majorHAnsi"/>
          <w:sz w:val="20"/>
        </w:rPr>
        <w:t xml:space="preserve">(Dec. 2006), https://www.hrw.org/report/2006/12/13/judge-jury-and-executioner/torture-and-extrajudicial-killings-bangladeshs-elite. The police, particularly members of the Detective Branch, have also been accused of serious human rights violations, including extrajudicial killings, torture, and enforced disappearances.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 xml:space="preserve">Human Rights Watch, “No Right to Live”: “Kneecapping” and Maiming of Detainees by Bangladesh Security Forces,” </w:t>
      </w:r>
      <w:r w:rsidRPr="004F2222">
        <w:rPr>
          <w:rFonts w:asciiTheme="majorHAnsi" w:hAnsiTheme="majorHAnsi" w:cstheme="majorHAnsi"/>
          <w:sz w:val="20"/>
        </w:rPr>
        <w:t xml:space="preserve">10 (Sept. 2016), https://www.hrw.org/report/2016/09/29/no-right-live/kneecapping-and-maiming-detainees-bangladesh-security-forces [hereinafter </w:t>
      </w:r>
      <w:r w:rsidRPr="004F2222">
        <w:rPr>
          <w:rFonts w:asciiTheme="majorHAnsi" w:hAnsiTheme="majorHAnsi" w:cstheme="majorHAnsi"/>
          <w:smallCaps/>
          <w:sz w:val="20"/>
        </w:rPr>
        <w:t>“No Right to Live”].</w:t>
      </w:r>
    </w:p>
  </w:footnote>
  <w:footnote w:id="10">
    <w:p w14:paraId="35A0EFF4" w14:textId="7AD6D8F7" w:rsidR="00E24593" w:rsidRPr="004F2222" w:rsidRDefault="00E24593" w:rsidP="00C12EF4">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 xml:space="preserve">Constitution of the People’s Republic of Bangladesh, art. 35(5), </w:t>
      </w:r>
      <w:r w:rsidRPr="004F2222">
        <w:rPr>
          <w:rFonts w:asciiTheme="majorHAnsi" w:hAnsiTheme="majorHAnsi" w:cstheme="majorHAnsi"/>
          <w:smallCaps/>
          <w:sz w:val="20"/>
        </w:rPr>
        <w:t xml:space="preserve">Government of the People’s Republic of Bangladesh, Legislative and Parliamentary Affairs Division, </w:t>
      </w:r>
      <w:r w:rsidRPr="004F2222">
        <w:rPr>
          <w:rFonts w:asciiTheme="majorHAnsi" w:hAnsiTheme="majorHAnsi" w:cstheme="majorHAnsi"/>
          <w:sz w:val="20"/>
        </w:rPr>
        <w:t>http://bdlaws.minlaw.gov.bd/sections_detail.php?id=367&amp;sections_id=24583 [hereinafter Constitution of Bangladesh].</w:t>
      </w:r>
    </w:p>
  </w:footnote>
  <w:footnote w:id="11">
    <w:p w14:paraId="7C3A331C" w14:textId="69057D65" w:rsidR="00E24593" w:rsidRPr="004F2222" w:rsidRDefault="00E24593" w:rsidP="0047063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The Act defines “torture” as:</w:t>
      </w:r>
    </w:p>
    <w:p w14:paraId="5FC7A2E5" w14:textId="0A8541B0" w:rsidR="00E24593" w:rsidRPr="004F2222" w:rsidRDefault="00E24593" w:rsidP="00F90A0B">
      <w:pPr>
        <w:ind w:left="720"/>
        <w:rPr>
          <w:rFonts w:asciiTheme="majorHAnsi" w:hAnsiTheme="majorHAnsi" w:cstheme="majorHAnsi"/>
          <w:sz w:val="20"/>
          <w:szCs w:val="20"/>
        </w:rPr>
      </w:pPr>
      <w:r w:rsidRPr="004F2222">
        <w:rPr>
          <w:rFonts w:asciiTheme="majorHAnsi" w:hAnsiTheme="majorHAnsi" w:cstheme="majorHAnsi"/>
          <w:sz w:val="20"/>
          <w:szCs w:val="20"/>
        </w:rPr>
        <w:t xml:space="preserve">(vi) . . . </w:t>
      </w:r>
      <w:r w:rsidRPr="004F2222">
        <w:rPr>
          <w:rFonts w:asciiTheme="majorHAnsi" w:hAnsiTheme="majorHAnsi" w:cstheme="majorHAnsi"/>
          <w:b/>
          <w:sz w:val="20"/>
          <w:szCs w:val="20"/>
        </w:rPr>
        <w:t xml:space="preserve">any act or omission </w:t>
      </w:r>
      <w:r w:rsidRPr="004F2222">
        <w:rPr>
          <w:rFonts w:asciiTheme="majorHAnsi" w:hAnsiTheme="majorHAnsi" w:cstheme="majorHAnsi"/>
          <w:sz w:val="20"/>
          <w:szCs w:val="20"/>
        </w:rPr>
        <w:t xml:space="preserve">which causes pain, </w:t>
      </w:r>
      <w:r w:rsidRPr="004F2222">
        <w:rPr>
          <w:rFonts w:asciiTheme="majorHAnsi" w:hAnsiTheme="majorHAnsi" w:cstheme="majorHAnsi"/>
          <w:b/>
          <w:sz w:val="20"/>
          <w:szCs w:val="20"/>
        </w:rPr>
        <w:t>whether physical or mental</w:t>
      </w:r>
      <w:r w:rsidRPr="004F2222">
        <w:rPr>
          <w:rFonts w:asciiTheme="majorHAnsi" w:hAnsiTheme="majorHAnsi" w:cstheme="majorHAnsi"/>
          <w:sz w:val="20"/>
          <w:szCs w:val="20"/>
        </w:rPr>
        <w:t xml:space="preserve">, to any person, in addition to </w:t>
      </w:r>
    </w:p>
    <w:p w14:paraId="08C1106C" w14:textId="77777777" w:rsidR="00E24593" w:rsidRPr="004F2222" w:rsidRDefault="00E24593" w:rsidP="00F90A0B">
      <w:pPr>
        <w:ind w:left="720"/>
        <w:rPr>
          <w:rFonts w:asciiTheme="majorHAnsi" w:hAnsiTheme="majorHAnsi" w:cstheme="majorHAnsi"/>
          <w:sz w:val="20"/>
          <w:szCs w:val="20"/>
        </w:rPr>
      </w:pPr>
      <w:r w:rsidRPr="004F2222">
        <w:rPr>
          <w:rFonts w:asciiTheme="majorHAnsi" w:hAnsiTheme="majorHAnsi" w:cstheme="majorHAnsi"/>
          <w:sz w:val="20"/>
          <w:szCs w:val="20"/>
        </w:rPr>
        <w:t xml:space="preserve">(a) For the purposes of </w:t>
      </w:r>
      <w:r w:rsidRPr="004F2222">
        <w:rPr>
          <w:rFonts w:asciiTheme="majorHAnsi" w:hAnsiTheme="majorHAnsi" w:cstheme="majorHAnsi"/>
          <w:b/>
          <w:sz w:val="20"/>
          <w:szCs w:val="20"/>
        </w:rPr>
        <w:t>obtaining</w:t>
      </w:r>
      <w:r w:rsidRPr="004F2222">
        <w:rPr>
          <w:rFonts w:asciiTheme="majorHAnsi" w:hAnsiTheme="majorHAnsi" w:cstheme="majorHAnsi"/>
          <w:sz w:val="20"/>
          <w:szCs w:val="20"/>
        </w:rPr>
        <w:t xml:space="preserve"> information or a confession from that person or some other person; or</w:t>
      </w:r>
    </w:p>
    <w:p w14:paraId="719FC1EB" w14:textId="77777777" w:rsidR="00E24593" w:rsidRPr="004F2222" w:rsidRDefault="00E24593" w:rsidP="00F90A0B">
      <w:pPr>
        <w:ind w:left="720"/>
        <w:rPr>
          <w:rFonts w:asciiTheme="majorHAnsi" w:hAnsiTheme="majorHAnsi" w:cstheme="majorHAnsi"/>
          <w:sz w:val="20"/>
          <w:szCs w:val="20"/>
        </w:rPr>
      </w:pPr>
      <w:r w:rsidRPr="004F2222">
        <w:rPr>
          <w:rFonts w:asciiTheme="majorHAnsi" w:hAnsiTheme="majorHAnsi" w:cstheme="majorHAnsi"/>
          <w:sz w:val="20"/>
          <w:szCs w:val="20"/>
        </w:rPr>
        <w:t xml:space="preserve">(b) </w:t>
      </w:r>
      <w:r w:rsidRPr="004F2222">
        <w:rPr>
          <w:rFonts w:asciiTheme="majorHAnsi" w:hAnsiTheme="majorHAnsi" w:cstheme="majorHAnsi"/>
          <w:b/>
          <w:sz w:val="20"/>
          <w:szCs w:val="20"/>
        </w:rPr>
        <w:t>Punishing</w:t>
      </w:r>
      <w:r w:rsidRPr="004F2222">
        <w:rPr>
          <w:rFonts w:asciiTheme="majorHAnsi" w:hAnsiTheme="majorHAnsi" w:cstheme="majorHAnsi"/>
          <w:sz w:val="20"/>
          <w:szCs w:val="20"/>
        </w:rPr>
        <w:t xml:space="preserve"> any person for any act or omission for which that person or some other person is responsible or is suspected of being responsible; or</w:t>
      </w:r>
    </w:p>
    <w:p w14:paraId="61D1F171" w14:textId="77777777" w:rsidR="00E24593" w:rsidRPr="004F2222" w:rsidRDefault="00E24593" w:rsidP="00F90A0B">
      <w:pPr>
        <w:ind w:left="720"/>
        <w:rPr>
          <w:rFonts w:asciiTheme="majorHAnsi" w:hAnsiTheme="majorHAnsi" w:cstheme="majorHAnsi"/>
          <w:sz w:val="20"/>
          <w:szCs w:val="20"/>
        </w:rPr>
      </w:pPr>
      <w:r w:rsidRPr="004F2222">
        <w:rPr>
          <w:rFonts w:asciiTheme="majorHAnsi" w:hAnsiTheme="majorHAnsi" w:cstheme="majorHAnsi"/>
          <w:sz w:val="20"/>
          <w:szCs w:val="20"/>
        </w:rPr>
        <w:t xml:space="preserve">(c) </w:t>
      </w:r>
      <w:r w:rsidRPr="004F2222">
        <w:rPr>
          <w:rFonts w:asciiTheme="majorHAnsi" w:hAnsiTheme="majorHAnsi" w:cstheme="majorHAnsi"/>
          <w:b/>
          <w:sz w:val="20"/>
          <w:szCs w:val="20"/>
        </w:rPr>
        <w:t>Intimidating</w:t>
      </w:r>
      <w:r w:rsidRPr="004F2222">
        <w:rPr>
          <w:rFonts w:asciiTheme="majorHAnsi" w:hAnsiTheme="majorHAnsi" w:cstheme="majorHAnsi"/>
          <w:sz w:val="20"/>
          <w:szCs w:val="20"/>
        </w:rPr>
        <w:t xml:space="preserve"> or </w:t>
      </w:r>
      <w:r w:rsidRPr="004F2222">
        <w:rPr>
          <w:rFonts w:asciiTheme="majorHAnsi" w:hAnsiTheme="majorHAnsi" w:cstheme="majorHAnsi"/>
          <w:b/>
          <w:sz w:val="20"/>
          <w:szCs w:val="20"/>
        </w:rPr>
        <w:t>coercing</w:t>
      </w:r>
      <w:r w:rsidRPr="004F2222">
        <w:rPr>
          <w:rFonts w:asciiTheme="majorHAnsi" w:hAnsiTheme="majorHAnsi" w:cstheme="majorHAnsi"/>
          <w:sz w:val="20"/>
          <w:szCs w:val="20"/>
        </w:rPr>
        <w:t xml:space="preserve"> any person or some other person; or</w:t>
      </w:r>
    </w:p>
    <w:p w14:paraId="2E429B91" w14:textId="4CC2D0E5" w:rsidR="00E24593" w:rsidRPr="004F2222" w:rsidRDefault="00E24593" w:rsidP="00F90A0B">
      <w:pPr>
        <w:ind w:left="720"/>
        <w:rPr>
          <w:rFonts w:asciiTheme="majorHAnsi" w:hAnsiTheme="majorHAnsi" w:cstheme="majorHAnsi"/>
          <w:sz w:val="20"/>
          <w:szCs w:val="20"/>
        </w:rPr>
      </w:pPr>
      <w:r w:rsidRPr="004F2222">
        <w:rPr>
          <w:rFonts w:asciiTheme="majorHAnsi" w:hAnsiTheme="majorHAnsi" w:cstheme="majorHAnsi"/>
          <w:sz w:val="20"/>
          <w:szCs w:val="20"/>
        </w:rPr>
        <w:t xml:space="preserve">(d) On the basis of </w:t>
      </w:r>
      <w:r w:rsidRPr="004F2222">
        <w:rPr>
          <w:rFonts w:asciiTheme="majorHAnsi" w:hAnsiTheme="majorHAnsi" w:cstheme="majorHAnsi"/>
          <w:b/>
          <w:sz w:val="20"/>
          <w:szCs w:val="20"/>
        </w:rPr>
        <w:t>discrimination</w:t>
      </w:r>
      <w:r w:rsidRPr="004F2222">
        <w:rPr>
          <w:rFonts w:asciiTheme="majorHAnsi" w:hAnsiTheme="majorHAnsi" w:cstheme="majorHAnsi"/>
          <w:sz w:val="20"/>
          <w:szCs w:val="20"/>
        </w:rPr>
        <w:t xml:space="preserve">, </w:t>
      </w:r>
      <w:r w:rsidRPr="004F2222">
        <w:rPr>
          <w:rFonts w:asciiTheme="majorHAnsi" w:hAnsiTheme="majorHAnsi" w:cstheme="majorHAnsi"/>
          <w:b/>
          <w:sz w:val="20"/>
          <w:szCs w:val="20"/>
        </w:rPr>
        <w:t>provocation</w:t>
      </w:r>
      <w:r w:rsidRPr="004F2222">
        <w:rPr>
          <w:rFonts w:asciiTheme="majorHAnsi" w:hAnsiTheme="majorHAnsi" w:cstheme="majorHAnsi"/>
          <w:sz w:val="20"/>
          <w:szCs w:val="20"/>
        </w:rPr>
        <w:t xml:space="preserve"> or </w:t>
      </w:r>
      <w:r w:rsidRPr="004F2222">
        <w:rPr>
          <w:rFonts w:asciiTheme="majorHAnsi" w:hAnsiTheme="majorHAnsi" w:cstheme="majorHAnsi"/>
          <w:b/>
          <w:sz w:val="20"/>
          <w:szCs w:val="20"/>
        </w:rPr>
        <w:t>consent or authority of any public officer or any governmental capacity</w:t>
      </w:r>
      <w:r w:rsidRPr="004F2222">
        <w:rPr>
          <w:rFonts w:asciiTheme="majorHAnsi" w:hAnsiTheme="majorHAnsi" w:cstheme="majorHAnsi"/>
          <w:sz w:val="20"/>
          <w:szCs w:val="20"/>
        </w:rPr>
        <w:t>.</w:t>
      </w:r>
    </w:p>
    <w:p w14:paraId="678DA722" w14:textId="48E0CB62" w:rsidR="00E24593" w:rsidRPr="004F2222" w:rsidRDefault="00E24593" w:rsidP="00F90A0B">
      <w:pPr>
        <w:ind w:left="720"/>
        <w:rPr>
          <w:rFonts w:asciiTheme="majorHAnsi" w:hAnsiTheme="majorHAnsi" w:cstheme="majorHAnsi"/>
          <w:sz w:val="20"/>
          <w:szCs w:val="20"/>
        </w:rPr>
      </w:pPr>
    </w:p>
    <w:p w14:paraId="34EC1959" w14:textId="67ABBCA4" w:rsidR="00E24593" w:rsidRPr="004F2222" w:rsidRDefault="00E24593" w:rsidP="00AC37D5">
      <w:pPr>
        <w:spacing w:after="240"/>
        <w:rPr>
          <w:rFonts w:asciiTheme="majorHAnsi" w:hAnsiTheme="majorHAnsi" w:cstheme="majorHAnsi"/>
          <w:sz w:val="20"/>
          <w:szCs w:val="20"/>
        </w:rPr>
      </w:pPr>
      <w:r w:rsidRPr="004F2222">
        <w:rPr>
          <w:rFonts w:asciiTheme="majorHAnsi" w:hAnsiTheme="majorHAnsi" w:cstheme="majorHAnsi"/>
          <w:sz w:val="20"/>
          <w:szCs w:val="20"/>
        </w:rPr>
        <w:t xml:space="preserve">Torture and Custodial Death (Prohibition) Act, 2013, pmbl, art. 2(vi) (emphasis added). </w:t>
      </w:r>
    </w:p>
  </w:footnote>
  <w:footnote w:id="12">
    <w:p w14:paraId="74EEB33E" w14:textId="56711512" w:rsidR="00E24593" w:rsidRPr="004F2222" w:rsidRDefault="00E24593" w:rsidP="004B030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i/>
          <w:sz w:val="20"/>
        </w:rPr>
        <w:t xml:space="preserve">Bangladesh: Global Anti-Torture Movement Alarmed </w:t>
      </w:r>
      <w:proofErr w:type="gramStart"/>
      <w:r w:rsidRPr="004F2222">
        <w:rPr>
          <w:rFonts w:asciiTheme="majorHAnsi" w:hAnsiTheme="majorHAnsi" w:cstheme="majorHAnsi"/>
          <w:i/>
          <w:sz w:val="20"/>
        </w:rPr>
        <w:t>Over</w:t>
      </w:r>
      <w:proofErr w:type="gramEnd"/>
      <w:r w:rsidRPr="004F2222">
        <w:rPr>
          <w:rFonts w:asciiTheme="majorHAnsi" w:hAnsiTheme="majorHAnsi" w:cstheme="majorHAnsi"/>
          <w:i/>
          <w:sz w:val="20"/>
        </w:rPr>
        <w:t xml:space="preserve"> Possible Licence to Torture</w:t>
      </w:r>
      <w:r w:rsidRPr="004F2222">
        <w:rPr>
          <w:rFonts w:asciiTheme="majorHAnsi" w:hAnsiTheme="majorHAnsi" w:cstheme="majorHAnsi"/>
          <w:sz w:val="20"/>
        </w:rPr>
        <w:t xml:space="preserve"> (Mar. 27, 2015), OMCT, http://www.omct.org/statements/bangladesh/2015/03/d23066/; </w:t>
      </w:r>
      <w:r w:rsidRPr="004F2222">
        <w:rPr>
          <w:rFonts w:asciiTheme="majorHAnsi" w:hAnsiTheme="majorHAnsi" w:cstheme="majorHAnsi"/>
          <w:i/>
          <w:sz w:val="20"/>
        </w:rPr>
        <w:t>see also</w:t>
      </w:r>
      <w:r w:rsidRPr="004F2222">
        <w:rPr>
          <w:rFonts w:asciiTheme="majorHAnsi" w:hAnsiTheme="majorHAnsi" w:cstheme="majorHAnsi"/>
          <w:sz w:val="20"/>
        </w:rPr>
        <w:t xml:space="preserve"> </w:t>
      </w:r>
      <w:r w:rsidRPr="004F2222">
        <w:rPr>
          <w:rFonts w:asciiTheme="majorHAnsi" w:hAnsiTheme="majorHAnsi" w:cstheme="majorHAnsi"/>
          <w:i/>
          <w:sz w:val="20"/>
        </w:rPr>
        <w:t>Police Want Amendment of Custodial Death Prevention Act</w:t>
      </w:r>
      <w:r w:rsidRPr="004F2222">
        <w:rPr>
          <w:rFonts w:asciiTheme="majorHAnsi" w:hAnsiTheme="majorHAnsi" w:cstheme="majorHAnsi"/>
          <w:sz w:val="20"/>
        </w:rPr>
        <w:t xml:space="preserve">, </w:t>
      </w:r>
      <w:r w:rsidRPr="004F2222">
        <w:rPr>
          <w:rFonts w:asciiTheme="majorHAnsi" w:hAnsiTheme="majorHAnsi" w:cstheme="majorHAnsi"/>
          <w:smallCaps/>
          <w:sz w:val="20"/>
        </w:rPr>
        <w:t>Dhaka Tribune</w:t>
      </w:r>
      <w:r w:rsidRPr="004F2222">
        <w:rPr>
          <w:rFonts w:asciiTheme="majorHAnsi" w:hAnsiTheme="majorHAnsi" w:cstheme="majorHAnsi"/>
          <w:sz w:val="20"/>
        </w:rPr>
        <w:t xml:space="preserve"> (Jan. 11, 2018), https://www.dhakatribune.com/bangladesh/law-rights/2018/01/11/police-want-amendment-custodial-death-prevention-act/. These proposed amendments would thereby exclude “mental pain” and the use of torture for other purposes such as punishment, intimidation, coercion, and discrimination, all of which presently appear in the Act’s definition.</w:t>
      </w:r>
      <w:r w:rsidRPr="004F2222">
        <w:rPr>
          <w:rFonts w:asciiTheme="majorHAnsi" w:hAnsiTheme="majorHAnsi" w:cstheme="majorHAnsi"/>
          <w:i/>
          <w:sz w:val="20"/>
        </w:rPr>
        <w:t xml:space="preserve"> See </w:t>
      </w:r>
      <w:r w:rsidRPr="004F2222">
        <w:rPr>
          <w:rFonts w:asciiTheme="majorHAnsi" w:hAnsiTheme="majorHAnsi" w:cstheme="majorHAnsi"/>
          <w:sz w:val="20"/>
        </w:rPr>
        <w:t>Torture and Custodial Death (Prohibition) Act, 2013, art. 2(vi).</w:t>
      </w:r>
    </w:p>
  </w:footnote>
  <w:footnote w:id="13">
    <w:p w14:paraId="045F552D" w14:textId="320F4FC1" w:rsidR="00E24593" w:rsidRPr="004F2222" w:rsidRDefault="00E24593" w:rsidP="00FC7CC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Convention against Torture, arts. 1, 4. </w:t>
      </w:r>
    </w:p>
  </w:footnote>
  <w:footnote w:id="14">
    <w:p w14:paraId="74CE5A2C" w14:textId="252438D1" w:rsidR="00E24593" w:rsidRPr="004F2222" w:rsidRDefault="00E24593" w:rsidP="0035533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U.N. Human Rights Committee, Concluding observations on the initial report of Bangladesh, U.N. Doc. CCPR/C/BGD/CO/1, ¶ 21 (Apr. 27, 2017).</w:t>
      </w:r>
    </w:p>
  </w:footnote>
  <w:footnote w:id="15">
    <w:p w14:paraId="1B6CEE11" w14:textId="2121BA91" w:rsidR="00E24593" w:rsidRPr="004F2222" w:rsidRDefault="00E24593" w:rsidP="00581D49">
      <w:pPr>
        <w:pStyle w:val="FootnoteText"/>
        <w:rPr>
          <w:rFonts w:asciiTheme="majorHAnsi" w:hAnsiTheme="majorHAnsi" w:cstheme="majorHAnsi"/>
          <w: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mallCaps/>
          <w:sz w:val="20"/>
        </w:rPr>
        <w:t>Human Rights Watch, “We Don’t Have Him”: Secret Detentions and Enforced Disappearances in Bangladesh</w:t>
      </w:r>
      <w:r w:rsidRPr="004F2222">
        <w:rPr>
          <w:rFonts w:asciiTheme="majorHAnsi" w:hAnsiTheme="majorHAnsi" w:cstheme="majorHAnsi"/>
          <w:sz w:val="20"/>
        </w:rPr>
        <w:t xml:space="preserve">, 3, 28, 34-35, 40, 69, 71-72, 76-77 (July 2017), https://www.hrw.org/report/2017/07/06/we-dont-have-him/secret-detentions-and-enforced-disappearances-bangladesh [hereinafter </w:t>
      </w:r>
      <w:r w:rsidRPr="004F2222">
        <w:rPr>
          <w:rFonts w:asciiTheme="majorHAnsi" w:hAnsiTheme="majorHAnsi" w:cstheme="majorHAnsi"/>
          <w:smallCaps/>
          <w:sz w:val="20"/>
        </w:rPr>
        <w:t>“We Don’t Have Him”]</w:t>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also </w:t>
      </w:r>
      <w:r w:rsidRPr="004F2222">
        <w:rPr>
          <w:rFonts w:asciiTheme="majorHAnsi" w:hAnsiTheme="majorHAnsi" w:cstheme="majorHAnsi"/>
          <w:sz w:val="20"/>
        </w:rPr>
        <w:t>U.N. Human Rights Council, Written statement submitted by the Asian Legal Resource Centre, an NGO organization in general consultative status, U.N. Doc. A/HRC/39/NGO/103 (Sept. 3, 2018).</w:t>
      </w:r>
    </w:p>
  </w:footnote>
  <w:footnote w:id="16">
    <w:p w14:paraId="38CAFEE7" w14:textId="21AEC164" w:rsidR="00E24593" w:rsidRPr="004F2222" w:rsidRDefault="00E24593" w:rsidP="00CE01A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mallCaps/>
          <w:sz w:val="20"/>
        </w:rPr>
        <w:t>“We Don’t Have Him”</w:t>
      </w:r>
      <w:r w:rsidRPr="004F2222">
        <w:rPr>
          <w:rFonts w:asciiTheme="majorHAnsi" w:hAnsiTheme="majorHAnsi" w:cstheme="majorHAnsi"/>
          <w:sz w:val="20"/>
        </w:rPr>
        <w:t xml:space="preserve"> at 4; </w:t>
      </w:r>
      <w:r w:rsidRPr="004F2222">
        <w:rPr>
          <w:rFonts w:asciiTheme="majorHAnsi" w:hAnsiTheme="majorHAnsi" w:cstheme="majorHAnsi"/>
          <w:smallCaps/>
          <w:sz w:val="20"/>
        </w:rPr>
        <w:t xml:space="preserve">“No Right to Live” </w:t>
      </w:r>
      <w:r w:rsidRPr="004F2222">
        <w:rPr>
          <w:rFonts w:asciiTheme="majorHAnsi" w:hAnsiTheme="majorHAnsi" w:cstheme="majorHAnsi"/>
          <w:sz w:val="20"/>
        </w:rPr>
        <w:t>at 13</w:t>
      </w:r>
      <w:r w:rsidRPr="004F2222">
        <w:rPr>
          <w:rFonts w:asciiTheme="majorHAnsi" w:hAnsiTheme="majorHAnsi" w:cstheme="majorHAnsi"/>
          <w:smallCaps/>
          <w:sz w:val="20"/>
        </w:rPr>
        <w:t>.</w:t>
      </w:r>
    </w:p>
  </w:footnote>
  <w:footnote w:id="17">
    <w:p w14:paraId="0AB02EEB" w14:textId="65BC48DA" w:rsidR="00E24593" w:rsidRPr="004F2222" w:rsidRDefault="00E24593" w:rsidP="00CA101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 xml:space="preserve">Odhikar &amp; OMCT, </w:t>
      </w:r>
      <w:r w:rsidRPr="004F2222">
        <w:rPr>
          <w:rFonts w:asciiTheme="majorHAnsi" w:hAnsiTheme="majorHAnsi" w:cstheme="majorHAnsi"/>
          <w:i/>
          <w:sz w:val="20"/>
        </w:rPr>
        <w:t>Bangladesh: Torture prevails due to deeply rooted culture of impunity</w:t>
      </w:r>
      <w:r w:rsidRPr="004F2222">
        <w:rPr>
          <w:rFonts w:asciiTheme="majorHAnsi" w:hAnsiTheme="majorHAnsi" w:cstheme="majorHAnsi"/>
          <w:sz w:val="20"/>
        </w:rPr>
        <w:t xml:space="preserve"> (June 26, 2018), http://www.omct.org/statements/bangladesh/2018/06/d24943/.</w:t>
      </w:r>
    </w:p>
  </w:footnote>
  <w:footnote w:id="18">
    <w:p w14:paraId="24049190" w14:textId="229FD190" w:rsidR="00E24593" w:rsidRPr="004F2222" w:rsidRDefault="00E24593" w:rsidP="00F6288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 U.N. Human Rights Council, Written statement submitted by the Asian Legal Resource Centre, an NGO organized in general consultative status, U.N. Doc. A/HRC/39/NGO/103, 2 (Sept. 3, 2018).</w:t>
      </w:r>
    </w:p>
  </w:footnote>
  <w:footnote w:id="19">
    <w:p w14:paraId="524A0872" w14:textId="0F5D4AC4" w:rsidR="00E24593" w:rsidRPr="004F2222" w:rsidRDefault="00E24593" w:rsidP="002D37C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mallCaps/>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 xml:space="preserve">“We Don’t Have Him” </w:t>
      </w:r>
      <w:r w:rsidRPr="004F2222">
        <w:rPr>
          <w:rFonts w:asciiTheme="majorHAnsi" w:hAnsiTheme="majorHAnsi" w:cstheme="majorHAnsi"/>
          <w:sz w:val="20"/>
        </w:rPr>
        <w:t>at 22.</w:t>
      </w:r>
    </w:p>
  </w:footnote>
  <w:footnote w:id="20">
    <w:p w14:paraId="7D32E077" w14:textId="5934292C" w:rsidR="00E24593" w:rsidRPr="004F2222" w:rsidRDefault="00E24593" w:rsidP="002D37C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 xml:space="preserve"> </w:t>
      </w:r>
      <w:proofErr w:type="gramStart"/>
      <w:r w:rsidRPr="004F2222">
        <w:rPr>
          <w:rFonts w:asciiTheme="majorHAnsi" w:hAnsiTheme="majorHAnsi" w:cstheme="majorHAnsi"/>
          <w:sz w:val="20"/>
        </w:rPr>
        <w:t>at</w:t>
      </w:r>
      <w:proofErr w:type="gramEnd"/>
      <w:r w:rsidRPr="004F2222">
        <w:rPr>
          <w:rFonts w:asciiTheme="majorHAnsi" w:hAnsiTheme="majorHAnsi" w:cstheme="majorHAnsi"/>
          <w:sz w:val="20"/>
        </w:rPr>
        <w:t xml:space="preserve"> 40-41.</w:t>
      </w:r>
    </w:p>
  </w:footnote>
  <w:footnote w:id="21">
    <w:p w14:paraId="3D8AF1B5" w14:textId="4EEBF6F0"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Convention against Torture, art 12.</w:t>
      </w:r>
    </w:p>
  </w:footnote>
  <w:footnote w:id="22">
    <w:p w14:paraId="56C4E8FC" w14:textId="7EF9C6F8"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Torture and Custodial Death (Prevention) Act, sec. 5(ii). </w:t>
      </w:r>
    </w:p>
  </w:footnote>
  <w:footnote w:id="23">
    <w:p w14:paraId="5B2AEE14" w14:textId="7C4CF2D1"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Pr>
          <w:rFonts w:asciiTheme="majorHAnsi" w:hAnsiTheme="majorHAnsi" w:cstheme="majorHAnsi"/>
          <w:sz w:val="20"/>
        </w:rPr>
        <w:t xml:space="preserve"> at</w:t>
      </w:r>
      <w:r w:rsidRPr="004F2222">
        <w:rPr>
          <w:rFonts w:asciiTheme="majorHAnsi" w:hAnsiTheme="majorHAnsi" w:cstheme="majorHAnsi"/>
          <w:sz w:val="20"/>
        </w:rPr>
        <w:t xml:space="preserve"> secs. 5(ii), 8.</w:t>
      </w:r>
    </w:p>
  </w:footnote>
  <w:footnote w:id="24">
    <w:p w14:paraId="18FC49A3" w14:textId="1BCF21BC"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Human Rights Support Society (“HRSS”), Bimonthly Human Rights Report on Bangladesh Situation: January-February 2019</w:t>
      </w:r>
      <w:r w:rsidRPr="004F2222">
        <w:rPr>
          <w:rFonts w:asciiTheme="majorHAnsi" w:hAnsiTheme="majorHAnsi" w:cstheme="majorHAnsi"/>
          <w:sz w:val="20"/>
        </w:rPr>
        <w:t xml:space="preserve">, 7 (Mar. 30, 2019), http://hrssbd.org/wp-content/uploads/2019/03/Bimonthly-Human-Rights-Report-on-Bangladesh-Situation-from-Jan-to-Feb-2019.pdf [hereinafter HRSS </w:t>
      </w:r>
      <w:r w:rsidRPr="004F2222">
        <w:rPr>
          <w:rFonts w:asciiTheme="majorHAnsi" w:hAnsiTheme="majorHAnsi" w:cstheme="majorHAnsi"/>
          <w:smallCaps/>
          <w:sz w:val="20"/>
        </w:rPr>
        <w:t>January-February 2019 Report]</w:t>
      </w:r>
      <w:r w:rsidRPr="004F2222">
        <w:rPr>
          <w:rFonts w:asciiTheme="majorHAnsi" w:hAnsiTheme="majorHAnsi" w:cstheme="majorHAnsi"/>
          <w:sz w:val="20"/>
        </w:rPr>
        <w:t>.</w:t>
      </w:r>
    </w:p>
  </w:footnote>
  <w:footnote w:id="25">
    <w:p w14:paraId="21A1B9EC" w14:textId="50B79866"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xml:space="preserve">, </w:t>
      </w:r>
      <w:r w:rsidRPr="004F2222">
        <w:rPr>
          <w:rFonts w:asciiTheme="majorHAnsi" w:hAnsiTheme="majorHAnsi" w:cstheme="majorHAnsi"/>
          <w:smallCaps/>
          <w:sz w:val="20"/>
        </w:rPr>
        <w:t>“We Don’t Have Him”</w:t>
      </w:r>
      <w:r w:rsidRPr="004F2222">
        <w:rPr>
          <w:rFonts w:asciiTheme="majorHAnsi" w:hAnsiTheme="majorHAnsi" w:cstheme="majorHAnsi"/>
          <w:sz w:val="20"/>
        </w:rPr>
        <w:t xml:space="preserve"> at 4.</w:t>
      </w:r>
    </w:p>
  </w:footnote>
  <w:footnote w:id="26">
    <w:p w14:paraId="5466660E" w14:textId="56EDBE15"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U.N. Human Rights Council, Written statement submitted by the Asian Legal Resource Centre, an NGO in general consultative status, U.N. Doc. A/HRC/39/NGO/103, 2 (Sept. 3, 2018).</w:t>
      </w:r>
    </w:p>
  </w:footnote>
  <w:footnote w:id="27">
    <w:p w14:paraId="555A45B6" w14:textId="6BDA9C34"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International Federation For Human Rights, Vanished Without A Trace: The enforced disappearance of opposition and dissent in Bangladesh</w:t>
      </w:r>
      <w:r w:rsidRPr="004F2222">
        <w:rPr>
          <w:rFonts w:asciiTheme="majorHAnsi" w:hAnsiTheme="majorHAnsi" w:cstheme="majorHAnsi"/>
          <w:sz w:val="20"/>
        </w:rPr>
        <w:t>, 22 (Apr. 2019), https://www.fidh.org/IMG/pdf/bangladesh735a_web.pdf.</w:t>
      </w:r>
    </w:p>
  </w:footnote>
  <w:footnote w:id="28">
    <w:p w14:paraId="0B1B8952" w14:textId="6C90839B" w:rsidR="00E24593" w:rsidRPr="004F2222" w:rsidRDefault="00E24593" w:rsidP="00535EF6">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Odhikar, Three-month Human Rights Monitoring Report on Bangladesh: Reporting Period: January-March 2019</w:t>
      </w:r>
      <w:r w:rsidRPr="004F2222">
        <w:rPr>
          <w:rFonts w:asciiTheme="majorHAnsi" w:hAnsiTheme="majorHAnsi" w:cstheme="majorHAnsi"/>
          <w:sz w:val="20"/>
        </w:rPr>
        <w:t>, 13-14</w:t>
      </w:r>
      <w:r w:rsidRPr="004F2222">
        <w:rPr>
          <w:rFonts w:asciiTheme="majorHAnsi" w:hAnsiTheme="majorHAnsi" w:cstheme="majorHAnsi"/>
          <w:smallCaps/>
          <w:sz w:val="20"/>
        </w:rPr>
        <w:t xml:space="preserve"> </w:t>
      </w:r>
      <w:r w:rsidRPr="004F2222">
        <w:rPr>
          <w:rFonts w:asciiTheme="majorHAnsi" w:hAnsiTheme="majorHAnsi" w:cstheme="majorHAnsi"/>
          <w:sz w:val="20"/>
        </w:rPr>
        <w:t xml:space="preserve">(Apr. 17, 2019), http://odhikar.org/wp-content/uploads/2019/04/HRR_Jannuary-March_2019_Eng.pdf [hereinafter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w:t>
      </w:r>
    </w:p>
  </w:footnote>
  <w:footnote w:id="29">
    <w:p w14:paraId="6329E6A7" w14:textId="77777777" w:rsidR="00E24593" w:rsidRPr="004F2222" w:rsidRDefault="00E24593" w:rsidP="00AC78E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Torture and Custodial Death (Prohibition) Act, 2013, sec. 14(ii)-(iii).</w:t>
      </w:r>
    </w:p>
  </w:footnote>
  <w:footnote w:id="30">
    <w:p w14:paraId="59826D4F" w14:textId="11C934CD" w:rsidR="00E24593" w:rsidRPr="004F2222" w:rsidRDefault="00E24593" w:rsidP="00AC78E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 xml:space="preserve">International Commission of Jurists, South Asia, Rule of Law Programme, </w:t>
      </w:r>
      <w:r w:rsidRPr="004F2222">
        <w:rPr>
          <w:rFonts w:asciiTheme="majorHAnsi" w:hAnsiTheme="majorHAnsi" w:cstheme="majorHAnsi"/>
          <w:i/>
          <w:sz w:val="20"/>
        </w:rPr>
        <w:t>Briefing Paper on the amendments to the Bangladesh Information Communication Technology Act 2006</w:t>
      </w:r>
      <w:r w:rsidRPr="004F2222">
        <w:rPr>
          <w:rFonts w:asciiTheme="majorHAnsi" w:hAnsiTheme="majorHAnsi" w:cstheme="majorHAnsi"/>
          <w:sz w:val="20"/>
        </w:rPr>
        <w:t>, 11 (Nov. 2013), https://www.icj.org/wp-content/uploads/2013/11/ICT-Brief-Final-Draft-20-November-2013.pdf.</w:t>
      </w:r>
    </w:p>
  </w:footnote>
  <w:footnote w:id="31">
    <w:p w14:paraId="7BA844F7" w14:textId="4FE47DE1" w:rsidR="00E24593" w:rsidRPr="004F2222" w:rsidRDefault="00E24593" w:rsidP="00AC78E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2016 Country Reports on Human Rights Practices - Bangladesh</w:t>
      </w:r>
      <w:r w:rsidRPr="004F2222">
        <w:rPr>
          <w:rFonts w:asciiTheme="majorHAnsi" w:hAnsiTheme="majorHAnsi" w:cstheme="majorHAnsi"/>
          <w:sz w:val="20"/>
        </w:rPr>
        <w:t>, sec. 1(d) (Mar. 3, 2017), https://www.refworld.org/docid/58ec8a7113.html.</w:t>
      </w:r>
    </w:p>
  </w:footnote>
  <w:footnote w:id="32">
    <w:p w14:paraId="016AACB3" w14:textId="5AB64DF1" w:rsidR="00E24593" w:rsidRPr="004F2222" w:rsidRDefault="00E24593" w:rsidP="00AC78E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id.</w:t>
      </w:r>
    </w:p>
  </w:footnote>
  <w:footnote w:id="33">
    <w:p w14:paraId="1E091FDF" w14:textId="03C088C8" w:rsidR="00E24593" w:rsidRPr="004F2222" w:rsidRDefault="00E24593" w:rsidP="007E0E81">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id.</w:t>
      </w:r>
    </w:p>
  </w:footnote>
  <w:footnote w:id="34">
    <w:p w14:paraId="2E08C520" w14:textId="4348B12A" w:rsidR="00E24593" w:rsidRPr="004F2222" w:rsidRDefault="00E24593" w:rsidP="00E4780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xml:space="preserve">, </w:t>
      </w:r>
      <w:r w:rsidRPr="004F2222">
        <w:rPr>
          <w:rFonts w:asciiTheme="majorHAnsi" w:hAnsiTheme="majorHAnsi" w:cstheme="majorHAnsi"/>
          <w:i/>
          <w:sz w:val="20"/>
        </w:rPr>
        <w:t>Blood, Shock, Horror,</w:t>
      </w:r>
      <w:r w:rsidRPr="004F2222">
        <w:rPr>
          <w:rFonts w:asciiTheme="majorHAnsi" w:hAnsiTheme="majorHAnsi" w:cstheme="majorHAnsi"/>
          <w:sz w:val="20"/>
        </w:rPr>
        <w:t xml:space="preserve"> </w:t>
      </w:r>
      <w:r w:rsidRPr="004F2222">
        <w:rPr>
          <w:rFonts w:asciiTheme="majorHAnsi" w:hAnsiTheme="majorHAnsi" w:cstheme="majorHAnsi"/>
          <w:smallCaps/>
          <w:sz w:val="20"/>
        </w:rPr>
        <w:t>The Daily Star</w:t>
      </w:r>
      <w:r w:rsidRPr="004F2222">
        <w:rPr>
          <w:rFonts w:asciiTheme="majorHAnsi" w:hAnsiTheme="majorHAnsi" w:cstheme="majorHAnsi"/>
          <w:sz w:val="20"/>
        </w:rPr>
        <w:t xml:space="preserve"> (July 3, 2016), https://www.thedailystar.net/frontpage/dhaka-attack/blood-shock-horror-1249471.</w:t>
      </w:r>
    </w:p>
  </w:footnote>
  <w:footnote w:id="35">
    <w:p w14:paraId="217F3172" w14:textId="74B2E7B0" w:rsidR="00E24593" w:rsidRPr="004F2222" w:rsidRDefault="00E24593" w:rsidP="00E4780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“We Don’t Have Him”</w:t>
      </w:r>
      <w:r w:rsidRPr="004F2222">
        <w:rPr>
          <w:rFonts w:asciiTheme="majorHAnsi" w:hAnsiTheme="majorHAnsi" w:cstheme="majorHAnsi"/>
          <w:sz w:val="20"/>
        </w:rPr>
        <w:t xml:space="preserve"> at 44-45; </w:t>
      </w:r>
      <w:r w:rsidRPr="004F2222">
        <w:rPr>
          <w:rFonts w:asciiTheme="majorHAnsi" w:hAnsiTheme="majorHAnsi" w:cstheme="majorHAnsi"/>
          <w:i/>
          <w:sz w:val="20"/>
        </w:rPr>
        <w:t>see also</w:t>
      </w:r>
      <w:r w:rsidRPr="004F2222">
        <w:rPr>
          <w:rFonts w:asciiTheme="majorHAnsi" w:hAnsiTheme="majorHAnsi" w:cstheme="majorHAnsi"/>
          <w:sz w:val="20"/>
        </w:rPr>
        <w:t xml:space="preserv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 xml:space="preserve">at 10; </w:t>
      </w:r>
      <w:r w:rsidRPr="004F2222">
        <w:rPr>
          <w:rFonts w:asciiTheme="majorHAnsi" w:hAnsiTheme="majorHAnsi" w:cstheme="majorHAnsi"/>
          <w:i/>
          <w:sz w:val="20"/>
        </w:rPr>
        <w:t>Innocent British man who survived Isis terror attack released after two years in Bangladesh jail</w:t>
      </w:r>
      <w:r w:rsidRPr="004F2222">
        <w:rPr>
          <w:rFonts w:asciiTheme="majorHAnsi" w:hAnsiTheme="majorHAnsi" w:cstheme="majorHAnsi"/>
          <w:sz w:val="20"/>
        </w:rPr>
        <w:t xml:space="preserve">, </w:t>
      </w:r>
      <w:r w:rsidRPr="004F2222">
        <w:rPr>
          <w:rFonts w:asciiTheme="majorHAnsi" w:hAnsiTheme="majorHAnsi" w:cstheme="majorHAnsi"/>
          <w:smallCaps/>
          <w:sz w:val="20"/>
        </w:rPr>
        <w:t>Independent</w:t>
      </w:r>
      <w:r w:rsidRPr="004F2222">
        <w:rPr>
          <w:rFonts w:asciiTheme="majorHAnsi" w:hAnsiTheme="majorHAnsi" w:cstheme="majorHAnsi"/>
          <w:sz w:val="20"/>
        </w:rPr>
        <w:t xml:space="preserve"> (Aug. 12, 2018), https://www.independent.co.uk/news/uk/home-news/isis-attack-bangladesh-dhaka-hasnat-karim-arrested-innocent-jailed-freed-terrorism-charges-a8488831.html.</w:t>
      </w:r>
    </w:p>
  </w:footnote>
  <w:footnote w:id="36">
    <w:p w14:paraId="43676ACA" w14:textId="3515C25E" w:rsidR="00E24593" w:rsidRPr="004F2222" w:rsidRDefault="00E24593" w:rsidP="0039696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International Federation for Human Rights &amp; OMCT, </w:t>
      </w:r>
      <w:r w:rsidRPr="004F2222">
        <w:rPr>
          <w:rFonts w:asciiTheme="majorHAnsi" w:hAnsiTheme="majorHAnsi" w:cstheme="majorHAnsi"/>
          <w:i/>
          <w:sz w:val="20"/>
        </w:rPr>
        <w:t>Bangladesh:</w:t>
      </w:r>
      <w:r w:rsidRPr="004F2222">
        <w:rPr>
          <w:rFonts w:asciiTheme="majorHAnsi" w:hAnsiTheme="majorHAnsi" w:cstheme="majorHAnsi"/>
          <w:sz w:val="20"/>
        </w:rPr>
        <w:t xml:space="preserve"> </w:t>
      </w:r>
      <w:r w:rsidRPr="004F2222">
        <w:rPr>
          <w:rFonts w:asciiTheme="majorHAnsi" w:hAnsiTheme="majorHAnsi" w:cstheme="majorHAnsi"/>
          <w:i/>
          <w:sz w:val="20"/>
        </w:rPr>
        <w:t>Guarantee personal integrity and release Acting Editor of Amar Desh, Mr. Mahmudur Rahman</w:t>
      </w:r>
      <w:r w:rsidRPr="004F2222">
        <w:rPr>
          <w:rFonts w:asciiTheme="majorHAnsi" w:hAnsiTheme="majorHAnsi" w:cstheme="majorHAnsi"/>
          <w:sz w:val="20"/>
        </w:rPr>
        <w:t xml:space="preserve">, </w:t>
      </w:r>
      <w:proofErr w:type="gramStart"/>
      <w:r w:rsidRPr="004F2222">
        <w:rPr>
          <w:rFonts w:asciiTheme="majorHAnsi" w:hAnsiTheme="majorHAnsi" w:cstheme="majorHAnsi"/>
          <w:sz w:val="20"/>
        </w:rPr>
        <w:t>FIDH</w:t>
      </w:r>
      <w:proofErr w:type="gramEnd"/>
      <w:r w:rsidRPr="004F2222">
        <w:rPr>
          <w:rFonts w:asciiTheme="majorHAnsi" w:hAnsiTheme="majorHAnsi" w:cstheme="majorHAnsi"/>
          <w:sz w:val="20"/>
        </w:rPr>
        <w:t xml:space="preserve"> (Dec. 5, 2013), https://www.fidh.org/en/region/asia/bangladesh/14345-bangladesh-guarantee-personal-integrity-and-release-acting-editor-of-amar.</w:t>
      </w:r>
    </w:p>
  </w:footnote>
  <w:footnote w:id="37">
    <w:p w14:paraId="7178936F" w14:textId="0C1AA7C1" w:rsidR="00E24593" w:rsidRPr="004F2222" w:rsidRDefault="00E24593" w:rsidP="0039696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i/>
          <w:sz w:val="20"/>
        </w:rPr>
        <w:t>Bangladesh: Mahmudur Rahman finally freed after more than three years in arbitrary detention</w:t>
      </w:r>
      <w:r w:rsidRPr="004F2222">
        <w:rPr>
          <w:rFonts w:asciiTheme="majorHAnsi" w:hAnsiTheme="majorHAnsi" w:cstheme="majorHAnsi"/>
          <w:sz w:val="20"/>
        </w:rPr>
        <w:t xml:space="preserve">, OMCT (Nov. 24, 2016), http://www.omct.org/human-rights-defenders/urgent-interventions/bangladesh/2016/11/d24072/; </w:t>
      </w:r>
      <w:r w:rsidRPr="004F2222">
        <w:rPr>
          <w:rFonts w:asciiTheme="majorHAnsi" w:hAnsiTheme="majorHAnsi" w:cstheme="majorHAnsi"/>
          <w:i/>
          <w:sz w:val="20"/>
        </w:rPr>
        <w:t>see also</w:t>
      </w:r>
      <w:r w:rsidRPr="004F2222">
        <w:rPr>
          <w:rFonts w:asciiTheme="majorHAnsi" w:hAnsiTheme="majorHAnsi" w:cstheme="majorHAnsi"/>
          <w:sz w:val="20"/>
        </w:rPr>
        <w:t xml:space="preserve"> </w:t>
      </w:r>
      <w:r w:rsidRPr="004F2222">
        <w:rPr>
          <w:rFonts w:asciiTheme="majorHAnsi" w:hAnsiTheme="majorHAnsi" w:cstheme="majorHAnsi"/>
          <w:i/>
          <w:sz w:val="20"/>
        </w:rPr>
        <w:t>Bangladesh: Attack against Mr. Mahmudur Rahman, Acting editor of the Daily Amar Desh</w:t>
      </w:r>
      <w:r w:rsidRPr="004F2222">
        <w:rPr>
          <w:rFonts w:asciiTheme="majorHAnsi" w:hAnsiTheme="majorHAnsi" w:cstheme="majorHAnsi"/>
          <w:sz w:val="20"/>
        </w:rPr>
        <w:t>, OMCT (July 24, 2018), http://www.omct.org/human-rights-defenders/urgent-interventions/bangladesh/2018/07/d24976/.</w:t>
      </w:r>
    </w:p>
  </w:footnote>
  <w:footnote w:id="38">
    <w:p w14:paraId="571A8F6B" w14:textId="77777777" w:rsidR="00E24593" w:rsidRPr="004F2222" w:rsidRDefault="00E24593" w:rsidP="002114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U.N. Human Rights Council, Compilation on Bangladesh, Report of the Office of the United Nations High Commissioner for Human Rights, A/HRC/WG.6/30/BGD/2, ¶ 23 (Mar. 19, 2018).</w:t>
      </w:r>
    </w:p>
  </w:footnote>
  <w:footnote w:id="39">
    <w:p w14:paraId="1C1FFD5B" w14:textId="066318E8" w:rsidR="00E24593" w:rsidRPr="004F2222" w:rsidRDefault="00E24593" w:rsidP="00D15316">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National Human Rights Commission Act, 2009, Act No. 53 of 2009, sec. 12 (July 14, 2009);</w:t>
      </w:r>
      <w:r w:rsidRPr="004F2222">
        <w:rPr>
          <w:rFonts w:asciiTheme="majorHAnsi" w:hAnsiTheme="majorHAnsi" w:cstheme="majorHAnsi"/>
          <w:smallCaps/>
          <w:sz w:val="20"/>
        </w:rPr>
        <w:t xml:space="preserve"> Ain o Salish Kendra (“ASK”), National Human Rights Commission, Bangladesh: Existing Challenges and Expectations of Civil Society</w:t>
      </w:r>
      <w:r w:rsidRPr="004F2222">
        <w:rPr>
          <w:rFonts w:asciiTheme="majorHAnsi" w:hAnsiTheme="majorHAnsi" w:cstheme="majorHAnsi"/>
          <w:sz w:val="20"/>
        </w:rPr>
        <w:t>, 8-9 (Dec. 2018), https://www.askbd.org/ask/wp-content/uploads/2019/02/NHRC-Report_English.pdf.</w:t>
      </w:r>
    </w:p>
  </w:footnote>
  <w:footnote w:id="40">
    <w:p w14:paraId="41465CE5" w14:textId="2DA4B5B5"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 xml:space="preserve">U.N. Committee on Economic, Social and Cultural Rights, Concluding Observations on the Initial Report of Bangladesh, ¶¶ 9-10 (Apr. 18, 2018), https://tbinternet.ohchr.org/_layouts/15/treatybodyexternal/Download.aspx?symbolno=E%2FC.12%2FBGD%2FCO%2F1&amp;Lang=en; </w:t>
      </w:r>
      <w:r w:rsidRPr="004F2222">
        <w:rPr>
          <w:rFonts w:asciiTheme="majorHAnsi" w:hAnsiTheme="majorHAnsi" w:cstheme="majorHAnsi"/>
          <w:i/>
          <w:sz w:val="20"/>
        </w:rPr>
        <w:t>see also</w:t>
      </w:r>
      <w:r w:rsidRPr="004F2222">
        <w:rPr>
          <w:rFonts w:asciiTheme="majorHAnsi" w:hAnsiTheme="majorHAnsi" w:cstheme="majorHAnsi"/>
          <w:sz w:val="20"/>
        </w:rPr>
        <w:t xml:space="preserve"> </w:t>
      </w:r>
      <w:r w:rsidRPr="004F2222">
        <w:rPr>
          <w:rFonts w:asciiTheme="majorHAnsi" w:hAnsiTheme="majorHAnsi" w:cstheme="majorHAnsi"/>
          <w:smallCaps/>
          <w:sz w:val="20"/>
        </w:rPr>
        <w:t>ASK, National Human Rights Commission, Bangladesh: Existing Challenges and Expectations of Civil Society</w:t>
      </w:r>
      <w:r w:rsidRPr="004F2222">
        <w:rPr>
          <w:rFonts w:asciiTheme="majorHAnsi" w:hAnsiTheme="majorHAnsi" w:cstheme="majorHAnsi"/>
          <w:sz w:val="20"/>
        </w:rPr>
        <w:t>, 15 (Dec. 2018), https://www.askbd.org/ask/wp-content/uploads/2019/02/NHRC-Report_English.pdf.</w:t>
      </w:r>
    </w:p>
  </w:footnote>
  <w:footnote w:id="41">
    <w:p w14:paraId="43668247" w14:textId="5067D1CB"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30.</w:t>
      </w:r>
    </w:p>
  </w:footnote>
  <w:footnote w:id="42">
    <w:p w14:paraId="4EA0A367" w14:textId="7DFFC69B"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HRSS, Monthly Human Rights Observation Report on Bangladesh: December 2018</w:t>
      </w:r>
      <w:r w:rsidRPr="004F2222">
        <w:rPr>
          <w:rFonts w:asciiTheme="majorHAnsi" w:hAnsiTheme="majorHAnsi" w:cstheme="majorHAnsi"/>
          <w:sz w:val="20"/>
        </w:rPr>
        <w:t xml:space="preserve">, 5 (Feb. 21, 2019), http://hrssbd.org/monthly-human-rights-report-december-2018/. </w:t>
      </w:r>
    </w:p>
  </w:footnote>
  <w:footnote w:id="43">
    <w:p w14:paraId="66D0CB04" w14:textId="77777777"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Letter from U.N. High Commissioner for Human Rights to H.E. Mr. Adul Hassan Mahmud Ali, Minister of Foreign Affairs, Bangladesh, at 1, Annex at 1 (Nov. 2, 2018), https://lib.ohchr.org/HRBodies/UPR/Documents/Session30/BD/HC_LetterBangladesh_30Session.pdf; Principles Relating to the Status of National Institutions (Paris Principles), U.N. Doc. A/RES/48/134 (Dec. 20, 1993), https://www.ohchr.org/en/professionalinterest/pages/statusofnationalinstitutions.aspx.</w:t>
      </w:r>
    </w:p>
  </w:footnote>
  <w:footnote w:id="44">
    <w:p w14:paraId="7B88B18F" w14:textId="1A53F8DB" w:rsidR="00E24593" w:rsidRPr="004F2222" w:rsidRDefault="00E24593" w:rsidP="00590845">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ASK, National Human Rights Commission, Bangladesh: Existing Challenges and Expectations of Civil Society</w:t>
      </w:r>
      <w:r w:rsidRPr="004F2222">
        <w:rPr>
          <w:rFonts w:asciiTheme="majorHAnsi" w:hAnsiTheme="majorHAnsi" w:cstheme="majorHAnsi"/>
          <w:sz w:val="20"/>
        </w:rPr>
        <w:t>, 17 (Dec. 2018), https://www.askbd.org/ask/wp-content/uploads/2019/02/NHRC-Report_English.pdf.</w:t>
      </w:r>
    </w:p>
  </w:footnote>
  <w:footnote w:id="45">
    <w:p w14:paraId="45425D3E" w14:textId="1316F0E7" w:rsidR="00E24593" w:rsidRPr="004F2222" w:rsidRDefault="00E24593" w:rsidP="00F3456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Id. </w:t>
      </w:r>
      <w:r w:rsidRPr="004F2222">
        <w:rPr>
          <w:rFonts w:asciiTheme="majorHAnsi" w:hAnsiTheme="majorHAnsi" w:cstheme="majorHAnsi"/>
          <w:sz w:val="20"/>
        </w:rPr>
        <w:t>at 17, 24.</w:t>
      </w:r>
    </w:p>
  </w:footnote>
  <w:footnote w:id="46">
    <w:p w14:paraId="3F6693E5" w14:textId="0B660FD5"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id. </w:t>
      </w:r>
      <w:proofErr w:type="gramStart"/>
      <w:r w:rsidRPr="004F2222">
        <w:rPr>
          <w:rFonts w:asciiTheme="majorHAnsi" w:hAnsiTheme="majorHAnsi" w:cstheme="majorHAnsi"/>
          <w:sz w:val="20"/>
        </w:rPr>
        <w:t>at</w:t>
      </w:r>
      <w:proofErr w:type="gramEnd"/>
      <w:r w:rsidRPr="004F2222">
        <w:rPr>
          <w:rFonts w:asciiTheme="majorHAnsi" w:hAnsiTheme="majorHAnsi" w:cstheme="majorHAnsi"/>
          <w:sz w:val="20"/>
        </w:rPr>
        <w:t xml:space="preserve"> 24-25; </w:t>
      </w:r>
      <w:r w:rsidRPr="004F2222">
        <w:rPr>
          <w:rFonts w:asciiTheme="majorHAnsi" w:hAnsiTheme="majorHAnsi" w:cstheme="majorHAnsi"/>
          <w:i/>
          <w:sz w:val="20"/>
        </w:rPr>
        <w:t>Human Rights Commission is Busy Preparing Guidelines for Police and RAB</w:t>
      </w:r>
      <w:r w:rsidRPr="004F2222">
        <w:rPr>
          <w:rFonts w:asciiTheme="majorHAnsi" w:hAnsiTheme="majorHAnsi" w:cstheme="majorHAnsi"/>
          <w:sz w:val="20"/>
        </w:rPr>
        <w:t>,</w:t>
      </w:r>
      <w:r w:rsidRPr="004F2222">
        <w:rPr>
          <w:rFonts w:asciiTheme="majorHAnsi" w:hAnsiTheme="majorHAnsi" w:cstheme="majorHAnsi"/>
          <w:i/>
          <w:sz w:val="20"/>
        </w:rPr>
        <w:t xml:space="preserve"> </w:t>
      </w:r>
      <w:r w:rsidRPr="004F2222">
        <w:rPr>
          <w:rFonts w:asciiTheme="majorHAnsi" w:hAnsiTheme="majorHAnsi" w:cstheme="majorHAnsi"/>
          <w:sz w:val="20"/>
        </w:rPr>
        <w:t>Prothom Alo (June 7, 2018), https://www.prothomalo.com/bangladesh/article/1504621/.</w:t>
      </w:r>
    </w:p>
  </w:footnote>
  <w:footnote w:id="47">
    <w:p w14:paraId="39259089" w14:textId="5E1BA983" w:rsidR="00E24593" w:rsidRPr="004F2222" w:rsidRDefault="00E24593" w:rsidP="00576EBD">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ASK, National Human Rights Commission, Bangladesh: Existing Challenges and Expectations of Civil Society</w:t>
      </w:r>
      <w:r w:rsidRPr="004F2222">
        <w:rPr>
          <w:rFonts w:asciiTheme="majorHAnsi" w:hAnsiTheme="majorHAnsi" w:cstheme="majorHAnsi"/>
          <w:sz w:val="20"/>
        </w:rPr>
        <w:t>, 25 (Dec. 2018), https://www.askbd.org/ask/wp-content/uploads/2019/02/NHRC-Report_English.pdf.</w:t>
      </w:r>
    </w:p>
  </w:footnote>
  <w:footnote w:id="48">
    <w:p w14:paraId="02806A3E" w14:textId="328AE51E" w:rsidR="00E24593" w:rsidRPr="004F2222" w:rsidRDefault="00E24593" w:rsidP="00124F3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Convention against Torture, arts. 2, 10, 11, 13, 14.</w:t>
      </w:r>
    </w:p>
  </w:footnote>
  <w:footnote w:id="49">
    <w:p w14:paraId="13787942" w14:textId="77777777" w:rsidR="00E24593" w:rsidRPr="004F2222" w:rsidRDefault="00E24593" w:rsidP="00124F32">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Letter from U.N. High Commissioner for Human Rights to H.E. Mr. Adul Hassan Mahmud Ali, Minister of Foreign Affairs, Bangladesh, at 1, Annex at 1 (Nov. 2, 2018), https://lib.ohchr.org/HRBodies/UPR/Documents/Session30/BD/HC_LetterBangladesh_30Session.pdf; U.N. Human Rights Council, Compilation on Bangladesh, Report of the Office of the United Nations High Commissioner for Human Rights, A/HRC/WG.6/30/BGD/2, ¶ 11 (Mar. 19, 2018).</w:t>
      </w:r>
    </w:p>
  </w:footnote>
  <w:footnote w:id="50">
    <w:p w14:paraId="74CDB065" w14:textId="7AD5576E" w:rsidR="00E24593" w:rsidRPr="004F2222" w:rsidRDefault="00E24593" w:rsidP="008F2669">
      <w:pPr>
        <w:pStyle w:val="NumberedParaDouble"/>
        <w:spacing w:after="120" w:line="260" w:lineRule="exact"/>
        <w:ind w:firstLine="0"/>
        <w:rPr>
          <w:rFonts w:asciiTheme="majorHAnsi" w:hAnsiTheme="majorHAnsi" w:cstheme="majorHAnsi"/>
          <w:sz w:val="20"/>
          <w:szCs w:val="20"/>
        </w:rPr>
      </w:pPr>
      <w:r w:rsidRPr="004F2222">
        <w:rPr>
          <w:rStyle w:val="FootnoteReference"/>
          <w:rFonts w:asciiTheme="majorHAnsi" w:hAnsiTheme="majorHAnsi" w:cstheme="majorHAnsi"/>
          <w:sz w:val="20"/>
          <w:szCs w:val="20"/>
        </w:rPr>
        <w:footnoteRef/>
      </w:r>
      <w:r w:rsidRPr="004F2222">
        <w:rPr>
          <w:rFonts w:asciiTheme="majorHAnsi" w:hAnsiTheme="majorHAnsi" w:cstheme="majorHAnsi"/>
          <w:sz w:val="20"/>
          <w:szCs w:val="20"/>
        </w:rPr>
        <w:t xml:space="preserve"> </w:t>
      </w:r>
      <w:r w:rsidRPr="004F2222">
        <w:rPr>
          <w:rFonts w:asciiTheme="majorHAnsi" w:hAnsiTheme="majorHAnsi" w:cstheme="majorHAnsi"/>
          <w:i/>
          <w:sz w:val="20"/>
          <w:szCs w:val="20"/>
        </w:rPr>
        <w:t>See, e.g.</w:t>
      </w:r>
      <w:r w:rsidRPr="004F2222">
        <w:rPr>
          <w:rFonts w:asciiTheme="majorHAnsi" w:hAnsiTheme="majorHAnsi" w:cstheme="majorHAnsi"/>
          <w:sz w:val="20"/>
          <w:szCs w:val="20"/>
        </w:rPr>
        <w:t xml:space="preserve">, </w:t>
      </w:r>
      <w:r>
        <w:rPr>
          <w:rFonts w:asciiTheme="majorHAnsi" w:hAnsiTheme="majorHAnsi" w:cstheme="majorHAnsi"/>
          <w:sz w:val="20"/>
          <w:szCs w:val="20"/>
        </w:rPr>
        <w:t xml:space="preserve">U.N. Committee </w:t>
      </w:r>
      <w:proofErr w:type="gramStart"/>
      <w:r>
        <w:rPr>
          <w:rFonts w:asciiTheme="majorHAnsi" w:hAnsiTheme="majorHAnsi" w:cstheme="majorHAnsi"/>
          <w:sz w:val="20"/>
          <w:szCs w:val="20"/>
        </w:rPr>
        <w:t>A</w:t>
      </w:r>
      <w:r w:rsidRPr="004F2222">
        <w:rPr>
          <w:rFonts w:asciiTheme="majorHAnsi" w:hAnsiTheme="majorHAnsi" w:cstheme="majorHAnsi"/>
          <w:sz w:val="20"/>
          <w:szCs w:val="20"/>
        </w:rPr>
        <w:t>gainst</w:t>
      </w:r>
      <w:proofErr w:type="gramEnd"/>
      <w:r w:rsidRPr="004F2222">
        <w:rPr>
          <w:rFonts w:asciiTheme="majorHAnsi" w:hAnsiTheme="majorHAnsi" w:cstheme="majorHAnsi"/>
          <w:sz w:val="20"/>
          <w:szCs w:val="20"/>
        </w:rPr>
        <w:t xml:space="preserve"> Torture, Concluding Observations on Ethiopia, U.N. Doc. A/66/44, ¶ 15 (2011) (“[The Committee] is . . . gravely concerned at reports about . . . the widespread practice of arrests without a warrant and arbitrary and prolonged detention without charges and judicial process . . . </w:t>
      </w:r>
      <w:r>
        <w:rPr>
          <w:rFonts w:asciiTheme="majorHAnsi" w:hAnsiTheme="majorHAnsi" w:cstheme="majorHAnsi"/>
          <w:sz w:val="20"/>
          <w:szCs w:val="20"/>
        </w:rPr>
        <w:t xml:space="preserve">. </w:t>
      </w:r>
      <w:r w:rsidRPr="004F2222">
        <w:rPr>
          <w:rFonts w:asciiTheme="majorHAnsi" w:hAnsiTheme="majorHAnsi" w:cstheme="majorHAnsi"/>
          <w:sz w:val="20"/>
          <w:szCs w:val="20"/>
        </w:rPr>
        <w:t xml:space="preserve">The Committee stresses that arrests without a warrant and the lack of judicial oversight on the legality of detention can facilitate torture and ill-treatment.”); </w:t>
      </w:r>
      <w:r>
        <w:rPr>
          <w:rFonts w:asciiTheme="majorHAnsi" w:hAnsiTheme="majorHAnsi" w:cstheme="majorHAnsi"/>
          <w:sz w:val="20"/>
          <w:szCs w:val="20"/>
        </w:rPr>
        <w:t>U.N. Committee A</w:t>
      </w:r>
      <w:r w:rsidRPr="004F2222">
        <w:rPr>
          <w:rFonts w:asciiTheme="majorHAnsi" w:hAnsiTheme="majorHAnsi" w:cstheme="majorHAnsi"/>
          <w:sz w:val="20"/>
          <w:szCs w:val="20"/>
        </w:rPr>
        <w:t xml:space="preserve">gainst Torture, Concluding Observations on Colombia, U.N. Doc. CAT/C/COL/CO/4, ¶ 20 (May 4, 2010); </w:t>
      </w:r>
      <w:r>
        <w:rPr>
          <w:rFonts w:asciiTheme="majorHAnsi" w:hAnsiTheme="majorHAnsi" w:cstheme="majorHAnsi"/>
          <w:sz w:val="20"/>
          <w:szCs w:val="20"/>
        </w:rPr>
        <w:t>U.N. Committee A</w:t>
      </w:r>
      <w:r w:rsidRPr="004F2222">
        <w:rPr>
          <w:rFonts w:asciiTheme="majorHAnsi" w:hAnsiTheme="majorHAnsi" w:cstheme="majorHAnsi"/>
          <w:sz w:val="20"/>
          <w:szCs w:val="20"/>
        </w:rPr>
        <w:t>gainst Torture, Concluding Observations on Mongolia, U.N. Doc. A/66/44, ¶ 8 (2011);</w:t>
      </w:r>
      <w:r>
        <w:rPr>
          <w:rFonts w:asciiTheme="majorHAnsi" w:hAnsiTheme="majorHAnsi" w:cstheme="majorHAnsi"/>
          <w:sz w:val="20"/>
          <w:szCs w:val="20"/>
        </w:rPr>
        <w:t xml:space="preserve"> U.N. Committee A</w:t>
      </w:r>
      <w:r w:rsidRPr="004F2222">
        <w:rPr>
          <w:rFonts w:asciiTheme="majorHAnsi" w:hAnsiTheme="majorHAnsi" w:cstheme="majorHAnsi"/>
          <w:sz w:val="20"/>
          <w:szCs w:val="20"/>
        </w:rPr>
        <w:t>gainst Torture, Concluding Observations on Kenya, U.N. Doc. CAT/C/KEN/CO/1, ¶ 12 (</w:t>
      </w:r>
      <w:r>
        <w:rPr>
          <w:rFonts w:asciiTheme="majorHAnsi" w:hAnsiTheme="majorHAnsi" w:cstheme="majorHAnsi"/>
          <w:sz w:val="20"/>
          <w:szCs w:val="20"/>
        </w:rPr>
        <w:t>Jan.</w:t>
      </w:r>
      <w:r w:rsidRPr="004F2222">
        <w:rPr>
          <w:rFonts w:asciiTheme="majorHAnsi" w:hAnsiTheme="majorHAnsi" w:cstheme="majorHAnsi"/>
          <w:sz w:val="20"/>
          <w:szCs w:val="20"/>
        </w:rPr>
        <w:t xml:space="preserve"> 19, 2009).</w:t>
      </w:r>
    </w:p>
  </w:footnote>
  <w:footnote w:id="51">
    <w:p w14:paraId="69E4ABE7" w14:textId="17CF7571"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Constitution of Bangladesh at art. 33.</w:t>
      </w:r>
    </w:p>
  </w:footnote>
  <w:footnote w:id="52">
    <w:p w14:paraId="04A3A260" w14:textId="055C2681"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2016 Country Reports on Human Rights Practices - Bangladesh</w:t>
      </w:r>
      <w:r w:rsidRPr="004F2222">
        <w:rPr>
          <w:rFonts w:asciiTheme="majorHAnsi" w:hAnsiTheme="majorHAnsi" w:cstheme="majorHAnsi"/>
          <w:sz w:val="20"/>
        </w:rPr>
        <w:t>, sec. 1(d) (Mar. 3, 2017), https://www.refworld.org/docid/58ec8a7113.html.</w:t>
      </w:r>
    </w:p>
  </w:footnote>
  <w:footnote w:id="53">
    <w:p w14:paraId="0D0B4AFE" w14:textId="7F27EECB" w:rsidR="00E24593" w:rsidRPr="004F2222" w:rsidRDefault="00E24593" w:rsidP="00674756">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z w:val="20"/>
        </w:rPr>
        <w:t>U.N. Human Rights Committee, Concluding observations on the initial report of Bangladesh, U.N. Doc. CCPR/</w:t>
      </w:r>
      <w:r>
        <w:rPr>
          <w:rFonts w:asciiTheme="majorHAnsi" w:hAnsiTheme="majorHAnsi" w:cstheme="majorHAnsi"/>
          <w:sz w:val="20"/>
        </w:rPr>
        <w:t xml:space="preserve">C/BGD/CO/1, ¶ 9 (Apr. 27, 2017); </w:t>
      </w:r>
      <w:r>
        <w:rPr>
          <w:rFonts w:asciiTheme="majorHAnsi" w:hAnsiTheme="majorHAnsi" w:cstheme="majorHAnsi"/>
          <w:i/>
          <w:sz w:val="20"/>
        </w:rPr>
        <w:t>see also id.</w:t>
      </w:r>
      <w:r>
        <w:rPr>
          <w:rFonts w:asciiTheme="majorHAnsi" w:hAnsiTheme="majorHAnsi" w:cstheme="majorHAnsi"/>
          <w:sz w:val="20"/>
        </w:rPr>
        <w:t xml:space="preserve"> </w:t>
      </w:r>
      <w:proofErr w:type="gramStart"/>
      <w:r>
        <w:rPr>
          <w:rFonts w:asciiTheme="majorHAnsi" w:hAnsiTheme="majorHAnsi" w:cstheme="majorHAnsi"/>
          <w:sz w:val="20"/>
        </w:rPr>
        <w:t>at</w:t>
      </w:r>
      <w:proofErr w:type="gramEnd"/>
      <w:r w:rsidRPr="004F2222">
        <w:rPr>
          <w:rFonts w:asciiTheme="majorHAnsi" w:hAnsiTheme="majorHAnsi" w:cstheme="majorHAnsi"/>
          <w:sz w:val="20"/>
        </w:rPr>
        <w:t xml:space="preserve"> ¶ 21.</w:t>
      </w:r>
    </w:p>
  </w:footnote>
  <w:footnote w:id="54">
    <w:p w14:paraId="49F3423F" w14:textId="77777777"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Bangladesh Legal Aid and Services Trust (BLAST) v. Bangladesh</w:t>
      </w:r>
      <w:r w:rsidRPr="004F2222">
        <w:rPr>
          <w:rFonts w:asciiTheme="majorHAnsi" w:hAnsiTheme="majorHAnsi" w:cstheme="majorHAnsi"/>
          <w:sz w:val="20"/>
        </w:rPr>
        <w:t>, Supreme Court of Bangladesh, Appellate Division, Civil Appeal No. 53 of 2004, at 390 (May 24, 2016), https://www.blast.org.bd/content/judgement/Civil_Appeal_No.53_of_2004.pdf.</w:t>
      </w:r>
    </w:p>
  </w:footnote>
  <w:footnote w:id="55">
    <w:p w14:paraId="14414CD2" w14:textId="5C516197"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at 7.</w:t>
      </w:r>
    </w:p>
  </w:footnote>
  <w:footnote w:id="56">
    <w:p w14:paraId="282CD747" w14:textId="33F4B3FD"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International Commission of Jurists, South Asia, Rule of Law Programme, </w:t>
      </w:r>
      <w:r w:rsidRPr="004F2222">
        <w:rPr>
          <w:rFonts w:asciiTheme="majorHAnsi" w:hAnsiTheme="majorHAnsi" w:cstheme="majorHAnsi"/>
          <w:i/>
          <w:sz w:val="20"/>
        </w:rPr>
        <w:t>Briefing Paper on the amendments to the Bangladesh Information Communication Technology Act 2006</w:t>
      </w:r>
      <w:r w:rsidRPr="004F2222">
        <w:rPr>
          <w:rFonts w:asciiTheme="majorHAnsi" w:hAnsiTheme="majorHAnsi" w:cstheme="majorHAnsi"/>
          <w:sz w:val="20"/>
        </w:rPr>
        <w:t>, at 3 (Nov. 2013), https://www.icj.org/wp-content/uploads/2013/11/ICT-Brief-Final-Draft-20-November-2013.pdf (concluding that section 57 is “incompatible with Bangladesh’s obligations under Article 19 of the ICCPR”).</w:t>
      </w:r>
    </w:p>
  </w:footnote>
  <w:footnote w:id="57">
    <w:p w14:paraId="5B4B811A" w14:textId="77777777"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Information &amp; Communication Technology Act, 2006, Act No. 39 of the Year 2006, sec. 57 (2006), http://www.icnl.org/research/library/files/Bangladesh/comm2006.pdf.</w:t>
      </w:r>
    </w:p>
  </w:footnote>
  <w:footnote w:id="58">
    <w:p w14:paraId="7AA4B921" w14:textId="77777777"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International Commission of Jurists, South Asia, Rule of Law Programme, </w:t>
      </w:r>
      <w:r w:rsidRPr="004F2222">
        <w:rPr>
          <w:rFonts w:asciiTheme="majorHAnsi" w:hAnsiTheme="majorHAnsi" w:cstheme="majorHAnsi"/>
          <w:i/>
          <w:sz w:val="20"/>
        </w:rPr>
        <w:t>Briefing Paper on the amendments to the Bangladesh Information Communication Technology Act 2006</w:t>
      </w:r>
      <w:r w:rsidRPr="004F2222">
        <w:rPr>
          <w:rFonts w:asciiTheme="majorHAnsi" w:hAnsiTheme="majorHAnsi" w:cstheme="majorHAnsi"/>
          <w:sz w:val="20"/>
        </w:rPr>
        <w:t>, at 3 (Nov. 2013), https://www.icj.org/wp-content/uploads/2013/11/ICT-Brief-Final-Draft-20-November-2013.pdf</w:t>
      </w:r>
    </w:p>
  </w:footnote>
  <w:footnote w:id="59">
    <w:p w14:paraId="1C5F1C67" w14:textId="77777777"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Id. </w:t>
      </w:r>
      <w:r w:rsidRPr="004F2222">
        <w:rPr>
          <w:rFonts w:asciiTheme="majorHAnsi" w:hAnsiTheme="majorHAnsi" w:cstheme="majorHAnsi"/>
          <w:sz w:val="20"/>
        </w:rPr>
        <w:t>at 11.</w:t>
      </w:r>
    </w:p>
  </w:footnote>
  <w:footnote w:id="60">
    <w:p w14:paraId="07D1672D" w14:textId="77777777"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Bangladesh: Release of Shahidul Alam must be followed by dropping of charges and reform of repressive laws</w:t>
      </w:r>
      <w:r w:rsidRPr="004F2222">
        <w:rPr>
          <w:rFonts w:asciiTheme="majorHAnsi" w:hAnsiTheme="majorHAnsi" w:cstheme="majorHAnsi"/>
          <w:sz w:val="20"/>
        </w:rPr>
        <w:t xml:space="preserve">, </w:t>
      </w:r>
      <w:r w:rsidRPr="004F2222">
        <w:rPr>
          <w:rFonts w:asciiTheme="majorHAnsi" w:hAnsiTheme="majorHAnsi" w:cstheme="majorHAnsi"/>
          <w:smallCaps/>
          <w:sz w:val="20"/>
        </w:rPr>
        <w:t xml:space="preserve">Article 19 </w:t>
      </w:r>
      <w:r w:rsidRPr="004F2222">
        <w:rPr>
          <w:rFonts w:asciiTheme="majorHAnsi" w:hAnsiTheme="majorHAnsi" w:cstheme="majorHAnsi"/>
          <w:sz w:val="20"/>
        </w:rPr>
        <w:t>(Nov. 21, 2018), https://www.article19.org/resources/bangladesh-release-of-shahidul-alam-must-be-followed-by-dropping-of-charges-and-reform-of-repressive-laws/.</w:t>
      </w:r>
    </w:p>
  </w:footnote>
  <w:footnote w:id="61">
    <w:p w14:paraId="52BE8942" w14:textId="33155DE9" w:rsidR="00E24593" w:rsidRPr="004F2222" w:rsidRDefault="00E24593" w:rsidP="00437AB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z w:val="20"/>
        </w:rPr>
        <w:t xml:space="preserve">Digital Security Act 2018, Act No. 46 of the Year 2018, secs. 25, 28, 29, 31, 32 (Oct. 8, 2018), https://www.cirt.gov.bd/wp-content/uploads/2018/12/Digital-Security-Act-2018-English-version.pdf. </w:t>
      </w:r>
    </w:p>
  </w:footnote>
  <w:footnote w:id="62">
    <w:p w14:paraId="72A4891B" w14:textId="560EB411" w:rsidR="00E24593" w:rsidRPr="004F2222" w:rsidRDefault="00E24593" w:rsidP="00437AB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Pr>
          <w:rFonts w:asciiTheme="majorHAnsi" w:hAnsiTheme="majorHAnsi" w:cstheme="majorHAnsi"/>
          <w:sz w:val="20"/>
        </w:rPr>
        <w:t xml:space="preserve"> at</w:t>
      </w:r>
      <w:r w:rsidRPr="004F2222">
        <w:rPr>
          <w:rFonts w:asciiTheme="majorHAnsi" w:hAnsiTheme="majorHAnsi" w:cstheme="majorHAnsi"/>
          <w:sz w:val="20"/>
        </w:rPr>
        <w:t xml:space="preserve"> sec. 53.</w:t>
      </w:r>
    </w:p>
  </w:footnote>
  <w:footnote w:id="63">
    <w:p w14:paraId="723B2FC4" w14:textId="6AC32C00"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7678B2">
        <w:rPr>
          <w:rFonts w:asciiTheme="majorHAnsi" w:hAnsiTheme="majorHAnsi" w:cstheme="majorHAnsi"/>
          <w:sz w:val="20"/>
        </w:rPr>
        <w:t xml:space="preserve"> </w:t>
      </w:r>
      <w:r>
        <w:rPr>
          <w:rFonts w:asciiTheme="majorHAnsi" w:hAnsiTheme="majorHAnsi" w:cstheme="majorHAnsi"/>
          <w:sz w:val="20"/>
        </w:rPr>
        <w:t>at</w:t>
      </w:r>
      <w:r w:rsidRPr="004F2222">
        <w:rPr>
          <w:rFonts w:asciiTheme="majorHAnsi" w:hAnsiTheme="majorHAnsi" w:cstheme="majorHAnsi"/>
          <w:sz w:val="20"/>
        </w:rPr>
        <w:t xml:space="preserve"> sec. 43(1</w:t>
      </w:r>
      <w:proofErr w:type="gramStart"/>
      <w:r w:rsidRPr="004F2222">
        <w:rPr>
          <w:rFonts w:asciiTheme="majorHAnsi" w:hAnsiTheme="majorHAnsi" w:cstheme="majorHAnsi"/>
          <w:sz w:val="20"/>
        </w:rPr>
        <w:t>)(</w:t>
      </w:r>
      <w:proofErr w:type="gramEnd"/>
      <w:r w:rsidRPr="004F2222">
        <w:rPr>
          <w:rFonts w:asciiTheme="majorHAnsi" w:hAnsiTheme="majorHAnsi" w:cstheme="majorHAnsi"/>
          <w:sz w:val="20"/>
        </w:rPr>
        <w:t>a)-(c) (emphasis added).</w:t>
      </w:r>
    </w:p>
  </w:footnote>
  <w:footnote w:id="64">
    <w:p w14:paraId="63A46E35" w14:textId="2308946F"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Pr>
          <w:rFonts w:asciiTheme="majorHAnsi" w:hAnsiTheme="majorHAnsi" w:cstheme="majorHAnsi"/>
          <w:sz w:val="20"/>
        </w:rPr>
        <w:t xml:space="preserve"> at</w:t>
      </w:r>
      <w:r w:rsidRPr="004F2222">
        <w:rPr>
          <w:rFonts w:asciiTheme="majorHAnsi" w:hAnsiTheme="majorHAnsi" w:cstheme="majorHAnsi"/>
          <w:sz w:val="20"/>
        </w:rPr>
        <w:t xml:space="preserve"> sec. 43(1</w:t>
      </w:r>
      <w:proofErr w:type="gramStart"/>
      <w:r w:rsidRPr="004F2222">
        <w:rPr>
          <w:rFonts w:asciiTheme="majorHAnsi" w:hAnsiTheme="majorHAnsi" w:cstheme="majorHAnsi"/>
          <w:sz w:val="20"/>
        </w:rPr>
        <w:t>)(</w:t>
      </w:r>
      <w:proofErr w:type="gramEnd"/>
      <w:r w:rsidRPr="004F2222">
        <w:rPr>
          <w:rFonts w:asciiTheme="majorHAnsi" w:hAnsiTheme="majorHAnsi" w:cstheme="majorHAnsi"/>
          <w:sz w:val="20"/>
        </w:rPr>
        <w:t>d).</w:t>
      </w:r>
    </w:p>
  </w:footnote>
  <w:footnote w:id="65">
    <w:p w14:paraId="2311962B" w14:textId="77777777" w:rsidR="00E24593" w:rsidRPr="004F2222" w:rsidRDefault="00E24593" w:rsidP="00C86EC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U.N. Human Rights Council, Compilation on Bangladesh, Report of the Office of the United Nations High Commissioner for Human Rights, U.N. Doc. A/HRC/WG.6/30/BGD/2, ¶ 30 (Mar. 19, 2018) (calling ICTA a “de facto blasphemy law that limit[s] freedom of opinion and expression” and “create[s] an atmosphere of legal insecurity, making people afraid of participating in public debates on sensitive issues, [has an] application [that is] wider and the punishments threatened more draconian than under the Criminal Code”); Letter from U.N. High Commissioner for Human Rights to H.E. Mr. Adul Hassan Mahmud Ali, Minister of Foreign Affairs, Bangladesh, Annex at 3 (Nov. 2, 2018), https://lib.ohchr.org/HRBodies/UPR/Documents/Session30/BD/HC_LetterBangladesh_30Session.pdf.</w:t>
      </w:r>
    </w:p>
  </w:footnote>
  <w:footnote w:id="66">
    <w:p w14:paraId="2509796C" w14:textId="57F738E7" w:rsidR="00E24593" w:rsidRPr="004F2222" w:rsidRDefault="00E24593" w:rsidP="00C12EF4">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 xml:space="preserve">at 4; </w:t>
      </w:r>
      <w:r w:rsidRPr="004F2222">
        <w:rPr>
          <w:rFonts w:asciiTheme="majorHAnsi" w:hAnsiTheme="majorHAnsi" w:cstheme="majorHAnsi"/>
          <w:i/>
          <w:sz w:val="20"/>
        </w:rPr>
        <w:t>see also</w:t>
      </w:r>
      <w:r w:rsidRPr="004F2222">
        <w:rPr>
          <w:rFonts w:asciiTheme="majorHAnsi" w:hAnsiTheme="majorHAnsi" w:cstheme="majorHAnsi"/>
          <w:sz w:val="20"/>
        </w:rPr>
        <w:t xml:space="preserve"> U.N. Human Rights Council, Joint written statement submitted by the Asian Legal Resource Centre, CIVICUS - World Alliance for Citizen Participation, NGOs in general consultative status, World Organisation Against Torture, Asian Forum for Human Rights and Development, International Federation for Human Rights Leagues, Robert F. Kennedy Center for Justice and Human Rights, NGOs in special consultative status, U.N. Doc. A/HRC/39/NGO/49, at 2-3 (Aug. 30, 2018) [hereinafter Joint Written Statement to U.N. Human Rights Council].</w:t>
      </w:r>
    </w:p>
  </w:footnote>
  <w:footnote w:id="67">
    <w:p w14:paraId="5F871B5F" w14:textId="4676CAF1"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Odhikar &amp; OMCT, </w:t>
      </w:r>
      <w:r w:rsidRPr="004F2222">
        <w:rPr>
          <w:rFonts w:asciiTheme="majorHAnsi" w:hAnsiTheme="majorHAnsi" w:cstheme="majorHAnsi"/>
          <w:i/>
          <w:sz w:val="20"/>
        </w:rPr>
        <w:t>BANGLADESH: Torture prevails due to deeply rooted culture of impunity</w:t>
      </w:r>
      <w:r w:rsidRPr="004F2222">
        <w:rPr>
          <w:rFonts w:asciiTheme="majorHAnsi" w:hAnsiTheme="majorHAnsi" w:cstheme="majorHAnsi"/>
          <w:sz w:val="20"/>
        </w:rPr>
        <w:t xml:space="preserve"> (June 26, 2018), http://www.omct.org/statements/bangladesh/2018/06/d24943/.</w:t>
      </w:r>
    </w:p>
  </w:footnote>
  <w:footnote w:id="68">
    <w:p w14:paraId="7783EF16" w14:textId="2B2AEF25" w:rsidR="00E24593" w:rsidRPr="004F2222" w:rsidRDefault="00E24593" w:rsidP="00C12EF4">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Bangladesh Legal Aid and Services Trust (BLAST) v. Bangladesh</w:t>
      </w:r>
      <w:r w:rsidRPr="004F2222">
        <w:rPr>
          <w:rFonts w:asciiTheme="majorHAnsi" w:hAnsiTheme="majorHAnsi" w:cstheme="majorHAnsi"/>
          <w:sz w:val="20"/>
        </w:rPr>
        <w:t>, Supreme Court of Bangladesh, Appellate Division, Civil Appeal No. 53 of 2004, at 389-396 (May 24, 2016), https://www.blast.org.bd/content/judgement/Civil_Appeal_No.53_of_2004.pdf.</w:t>
      </w:r>
    </w:p>
  </w:footnote>
  <w:footnote w:id="69">
    <w:p w14:paraId="199E0098" w14:textId="77777777" w:rsidR="00E24593" w:rsidRPr="004F2222" w:rsidRDefault="00E24593" w:rsidP="00EE02C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Qumr Ahmed,</w:t>
      </w:r>
      <w:r w:rsidRPr="004F2222">
        <w:rPr>
          <w:rFonts w:asciiTheme="majorHAnsi" w:hAnsiTheme="majorHAnsi" w:cstheme="majorHAnsi"/>
          <w:i/>
          <w:sz w:val="20"/>
        </w:rPr>
        <w:t xml:space="preserve"> Why did Bangladesh arrest Shahidul Alam</w:t>
      </w:r>
      <w:proofErr w:type="gramStart"/>
      <w:r w:rsidRPr="004F2222">
        <w:rPr>
          <w:rFonts w:asciiTheme="majorHAnsi" w:hAnsiTheme="majorHAnsi" w:cstheme="majorHAnsi"/>
          <w:i/>
          <w:sz w:val="20"/>
        </w:rPr>
        <w:t>?</w:t>
      </w:r>
      <w:r w:rsidRPr="004F2222">
        <w:rPr>
          <w:rFonts w:asciiTheme="majorHAnsi" w:hAnsiTheme="majorHAnsi" w:cstheme="majorHAnsi"/>
          <w:sz w:val="20"/>
        </w:rPr>
        <w:t>,</w:t>
      </w:r>
      <w:proofErr w:type="gramEnd"/>
      <w:r w:rsidRPr="004F2222">
        <w:rPr>
          <w:rFonts w:asciiTheme="majorHAnsi" w:hAnsiTheme="majorHAnsi" w:cstheme="majorHAnsi"/>
          <w:i/>
          <w:sz w:val="20"/>
        </w:rPr>
        <w:t xml:space="preserve"> </w:t>
      </w:r>
      <w:r w:rsidRPr="004F2222">
        <w:rPr>
          <w:rFonts w:asciiTheme="majorHAnsi" w:hAnsiTheme="majorHAnsi" w:cstheme="majorHAnsi"/>
          <w:smallCaps/>
          <w:sz w:val="20"/>
        </w:rPr>
        <w:t>Al Jazeera</w:t>
      </w:r>
      <w:r w:rsidRPr="004F2222">
        <w:rPr>
          <w:rFonts w:asciiTheme="majorHAnsi" w:hAnsiTheme="majorHAnsi" w:cstheme="majorHAnsi"/>
          <w:sz w:val="20"/>
        </w:rPr>
        <w:t xml:space="preserve"> (Aug. 9, 2018), https://www.aljazeera.com/indepth/opinion/bangladesh-arrest-shahidul-alam-180809112820231.html.</w:t>
      </w:r>
    </w:p>
  </w:footnote>
  <w:footnote w:id="70">
    <w:p w14:paraId="1D2BB09C" w14:textId="69F13C16"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 xml:space="preserve">Joint Written Statement to U.N. Human Rights Council at 3; </w:t>
      </w:r>
      <w:r w:rsidRPr="004F2222">
        <w:rPr>
          <w:rFonts w:asciiTheme="majorHAnsi" w:hAnsiTheme="majorHAnsi" w:cstheme="majorHAnsi"/>
          <w:i/>
          <w:sz w:val="20"/>
        </w:rPr>
        <w:t>see also</w:t>
      </w:r>
      <w:r w:rsidRPr="004F2222">
        <w:rPr>
          <w:rFonts w:asciiTheme="majorHAnsi" w:hAnsiTheme="majorHAnsi" w:cstheme="majorHAnsi"/>
          <w:sz w:val="20"/>
        </w:rPr>
        <w:t xml:space="preserve"> </w:t>
      </w:r>
      <w:r w:rsidRPr="004F2222">
        <w:rPr>
          <w:rFonts w:asciiTheme="majorHAnsi" w:hAnsiTheme="majorHAnsi" w:cstheme="majorHAnsi"/>
          <w:i/>
          <w:sz w:val="20"/>
        </w:rPr>
        <w:t>Bangladesh: UN human rights experts urge immediate release of photographer Shahidul Alam</w:t>
      </w:r>
      <w:r w:rsidRPr="004F2222">
        <w:rPr>
          <w:rFonts w:asciiTheme="majorHAnsi" w:hAnsiTheme="majorHAnsi" w:cstheme="majorHAnsi"/>
          <w:sz w:val="20"/>
        </w:rPr>
        <w:t xml:space="preserve">, </w:t>
      </w:r>
      <w:r w:rsidRPr="004F2222">
        <w:rPr>
          <w:rFonts w:asciiTheme="majorHAnsi" w:hAnsiTheme="majorHAnsi" w:cstheme="majorHAnsi"/>
          <w:smallCaps/>
          <w:sz w:val="20"/>
        </w:rPr>
        <w:t>Office of the High Commissioner for Human Rights</w:t>
      </w:r>
      <w:r w:rsidRPr="004F2222">
        <w:rPr>
          <w:rFonts w:asciiTheme="majorHAnsi" w:hAnsiTheme="majorHAnsi" w:cstheme="majorHAnsi"/>
          <w:sz w:val="20"/>
        </w:rPr>
        <w:t xml:space="preserve"> (Aug. 13, 2018).</w:t>
      </w:r>
    </w:p>
  </w:footnote>
  <w:footnote w:id="71">
    <w:p w14:paraId="3B9BD0EA" w14:textId="62AE386E" w:rsidR="00E24593" w:rsidRPr="004F2222" w:rsidRDefault="00E24593" w:rsidP="00EB328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mallCaps/>
          <w:sz w:val="20"/>
        </w:rPr>
        <w:t>U.S. Department of State, Bangladesh 2018 Human Rights Report</w:t>
      </w:r>
      <w:r w:rsidRPr="004F2222">
        <w:rPr>
          <w:rFonts w:asciiTheme="majorHAnsi" w:hAnsiTheme="majorHAnsi" w:cstheme="majorHAnsi"/>
          <w:sz w:val="20"/>
        </w:rPr>
        <w:t xml:space="preserve"> at 19.</w:t>
      </w:r>
    </w:p>
  </w:footnote>
  <w:footnote w:id="72">
    <w:p w14:paraId="63AA6710" w14:textId="13FA82C6" w:rsidR="00E24593" w:rsidRPr="004F2222" w:rsidRDefault="00E24593" w:rsidP="00EB328A">
      <w:pPr>
        <w:pStyle w:val="FootnoteText"/>
        <w:rPr>
          <w:rFonts w:asciiTheme="majorHAnsi" w:hAnsiTheme="majorHAnsi" w:cstheme="majorHAnsi"/>
          <w: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 xml:space="preserve">David Gonzalez, </w:t>
      </w:r>
      <w:r w:rsidRPr="004F2222">
        <w:rPr>
          <w:rFonts w:asciiTheme="majorHAnsi" w:hAnsiTheme="majorHAnsi" w:cstheme="majorHAnsi"/>
          <w:i/>
          <w:sz w:val="20"/>
        </w:rPr>
        <w:t>Despite Prison and Torture, Shahidul Alam Refuses to Stay Quiet</w:t>
      </w:r>
      <w:r w:rsidRPr="004F2222">
        <w:rPr>
          <w:rFonts w:asciiTheme="majorHAnsi" w:hAnsiTheme="majorHAnsi" w:cstheme="majorHAnsi"/>
          <w:sz w:val="20"/>
        </w:rPr>
        <w:t xml:space="preserve">, </w:t>
      </w:r>
      <w:r w:rsidRPr="004F2222">
        <w:rPr>
          <w:rFonts w:asciiTheme="majorHAnsi" w:hAnsiTheme="majorHAnsi" w:cstheme="majorHAnsi"/>
          <w:smallCaps/>
          <w:sz w:val="20"/>
        </w:rPr>
        <w:t>New York Times</w:t>
      </w:r>
      <w:r w:rsidRPr="004F2222">
        <w:rPr>
          <w:rFonts w:asciiTheme="majorHAnsi" w:hAnsiTheme="majorHAnsi" w:cstheme="majorHAnsi"/>
          <w:i/>
          <w:sz w:val="20"/>
        </w:rPr>
        <w:t xml:space="preserve"> </w:t>
      </w:r>
      <w:r w:rsidRPr="004F2222">
        <w:rPr>
          <w:rFonts w:asciiTheme="majorHAnsi" w:hAnsiTheme="majorHAnsi" w:cstheme="majorHAnsi"/>
          <w:sz w:val="20"/>
        </w:rPr>
        <w:t>(Apr. 9, 2019), https://www.nytimes.com/2019/04/09/lens/shahidul-alam-prison-photo.html.</w:t>
      </w:r>
    </w:p>
  </w:footnote>
  <w:footnote w:id="73">
    <w:p w14:paraId="1B40CAA6" w14:textId="69E3A1FD" w:rsidR="00E24593" w:rsidRPr="004F2222" w:rsidRDefault="00E24593" w:rsidP="00EB328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i/>
          <w:sz w:val="20"/>
        </w:rPr>
        <w:t>Bangladesh: UN human rights experts urge immediate release of photographer Shahidul Alam</w:t>
      </w:r>
      <w:r w:rsidRPr="004F2222">
        <w:rPr>
          <w:rFonts w:asciiTheme="majorHAnsi" w:hAnsiTheme="majorHAnsi" w:cstheme="majorHAnsi"/>
          <w:sz w:val="20"/>
        </w:rPr>
        <w:t xml:space="preserve">, </w:t>
      </w:r>
      <w:r w:rsidRPr="004F2222">
        <w:rPr>
          <w:rFonts w:asciiTheme="majorHAnsi" w:hAnsiTheme="majorHAnsi" w:cstheme="majorHAnsi"/>
          <w:smallCaps/>
          <w:sz w:val="20"/>
        </w:rPr>
        <w:t>Office of the High Commissioner for Human Rights</w:t>
      </w:r>
      <w:r w:rsidRPr="004F2222">
        <w:rPr>
          <w:rFonts w:asciiTheme="majorHAnsi" w:hAnsiTheme="majorHAnsi" w:cstheme="majorHAnsi"/>
          <w:sz w:val="20"/>
        </w:rPr>
        <w:t xml:space="preserve"> (Aug. 13, 2018). </w:t>
      </w:r>
    </w:p>
  </w:footnote>
  <w:footnote w:id="74">
    <w:p w14:paraId="781C916D" w14:textId="48923943" w:rsidR="00E24593" w:rsidRPr="004F2222" w:rsidRDefault="00E24593" w:rsidP="001201D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mallCaps/>
          <w:sz w:val="20"/>
        </w:rPr>
        <w:t>Odhikar, Human Rights Monitoring Report on Bangladesh - Reporting Period: 1-31 July 2018,</w:t>
      </w:r>
      <w:r w:rsidRPr="004F2222">
        <w:rPr>
          <w:rFonts w:asciiTheme="majorHAnsi" w:hAnsiTheme="majorHAnsi" w:cstheme="majorHAnsi"/>
          <w:sz w:val="20"/>
        </w:rPr>
        <w:t xml:space="preserve"> 12 (Aug. 1, 2018), www.odhikar.org/wp-content/uploads/2</w:t>
      </w:r>
      <w:r w:rsidRPr="002C0338">
        <w:rPr>
          <w:rFonts w:asciiTheme="majorHAnsi" w:hAnsiTheme="majorHAnsi" w:cstheme="majorHAnsi"/>
          <w:sz w:val="20"/>
        </w:rPr>
        <w:t>018/08/human-rights-monitoring-report-July-2018_Eng.pdf. Further, female students allegedly were sexually harassed by Bangladesh Chhatra League leade</w:t>
      </w:r>
      <w:r w:rsidRPr="004F2222">
        <w:rPr>
          <w:rFonts w:asciiTheme="majorHAnsi" w:hAnsiTheme="majorHAnsi" w:cstheme="majorHAnsi"/>
          <w:sz w:val="20"/>
        </w:rPr>
        <w:t xml:space="preserve">rs and activists, and one student reported that the police tried to extract a false confession that she was a drug addict. </w:t>
      </w:r>
      <w:r w:rsidRPr="004F2222">
        <w:rPr>
          <w:rFonts w:asciiTheme="majorHAnsi" w:hAnsiTheme="majorHAnsi" w:cstheme="majorHAnsi"/>
          <w:i/>
          <w:sz w:val="20"/>
        </w:rPr>
        <w:t>Id.</w:t>
      </w:r>
      <w:r w:rsidRPr="004F2222">
        <w:rPr>
          <w:rFonts w:asciiTheme="majorHAnsi" w:hAnsiTheme="majorHAnsi" w:cstheme="majorHAnsi"/>
          <w:sz w:val="20"/>
        </w:rPr>
        <w:t xml:space="preserve">; </w:t>
      </w:r>
      <w:r w:rsidRPr="004F2222">
        <w:rPr>
          <w:rFonts w:asciiTheme="majorHAnsi" w:hAnsiTheme="majorHAnsi" w:cstheme="majorHAnsi"/>
          <w:i/>
          <w:sz w:val="20"/>
        </w:rPr>
        <w:t>see also</w:t>
      </w:r>
      <w:r w:rsidRPr="004F2222">
        <w:rPr>
          <w:rFonts w:asciiTheme="majorHAnsi" w:hAnsiTheme="majorHAnsi" w:cstheme="majorHAnsi"/>
          <w:sz w:val="20"/>
        </w:rPr>
        <w:t xml:space="preserve"> </w:t>
      </w:r>
      <w:r w:rsidRPr="004F2222">
        <w:rPr>
          <w:rFonts w:asciiTheme="majorHAnsi" w:hAnsiTheme="majorHAnsi" w:cstheme="majorHAnsi"/>
          <w:i/>
          <w:sz w:val="20"/>
        </w:rPr>
        <w:t>“Every moment felt like hell: Victim tells her story”</w:t>
      </w:r>
      <w:r w:rsidRPr="004F2222">
        <w:rPr>
          <w:rFonts w:asciiTheme="majorHAnsi" w:hAnsiTheme="majorHAnsi" w:cstheme="majorHAnsi"/>
          <w:sz w:val="20"/>
        </w:rPr>
        <w:t xml:space="preserve">, </w:t>
      </w:r>
      <w:r w:rsidRPr="004F2222">
        <w:rPr>
          <w:rFonts w:asciiTheme="majorHAnsi" w:hAnsiTheme="majorHAnsi" w:cstheme="majorHAnsi"/>
          <w:smallCaps/>
          <w:sz w:val="20"/>
        </w:rPr>
        <w:t>The Daily Star</w:t>
      </w:r>
      <w:r w:rsidRPr="004F2222">
        <w:rPr>
          <w:rFonts w:asciiTheme="majorHAnsi" w:hAnsiTheme="majorHAnsi" w:cstheme="majorHAnsi"/>
          <w:sz w:val="20"/>
        </w:rPr>
        <w:t xml:space="preserve"> (July 6, 2018), https://www.thedailystar.net/frontpage/it-was-second-hell-1600765.</w:t>
      </w:r>
    </w:p>
  </w:footnote>
  <w:footnote w:id="75">
    <w:p w14:paraId="304D3197" w14:textId="0772F1F8" w:rsidR="00E24593" w:rsidRPr="004F2222" w:rsidRDefault="00E24593" w:rsidP="001227E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xml:space="preserve">, Report of the Special Rapporteur on torture and other cruel, inhuman or degrading treatment or punishment, U.N. Doc. A/72/178, ¶¶ 34, 38 (July 20, 2017) (“The Committee against Torture has repeatedly held that police brutality and excessive use of force outside the context of detention can fall within its purview” and “[m]andate holders have consistently maintained that, conceptually, the prohibition of torture and other cruel, inhuman or degrading treatment or punishment . . . also covers excessive police violence, such as during arrest and the policing of assemblies”); </w:t>
      </w:r>
      <w:r>
        <w:rPr>
          <w:rFonts w:asciiTheme="majorHAnsi" w:hAnsiTheme="majorHAnsi" w:cstheme="majorHAnsi"/>
          <w:sz w:val="20"/>
        </w:rPr>
        <w:t>U.N. Committee A</w:t>
      </w:r>
      <w:r w:rsidRPr="004F2222">
        <w:rPr>
          <w:rFonts w:asciiTheme="majorHAnsi" w:hAnsiTheme="majorHAnsi" w:cstheme="majorHAnsi"/>
          <w:sz w:val="20"/>
        </w:rPr>
        <w:t xml:space="preserve">gainst Torture, Concluding Observations on Ecuador, U.N. Doc. CAT/C/ECU/CO/7, ¶ 39 (Jan. 11, 2017); </w:t>
      </w:r>
      <w:r>
        <w:rPr>
          <w:rFonts w:asciiTheme="majorHAnsi" w:hAnsiTheme="majorHAnsi" w:cstheme="majorHAnsi"/>
          <w:sz w:val="20"/>
        </w:rPr>
        <w:t>U.N. Committee A</w:t>
      </w:r>
      <w:r w:rsidRPr="004F2222">
        <w:rPr>
          <w:rFonts w:asciiTheme="majorHAnsi" w:hAnsiTheme="majorHAnsi" w:cstheme="majorHAnsi"/>
          <w:sz w:val="20"/>
        </w:rPr>
        <w:t xml:space="preserve">gainst Torture, Concluding Observations on Denmark, U.N. Doc. CAT/C/DNK/CO/5, ¶ 16 (July 16, 2007); </w:t>
      </w:r>
      <w:r>
        <w:rPr>
          <w:rFonts w:asciiTheme="majorHAnsi" w:hAnsiTheme="majorHAnsi" w:cstheme="majorHAnsi"/>
          <w:sz w:val="20"/>
        </w:rPr>
        <w:t>U.N. Committee A</w:t>
      </w:r>
      <w:r w:rsidRPr="004F2222">
        <w:rPr>
          <w:rFonts w:asciiTheme="majorHAnsi" w:hAnsiTheme="majorHAnsi" w:cstheme="majorHAnsi"/>
          <w:sz w:val="20"/>
        </w:rPr>
        <w:t>gainst Torture, Concluding Observations on Poland, U.N. Doc. CAT/C/POL/CO/4, ¶ 13 (July 16, 2007).</w:t>
      </w:r>
    </w:p>
  </w:footnote>
  <w:footnote w:id="76">
    <w:p w14:paraId="031E78A0" w14:textId="6791AEA2" w:rsidR="00E24593" w:rsidRPr="004F2222" w:rsidRDefault="00E24593" w:rsidP="009128F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Arbitrary police violence can amount to torture, even in public spaces, UN expert warns</w:t>
      </w:r>
      <w:r w:rsidRPr="004F2222">
        <w:rPr>
          <w:rFonts w:asciiTheme="majorHAnsi" w:hAnsiTheme="majorHAnsi" w:cstheme="majorHAnsi"/>
          <w:sz w:val="20"/>
        </w:rPr>
        <w:t xml:space="preserve">, </w:t>
      </w:r>
      <w:r w:rsidRPr="004F2222">
        <w:rPr>
          <w:rFonts w:asciiTheme="majorHAnsi" w:hAnsiTheme="majorHAnsi" w:cstheme="majorHAnsi"/>
          <w:smallCaps/>
          <w:sz w:val="20"/>
        </w:rPr>
        <w:t xml:space="preserve">U.N. Office of the High Commissioner for Human Rights </w:t>
      </w:r>
      <w:r w:rsidRPr="004F2222">
        <w:rPr>
          <w:rFonts w:asciiTheme="majorHAnsi" w:hAnsiTheme="majorHAnsi" w:cstheme="majorHAnsi"/>
          <w:sz w:val="20"/>
        </w:rPr>
        <w:t xml:space="preserve">(Oct. 13, 2017), https://www.ohchr.org/EN/NewsEvents/Pages/DisplayNews.aspx?NewsID=22235&amp;LangID=E. </w:t>
      </w:r>
    </w:p>
  </w:footnote>
  <w:footnote w:id="77">
    <w:p w14:paraId="4B510AD8" w14:textId="50DB28A9" w:rsidR="00E24593" w:rsidRPr="004F2222" w:rsidRDefault="00E24593" w:rsidP="000C333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Human Rights Council, Joint report of the Special Rapporteur on the rights to freedom of peaceful assembly and of association and the Special Rapporteur on extrajudicial, summary or arbitrary executions on the proper management of assemblies, U.N. Doc. A/HRC/31/66, ¶ 50 (Feb. 4, 2016), </w:t>
      </w:r>
      <w:r w:rsidRPr="00146DF5">
        <w:rPr>
          <w:rFonts w:asciiTheme="majorHAnsi" w:hAnsiTheme="majorHAnsi" w:cstheme="majorHAnsi"/>
          <w:sz w:val="20"/>
        </w:rPr>
        <w:t>https://undocs.org/A/HRC/31/66</w:t>
      </w:r>
      <w:r w:rsidRPr="004F2222">
        <w:rPr>
          <w:rFonts w:asciiTheme="majorHAnsi" w:hAnsiTheme="majorHAnsi" w:cstheme="majorHAnsi"/>
          <w:sz w:val="20"/>
        </w:rPr>
        <w:t>.</w:t>
      </w:r>
    </w:p>
  </w:footnote>
  <w:footnote w:id="78">
    <w:p w14:paraId="447BCEA4" w14:textId="77777777" w:rsidR="00E24593" w:rsidRPr="004F2222" w:rsidRDefault="00E24593" w:rsidP="00035CF1">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Office of the High Commissioner for Human Rights, Basic Principles on the Use of Force and Firearms by Law Enforcement Officials, ¶¶ 9, 22 (1990), https://www.ohchr.org/Documents/ProfessionalInterest/firearms.pdf.</w:t>
      </w:r>
    </w:p>
  </w:footnote>
  <w:footnote w:id="79">
    <w:p w14:paraId="430652F0" w14:textId="3DBCE0DD" w:rsidR="00E24593" w:rsidRPr="004F2222" w:rsidRDefault="00E24593" w:rsidP="009128F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z w:val="20"/>
        </w:rPr>
        <w:t>U.N. Human Rights Committee, Concluding observations on the initial report of Bangladesh, U.N. Doc. CCPR/C/BGD/CO/1, ¶ 19 (Apr. 27, 2017).</w:t>
      </w:r>
    </w:p>
  </w:footnote>
  <w:footnote w:id="80">
    <w:p w14:paraId="64A89F99" w14:textId="19475020" w:rsidR="00E24593" w:rsidRPr="004F2222" w:rsidRDefault="00E24593" w:rsidP="009128F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Pr>
          <w:rFonts w:asciiTheme="majorHAnsi" w:hAnsiTheme="majorHAnsi" w:cstheme="majorHAnsi"/>
          <w:sz w:val="20"/>
        </w:rPr>
        <w:t xml:space="preserve"> at</w:t>
      </w:r>
      <w:r w:rsidRPr="004F2222">
        <w:rPr>
          <w:rFonts w:asciiTheme="majorHAnsi" w:hAnsiTheme="majorHAnsi" w:cstheme="majorHAnsi"/>
          <w:sz w:val="20"/>
        </w:rPr>
        <w:t xml:space="preserve"> ¶ 21.</w:t>
      </w:r>
    </w:p>
  </w:footnote>
  <w:footnote w:id="81">
    <w:p w14:paraId="33FF9C54" w14:textId="5A0BC499" w:rsidR="00E24593" w:rsidRPr="004F2222" w:rsidRDefault="00E24593" w:rsidP="009128F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Pr>
          <w:rFonts w:asciiTheme="majorHAnsi" w:hAnsiTheme="majorHAnsi" w:cstheme="majorHAnsi"/>
          <w:sz w:val="20"/>
        </w:rPr>
        <w:t xml:space="preserve"> at</w:t>
      </w:r>
      <w:r w:rsidRPr="004F2222">
        <w:rPr>
          <w:rFonts w:asciiTheme="majorHAnsi" w:hAnsiTheme="majorHAnsi" w:cstheme="majorHAnsi"/>
          <w:sz w:val="20"/>
        </w:rPr>
        <w:t xml:space="preserve"> ¶ 29.</w:t>
      </w:r>
    </w:p>
  </w:footnote>
  <w:footnote w:id="82">
    <w:p w14:paraId="2EEC7942" w14:textId="6DC4B312" w:rsidR="00E24593" w:rsidRPr="004F2222" w:rsidRDefault="00E24593" w:rsidP="00B10D7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Human Rights Council, Compilation on Bangladesh, Report of the Office of the United Nations High Commissioner for Human Rights, U.N. Doc. A/HRC/WG.6/30/BGD/2, ¶ 21 (Mar. 19, 2018). (https://www.ecoi.net/en/file/local/1430787/1930_1524740166_g1806724.pdf)</w:t>
      </w:r>
    </w:p>
  </w:footnote>
  <w:footnote w:id="83">
    <w:p w14:paraId="701D23FF" w14:textId="675AD661" w:rsidR="00E24593" w:rsidRPr="004F2222" w:rsidRDefault="00E24593" w:rsidP="009128F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Bangladesh 2018 Human Rights Report</w:t>
      </w:r>
      <w:r w:rsidRPr="004F2222">
        <w:rPr>
          <w:rFonts w:asciiTheme="majorHAnsi" w:hAnsiTheme="majorHAnsi" w:cstheme="majorHAnsi"/>
          <w:sz w:val="20"/>
        </w:rPr>
        <w:t xml:space="preserve"> at 4.</w:t>
      </w:r>
    </w:p>
  </w:footnote>
  <w:footnote w:id="84">
    <w:p w14:paraId="49DD0474" w14:textId="77777777" w:rsidR="00E24593" w:rsidRPr="004F2222" w:rsidRDefault="00E24593" w:rsidP="006E2980">
      <w:pPr>
        <w:pStyle w:val="FootnoteText"/>
        <w:rPr>
          <w:rFonts w:asciiTheme="majorHAnsi" w:hAnsiTheme="majorHAnsi" w:cstheme="majorHAnsi"/>
          <w: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U.N. Human Rights Council, Working Group on the Universal Period Review, National report submitted in accordance with paragraph 5 of the annex to Human Rights Council resolution 16/21, U.N. Doc. A/HRC/WG.6/30/BGD/1, ¶ 30 (Feb. 26, 2018).</w:t>
      </w:r>
    </w:p>
  </w:footnote>
  <w:footnote w:id="85">
    <w:p w14:paraId="3D2BF696" w14:textId="206D1FE0" w:rsidR="00E24593" w:rsidRPr="004F2222" w:rsidRDefault="00E24593" w:rsidP="0025536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Bangladesh 2018 Human Rights Report</w:t>
      </w:r>
      <w:r w:rsidRPr="004F2222">
        <w:rPr>
          <w:rFonts w:asciiTheme="majorHAnsi" w:hAnsiTheme="majorHAnsi" w:cstheme="majorHAnsi"/>
          <w:sz w:val="20"/>
        </w:rPr>
        <w:t xml:space="preserve"> at 1.</w:t>
      </w:r>
    </w:p>
  </w:footnote>
  <w:footnote w:id="86">
    <w:p w14:paraId="28FAD38A" w14:textId="285042D9" w:rsidR="00E24593" w:rsidRPr="004F2222" w:rsidRDefault="00E24593" w:rsidP="009128F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HRSS </w:t>
      </w:r>
      <w:r w:rsidRPr="004F2222">
        <w:rPr>
          <w:rFonts w:asciiTheme="majorHAnsi" w:hAnsiTheme="majorHAnsi" w:cstheme="majorHAnsi"/>
          <w:smallCaps/>
          <w:sz w:val="20"/>
        </w:rPr>
        <w:t>January-February 2019 Report</w:t>
      </w:r>
      <w:r w:rsidRPr="004F2222">
        <w:rPr>
          <w:rFonts w:asciiTheme="majorHAnsi" w:hAnsiTheme="majorHAnsi" w:cstheme="majorHAnsi"/>
          <w:sz w:val="20"/>
        </w:rPr>
        <w:t xml:space="preserve"> at 32.</w:t>
      </w:r>
    </w:p>
  </w:footnote>
  <w:footnote w:id="87">
    <w:p w14:paraId="30D27C07" w14:textId="0DC00817" w:rsidR="00E24593" w:rsidRPr="004F2222" w:rsidRDefault="00E24593" w:rsidP="009128F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“No Right to Live”</w:t>
      </w:r>
      <w:r w:rsidRPr="004F2222">
        <w:rPr>
          <w:rFonts w:asciiTheme="majorHAnsi" w:hAnsiTheme="majorHAnsi" w:cstheme="majorHAnsi"/>
          <w:sz w:val="20"/>
        </w:rPr>
        <w:t xml:space="preserve"> at </w:t>
      </w:r>
      <w:r w:rsidRPr="004F2222">
        <w:rPr>
          <w:rFonts w:asciiTheme="majorHAnsi" w:hAnsiTheme="majorHAnsi" w:cstheme="majorHAnsi"/>
          <w:smallCaps/>
          <w:sz w:val="20"/>
        </w:rPr>
        <w:t>3.</w:t>
      </w:r>
    </w:p>
  </w:footnote>
  <w:footnote w:id="88">
    <w:p w14:paraId="15ECF109" w14:textId="6E143737" w:rsidR="00E24593" w:rsidRPr="004F2222" w:rsidRDefault="00E24593" w:rsidP="009128F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i/>
          <w:smallCaps/>
          <w:sz w:val="20"/>
        </w:rPr>
        <w:t xml:space="preserve"> </w:t>
      </w:r>
      <w:r w:rsidRPr="004F2222">
        <w:rPr>
          <w:rFonts w:asciiTheme="majorHAnsi" w:hAnsiTheme="majorHAnsi" w:cstheme="majorHAnsi"/>
          <w:sz w:val="20"/>
        </w:rPr>
        <w:t>at</w:t>
      </w:r>
      <w:r w:rsidRPr="004F2222">
        <w:rPr>
          <w:rFonts w:asciiTheme="majorHAnsi" w:hAnsiTheme="majorHAnsi" w:cstheme="majorHAnsi"/>
          <w:smallCaps/>
          <w:sz w:val="20"/>
        </w:rPr>
        <w:t xml:space="preserve"> </w:t>
      </w:r>
      <w:r w:rsidRPr="004F2222">
        <w:rPr>
          <w:rFonts w:asciiTheme="majorHAnsi" w:hAnsiTheme="majorHAnsi" w:cstheme="majorHAnsi"/>
          <w:sz w:val="20"/>
        </w:rPr>
        <w:t>5.</w:t>
      </w:r>
    </w:p>
  </w:footnote>
  <w:footnote w:id="89">
    <w:p w14:paraId="1147C93A" w14:textId="6E789766" w:rsidR="00E24593" w:rsidRPr="004F2222" w:rsidRDefault="00E24593" w:rsidP="000C35D0">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 i</w:t>
      </w:r>
      <w:r w:rsidRPr="004F2222">
        <w:rPr>
          <w:rFonts w:asciiTheme="majorHAnsi" w:hAnsiTheme="majorHAnsi" w:cstheme="majorHAnsi"/>
          <w:i/>
          <w:sz w:val="20"/>
        </w:rPr>
        <w:t>d.</w:t>
      </w:r>
      <w:r w:rsidRPr="004F2222">
        <w:rPr>
          <w:rFonts w:asciiTheme="majorHAnsi" w:hAnsiTheme="majorHAnsi" w:cstheme="majorHAnsi"/>
          <w:sz w:val="20"/>
        </w:rPr>
        <w:t xml:space="preserve"> </w:t>
      </w:r>
      <w:proofErr w:type="gramStart"/>
      <w:r w:rsidRPr="004F2222">
        <w:rPr>
          <w:rFonts w:asciiTheme="majorHAnsi" w:hAnsiTheme="majorHAnsi" w:cstheme="majorHAnsi"/>
          <w:sz w:val="20"/>
        </w:rPr>
        <w:t>at</w:t>
      </w:r>
      <w:proofErr w:type="gramEnd"/>
      <w:r w:rsidRPr="004F2222">
        <w:rPr>
          <w:rFonts w:asciiTheme="majorHAnsi" w:hAnsiTheme="majorHAnsi" w:cstheme="majorHAnsi"/>
          <w:sz w:val="20"/>
        </w:rPr>
        <w:t xml:space="preserve"> </w:t>
      </w:r>
      <w:r>
        <w:rPr>
          <w:rFonts w:asciiTheme="majorHAnsi" w:hAnsiTheme="majorHAnsi" w:cstheme="majorHAnsi"/>
          <w:sz w:val="20"/>
        </w:rPr>
        <w:t>17-</w:t>
      </w:r>
      <w:r w:rsidRPr="004F2222">
        <w:rPr>
          <w:rFonts w:asciiTheme="majorHAnsi" w:hAnsiTheme="majorHAnsi" w:cstheme="majorHAnsi"/>
          <w:sz w:val="20"/>
        </w:rPr>
        <w:t>18.</w:t>
      </w:r>
    </w:p>
  </w:footnote>
  <w:footnote w:id="90">
    <w:p w14:paraId="7C5EF034" w14:textId="28DE16D9" w:rsidR="00E24593" w:rsidRPr="004F2222" w:rsidRDefault="00E24593" w:rsidP="00F00B1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 i</w:t>
      </w:r>
      <w:r w:rsidRPr="004F2222">
        <w:rPr>
          <w:rFonts w:asciiTheme="majorHAnsi" w:hAnsiTheme="majorHAnsi" w:cstheme="majorHAnsi"/>
          <w:i/>
          <w:sz w:val="20"/>
        </w:rPr>
        <w:t>d</w:t>
      </w:r>
      <w:r>
        <w:rPr>
          <w:rFonts w:asciiTheme="majorHAnsi" w:hAnsiTheme="majorHAnsi" w:cstheme="majorHAnsi"/>
          <w:i/>
          <w:sz w:val="20"/>
        </w:rPr>
        <w:t>.</w:t>
      </w:r>
      <w:r>
        <w:rPr>
          <w:rFonts w:asciiTheme="majorHAnsi" w:hAnsiTheme="majorHAnsi" w:cstheme="majorHAnsi"/>
          <w:sz w:val="20"/>
        </w:rPr>
        <w:t xml:space="preserve"> </w:t>
      </w:r>
      <w:proofErr w:type="gramStart"/>
      <w:r>
        <w:rPr>
          <w:rFonts w:asciiTheme="majorHAnsi" w:hAnsiTheme="majorHAnsi" w:cstheme="majorHAnsi"/>
          <w:sz w:val="20"/>
        </w:rPr>
        <w:t>at</w:t>
      </w:r>
      <w:proofErr w:type="gramEnd"/>
      <w:r>
        <w:rPr>
          <w:rFonts w:asciiTheme="majorHAnsi" w:hAnsiTheme="majorHAnsi" w:cstheme="majorHAnsi"/>
          <w:sz w:val="20"/>
        </w:rPr>
        <w:t xml:space="preserve"> </w:t>
      </w:r>
      <w:r w:rsidRPr="004F2222">
        <w:rPr>
          <w:rFonts w:asciiTheme="majorHAnsi" w:hAnsiTheme="majorHAnsi" w:cstheme="majorHAnsi"/>
          <w:sz w:val="20"/>
        </w:rPr>
        <w:t>20.</w:t>
      </w:r>
    </w:p>
  </w:footnote>
  <w:footnote w:id="91">
    <w:p w14:paraId="50DBBF0A" w14:textId="3992334E" w:rsidR="00E24593" w:rsidRPr="004F2222" w:rsidRDefault="00E24593" w:rsidP="002303BD">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 i</w:t>
      </w:r>
      <w:r w:rsidRPr="004F2222">
        <w:rPr>
          <w:rFonts w:asciiTheme="majorHAnsi" w:hAnsiTheme="majorHAnsi" w:cstheme="majorHAnsi"/>
          <w:i/>
          <w:sz w:val="20"/>
        </w:rPr>
        <w:t>d.</w:t>
      </w:r>
      <w:r w:rsidRPr="004F2222">
        <w:rPr>
          <w:rFonts w:asciiTheme="majorHAnsi" w:hAnsiTheme="majorHAnsi" w:cstheme="majorHAnsi"/>
          <w:sz w:val="20"/>
        </w:rPr>
        <w:t xml:space="preserve"> </w:t>
      </w:r>
      <w:proofErr w:type="gramStart"/>
      <w:r w:rsidRPr="004F2222">
        <w:rPr>
          <w:rFonts w:asciiTheme="majorHAnsi" w:hAnsiTheme="majorHAnsi" w:cstheme="majorHAnsi"/>
          <w:sz w:val="20"/>
        </w:rPr>
        <w:t>at</w:t>
      </w:r>
      <w:proofErr w:type="gramEnd"/>
      <w:r w:rsidRPr="004F2222">
        <w:rPr>
          <w:rFonts w:asciiTheme="majorHAnsi" w:hAnsiTheme="majorHAnsi" w:cstheme="majorHAnsi"/>
          <w:sz w:val="20"/>
        </w:rPr>
        <w:t xml:space="preserve"> 32.</w:t>
      </w:r>
    </w:p>
  </w:footnote>
  <w:footnote w:id="92">
    <w:p w14:paraId="2974BA4A" w14:textId="1751B8F1" w:rsidR="00E24593" w:rsidRPr="004F2222" w:rsidRDefault="00E24593" w:rsidP="00EE1EE4">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 i</w:t>
      </w:r>
      <w:r w:rsidRPr="004F2222">
        <w:rPr>
          <w:rFonts w:asciiTheme="majorHAnsi" w:hAnsiTheme="majorHAnsi" w:cstheme="majorHAnsi"/>
          <w:i/>
          <w:sz w:val="20"/>
        </w:rPr>
        <w:t>d.</w:t>
      </w:r>
      <w:r w:rsidRPr="004F2222">
        <w:rPr>
          <w:rFonts w:asciiTheme="majorHAnsi" w:hAnsiTheme="majorHAnsi" w:cstheme="majorHAnsi"/>
          <w:sz w:val="20"/>
        </w:rPr>
        <w:t xml:space="preserve"> </w:t>
      </w:r>
      <w:proofErr w:type="gramStart"/>
      <w:r w:rsidRPr="004F2222">
        <w:rPr>
          <w:rFonts w:asciiTheme="majorHAnsi" w:hAnsiTheme="majorHAnsi" w:cstheme="majorHAnsi"/>
          <w:sz w:val="20"/>
        </w:rPr>
        <w:t>at</w:t>
      </w:r>
      <w:proofErr w:type="gramEnd"/>
      <w:r w:rsidRPr="004F2222">
        <w:rPr>
          <w:rFonts w:asciiTheme="majorHAnsi" w:hAnsiTheme="majorHAnsi" w:cstheme="majorHAnsi"/>
          <w:smallCaps/>
          <w:sz w:val="20"/>
        </w:rPr>
        <w:t xml:space="preserve"> </w:t>
      </w:r>
      <w:r w:rsidRPr="004F2222">
        <w:rPr>
          <w:rFonts w:asciiTheme="majorHAnsi" w:hAnsiTheme="majorHAnsi" w:cstheme="majorHAnsi"/>
          <w:sz w:val="20"/>
        </w:rPr>
        <w:t>39-40.</w:t>
      </w:r>
    </w:p>
  </w:footnote>
  <w:footnote w:id="93">
    <w:p w14:paraId="3F570B67" w14:textId="0AFDA61F" w:rsidR="00E24593" w:rsidRPr="00BA3FDA" w:rsidRDefault="00E24593" w:rsidP="00B437A9">
      <w:pPr>
        <w:pStyle w:val="FootnoteText"/>
        <w:rPr>
          <w:rFonts w:cstheme="minorHAnsi"/>
          <w:sz w:val="20"/>
        </w:rPr>
      </w:pPr>
      <w:r w:rsidRPr="00BA3FDA">
        <w:rPr>
          <w:rStyle w:val="FootnoteReference"/>
          <w:rFonts w:cstheme="minorHAnsi"/>
          <w:sz w:val="20"/>
        </w:rPr>
        <w:footnoteRef/>
      </w:r>
      <w:r w:rsidRPr="00BA3FDA">
        <w:rPr>
          <w:rFonts w:cstheme="minorHAnsi"/>
          <w:sz w:val="20"/>
        </w:rPr>
        <w:t xml:space="preserve"> </w:t>
      </w:r>
      <w:r w:rsidRPr="00BA3FDA">
        <w:rPr>
          <w:rFonts w:cstheme="minorHAnsi"/>
          <w:smallCaps/>
          <w:sz w:val="20"/>
        </w:rPr>
        <w:t>U.S. Department of State, Bang</w:t>
      </w:r>
      <w:r>
        <w:rPr>
          <w:rFonts w:cstheme="minorHAnsi"/>
          <w:smallCaps/>
          <w:sz w:val="20"/>
        </w:rPr>
        <w:t>ladesh 2018 Human Rights Report</w:t>
      </w:r>
      <w:r w:rsidRPr="00BA3FDA">
        <w:rPr>
          <w:rFonts w:cstheme="minorHAnsi"/>
          <w:smallCaps/>
          <w:sz w:val="20"/>
        </w:rPr>
        <w:t xml:space="preserve"> </w:t>
      </w:r>
      <w:r>
        <w:rPr>
          <w:rFonts w:cstheme="minorHAnsi"/>
          <w:sz w:val="20"/>
        </w:rPr>
        <w:t xml:space="preserve">at 2; </w:t>
      </w:r>
      <w:r w:rsidRPr="004F2222">
        <w:rPr>
          <w:rFonts w:asciiTheme="majorHAnsi" w:hAnsiTheme="majorHAnsi" w:cstheme="majorHAnsi"/>
          <w:smallCaps/>
          <w:sz w:val="20"/>
        </w:rPr>
        <w:t>U.S. Department of State, 2016 Country Reports on Human Rights Practices - Bangladesh</w:t>
      </w:r>
      <w:r>
        <w:rPr>
          <w:rFonts w:asciiTheme="majorHAnsi" w:hAnsiTheme="majorHAnsi" w:cstheme="majorHAnsi"/>
          <w:sz w:val="20"/>
        </w:rPr>
        <w:t>, sec. 1(a</w:t>
      </w:r>
      <w:r w:rsidRPr="004F2222">
        <w:rPr>
          <w:rFonts w:asciiTheme="majorHAnsi" w:hAnsiTheme="majorHAnsi" w:cstheme="majorHAnsi"/>
          <w:sz w:val="20"/>
        </w:rPr>
        <w:t>) (Mar. 3, 2017), https://www.refworld.org/docid/58ec8a7113.html</w:t>
      </w:r>
    </w:p>
  </w:footnote>
  <w:footnote w:id="94">
    <w:p w14:paraId="7CBE60D1" w14:textId="652EBE63" w:rsidR="00E24593" w:rsidRPr="004F2222" w:rsidRDefault="00E24593" w:rsidP="00823EB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xml:space="preserve">, </w:t>
      </w:r>
      <w:r>
        <w:rPr>
          <w:rFonts w:asciiTheme="majorHAnsi" w:hAnsiTheme="majorHAnsi" w:cstheme="majorHAnsi"/>
          <w:sz w:val="20"/>
        </w:rPr>
        <w:t>U.N. Committee A</w:t>
      </w:r>
      <w:r w:rsidRPr="004F2222">
        <w:rPr>
          <w:rFonts w:asciiTheme="majorHAnsi" w:hAnsiTheme="majorHAnsi" w:cstheme="majorHAnsi"/>
          <w:sz w:val="20"/>
        </w:rPr>
        <w:t>gainst Torture, Concluding Observations on Yemen, U.N. Doc. CAT/C/YEM/CO/2/Rev.1, ¶ 11 (May 25, 2010);</w:t>
      </w:r>
      <w:r w:rsidRPr="004F2222">
        <w:rPr>
          <w:rFonts w:asciiTheme="majorHAnsi" w:hAnsiTheme="majorHAnsi" w:cstheme="majorHAnsi"/>
          <w:i/>
          <w:sz w:val="20"/>
        </w:rPr>
        <w:t xml:space="preserve"> </w:t>
      </w:r>
      <w:r>
        <w:rPr>
          <w:rFonts w:asciiTheme="majorHAnsi" w:hAnsiTheme="majorHAnsi" w:cstheme="majorHAnsi"/>
          <w:sz w:val="20"/>
        </w:rPr>
        <w:t>U.N. Committee A</w:t>
      </w:r>
      <w:r w:rsidRPr="004F2222">
        <w:rPr>
          <w:rFonts w:asciiTheme="majorHAnsi" w:hAnsiTheme="majorHAnsi" w:cstheme="majorHAnsi"/>
          <w:sz w:val="20"/>
        </w:rPr>
        <w:t>gainst Torture, Concluding Observations on Iraq, U.N. Doc. CAT/C/IRQ/CO/1, ¶ 12 (Sept. 7, 2015).</w:t>
      </w:r>
    </w:p>
  </w:footnote>
  <w:footnote w:id="95">
    <w:p w14:paraId="2E95277D" w14:textId="7999B2CC" w:rsidR="00E24593" w:rsidRPr="004F2222" w:rsidRDefault="00E24593" w:rsidP="00823EB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xml:space="preserve">, </w:t>
      </w:r>
      <w:r>
        <w:rPr>
          <w:rFonts w:asciiTheme="majorHAnsi" w:hAnsiTheme="majorHAnsi" w:cstheme="majorHAnsi"/>
          <w:sz w:val="20"/>
        </w:rPr>
        <w:t>U.N. Committee A</w:t>
      </w:r>
      <w:r w:rsidRPr="004F2222">
        <w:rPr>
          <w:rFonts w:asciiTheme="majorHAnsi" w:hAnsiTheme="majorHAnsi" w:cstheme="majorHAnsi"/>
          <w:sz w:val="20"/>
        </w:rPr>
        <w:t>gainst Torture, Concluding Observations on Ukraine, U.N. Doc. CAT/C/UKR/</w:t>
      </w:r>
      <w:r>
        <w:rPr>
          <w:rFonts w:asciiTheme="majorHAnsi" w:hAnsiTheme="majorHAnsi" w:cstheme="majorHAnsi"/>
          <w:sz w:val="20"/>
        </w:rPr>
        <w:t>CO/6</w:t>
      </w:r>
      <w:r w:rsidRPr="004F2222">
        <w:rPr>
          <w:rFonts w:asciiTheme="majorHAnsi" w:hAnsiTheme="majorHAnsi" w:cstheme="majorHAnsi"/>
          <w:sz w:val="20"/>
        </w:rPr>
        <w:t xml:space="preserve"> (Dec. 12, 2014)</w:t>
      </w:r>
      <w:r>
        <w:rPr>
          <w:rFonts w:asciiTheme="majorHAnsi" w:hAnsiTheme="majorHAnsi" w:cstheme="majorHAnsi"/>
          <w:sz w:val="20"/>
        </w:rPr>
        <w:t xml:space="preserve"> (“</w:t>
      </w:r>
      <w:r w:rsidRPr="00531E01">
        <w:rPr>
          <w:rFonts w:asciiTheme="majorHAnsi" w:hAnsiTheme="majorHAnsi" w:cstheme="majorHAnsi"/>
          <w:sz w:val="20"/>
        </w:rPr>
        <w:t xml:space="preserve">The Committee is gravely concerned at reports concerning . . . deprivation of life and other serious violations of the Convention perpetrated in </w:t>
      </w:r>
      <w:r>
        <w:rPr>
          <w:rFonts w:asciiTheme="majorHAnsi" w:hAnsiTheme="majorHAnsi" w:cstheme="majorHAnsi"/>
          <w:sz w:val="20"/>
        </w:rPr>
        <w:t>the context of [mass protests].”)</w:t>
      </w:r>
      <w:r w:rsidRPr="004F2222">
        <w:rPr>
          <w:rFonts w:asciiTheme="majorHAnsi" w:hAnsiTheme="majorHAnsi" w:cstheme="majorHAnsi"/>
          <w:sz w:val="20"/>
        </w:rPr>
        <w:t>.</w:t>
      </w:r>
    </w:p>
  </w:footnote>
  <w:footnote w:id="96">
    <w:p w14:paraId="2B18C01A" w14:textId="1D08A84B" w:rsidR="00E24593" w:rsidRPr="004F2222" w:rsidRDefault="00E24593" w:rsidP="00823EB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xml:space="preserve">, </w:t>
      </w:r>
      <w:r>
        <w:rPr>
          <w:rFonts w:asciiTheme="majorHAnsi" w:hAnsiTheme="majorHAnsi" w:cstheme="majorHAnsi"/>
          <w:sz w:val="20"/>
        </w:rPr>
        <w:t>U.N. Committee A</w:t>
      </w:r>
      <w:r w:rsidRPr="004F2222">
        <w:rPr>
          <w:rFonts w:asciiTheme="majorHAnsi" w:hAnsiTheme="majorHAnsi" w:cstheme="majorHAnsi"/>
          <w:sz w:val="20"/>
        </w:rPr>
        <w:t>gainst Torture, Concluding Observations on Turkmenistan, U.N. Doc. CAT/C/TKM/CO/2, ¶¶</w:t>
      </w:r>
      <w:r>
        <w:rPr>
          <w:rFonts w:asciiTheme="majorHAnsi" w:hAnsiTheme="majorHAnsi" w:cstheme="majorHAnsi"/>
          <w:sz w:val="20"/>
        </w:rPr>
        <w:t xml:space="preserve"> 7,</w:t>
      </w:r>
      <w:r w:rsidRPr="004F2222">
        <w:rPr>
          <w:rFonts w:asciiTheme="majorHAnsi" w:hAnsiTheme="majorHAnsi" w:cstheme="majorHAnsi"/>
          <w:sz w:val="20"/>
        </w:rPr>
        <w:t xml:space="preserve"> 14 (Jan. 23, 2017)</w:t>
      </w:r>
      <w:r>
        <w:rPr>
          <w:rFonts w:asciiTheme="majorHAnsi" w:hAnsiTheme="majorHAnsi" w:cstheme="majorHAnsi"/>
          <w:sz w:val="20"/>
        </w:rPr>
        <w:t xml:space="preserve"> (n</w:t>
      </w:r>
      <w:r w:rsidRPr="00DC6C72">
        <w:rPr>
          <w:rFonts w:asciiTheme="majorHAnsi" w:hAnsiTheme="majorHAnsi" w:cstheme="majorHAnsi"/>
          <w:sz w:val="20"/>
        </w:rPr>
        <w:t xml:space="preserve">oting that it was "deeply concerned about reports of deaths in custody," the Committee directed the State party to </w:t>
      </w:r>
      <w:r>
        <w:rPr>
          <w:rFonts w:asciiTheme="majorHAnsi" w:hAnsiTheme="majorHAnsi" w:cstheme="majorHAnsi"/>
          <w:sz w:val="20"/>
        </w:rPr>
        <w:t>“</w:t>
      </w:r>
      <w:r w:rsidRPr="00DC6C72">
        <w:rPr>
          <w:rFonts w:asciiTheme="majorHAnsi" w:hAnsiTheme="majorHAnsi" w:cstheme="majorHAnsi"/>
          <w:sz w:val="20"/>
        </w:rPr>
        <w:t>investigate all incidents of death in custody . . . [and] prosecute those responsible for violations of the Conve</w:t>
      </w:r>
      <w:r>
        <w:rPr>
          <w:rFonts w:asciiTheme="majorHAnsi" w:hAnsiTheme="majorHAnsi" w:cstheme="majorHAnsi"/>
          <w:sz w:val="20"/>
        </w:rPr>
        <w:t>ntion resulting in such deaths”).</w:t>
      </w:r>
    </w:p>
  </w:footnote>
  <w:footnote w:id="97">
    <w:p w14:paraId="1E9C9D00" w14:textId="4358E0F0"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xml:space="preserve">, </w:t>
      </w:r>
      <w:r>
        <w:rPr>
          <w:rFonts w:asciiTheme="majorHAnsi" w:hAnsiTheme="majorHAnsi" w:cstheme="majorHAnsi"/>
          <w:sz w:val="20"/>
        </w:rPr>
        <w:t>U.N. Committee A</w:t>
      </w:r>
      <w:r w:rsidRPr="004F2222">
        <w:rPr>
          <w:rFonts w:asciiTheme="majorHAnsi" w:hAnsiTheme="majorHAnsi" w:cstheme="majorHAnsi"/>
          <w:sz w:val="20"/>
        </w:rPr>
        <w:t xml:space="preserve">gainst Torture, Concluding Observations on Sierra Leone, U.N. Doc. CAT/C/SLE/CO/1 (June 20, 2014); </w:t>
      </w:r>
      <w:r>
        <w:rPr>
          <w:rFonts w:asciiTheme="majorHAnsi" w:hAnsiTheme="majorHAnsi" w:cstheme="majorHAnsi"/>
          <w:sz w:val="20"/>
        </w:rPr>
        <w:t>U.N. Committee A</w:t>
      </w:r>
      <w:r w:rsidRPr="004F2222">
        <w:rPr>
          <w:rFonts w:asciiTheme="majorHAnsi" w:hAnsiTheme="majorHAnsi" w:cstheme="majorHAnsi"/>
          <w:sz w:val="20"/>
        </w:rPr>
        <w:t xml:space="preserve">gainst Torture, Concluding Observations on Pakistan, U.N. Doc. CAT/C/PAK/CO/1, ¶¶ 6-7 (June 1, 2017); </w:t>
      </w:r>
      <w:r>
        <w:rPr>
          <w:rFonts w:asciiTheme="majorHAnsi" w:hAnsiTheme="majorHAnsi" w:cstheme="majorHAnsi"/>
          <w:sz w:val="20"/>
        </w:rPr>
        <w:t>U.N. Committee A</w:t>
      </w:r>
      <w:r w:rsidRPr="004F2222">
        <w:rPr>
          <w:rFonts w:asciiTheme="majorHAnsi" w:hAnsiTheme="majorHAnsi" w:cstheme="majorHAnsi"/>
          <w:sz w:val="20"/>
        </w:rPr>
        <w:t>gainst Torture, Concluding Observations on Rwanda, U.N. Doc. CAT/C/RWA/CO/2, ¶¶ 38-39 (Dec. 21, 2017).</w:t>
      </w:r>
    </w:p>
  </w:footnote>
  <w:footnote w:id="98">
    <w:p w14:paraId="18E365C9" w14:textId="64A260D2" w:rsidR="00E24593" w:rsidRPr="004F2222" w:rsidRDefault="00E24593" w:rsidP="0025420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International Covenant on Civil and Political Rights Human Rights Committee, Concluding observations on the initial report of Bangladesh, U.N. Doc. C/BDG/CO/1, ¶ 19 (Apr. 27, 2017).</w:t>
      </w:r>
    </w:p>
  </w:footnote>
  <w:footnote w:id="99">
    <w:p w14:paraId="1EA751C6" w14:textId="77777777" w:rsidR="00E24593" w:rsidRPr="004F2222" w:rsidRDefault="00E24593" w:rsidP="0040663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Human Rights Council, Compilation on Bangladesh, Report of the Office of the United Nations High Commissioner for Human Rights, U.N. Doc. A/HRC/WG.6/30/BGD/2, ¶ 21 (Mar. 19, 2018).</w:t>
      </w:r>
    </w:p>
  </w:footnote>
  <w:footnote w:id="100">
    <w:p w14:paraId="78BD0D67" w14:textId="3E3ABA50" w:rsidR="00E24593" w:rsidRPr="004F2222" w:rsidRDefault="00E24593" w:rsidP="0092618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i/>
          <w:sz w:val="20"/>
        </w:rPr>
        <w:t xml:space="preserve">The Committee </w:t>
      </w:r>
      <w:proofErr w:type="gramStart"/>
      <w:r w:rsidRPr="004F2222">
        <w:rPr>
          <w:rFonts w:asciiTheme="majorHAnsi" w:hAnsiTheme="majorHAnsi" w:cstheme="majorHAnsi"/>
          <w:i/>
          <w:sz w:val="20"/>
        </w:rPr>
        <w:t>Against</w:t>
      </w:r>
      <w:proofErr w:type="gramEnd"/>
      <w:r w:rsidRPr="004F2222">
        <w:rPr>
          <w:rFonts w:asciiTheme="majorHAnsi" w:hAnsiTheme="majorHAnsi" w:cstheme="majorHAnsi"/>
          <w:i/>
          <w:sz w:val="20"/>
        </w:rPr>
        <w:t xml:space="preserve"> Torture’s Approach to Extrajudicial Killing</w:t>
      </w:r>
      <w:r w:rsidRPr="004F2222">
        <w:rPr>
          <w:rFonts w:asciiTheme="majorHAnsi" w:hAnsiTheme="majorHAnsi" w:cstheme="majorHAnsi"/>
          <w:sz w:val="20"/>
        </w:rPr>
        <w:t>, OMCT (Aug. 7, 2018), http://blog.omct.org/the-committee-against-tortures-approach-to-extrajudicial-killing/.</w:t>
      </w:r>
    </w:p>
  </w:footnote>
  <w:footnote w:id="101">
    <w:p w14:paraId="07B81CA3" w14:textId="4A50EDFF" w:rsidR="00E24593" w:rsidRPr="004F2222" w:rsidRDefault="00E24593" w:rsidP="0092618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at 2.</w:t>
      </w:r>
    </w:p>
  </w:footnote>
  <w:footnote w:id="102">
    <w:p w14:paraId="6112A08F" w14:textId="6D7B7E0E" w:rsidR="00E24593" w:rsidRPr="004F2222" w:rsidRDefault="00E24593" w:rsidP="009066D4">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5</w:t>
      </w:r>
      <w:r>
        <w:rPr>
          <w:rFonts w:asciiTheme="majorHAnsi" w:hAnsiTheme="majorHAnsi" w:cstheme="majorHAnsi"/>
          <w:sz w:val="20"/>
        </w:rPr>
        <w:t>.</w:t>
      </w:r>
    </w:p>
  </w:footnote>
  <w:footnote w:id="103">
    <w:p w14:paraId="4A2B2610" w14:textId="52E1B9F8" w:rsidR="00E24593" w:rsidRPr="004F2222" w:rsidRDefault="00E24593" w:rsidP="00DD5AEA">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at 2.</w:t>
      </w:r>
    </w:p>
  </w:footnote>
  <w:footnote w:id="104">
    <w:p w14:paraId="4385D1CF" w14:textId="74013A14" w:rsidR="00E24593" w:rsidRPr="004F2222" w:rsidRDefault="00E24593" w:rsidP="0092618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 xml:space="preserve"> at 8.</w:t>
      </w:r>
    </w:p>
  </w:footnote>
  <w:footnote w:id="105">
    <w:p w14:paraId="4DC9030B" w14:textId="55B7217D" w:rsidR="00E24593" w:rsidRPr="004F2222" w:rsidRDefault="00E24593" w:rsidP="00E01E27">
      <w:pPr>
        <w:pStyle w:val="FootnoteText"/>
        <w:rPr>
          <w:rFonts w:asciiTheme="majorHAnsi" w:hAnsiTheme="majorHAnsi" w:cstheme="majorHAnsi"/>
          <w: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Julhas Alam,</w:t>
      </w:r>
      <w:r w:rsidRPr="004F2222">
        <w:rPr>
          <w:rFonts w:asciiTheme="majorHAnsi" w:hAnsiTheme="majorHAnsi" w:cstheme="majorHAnsi"/>
          <w:i/>
          <w:sz w:val="20"/>
        </w:rPr>
        <w:t xml:space="preserve"> Bangladesh detains 100 suspects in anti-drug crackdown</w:t>
      </w:r>
      <w:r w:rsidRPr="004F2222">
        <w:rPr>
          <w:rFonts w:asciiTheme="majorHAnsi" w:hAnsiTheme="majorHAnsi" w:cstheme="majorHAnsi"/>
          <w:sz w:val="20"/>
        </w:rPr>
        <w:t>, AP (May 26, 2018)</w:t>
      </w:r>
      <w:r w:rsidRPr="004F2222">
        <w:rPr>
          <w:rFonts w:asciiTheme="majorHAnsi" w:hAnsiTheme="majorHAnsi" w:cstheme="majorHAnsi"/>
          <w:i/>
          <w:sz w:val="20"/>
        </w:rPr>
        <w:t xml:space="preserve">, </w:t>
      </w:r>
      <w:r w:rsidRPr="004F2222">
        <w:rPr>
          <w:rFonts w:asciiTheme="majorHAnsi" w:hAnsiTheme="majorHAnsi" w:cstheme="majorHAnsi"/>
          <w:sz w:val="20"/>
        </w:rPr>
        <w:t xml:space="preserve">https://www.apnews.com/2a2cb627c589431e95a080b46859b27d (“Bangladesh’s leading English-language Daily Star newspaper reported Saturday that a total of 63 people had been killed since the anti-drug drive began on May 4. Other leading newspapers reported that some 3,000 people had been detained.”);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10 (Apr. 17, 2019), http://odhikar.org/wp-content/uploads/2019/04/HRR_Jannuary-March_2019_Eng.pdf. </w:t>
      </w:r>
    </w:p>
  </w:footnote>
  <w:footnote w:id="106">
    <w:p w14:paraId="33BF7525" w14:textId="493FB2F3" w:rsidR="00E24593" w:rsidRPr="004F2222" w:rsidRDefault="00E24593" w:rsidP="00BF269E">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Joint Written Statement to U.N. Human Rights Council at 2.</w:t>
      </w:r>
    </w:p>
  </w:footnote>
  <w:footnote w:id="107">
    <w:p w14:paraId="52FDCC0F" w14:textId="25D82F34" w:rsidR="00E24593" w:rsidRPr="004F2222" w:rsidRDefault="00E24593" w:rsidP="00150CA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Letter to the Government of Bangladesh, Mandates of the Working Group on Arbitrary Detention; the Working Group on Enforced or Involuntary Disappearances; the Special Rapporteur on extrajudicial, summary or arbitrary executions; et al., at 1-2 (June 6, 2018), https://spcommreports.ohchr.org/TMResultsBase/DownLoadPublicCommunicationFile?gId=23888.</w:t>
      </w:r>
    </w:p>
  </w:footnote>
  <w:footnote w:id="108">
    <w:p w14:paraId="6D8A2E18" w14:textId="482C8CD8" w:rsidR="00E24593" w:rsidRPr="004F2222" w:rsidRDefault="00E24593" w:rsidP="00BF269E">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Bangladesh 2018 Human Rights Report</w:t>
      </w:r>
      <w:r w:rsidRPr="004F2222">
        <w:rPr>
          <w:rFonts w:asciiTheme="majorHAnsi" w:hAnsiTheme="majorHAnsi" w:cstheme="majorHAnsi"/>
          <w:sz w:val="20"/>
        </w:rPr>
        <w:t xml:space="preserve"> at 2.</w:t>
      </w:r>
    </w:p>
  </w:footnote>
  <w:footnote w:id="109">
    <w:p w14:paraId="23809CC3" w14:textId="375F106D" w:rsidR="00E24593" w:rsidRPr="004F2222" w:rsidRDefault="00E24593" w:rsidP="00717828">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High Commissioner for Human Rights, Killings of suspected “drug offenders” in Bangladesh must stop – UN Human Rights Chief (June 6, 2018), https://www.ohchr.org/en/NewsEvents/Pages/DisplayNews.aspx?NewsID=23178&amp;LangID=E. </w:t>
      </w:r>
    </w:p>
  </w:footnote>
  <w:footnote w:id="110">
    <w:p w14:paraId="6F805406" w14:textId="54AA86DD" w:rsidR="00E24593" w:rsidRPr="004F2222" w:rsidRDefault="00E24593" w:rsidP="00717828">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HRSS, Monthly Human Rights Observation Report on Bangladesh: December 2018</w:t>
      </w:r>
      <w:r w:rsidRPr="004F2222">
        <w:rPr>
          <w:rFonts w:asciiTheme="majorHAnsi" w:hAnsiTheme="majorHAnsi" w:cstheme="majorHAnsi"/>
          <w:sz w:val="20"/>
        </w:rPr>
        <w:t>, 5 (Feb. 21, 2019), http://hrssbd.org/monthly-human-rights-report-december-2018/.</w:t>
      </w:r>
    </w:p>
  </w:footnote>
  <w:footnote w:id="111">
    <w:p w14:paraId="2924692F" w14:textId="529AE9F8" w:rsidR="00E24593" w:rsidRPr="004F2222" w:rsidRDefault="00E24593" w:rsidP="00717828">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sidRPr="004F2222">
        <w:rPr>
          <w:rFonts w:asciiTheme="majorHAnsi" w:hAnsiTheme="majorHAnsi" w:cstheme="majorHAnsi"/>
          <w:sz w:val="20"/>
        </w:rPr>
        <w:t xml:space="preserve"> HRSS </w:t>
      </w:r>
      <w:r w:rsidRPr="004F2222">
        <w:rPr>
          <w:rFonts w:asciiTheme="majorHAnsi" w:hAnsiTheme="majorHAnsi" w:cstheme="majorHAnsi"/>
          <w:smallCaps/>
          <w:sz w:val="20"/>
        </w:rPr>
        <w:t>January-February 2019 Report</w:t>
      </w:r>
      <w:r w:rsidRPr="004F2222">
        <w:rPr>
          <w:rFonts w:asciiTheme="majorHAnsi" w:hAnsiTheme="majorHAnsi" w:cstheme="majorHAnsi"/>
          <w:sz w:val="20"/>
        </w:rPr>
        <w:t xml:space="preserve"> at 7.</w:t>
      </w:r>
    </w:p>
  </w:footnote>
  <w:footnote w:id="112">
    <w:p w14:paraId="6AB0AF70" w14:textId="5AD763DA" w:rsidR="00E24593" w:rsidRPr="00F93216" w:rsidRDefault="00E24593" w:rsidP="00717828">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BA3FDA">
        <w:rPr>
          <w:rFonts w:cstheme="minorHAnsi"/>
          <w:smallCaps/>
          <w:sz w:val="20"/>
        </w:rPr>
        <w:t>U.S. Department of State, Bang</w:t>
      </w:r>
      <w:r>
        <w:rPr>
          <w:rFonts w:cstheme="minorHAnsi"/>
          <w:smallCaps/>
          <w:sz w:val="20"/>
        </w:rPr>
        <w:t>ladesh 2018 Human Rights Report</w:t>
      </w:r>
      <w:r w:rsidRPr="00BA3FDA">
        <w:rPr>
          <w:rFonts w:cstheme="minorHAnsi"/>
          <w:smallCaps/>
          <w:sz w:val="20"/>
        </w:rPr>
        <w:t xml:space="preserve"> </w:t>
      </w:r>
      <w:r>
        <w:rPr>
          <w:rFonts w:cstheme="minorHAnsi"/>
          <w:sz w:val="20"/>
        </w:rPr>
        <w:t>at 3.</w:t>
      </w:r>
    </w:p>
  </w:footnote>
  <w:footnote w:id="113">
    <w:p w14:paraId="246130BF" w14:textId="356C0A06" w:rsidR="00E24593" w:rsidRPr="004F2222" w:rsidRDefault="00E24593" w:rsidP="00717828">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HRSS, Monthly Human Rights Observation Report on Bangladesh: December 2018</w:t>
      </w:r>
      <w:r w:rsidRPr="004F2222">
        <w:rPr>
          <w:rFonts w:asciiTheme="majorHAnsi" w:hAnsiTheme="majorHAnsi" w:cstheme="majorHAnsi"/>
          <w:sz w:val="20"/>
        </w:rPr>
        <w:t>, 8 (Feb. 21, 2019), http://hrssbd.org/monthly-human-rights-report-december-2018/.</w:t>
      </w:r>
    </w:p>
  </w:footnote>
  <w:footnote w:id="114">
    <w:p w14:paraId="5950A4E9" w14:textId="015364EF"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z w:val="20"/>
        </w:rPr>
        <w:t>Guerrero Larez v. Venezuela, U.N. Doc. C</w:t>
      </w:r>
      <w:r>
        <w:rPr>
          <w:rFonts w:asciiTheme="majorHAnsi" w:hAnsiTheme="majorHAnsi" w:cstheme="majorHAnsi"/>
          <w:sz w:val="20"/>
        </w:rPr>
        <w:t>AT/C/54/D/456/2011 (U.N. Comm. A</w:t>
      </w:r>
      <w:r w:rsidRPr="004F2222">
        <w:rPr>
          <w:rFonts w:asciiTheme="majorHAnsi" w:hAnsiTheme="majorHAnsi" w:cstheme="majorHAnsi"/>
          <w:sz w:val="20"/>
        </w:rPr>
        <w:t xml:space="preserve">gainst Torture May, 15, 2015); </w:t>
      </w:r>
      <w:r w:rsidRPr="004F2222">
        <w:rPr>
          <w:rFonts w:asciiTheme="majorHAnsi" w:hAnsiTheme="majorHAnsi" w:cstheme="majorHAnsi"/>
          <w:i/>
          <w:sz w:val="20"/>
        </w:rPr>
        <w:t>see also</w:t>
      </w:r>
      <w:r w:rsidRPr="004F2222">
        <w:rPr>
          <w:rFonts w:asciiTheme="majorHAnsi" w:hAnsiTheme="majorHAnsi" w:cstheme="majorHAnsi"/>
          <w:sz w:val="20"/>
        </w:rPr>
        <w:t xml:space="preserve"> </w:t>
      </w:r>
      <w:r>
        <w:rPr>
          <w:rFonts w:asciiTheme="majorHAnsi" w:hAnsiTheme="majorHAnsi" w:cstheme="majorHAnsi"/>
          <w:sz w:val="20"/>
        </w:rPr>
        <w:t>U.N. Committee A</w:t>
      </w:r>
      <w:r w:rsidRPr="004F2222">
        <w:rPr>
          <w:rFonts w:asciiTheme="majorHAnsi" w:hAnsiTheme="majorHAnsi" w:cstheme="majorHAnsi"/>
          <w:sz w:val="20"/>
        </w:rPr>
        <w:t>gainst Torture, Concluding Observations on Kenya, U.N. Doc. CAT/C/KEN/CO/1, ¶ 20 (Jan. 19, 2009).</w:t>
      </w:r>
    </w:p>
  </w:footnote>
  <w:footnote w:id="115">
    <w:p w14:paraId="6B094786" w14:textId="2BFA259F" w:rsidR="00E24593" w:rsidRPr="004F2222" w:rsidRDefault="00E24593" w:rsidP="0075601E">
      <w:pPr>
        <w:pStyle w:val="BodyText"/>
        <w:spacing w:after="120"/>
        <w:rPr>
          <w:rFonts w:asciiTheme="majorHAnsi" w:hAnsiTheme="majorHAnsi" w:cstheme="majorHAnsi"/>
          <w:sz w:val="20"/>
          <w:szCs w:val="20"/>
        </w:rPr>
      </w:pPr>
      <w:r w:rsidRPr="004F2222">
        <w:rPr>
          <w:rStyle w:val="FootnoteReference"/>
          <w:rFonts w:asciiTheme="majorHAnsi" w:hAnsiTheme="majorHAnsi" w:cstheme="majorHAnsi"/>
          <w:sz w:val="20"/>
          <w:szCs w:val="20"/>
        </w:rPr>
        <w:footnoteRef/>
      </w:r>
      <w:r w:rsidRPr="004F2222">
        <w:rPr>
          <w:rFonts w:asciiTheme="majorHAnsi" w:hAnsiTheme="majorHAnsi" w:cstheme="majorHAnsi"/>
          <w:sz w:val="20"/>
          <w:szCs w:val="20"/>
        </w:rPr>
        <w:t xml:space="preserve"> </w:t>
      </w:r>
      <w:r w:rsidRPr="004F2222">
        <w:rPr>
          <w:rFonts w:asciiTheme="majorHAnsi" w:hAnsiTheme="majorHAnsi" w:cstheme="majorHAnsi"/>
          <w:i/>
          <w:sz w:val="20"/>
          <w:szCs w:val="20"/>
        </w:rPr>
        <w:t>See, e.g.</w:t>
      </w:r>
      <w:r>
        <w:rPr>
          <w:rFonts w:asciiTheme="majorHAnsi" w:hAnsiTheme="majorHAnsi" w:cstheme="majorHAnsi"/>
          <w:sz w:val="20"/>
          <w:szCs w:val="20"/>
        </w:rPr>
        <w:t>, U.N. Committee A</w:t>
      </w:r>
      <w:r w:rsidRPr="004F2222">
        <w:rPr>
          <w:rFonts w:asciiTheme="majorHAnsi" w:hAnsiTheme="majorHAnsi" w:cstheme="majorHAnsi"/>
          <w:sz w:val="20"/>
          <w:szCs w:val="20"/>
        </w:rPr>
        <w:t xml:space="preserve">gainst Torture, Concluding Observations on China, U.N. Doc. CAT/C/CHN/CO/4, ¶ 14 (Dec. 12, 2008). As such, the Committee requests that States parties include information on “incommunicado detention” in their reports under Articles 2(1) and 11, which require measures to prevent torture. </w:t>
      </w:r>
      <w:r w:rsidRPr="004F2222">
        <w:rPr>
          <w:rFonts w:asciiTheme="majorHAnsi" w:hAnsiTheme="majorHAnsi" w:cstheme="majorHAnsi"/>
          <w:i/>
          <w:sz w:val="20"/>
          <w:szCs w:val="20"/>
        </w:rPr>
        <w:t>See</w:t>
      </w:r>
      <w:r w:rsidRPr="004F2222">
        <w:rPr>
          <w:rFonts w:asciiTheme="majorHAnsi" w:hAnsiTheme="majorHAnsi" w:cstheme="majorHAnsi"/>
          <w:sz w:val="20"/>
          <w:szCs w:val="20"/>
        </w:rPr>
        <w:t xml:space="preserve"> </w:t>
      </w:r>
      <w:r w:rsidRPr="004F2222">
        <w:rPr>
          <w:rFonts w:asciiTheme="majorHAnsi" w:hAnsiTheme="majorHAnsi" w:cstheme="majorHAnsi"/>
          <w:smallCaps/>
          <w:sz w:val="20"/>
          <w:szCs w:val="20"/>
        </w:rPr>
        <w:t>U.N. Comm. on Torture</w:t>
      </w:r>
      <w:r w:rsidRPr="004F2222">
        <w:rPr>
          <w:rFonts w:asciiTheme="majorHAnsi" w:hAnsiTheme="majorHAnsi" w:cstheme="majorHAnsi"/>
          <w:sz w:val="20"/>
          <w:szCs w:val="20"/>
        </w:rPr>
        <w:t xml:space="preserve">, </w:t>
      </w:r>
      <w:r w:rsidRPr="004F2222">
        <w:rPr>
          <w:rFonts w:asciiTheme="majorHAnsi" w:hAnsiTheme="majorHAnsi" w:cstheme="majorHAnsi"/>
          <w:smallCaps/>
          <w:sz w:val="20"/>
          <w:szCs w:val="20"/>
        </w:rPr>
        <w:t>Guidelines on the Form and Content of Initial Reports under Article 19 to be Submitted by States Parties to the Convention Against Torture</w:t>
      </w:r>
      <w:r w:rsidRPr="004F2222">
        <w:rPr>
          <w:rFonts w:asciiTheme="majorHAnsi" w:hAnsiTheme="majorHAnsi" w:cstheme="majorHAnsi"/>
          <w:sz w:val="20"/>
          <w:szCs w:val="20"/>
        </w:rPr>
        <w:t>, U.N. Doc. CAT/C/4/Rev.3, §§ 8, 20.</w:t>
      </w:r>
    </w:p>
  </w:footnote>
  <w:footnote w:id="116">
    <w:p w14:paraId="6E8438E3" w14:textId="18DB050B" w:rsidR="00E24593" w:rsidRPr="004F2222" w:rsidRDefault="00E24593" w:rsidP="00A102F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Human Rights Council, Working Group on Enforced or Involuntary Disappearances, Communications, cases examined, observations, and other activities conducted by the Working Group on Enforced or Involuntary Disappearances, A/ HRC/WGEID/111/1, Annex II, ¶ 3 (Apr. 24, 2017).</w:t>
      </w:r>
    </w:p>
  </w:footnote>
  <w:footnote w:id="117">
    <w:p w14:paraId="618746DC" w14:textId="2CB31AC2" w:rsidR="00E24593" w:rsidRPr="004F2222" w:rsidRDefault="00E24593" w:rsidP="00A102F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at ¶ 2.</w:t>
      </w:r>
    </w:p>
  </w:footnote>
  <w:footnote w:id="118">
    <w:p w14:paraId="489DD381" w14:textId="448F040F" w:rsidR="00E24593" w:rsidRPr="004F2222" w:rsidRDefault="00E24593" w:rsidP="00E57D4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 xml:space="preserve"> at ¶ 4.</w:t>
      </w:r>
    </w:p>
  </w:footnote>
  <w:footnote w:id="119">
    <w:p w14:paraId="79112FF3" w14:textId="16A41229" w:rsidR="00E24593" w:rsidRPr="004F2222" w:rsidRDefault="00E24593" w:rsidP="00A102F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 xml:space="preserve"> at</w:t>
      </w:r>
      <w:r>
        <w:rPr>
          <w:rFonts w:asciiTheme="majorHAnsi" w:hAnsiTheme="majorHAnsi" w:cstheme="majorHAnsi"/>
          <w:sz w:val="20"/>
        </w:rPr>
        <w:t xml:space="preserve"> </w:t>
      </w:r>
      <w:r w:rsidRPr="004F2222">
        <w:rPr>
          <w:rFonts w:asciiTheme="majorHAnsi" w:hAnsiTheme="majorHAnsi" w:cstheme="majorHAnsi"/>
          <w:sz w:val="20"/>
        </w:rPr>
        <w:t>¶ 5.</w:t>
      </w:r>
    </w:p>
  </w:footnote>
  <w:footnote w:id="120">
    <w:p w14:paraId="7072FACF" w14:textId="170B91B9" w:rsidR="00E24593" w:rsidRPr="004F2222" w:rsidRDefault="00E24593" w:rsidP="00615D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Human Rights Council, Report of the Working Group on Enforced or Involuntary Disappearances, at 12 &amp; ¶ 84, U.N. Doc. A/HRC/39/46 (July 30, 2018); </w:t>
      </w:r>
      <w:r w:rsidRPr="004F2222">
        <w:rPr>
          <w:rFonts w:asciiTheme="majorHAnsi" w:hAnsiTheme="majorHAnsi" w:cstheme="majorHAnsi"/>
          <w:i/>
          <w:sz w:val="20"/>
        </w:rPr>
        <w:t>id.</w:t>
      </w:r>
      <w:r w:rsidRPr="004F2222">
        <w:rPr>
          <w:rFonts w:asciiTheme="majorHAnsi" w:hAnsiTheme="majorHAnsi" w:cstheme="majorHAnsi"/>
          <w:sz w:val="20"/>
        </w:rPr>
        <w:t>at Annex II.</w:t>
      </w:r>
    </w:p>
  </w:footnote>
  <w:footnote w:id="121">
    <w:p w14:paraId="2424144E" w14:textId="0934127B"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w:t>
      </w:r>
      <w:r>
        <w:rPr>
          <w:rFonts w:asciiTheme="majorHAnsi" w:hAnsiTheme="majorHAnsi" w:cstheme="majorHAnsi"/>
          <w:sz w:val="20"/>
        </w:rPr>
        <w:t xml:space="preserve"> </w:t>
      </w:r>
      <w:r>
        <w:rPr>
          <w:rFonts w:asciiTheme="majorHAnsi" w:hAnsiTheme="majorHAnsi" w:cstheme="majorHAnsi"/>
          <w:i/>
          <w:sz w:val="20"/>
        </w:rPr>
        <w:t>id.</w:t>
      </w:r>
      <w:r>
        <w:rPr>
          <w:rFonts w:asciiTheme="majorHAnsi" w:hAnsiTheme="majorHAnsi" w:cstheme="majorHAnsi"/>
          <w:sz w:val="20"/>
        </w:rPr>
        <w:t xml:space="preserve"> </w:t>
      </w:r>
      <w:proofErr w:type="gramStart"/>
      <w:r>
        <w:rPr>
          <w:rFonts w:asciiTheme="majorHAnsi" w:hAnsiTheme="majorHAnsi" w:cstheme="majorHAnsi"/>
          <w:sz w:val="20"/>
        </w:rPr>
        <w:t>at</w:t>
      </w:r>
      <w:proofErr w:type="gramEnd"/>
      <w:r w:rsidRPr="004F2222">
        <w:rPr>
          <w:rFonts w:asciiTheme="majorHAnsi" w:hAnsiTheme="majorHAnsi" w:cstheme="majorHAnsi"/>
          <w:sz w:val="20"/>
        </w:rPr>
        <w:t xml:space="preserve"> ¶¶ 26, 84, Annex I; </w:t>
      </w:r>
      <w:r w:rsidRPr="004F2222">
        <w:rPr>
          <w:rFonts w:asciiTheme="majorHAnsi" w:hAnsiTheme="majorHAnsi" w:cstheme="majorHAnsi"/>
          <w:i/>
          <w:sz w:val="20"/>
        </w:rPr>
        <w:t xml:space="preserve">see also </w:t>
      </w:r>
      <w:r w:rsidRPr="004F2222">
        <w:rPr>
          <w:rFonts w:asciiTheme="majorHAnsi" w:hAnsiTheme="majorHAnsi" w:cstheme="majorHAnsi"/>
          <w:sz w:val="20"/>
        </w:rPr>
        <w:t>U.N. Human Rights Council, Compilation on Bangladesh, Report of the Office of the United Nations High Commissioner for Human Rights, U.N. Doc. A/HRC/WG.6/30/BGD/2, ¶ 9 (Mar. 19, 2018).</w:t>
      </w:r>
    </w:p>
  </w:footnote>
  <w:footnote w:id="122">
    <w:p w14:paraId="69EE7022" w14:textId="1001D8B5" w:rsidR="00E24593" w:rsidRPr="004F2222" w:rsidRDefault="00E24593" w:rsidP="00615D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14; s</w:t>
      </w:r>
      <w:r w:rsidRPr="004F2222">
        <w:rPr>
          <w:rFonts w:asciiTheme="majorHAnsi" w:hAnsiTheme="majorHAnsi" w:cstheme="majorHAnsi"/>
          <w:i/>
          <w:sz w:val="20"/>
        </w:rPr>
        <w:t>ee also</w:t>
      </w:r>
      <w:r w:rsidRPr="004F2222">
        <w:rPr>
          <w:rFonts w:asciiTheme="majorHAnsi" w:hAnsiTheme="majorHAnsi" w:cstheme="majorHAnsi"/>
          <w:sz w:val="20"/>
        </w:rPr>
        <w:t xml:space="preserve"> HRSS </w:t>
      </w:r>
      <w:r w:rsidRPr="004F2222">
        <w:rPr>
          <w:rFonts w:asciiTheme="majorHAnsi" w:hAnsiTheme="majorHAnsi" w:cstheme="majorHAnsi"/>
          <w:smallCaps/>
          <w:sz w:val="20"/>
        </w:rPr>
        <w:t>January-February 2019 Report</w:t>
      </w:r>
      <w:r w:rsidRPr="004F2222">
        <w:rPr>
          <w:rFonts w:asciiTheme="majorHAnsi" w:hAnsiTheme="majorHAnsi" w:cstheme="majorHAnsi"/>
          <w:sz w:val="20"/>
        </w:rPr>
        <w:t xml:space="preserve"> at 7.</w:t>
      </w:r>
    </w:p>
  </w:footnote>
  <w:footnote w:id="123">
    <w:p w14:paraId="7B50AEC6" w14:textId="3D03F7B7" w:rsidR="00E24593" w:rsidRPr="004F2222" w:rsidRDefault="00E24593" w:rsidP="00615D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mallCaps/>
          <w:sz w:val="20"/>
        </w:rPr>
        <w:t>Odhikar, Human Rights Monitoring Report on Bangladesh, Reporting Period: 1-30 November 2018</w:t>
      </w:r>
      <w:r w:rsidRPr="004F2222">
        <w:rPr>
          <w:rFonts w:asciiTheme="majorHAnsi" w:hAnsiTheme="majorHAnsi" w:cstheme="majorHAnsi"/>
          <w:sz w:val="20"/>
        </w:rPr>
        <w:t>, 4</w:t>
      </w:r>
      <w:r w:rsidRPr="004F2222">
        <w:rPr>
          <w:rFonts w:asciiTheme="majorHAnsi" w:hAnsiTheme="majorHAnsi" w:cstheme="majorHAnsi"/>
          <w:smallCaps/>
          <w:sz w:val="20"/>
        </w:rPr>
        <w:t xml:space="preserve"> </w:t>
      </w:r>
      <w:r w:rsidRPr="004F2222">
        <w:rPr>
          <w:rFonts w:asciiTheme="majorHAnsi" w:hAnsiTheme="majorHAnsi" w:cstheme="majorHAnsi"/>
          <w:sz w:val="20"/>
        </w:rPr>
        <w:t>(Dec. 9, 2018), http://odhikar.org/wp-content/uploads/2018/12/human-rights-monitoring-report-November-2018_Eng.pdf.</w:t>
      </w:r>
    </w:p>
  </w:footnote>
  <w:footnote w:id="124">
    <w:p w14:paraId="413D05A4" w14:textId="10F7D415" w:rsidR="00E24593" w:rsidRPr="004F2222" w:rsidRDefault="00E24593" w:rsidP="00BF75BD">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 xml:space="preserve">U.N. Human Rights Council, Written statement submitted by the Asian Legal Resource Centre, an NGO in general consultative status, U.N. Doc. A/HRC/39/NGO/103, 2 (Sept. 3, 2018); </w:t>
      </w:r>
      <w:r w:rsidRPr="004F2222">
        <w:rPr>
          <w:rFonts w:asciiTheme="majorHAnsi" w:hAnsiTheme="majorHAnsi" w:cstheme="majorHAnsi"/>
          <w:i/>
          <w:sz w:val="20"/>
        </w:rPr>
        <w:t>see also</w:t>
      </w:r>
      <w:r w:rsidRPr="004F2222">
        <w:rPr>
          <w:rFonts w:asciiTheme="majorHAnsi" w:hAnsiTheme="majorHAnsi" w:cstheme="majorHAnsi"/>
          <w:sz w:val="20"/>
        </w:rPr>
        <w:t xml:space="preserve"> </w:t>
      </w:r>
      <w:r w:rsidRPr="004F2222">
        <w:rPr>
          <w:rFonts w:asciiTheme="majorHAnsi" w:hAnsiTheme="majorHAnsi" w:cstheme="majorHAnsi"/>
          <w:smallCaps/>
          <w:sz w:val="20"/>
        </w:rPr>
        <w:t>“We Don’t Have Him”</w:t>
      </w:r>
      <w:r w:rsidRPr="004F2222">
        <w:rPr>
          <w:rFonts w:asciiTheme="majorHAnsi" w:hAnsiTheme="majorHAnsi" w:cstheme="majorHAnsi"/>
          <w:sz w:val="20"/>
        </w:rPr>
        <w:t xml:space="preserve"> at 37.</w:t>
      </w:r>
    </w:p>
  </w:footnote>
  <w:footnote w:id="125">
    <w:p w14:paraId="20B8D5FA" w14:textId="082D3BAC" w:rsidR="00E24593" w:rsidRPr="004F2222" w:rsidRDefault="00E24593" w:rsidP="00DB0ECD">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mallCaps/>
          <w:sz w:val="20"/>
        </w:rPr>
        <w:t xml:space="preserve">“No Right to Live” </w:t>
      </w:r>
      <w:r w:rsidRPr="004F2222">
        <w:rPr>
          <w:rFonts w:asciiTheme="majorHAnsi" w:hAnsiTheme="majorHAnsi" w:cstheme="majorHAnsi"/>
          <w:sz w:val="20"/>
        </w:rPr>
        <w:t xml:space="preserve">at 2, 25; </w:t>
      </w:r>
      <w:r w:rsidRPr="004F2222">
        <w:rPr>
          <w:rFonts w:asciiTheme="majorHAnsi" w:hAnsiTheme="majorHAnsi" w:cstheme="majorHAnsi"/>
          <w:i/>
          <w:sz w:val="20"/>
        </w:rPr>
        <w:t xml:space="preserve">Exclusive: Officer Exposes Brutal Killings by Bangladeshi Elite Police Unit RAB </w:t>
      </w:r>
      <w:r w:rsidRPr="004F2222">
        <w:rPr>
          <w:rFonts w:asciiTheme="majorHAnsi" w:hAnsiTheme="majorHAnsi" w:cstheme="majorHAnsi"/>
          <w:smallCaps/>
          <w:sz w:val="20"/>
        </w:rPr>
        <w:t>Swedish Radio</w:t>
      </w:r>
      <w:r w:rsidRPr="004F2222">
        <w:rPr>
          <w:rFonts w:asciiTheme="majorHAnsi" w:hAnsiTheme="majorHAnsi" w:cstheme="majorHAnsi"/>
          <w:sz w:val="20"/>
        </w:rPr>
        <w:t xml:space="preserve"> (Apr. 4, 2017), http://sverigesradio.se/sida/artikel.aspx?programid=83&amp;artikel=6665807; </w:t>
      </w:r>
      <w:r w:rsidRPr="004F2222">
        <w:rPr>
          <w:rFonts w:asciiTheme="majorHAnsi" w:hAnsiTheme="majorHAnsi" w:cstheme="majorHAnsi"/>
          <w:i/>
          <w:sz w:val="20"/>
        </w:rPr>
        <w:t>cf.</w:t>
      </w:r>
      <w:r w:rsidRPr="004F2222">
        <w:rPr>
          <w:rFonts w:asciiTheme="majorHAnsi" w:hAnsiTheme="majorHAnsi" w:cstheme="majorHAnsi"/>
          <w:sz w:val="20"/>
        </w:rPr>
        <w:t xml:space="preserve"> </w:t>
      </w:r>
      <w:r w:rsidRPr="004F2222">
        <w:rPr>
          <w:rFonts w:asciiTheme="majorHAnsi" w:hAnsiTheme="majorHAnsi" w:cstheme="majorHAnsi"/>
          <w:smallCaps/>
          <w:sz w:val="20"/>
        </w:rPr>
        <w:t>“We Don’t Have Him”</w:t>
      </w:r>
      <w:r w:rsidRPr="004F2222">
        <w:rPr>
          <w:rFonts w:asciiTheme="majorHAnsi" w:hAnsiTheme="majorHAnsi" w:cstheme="majorHAnsi"/>
          <w:sz w:val="20"/>
        </w:rPr>
        <w:t xml:space="preserve"> at 2; </w:t>
      </w:r>
      <w:r w:rsidRPr="004F2222">
        <w:rPr>
          <w:rFonts w:asciiTheme="majorHAnsi" w:hAnsiTheme="majorHAnsi" w:cstheme="majorHAnsi"/>
          <w:smallCaps/>
          <w:sz w:val="20"/>
        </w:rPr>
        <w:t>U.S. Department of State, Bangladesh 2018 Human Rights Report</w:t>
      </w:r>
      <w:r w:rsidRPr="004F2222">
        <w:rPr>
          <w:rFonts w:asciiTheme="majorHAnsi" w:hAnsiTheme="majorHAnsi" w:cstheme="majorHAnsi"/>
          <w:sz w:val="20"/>
        </w:rPr>
        <w:t xml:space="preserve"> at 4;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14 n.18 (Apr. 17, 2019). </w:t>
      </w:r>
    </w:p>
  </w:footnote>
  <w:footnote w:id="126">
    <w:p w14:paraId="6B249979" w14:textId="2056C8E2" w:rsidR="00E24593" w:rsidRPr="004F2222" w:rsidRDefault="00E24593" w:rsidP="00615DAC">
      <w:pPr>
        <w:pStyle w:val="FootnoteText"/>
        <w:rPr>
          <w:rFonts w:asciiTheme="majorHAnsi" w:hAnsiTheme="majorHAnsi" w:cstheme="majorHAnsi"/>
          <w: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Mandates of the Working Group on Enforced or Involuntary Disappearances; the Special Rapporteur on the independence of judges and lawyers; and the Special Rapporteur on torture and other cruel, inhuman or degrading treatment or punishment (Oct. 28, 2016), https://spcommreports.ohchr.org/TMResultsBase/DownLoadPublicCommunicationFile?gId=22827. The ICT was established in 2009 to investigate and prosecute crimes allegedly committed during Bangladesh’s fight for independence in 1971.</w:t>
      </w:r>
    </w:p>
  </w:footnote>
  <w:footnote w:id="127">
    <w:p w14:paraId="5CCF77B7" w14:textId="4EF512DC" w:rsidR="00E24593" w:rsidRPr="004F2222" w:rsidRDefault="00E24593" w:rsidP="00615D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Mandates of the Working Group on Enforced or Involuntary Disappearances; the Special Rapporteur on the independence of judges and lawyers; and the Special Rapporteur on torture and other cruel, inhuman or degrading treatment or punishment, at 3 (Oct. 28, 2016) (emphasis added); Torture and other cruel, inhuman or degrading treatment or punishment, U.N. Res. A/RES/68/156, ¶ 27; </w:t>
      </w:r>
      <w:r w:rsidRPr="004F2222">
        <w:rPr>
          <w:rFonts w:asciiTheme="majorHAnsi" w:hAnsiTheme="majorHAnsi" w:cstheme="majorHAnsi"/>
          <w:i/>
          <w:sz w:val="20"/>
        </w:rPr>
        <w:t>see also</w:t>
      </w:r>
      <w:r w:rsidRPr="004F2222">
        <w:rPr>
          <w:rFonts w:asciiTheme="majorHAnsi" w:hAnsiTheme="majorHAnsi" w:cstheme="majorHAnsi"/>
          <w:sz w:val="20"/>
        </w:rPr>
        <w:t xml:space="preserve"> Decision of the Committee against Torture under article 22 of the Convention against Torture and Other Cruel, Inhuman or Degrading Treatment or Punishment (fifty-fourth session), Communication No. 456/2011, ¶ 6.6 (May 15, 2015); Statute of the International Criminal Court, UN Doc. A/Conf.183/9 art. 7(1</w:t>
      </w:r>
      <w:proofErr w:type="gramStart"/>
      <w:r w:rsidRPr="004F2222">
        <w:rPr>
          <w:rFonts w:asciiTheme="majorHAnsi" w:hAnsiTheme="majorHAnsi" w:cstheme="majorHAnsi"/>
          <w:sz w:val="20"/>
        </w:rPr>
        <w:t>)(</w:t>
      </w:r>
      <w:proofErr w:type="gramEnd"/>
      <w:r w:rsidRPr="004F2222">
        <w:rPr>
          <w:rFonts w:asciiTheme="majorHAnsi" w:hAnsiTheme="majorHAnsi" w:cstheme="majorHAnsi"/>
          <w:sz w:val="20"/>
        </w:rPr>
        <w:t>i) (July 17, 1998) (to which Bangladesh is a party); International Convention for the Protection of All Persons from Enforced Disappearance, UN Res. 61/177, art. 5 (Dec. 20, 2006).</w:t>
      </w:r>
    </w:p>
  </w:footnote>
  <w:footnote w:id="128">
    <w:p w14:paraId="11FAD95D" w14:textId="5C7CBFC8" w:rsidR="00E24593" w:rsidRPr="004F2222" w:rsidRDefault="00E24593" w:rsidP="00615D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Pr>
          <w:rFonts w:asciiTheme="majorHAnsi" w:hAnsiTheme="majorHAnsi" w:cstheme="majorHAnsi"/>
          <w:i/>
          <w:sz w:val="20"/>
        </w:rPr>
        <w:t xml:space="preserve"> See</w:t>
      </w:r>
      <w:r>
        <w:rPr>
          <w:rFonts w:asciiTheme="majorHAnsi" w:hAnsiTheme="majorHAnsi" w:cstheme="majorHAnsi"/>
          <w:sz w:val="20"/>
        </w:rPr>
        <w:t xml:space="preserve"> </w:t>
      </w:r>
      <w:r w:rsidRPr="004F2222">
        <w:rPr>
          <w:rFonts w:asciiTheme="majorHAnsi" w:hAnsiTheme="majorHAnsi" w:cstheme="majorHAnsi"/>
          <w:i/>
          <w:sz w:val="20"/>
        </w:rPr>
        <w:t>Second Anniversary of Mir Ahmad Bin Quasem’s Abduction. His Family Speaks</w:t>
      </w:r>
      <w:r w:rsidRPr="004F2222">
        <w:rPr>
          <w:rFonts w:asciiTheme="majorHAnsi" w:hAnsiTheme="majorHAnsi" w:cstheme="majorHAnsi"/>
          <w:sz w:val="20"/>
        </w:rPr>
        <w:t xml:space="preserve">, </w:t>
      </w:r>
      <w:r w:rsidRPr="004F2222">
        <w:rPr>
          <w:rFonts w:asciiTheme="majorHAnsi" w:hAnsiTheme="majorHAnsi" w:cstheme="majorHAnsi"/>
          <w:smallCaps/>
          <w:sz w:val="20"/>
        </w:rPr>
        <w:t>Free Arman</w:t>
      </w:r>
      <w:r w:rsidRPr="004F2222">
        <w:rPr>
          <w:rFonts w:asciiTheme="majorHAnsi" w:hAnsiTheme="majorHAnsi" w:cstheme="majorHAnsi"/>
          <w:sz w:val="20"/>
        </w:rPr>
        <w:t xml:space="preserve"> (Aug. 9, 2018), https://www.freearman.com/news/second-anniversary-of-mir-ahmad-bin-quasems-abduction-his-family-speaks</w:t>
      </w:r>
      <w:r>
        <w:rPr>
          <w:rFonts w:asciiTheme="majorHAnsi" w:hAnsiTheme="majorHAnsi" w:cstheme="majorHAnsi"/>
          <w:sz w:val="20"/>
        </w:rPr>
        <w:t>.</w:t>
      </w:r>
    </w:p>
  </w:footnote>
  <w:footnote w:id="129">
    <w:p w14:paraId="5F717F01" w14:textId="2B06FE6F" w:rsidR="00E24593" w:rsidRPr="004F2222" w:rsidRDefault="00E24593" w:rsidP="00615D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i/>
          <w:sz w:val="20"/>
        </w:rPr>
        <w:t xml:space="preserve">Hummam Quader Cannot Remember Anything </w:t>
      </w:r>
      <w:proofErr w:type="gramStart"/>
      <w:r w:rsidRPr="004F2222">
        <w:rPr>
          <w:rFonts w:asciiTheme="majorHAnsi" w:hAnsiTheme="majorHAnsi" w:cstheme="majorHAnsi"/>
          <w:i/>
          <w:sz w:val="20"/>
        </w:rPr>
        <w:t>About</w:t>
      </w:r>
      <w:proofErr w:type="gramEnd"/>
      <w:r w:rsidRPr="004F2222">
        <w:rPr>
          <w:rFonts w:asciiTheme="majorHAnsi" w:hAnsiTheme="majorHAnsi" w:cstheme="majorHAnsi"/>
          <w:i/>
          <w:sz w:val="20"/>
        </w:rPr>
        <w:t xml:space="preserve"> Abduction,</w:t>
      </w:r>
      <w:r w:rsidRPr="004F2222">
        <w:rPr>
          <w:rFonts w:asciiTheme="majorHAnsi" w:hAnsiTheme="majorHAnsi" w:cstheme="majorHAnsi"/>
          <w:smallCaps/>
          <w:sz w:val="20"/>
        </w:rPr>
        <w:t xml:space="preserve"> Dhaka Tribune</w:t>
      </w:r>
      <w:r w:rsidRPr="004F2222">
        <w:rPr>
          <w:rFonts w:asciiTheme="majorHAnsi" w:hAnsiTheme="majorHAnsi" w:cstheme="majorHAnsi"/>
          <w:sz w:val="20"/>
        </w:rPr>
        <w:t xml:space="preserve"> (Mar. 3, 2017), https://www.dhakatribune.com/bangladesh/crime/2017/03/03/hummam-quader-cannot-remember-anything/; </w:t>
      </w:r>
      <w:r w:rsidRPr="004F2222">
        <w:rPr>
          <w:rFonts w:asciiTheme="majorHAnsi" w:hAnsiTheme="majorHAnsi" w:cstheme="majorHAnsi"/>
          <w:i/>
          <w:sz w:val="20"/>
        </w:rPr>
        <w:t>Bangladesh: Man Released From Long Secret Detention</w:t>
      </w:r>
      <w:r w:rsidRPr="004F2222">
        <w:rPr>
          <w:rFonts w:asciiTheme="majorHAnsi" w:hAnsiTheme="majorHAnsi" w:cstheme="majorHAnsi"/>
          <w:sz w:val="20"/>
        </w:rPr>
        <w:t xml:space="preserve">, </w:t>
      </w:r>
      <w:r w:rsidRPr="004F2222">
        <w:rPr>
          <w:rFonts w:asciiTheme="majorHAnsi" w:hAnsiTheme="majorHAnsi" w:cstheme="majorHAnsi"/>
          <w:smallCaps/>
          <w:sz w:val="20"/>
        </w:rPr>
        <w:t>Human Rights Watch</w:t>
      </w:r>
      <w:r w:rsidRPr="004F2222">
        <w:rPr>
          <w:rFonts w:asciiTheme="majorHAnsi" w:hAnsiTheme="majorHAnsi" w:cstheme="majorHAnsi"/>
          <w:sz w:val="20"/>
        </w:rPr>
        <w:t xml:space="preserve"> (Mar. 2, 2017), https://www.hrw.org/news/2017/03/02/bangladesh-man-released-long-secret-detention.</w:t>
      </w:r>
    </w:p>
  </w:footnote>
  <w:footnote w:id="130">
    <w:p w14:paraId="4237049D" w14:textId="6E7755FC" w:rsidR="00E24593" w:rsidRPr="004F2222" w:rsidRDefault="00E24593" w:rsidP="00615D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 xml:space="preserve"> at </w:t>
      </w:r>
      <w:r>
        <w:rPr>
          <w:rFonts w:asciiTheme="majorHAnsi" w:hAnsiTheme="majorHAnsi" w:cstheme="majorHAnsi"/>
          <w:sz w:val="20"/>
        </w:rPr>
        <w:t>59-</w:t>
      </w:r>
      <w:r w:rsidRPr="004F2222">
        <w:rPr>
          <w:rFonts w:asciiTheme="majorHAnsi" w:hAnsiTheme="majorHAnsi" w:cstheme="majorHAnsi"/>
          <w:sz w:val="20"/>
        </w:rPr>
        <w:t>62.</w:t>
      </w:r>
    </w:p>
  </w:footnote>
  <w:footnote w:id="131">
    <w:p w14:paraId="4C2D61BD" w14:textId="384ED286" w:rsidR="00E24593" w:rsidRPr="004F2222" w:rsidRDefault="00E24593" w:rsidP="00615DAC">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Pr>
          <w:rFonts w:asciiTheme="majorHAnsi" w:hAnsiTheme="majorHAnsi" w:cstheme="majorHAnsi"/>
          <w:sz w:val="20"/>
        </w:rPr>
        <w:t xml:space="preserve"> at 63</w:t>
      </w:r>
      <w:r w:rsidRPr="004F2222">
        <w:rPr>
          <w:rFonts w:asciiTheme="majorHAnsi" w:hAnsiTheme="majorHAnsi" w:cstheme="majorHAnsi"/>
          <w:sz w:val="20"/>
        </w:rPr>
        <w:t>-65.</w:t>
      </w:r>
    </w:p>
  </w:footnote>
  <w:footnote w:id="132">
    <w:p w14:paraId="38F5E4FD" w14:textId="0987496D" w:rsidR="00E24593" w:rsidRPr="004F2222" w:rsidRDefault="00E24593" w:rsidP="00964B90">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mallCaps/>
          <w:sz w:val="20"/>
        </w:rPr>
        <w:t>“We Don’t Have Him”</w:t>
      </w:r>
      <w:r w:rsidRPr="004F2222">
        <w:rPr>
          <w:rFonts w:asciiTheme="majorHAnsi" w:hAnsiTheme="majorHAnsi" w:cstheme="majorHAnsi"/>
          <w:sz w:val="20"/>
        </w:rPr>
        <w:t xml:space="preserve"> at 52-53.</w:t>
      </w:r>
    </w:p>
  </w:footnote>
  <w:footnote w:id="133">
    <w:p w14:paraId="3C603479" w14:textId="62DC043C"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00FF5E99">
        <w:rPr>
          <w:rFonts w:asciiTheme="majorHAnsi" w:hAnsiTheme="majorHAnsi" w:cstheme="majorHAnsi"/>
          <w:i/>
          <w:sz w:val="20"/>
        </w:rPr>
        <w:t xml:space="preserve">See </w:t>
      </w:r>
      <w:r w:rsidRPr="004F2222">
        <w:rPr>
          <w:rFonts w:asciiTheme="majorHAnsi" w:hAnsiTheme="majorHAnsi" w:cstheme="majorHAnsi"/>
          <w:sz w:val="20"/>
        </w:rPr>
        <w:t xml:space="preserve">VL v. Switzerland, U.N. Doc. CAT/C/37/D/262/2005 (U.N. Comm. </w:t>
      </w:r>
      <w:proofErr w:type="gramStart"/>
      <w:r w:rsidRPr="004F2222">
        <w:rPr>
          <w:rFonts w:asciiTheme="majorHAnsi" w:hAnsiTheme="majorHAnsi" w:cstheme="majorHAnsi"/>
          <w:sz w:val="20"/>
        </w:rPr>
        <w:t>Against</w:t>
      </w:r>
      <w:proofErr w:type="gramEnd"/>
      <w:r w:rsidRPr="004F2222">
        <w:rPr>
          <w:rFonts w:asciiTheme="majorHAnsi" w:hAnsiTheme="majorHAnsi" w:cstheme="majorHAnsi"/>
          <w:sz w:val="20"/>
        </w:rPr>
        <w:t xml:space="preserve"> Torture Jan. 22, 2007); E.K.W. v. Finland, U.N. Doc. CAT/C/54/D/490/2012 (U.N. Comm. Against Torture Jun. 25, 2015); CT and KM v. Sweden, U.N. Doc. CAT/C/37/D/279/2005 (U.N. Comm. Against Torture Nov. 17, 2006).</w:t>
      </w:r>
    </w:p>
  </w:footnote>
  <w:footnote w:id="134">
    <w:p w14:paraId="5D42ECF3" w14:textId="39159BA7" w:rsidR="00E24593" w:rsidRPr="004F2222" w:rsidRDefault="00E24593" w:rsidP="0043435E">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VL v. Switzerland, U.N. Doc. CAT/C/37/D/262/2005, § 8.10 (U.N. Comm. </w:t>
      </w:r>
      <w:proofErr w:type="gramStart"/>
      <w:r w:rsidRPr="004F2222">
        <w:rPr>
          <w:rFonts w:asciiTheme="majorHAnsi" w:hAnsiTheme="majorHAnsi" w:cstheme="majorHAnsi"/>
          <w:sz w:val="20"/>
        </w:rPr>
        <w:t>Against</w:t>
      </w:r>
      <w:proofErr w:type="gramEnd"/>
      <w:r w:rsidRPr="004F2222">
        <w:rPr>
          <w:rFonts w:asciiTheme="majorHAnsi" w:hAnsiTheme="majorHAnsi" w:cstheme="majorHAnsi"/>
          <w:sz w:val="20"/>
        </w:rPr>
        <w:t xml:space="preserve"> Torture Jan. 22, 2007).</w:t>
      </w:r>
    </w:p>
  </w:footnote>
  <w:footnote w:id="135">
    <w:p w14:paraId="02632A3D" w14:textId="4EA6E418" w:rsidR="00E24593" w:rsidRPr="004F2222" w:rsidRDefault="00E24593" w:rsidP="0043435E">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U.N. Comm</w:t>
      </w:r>
      <w:r>
        <w:rPr>
          <w:rFonts w:asciiTheme="majorHAnsi" w:hAnsiTheme="majorHAnsi" w:cstheme="majorHAnsi"/>
          <w:sz w:val="20"/>
        </w:rPr>
        <w:t>ittee</w:t>
      </w:r>
      <w:r w:rsidRPr="004F2222">
        <w:rPr>
          <w:rFonts w:asciiTheme="majorHAnsi" w:hAnsiTheme="majorHAnsi" w:cstheme="majorHAnsi"/>
          <w:sz w:val="20"/>
        </w:rPr>
        <w:t xml:space="preserve"> Against Torture, Concluding Observations on Colombia, U.N. Doc. CAT/C/COL/CO/4, ¶ 28 (May 4, 2010); U.N. Comm</w:t>
      </w:r>
      <w:r>
        <w:rPr>
          <w:rFonts w:asciiTheme="majorHAnsi" w:hAnsiTheme="majorHAnsi" w:cstheme="majorHAnsi"/>
          <w:sz w:val="20"/>
        </w:rPr>
        <w:t>ittee</w:t>
      </w:r>
      <w:r w:rsidRPr="004F2222">
        <w:rPr>
          <w:rFonts w:asciiTheme="majorHAnsi" w:hAnsiTheme="majorHAnsi" w:cstheme="majorHAnsi"/>
          <w:sz w:val="20"/>
        </w:rPr>
        <w:t xml:space="preserve"> Against Torture, Concluding Observations on Peru, U.N. Doc. CAT/C/PER/CO/7, ¶ 38 (Dec. 18, 2018); U.N. Comm</w:t>
      </w:r>
      <w:r>
        <w:rPr>
          <w:rFonts w:asciiTheme="majorHAnsi" w:hAnsiTheme="majorHAnsi" w:cstheme="majorHAnsi"/>
          <w:sz w:val="20"/>
        </w:rPr>
        <w:t>ittee</w:t>
      </w:r>
      <w:r w:rsidRPr="004F2222">
        <w:rPr>
          <w:rFonts w:asciiTheme="majorHAnsi" w:hAnsiTheme="majorHAnsi" w:cstheme="majorHAnsi"/>
          <w:sz w:val="20"/>
        </w:rPr>
        <w:t xml:space="preserve"> Against Torture,</w:t>
      </w:r>
      <w:r w:rsidRPr="00EC48C8">
        <w:rPr>
          <w:rFonts w:asciiTheme="majorHAnsi" w:hAnsiTheme="majorHAnsi" w:cstheme="majorHAnsi"/>
          <w:sz w:val="20"/>
        </w:rPr>
        <w:t xml:space="preserve"> General Comment No. 4</w:t>
      </w:r>
      <w:r w:rsidRPr="004F2222">
        <w:rPr>
          <w:rFonts w:asciiTheme="majorHAnsi" w:hAnsiTheme="majorHAnsi" w:cstheme="majorHAnsi"/>
          <w:sz w:val="20"/>
        </w:rPr>
        <w:t>, § 45 (Feb. 9, 2018) (“Indications of personal risk [of torture assessed by the Committee] . . . include . . . violence against women, including rape.”).</w:t>
      </w:r>
    </w:p>
  </w:footnote>
  <w:footnote w:id="136">
    <w:p w14:paraId="01FD3621" w14:textId="44D1C6C0" w:rsidR="00E24593" w:rsidRPr="004F2222" w:rsidRDefault="00E24593" w:rsidP="00E723D9">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Bangladesh 2018 Human Rights Report</w:t>
      </w:r>
      <w:r w:rsidRPr="004F2222">
        <w:rPr>
          <w:rFonts w:asciiTheme="majorHAnsi" w:hAnsiTheme="majorHAnsi" w:cstheme="majorHAnsi"/>
          <w:sz w:val="20"/>
        </w:rPr>
        <w:t xml:space="preserve"> at 4.</w:t>
      </w:r>
    </w:p>
  </w:footnote>
  <w:footnote w:id="137">
    <w:p w14:paraId="12F9334C" w14:textId="4A231B7E" w:rsidR="00E24593" w:rsidRPr="004F2222" w:rsidRDefault="00E24593" w:rsidP="006C6366">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34-35.</w:t>
      </w:r>
    </w:p>
  </w:footnote>
  <w:footnote w:id="138">
    <w:p w14:paraId="4667EB65" w14:textId="3FE27DE0" w:rsidR="00E24593" w:rsidRPr="004F2222" w:rsidRDefault="00E24593" w:rsidP="00526E97">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Bangladesh 2018 Human Rights Report</w:t>
      </w:r>
      <w:r w:rsidRPr="004F2222">
        <w:rPr>
          <w:rFonts w:asciiTheme="majorHAnsi" w:hAnsiTheme="majorHAnsi" w:cstheme="majorHAnsi"/>
          <w:sz w:val="20"/>
        </w:rPr>
        <w:t xml:space="preserve"> at 31-32.</w:t>
      </w:r>
    </w:p>
  </w:footnote>
  <w:footnote w:id="139">
    <w:p w14:paraId="3E4B610B" w14:textId="6B686EF1" w:rsidR="00E24593" w:rsidRPr="004F2222" w:rsidRDefault="00E24593" w:rsidP="003208B9">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30, 35; Robab Rosan, </w:t>
      </w:r>
      <w:r w:rsidRPr="004F2222">
        <w:rPr>
          <w:rFonts w:asciiTheme="majorHAnsi" w:hAnsiTheme="majorHAnsi" w:cstheme="majorHAnsi"/>
          <w:i/>
          <w:sz w:val="20"/>
        </w:rPr>
        <w:t>NHRC Didn’t Say Gang Rape Wasn’t Linked to Polls</w:t>
      </w:r>
      <w:r w:rsidRPr="004F2222">
        <w:rPr>
          <w:rFonts w:asciiTheme="majorHAnsi" w:hAnsiTheme="majorHAnsi" w:cstheme="majorHAnsi"/>
          <w:sz w:val="20"/>
        </w:rPr>
        <w:t xml:space="preserve">, </w:t>
      </w:r>
      <w:r w:rsidRPr="004F2222">
        <w:rPr>
          <w:rFonts w:asciiTheme="majorHAnsi" w:hAnsiTheme="majorHAnsi" w:cstheme="majorHAnsi"/>
          <w:smallCaps/>
          <w:sz w:val="20"/>
        </w:rPr>
        <w:t>Daily Star</w:t>
      </w:r>
      <w:r w:rsidRPr="004F2222">
        <w:rPr>
          <w:rFonts w:asciiTheme="majorHAnsi" w:hAnsiTheme="majorHAnsi" w:cstheme="majorHAnsi"/>
          <w:sz w:val="20"/>
        </w:rPr>
        <w:t xml:space="preserve"> (Jan. 20, 2019), https://www.thedailystar.net/frontpage/news/noakhali-gang-rape-didnt-say-it-was-not-linked-polls-1690129.</w:t>
      </w:r>
    </w:p>
  </w:footnote>
  <w:footnote w:id="140">
    <w:p w14:paraId="0037074E" w14:textId="07FF395F" w:rsidR="00E24593" w:rsidRPr="004F2222" w:rsidRDefault="00E24593" w:rsidP="00715C51">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12. A case was filed against Hossain and he was later arrested.</w:t>
      </w:r>
    </w:p>
  </w:footnote>
  <w:footnote w:id="141">
    <w:p w14:paraId="2D624E42" w14:textId="4CF3AFF3" w:rsidR="00E24593" w:rsidRPr="00642EED" w:rsidRDefault="00E24593">
      <w:pPr>
        <w:pStyle w:val="FootnoteText"/>
        <w:rPr>
          <w:sz w:val="20"/>
        </w:rPr>
      </w:pPr>
      <w:r w:rsidRPr="00642EED">
        <w:rPr>
          <w:rStyle w:val="FootnoteReference"/>
          <w:sz w:val="20"/>
        </w:rPr>
        <w:footnoteRef/>
      </w:r>
      <w:r w:rsidRPr="00642EED">
        <w:rPr>
          <w:sz w:val="20"/>
        </w:rPr>
        <w:t xml:space="preserve"> The Juba League is the youth branch of the Awami League.</w:t>
      </w:r>
    </w:p>
  </w:footnote>
  <w:footnote w:id="142">
    <w:p w14:paraId="22EF7E1A" w14:textId="326774F1"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35. Alauddin was later arrested.</w:t>
      </w:r>
    </w:p>
  </w:footnote>
  <w:footnote w:id="143">
    <w:p w14:paraId="0341146A" w14:textId="676FF5E4"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See, e.g.</w:t>
      </w:r>
      <w:r w:rsidRPr="004F2222">
        <w:rPr>
          <w:rFonts w:asciiTheme="majorHAnsi" w:hAnsiTheme="majorHAnsi" w:cstheme="majorHAnsi"/>
          <w:sz w:val="20"/>
        </w:rPr>
        <w:t xml:space="preserve">, </w:t>
      </w:r>
      <w:r>
        <w:rPr>
          <w:rFonts w:asciiTheme="majorHAnsi" w:hAnsiTheme="majorHAnsi" w:cstheme="majorHAnsi"/>
          <w:sz w:val="20"/>
        </w:rPr>
        <w:t xml:space="preserve">U.N. Committee </w:t>
      </w:r>
      <w:proofErr w:type="gramStart"/>
      <w:r>
        <w:rPr>
          <w:rFonts w:asciiTheme="majorHAnsi" w:hAnsiTheme="majorHAnsi" w:cstheme="majorHAnsi"/>
          <w:sz w:val="20"/>
        </w:rPr>
        <w:t>A</w:t>
      </w:r>
      <w:r w:rsidRPr="004F2222">
        <w:rPr>
          <w:rFonts w:asciiTheme="majorHAnsi" w:hAnsiTheme="majorHAnsi" w:cstheme="majorHAnsi"/>
          <w:sz w:val="20"/>
        </w:rPr>
        <w:t>gainst</w:t>
      </w:r>
      <w:proofErr w:type="gramEnd"/>
      <w:r w:rsidRPr="004F2222">
        <w:rPr>
          <w:rFonts w:asciiTheme="majorHAnsi" w:hAnsiTheme="majorHAnsi" w:cstheme="majorHAnsi"/>
          <w:sz w:val="20"/>
        </w:rPr>
        <w:t xml:space="preserve"> Torture, Concluding Observations on Mongolia, U.N. Doc. A/66/44, ¶ 16 (2011); </w:t>
      </w:r>
      <w:r>
        <w:rPr>
          <w:rFonts w:asciiTheme="majorHAnsi" w:hAnsiTheme="majorHAnsi" w:cstheme="majorHAnsi"/>
          <w:sz w:val="20"/>
        </w:rPr>
        <w:t>U.N. Committee A</w:t>
      </w:r>
      <w:r w:rsidRPr="004F2222">
        <w:rPr>
          <w:rFonts w:asciiTheme="majorHAnsi" w:hAnsiTheme="majorHAnsi" w:cstheme="majorHAnsi"/>
          <w:sz w:val="20"/>
        </w:rPr>
        <w:t xml:space="preserve">gainst Torture, Concluding Observations on Benin, U.N. Doc. A/63/44, ¶ 19 (2008); </w:t>
      </w:r>
      <w:r>
        <w:rPr>
          <w:rFonts w:asciiTheme="majorHAnsi" w:hAnsiTheme="majorHAnsi" w:cstheme="majorHAnsi"/>
          <w:sz w:val="20"/>
        </w:rPr>
        <w:t>U.N. Committee A</w:t>
      </w:r>
      <w:r w:rsidRPr="004F2222">
        <w:rPr>
          <w:rFonts w:asciiTheme="majorHAnsi" w:hAnsiTheme="majorHAnsi" w:cstheme="majorHAnsi"/>
          <w:sz w:val="20"/>
        </w:rPr>
        <w:t>gainst Torture, Concluding Observations on China, U.N. Doc. CAT/C/CHN/CO/4, ¶ 34 (Dec. 12, 2008).</w:t>
      </w:r>
    </w:p>
  </w:footnote>
  <w:footnote w:id="144">
    <w:p w14:paraId="771BFA94" w14:textId="07E8CA3D"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sz w:val="20"/>
        </w:rPr>
        <w:t>As the Committee A</w:t>
      </w:r>
      <w:r w:rsidRPr="004F2222" w:rsidDel="0059625F">
        <w:rPr>
          <w:rFonts w:asciiTheme="majorHAnsi" w:hAnsiTheme="majorHAnsi" w:cstheme="majorHAnsi"/>
          <w:sz w:val="20"/>
        </w:rPr>
        <w:t xml:space="preserve">gainst Torture has previously found: </w:t>
      </w:r>
    </w:p>
    <w:p w14:paraId="0768E54C" w14:textId="67F1585B" w:rsidR="00E24593" w:rsidRPr="004F2222" w:rsidRDefault="00E24593" w:rsidP="006D663F">
      <w:pPr>
        <w:pStyle w:val="FootnoteText"/>
        <w:ind w:left="720" w:right="720"/>
        <w:rPr>
          <w:rFonts w:asciiTheme="majorHAnsi" w:hAnsiTheme="majorHAnsi" w:cstheme="majorHAnsi"/>
          <w:sz w:val="20"/>
        </w:rPr>
      </w:pPr>
      <w:r w:rsidRPr="004F2222" w:rsidDel="0059625F">
        <w:rPr>
          <w:rFonts w:asciiTheme="majorHAnsi" w:hAnsiTheme="majorHAnsi" w:cstheme="majorHAnsi"/>
          <w:i/>
          <w:sz w:val="20"/>
        </w:rPr>
        <w:t>Detention conditions not only raise issues of cruel, inhuman or degrading treatment or punishment but in some circumstances can also be a means of torture</w:t>
      </w:r>
      <w:r w:rsidRPr="004F2222" w:rsidDel="0059625F">
        <w:rPr>
          <w:rFonts w:asciiTheme="majorHAnsi" w:hAnsiTheme="majorHAnsi" w:cstheme="majorHAnsi"/>
          <w:sz w:val="20"/>
        </w:rPr>
        <w:t>, if used in a manner which accords with the provisions of article 1 of the Convention. Therefore, recommendations regarding conditions of detention play a critical role in effective prevention and will touch on a wide variety of issues, including matters relating to physical conditions, the reasons for, and levels of, occupancy and the provision of, and access to, a wide range of facilities and services.</w:t>
      </w:r>
    </w:p>
    <w:p w14:paraId="5E314CE1" w14:textId="411EE518" w:rsidR="00E24593" w:rsidRPr="004F2222" w:rsidRDefault="00E24593" w:rsidP="006D663F">
      <w:pPr>
        <w:pStyle w:val="FootnoteText"/>
        <w:ind w:right="720"/>
        <w:rPr>
          <w:rFonts w:asciiTheme="majorHAnsi" w:hAnsiTheme="majorHAnsi" w:cstheme="majorHAnsi"/>
          <w:sz w:val="20"/>
        </w:rPr>
      </w:pPr>
      <w:r w:rsidRPr="004F2222">
        <w:rPr>
          <w:rFonts w:asciiTheme="majorHAnsi" w:hAnsiTheme="majorHAnsi" w:cstheme="majorHAnsi"/>
          <w:i/>
          <w:sz w:val="20"/>
        </w:rPr>
        <w:t xml:space="preserve">See, </w:t>
      </w:r>
      <w:r w:rsidRPr="004F2222">
        <w:rPr>
          <w:rFonts w:asciiTheme="majorHAnsi" w:hAnsiTheme="majorHAnsi" w:cstheme="majorHAnsi"/>
          <w:sz w:val="20"/>
        </w:rPr>
        <w:t>U.N. Committee Against Torture, Fourth annual report of the Subcommittee on Prevention of Torture and Other Cruel, Inhuman or Degrading Treatment or Punishment, U.N. Doc. C/46/2, ¶ 107(d) (Feb. 3, 2011)</w:t>
      </w:r>
      <w:r>
        <w:rPr>
          <w:rFonts w:asciiTheme="majorHAnsi" w:hAnsiTheme="majorHAnsi" w:cstheme="majorHAnsi"/>
          <w:sz w:val="20"/>
        </w:rPr>
        <w:t xml:space="preserve"> </w:t>
      </w:r>
      <w:r w:rsidRPr="004F2222">
        <w:rPr>
          <w:rFonts w:asciiTheme="majorHAnsi" w:hAnsiTheme="majorHAnsi" w:cstheme="majorHAnsi"/>
          <w:sz w:val="20"/>
        </w:rPr>
        <w:t xml:space="preserve">(emphasis added); </w:t>
      </w:r>
      <w:r w:rsidRPr="004F2222">
        <w:rPr>
          <w:rFonts w:asciiTheme="majorHAnsi" w:hAnsiTheme="majorHAnsi" w:cstheme="majorHAnsi"/>
          <w:i/>
          <w:sz w:val="20"/>
        </w:rPr>
        <w:t>see also</w:t>
      </w:r>
      <w:r>
        <w:rPr>
          <w:rFonts w:asciiTheme="majorHAnsi" w:hAnsiTheme="majorHAnsi" w:cstheme="majorHAnsi"/>
          <w:sz w:val="20"/>
        </w:rPr>
        <w:t xml:space="preserve"> U.N. Committee A</w:t>
      </w:r>
      <w:r w:rsidRPr="004F2222">
        <w:rPr>
          <w:rFonts w:asciiTheme="majorHAnsi" w:hAnsiTheme="majorHAnsi" w:cstheme="majorHAnsi"/>
          <w:sz w:val="20"/>
        </w:rPr>
        <w:t>gainst Tortu</w:t>
      </w:r>
      <w:r>
        <w:rPr>
          <w:rFonts w:asciiTheme="majorHAnsi" w:hAnsiTheme="majorHAnsi" w:cstheme="majorHAnsi"/>
          <w:sz w:val="20"/>
        </w:rPr>
        <w:t>re, Report of the UN Committee A</w:t>
      </w:r>
      <w:r w:rsidRPr="004F2222">
        <w:rPr>
          <w:rFonts w:asciiTheme="majorHAnsi" w:hAnsiTheme="majorHAnsi" w:cstheme="majorHAnsi"/>
          <w:sz w:val="20"/>
        </w:rPr>
        <w:t>gainst Torture: Twenty-fifth Session (13-24 November 2000) and Twenty-sixth Session (30 April-18 May 2001), U.N. Doc. A/56/44, ¶ 95(f) (Oct. 26, 2001).</w:t>
      </w:r>
    </w:p>
  </w:footnote>
  <w:footnote w:id="145">
    <w:p w14:paraId="245F3D64" w14:textId="2A91E36D"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Pr>
          <w:rFonts w:asciiTheme="majorHAnsi" w:hAnsiTheme="majorHAnsi" w:cstheme="majorHAnsi"/>
          <w:sz w:val="20"/>
        </w:rPr>
        <w:t xml:space="preserve"> U.N. Human Rights Council,</w:t>
      </w:r>
      <w:r w:rsidRPr="004F2222">
        <w:rPr>
          <w:rFonts w:asciiTheme="majorHAnsi" w:hAnsiTheme="majorHAnsi" w:cstheme="majorHAnsi"/>
          <w:sz w:val="20"/>
        </w:rPr>
        <w:t xml:space="preserve"> Report of the Special Rapporteur on violence against women, its causes and consequences, on her mission to Bangladesh (20–29 May 2013), U.N. Doc. A/HRC/26/38/Add.2, ¶ 18-20 (Apr. 1, 2014).</w:t>
      </w:r>
    </w:p>
  </w:footnote>
  <w:footnote w:id="146">
    <w:p w14:paraId="74C2DD26" w14:textId="77777777"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Human Rights Council, Compilation on Bangladesh, Report of the Office of the United Nations High Commissioner for Human Rights, U.N. Doc. A/HRC/WG.6/30/BGD/2, ¶ 23 (Mar. 19, 2018). </w:t>
      </w:r>
    </w:p>
  </w:footnote>
  <w:footnote w:id="147">
    <w:p w14:paraId="72AAE101" w14:textId="353E6A4C"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U.N. International Covenant on Civil and Political Rights Human Rights Committee, Concluding observations on the initial report of Bangladesh, U.N. Doc. C/BDG/CO/1, ¶ 25 (Apr. 27, 2017).</w:t>
      </w:r>
    </w:p>
  </w:footnote>
  <w:footnote w:id="148">
    <w:p w14:paraId="03D931FA" w14:textId="77777777" w:rsidR="00E24593" w:rsidRPr="004F2222" w:rsidRDefault="00E24593" w:rsidP="00F64A8B">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at 5.</w:t>
      </w:r>
    </w:p>
  </w:footnote>
  <w:footnote w:id="149">
    <w:p w14:paraId="2086DA47" w14:textId="2130E17A"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mallCaps/>
          <w:sz w:val="20"/>
        </w:rPr>
        <w:t xml:space="preserve"> </w:t>
      </w:r>
      <w:r w:rsidRPr="004F2222">
        <w:rPr>
          <w:rFonts w:asciiTheme="majorHAnsi" w:hAnsiTheme="majorHAnsi" w:cstheme="majorHAnsi"/>
          <w:sz w:val="20"/>
        </w:rPr>
        <w:t>at 6.</w:t>
      </w:r>
    </w:p>
  </w:footnote>
  <w:footnote w:id="150">
    <w:p w14:paraId="70709375" w14:textId="78D41D6F"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6</w:t>
      </w:r>
      <w:r w:rsidRPr="004F2222">
        <w:rPr>
          <w:rFonts w:asciiTheme="majorHAnsi" w:hAnsiTheme="majorHAnsi" w:cstheme="majorHAnsi"/>
          <w:smallCaps/>
          <w:sz w:val="20"/>
        </w:rPr>
        <w:t xml:space="preserve"> </w:t>
      </w:r>
      <w:r w:rsidRPr="004F2222">
        <w:rPr>
          <w:rFonts w:asciiTheme="majorHAnsi" w:hAnsiTheme="majorHAnsi" w:cstheme="majorHAnsi"/>
          <w:sz w:val="20"/>
        </w:rPr>
        <w:t>(Apr. 17, 2019).</w:t>
      </w:r>
    </w:p>
  </w:footnote>
  <w:footnote w:id="151">
    <w:p w14:paraId="140D2D45" w14:textId="49FC4376"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 xml:space="preserve"> at 16.</w:t>
      </w:r>
    </w:p>
  </w:footnote>
  <w:footnote w:id="152">
    <w:p w14:paraId="4062AE3B" w14:textId="2C3F2981"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 xml:space="preserve">See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at 6.</w:t>
      </w:r>
    </w:p>
  </w:footnote>
  <w:footnote w:id="153">
    <w:p w14:paraId="79ACA3D1" w14:textId="6D043C42" w:rsidR="00E24593" w:rsidRPr="004F2222" w:rsidRDefault="00E24593">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 i</w:t>
      </w:r>
      <w:r w:rsidRPr="004F2222">
        <w:rPr>
          <w:rFonts w:asciiTheme="majorHAnsi" w:hAnsiTheme="majorHAnsi" w:cstheme="majorHAnsi"/>
          <w:i/>
          <w:sz w:val="20"/>
        </w:rPr>
        <w:t>d</w:t>
      </w:r>
      <w:r w:rsidRPr="004F2222">
        <w:rPr>
          <w:rFonts w:asciiTheme="majorHAnsi" w:hAnsiTheme="majorHAnsi" w:cstheme="majorHAnsi"/>
          <w:sz w:val="20"/>
        </w:rPr>
        <w:t>.</w:t>
      </w:r>
    </w:p>
  </w:footnote>
  <w:footnote w:id="154">
    <w:p w14:paraId="692BE190" w14:textId="425E2634"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 i</w:t>
      </w:r>
      <w:r w:rsidRPr="004F2222">
        <w:rPr>
          <w:rFonts w:asciiTheme="majorHAnsi" w:hAnsiTheme="majorHAnsi" w:cstheme="majorHAnsi"/>
          <w:i/>
          <w:sz w:val="20"/>
        </w:rPr>
        <w:t>d.</w:t>
      </w:r>
    </w:p>
  </w:footnote>
  <w:footnote w:id="155">
    <w:p w14:paraId="537943BA" w14:textId="1DEC070A" w:rsidR="00E24593" w:rsidRPr="004F2222" w:rsidRDefault="00E24593" w:rsidP="006D663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i/>
          <w:sz w:val="20"/>
        </w:rPr>
        <w:t xml:space="preserve"> </w:t>
      </w:r>
      <w:r>
        <w:rPr>
          <w:rFonts w:asciiTheme="majorHAnsi" w:hAnsiTheme="majorHAnsi" w:cstheme="majorHAnsi"/>
          <w:i/>
          <w:sz w:val="20"/>
        </w:rPr>
        <w:t xml:space="preserve">See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8, 16.</w:t>
      </w:r>
    </w:p>
  </w:footnote>
  <w:footnote w:id="156">
    <w:p w14:paraId="1B85303B" w14:textId="043C5E4B" w:rsidR="00E24593" w:rsidRPr="004F2222" w:rsidRDefault="00E24593" w:rsidP="004E6B5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mallCaps/>
          <w:sz w:val="20"/>
        </w:rPr>
        <w:t xml:space="preserve">U.S. Department of State, Bangladesh 2018 Human Rights Report </w:t>
      </w:r>
      <w:r w:rsidRPr="004F2222">
        <w:rPr>
          <w:rFonts w:asciiTheme="majorHAnsi" w:hAnsiTheme="majorHAnsi" w:cstheme="majorHAnsi"/>
          <w:sz w:val="20"/>
        </w:rPr>
        <w:t>at 5.</w:t>
      </w:r>
    </w:p>
  </w:footnote>
  <w:footnote w:id="157">
    <w:p w14:paraId="5F98027A" w14:textId="1DD5AD22" w:rsidR="00E24593" w:rsidRPr="004F2222" w:rsidRDefault="00E24593" w:rsidP="004E6B5F">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w:t>
      </w:r>
      <w:r>
        <w:rPr>
          <w:rFonts w:asciiTheme="majorHAnsi" w:hAnsiTheme="majorHAnsi" w:cstheme="majorHAnsi"/>
          <w:sz w:val="20"/>
        </w:rPr>
        <w:t xml:space="preserve"> </w:t>
      </w:r>
      <w:r w:rsidRPr="004F2222">
        <w:rPr>
          <w:rFonts w:asciiTheme="majorHAnsi" w:hAnsiTheme="majorHAnsi" w:cstheme="majorHAnsi"/>
          <w:smallCaps/>
          <w:sz w:val="20"/>
        </w:rPr>
        <w:t>Odhikar January-March 2019 Report</w:t>
      </w:r>
      <w:r w:rsidRPr="004F2222">
        <w:rPr>
          <w:rFonts w:asciiTheme="majorHAnsi" w:hAnsiTheme="majorHAnsi" w:cstheme="majorHAnsi"/>
          <w:sz w:val="20"/>
        </w:rPr>
        <w:t xml:space="preserve"> at 5.</w:t>
      </w:r>
    </w:p>
  </w:footnote>
  <w:footnote w:id="158">
    <w:p w14:paraId="2CBD0E3E" w14:textId="77777777" w:rsidR="00E24593" w:rsidRPr="004F2222" w:rsidRDefault="00E24593" w:rsidP="00BB3006">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Letter from U.N. High Commissioner for Human Rights to H.E. Mr. Adul Hassan Mahmud Ali, Minister of Foreign Affairs, Bangladesh, at 1 (Nov. 2, 2018), https://lib.ohchr.org/HRBodies/UPR/Documents/Session30/BD/HC_LetterBangladesh_30Session.pdf.</w:t>
      </w:r>
    </w:p>
  </w:footnote>
  <w:footnote w:id="159">
    <w:p w14:paraId="6BD81CB0" w14:textId="65E2867F" w:rsidR="00E24593" w:rsidRPr="004F2222" w:rsidRDefault="00E24593" w:rsidP="00BB3006">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Pr>
          <w:rFonts w:asciiTheme="majorHAnsi" w:hAnsiTheme="majorHAnsi" w:cstheme="majorHAnsi"/>
          <w:i/>
          <w:sz w:val="20"/>
        </w:rPr>
        <w:t>See i</w:t>
      </w:r>
      <w:r w:rsidRPr="004F2222">
        <w:rPr>
          <w:rFonts w:asciiTheme="majorHAnsi" w:hAnsiTheme="majorHAnsi" w:cstheme="majorHAnsi"/>
          <w:i/>
          <w:sz w:val="20"/>
        </w:rPr>
        <w:t>d.</w:t>
      </w:r>
      <w:r w:rsidRPr="004F2222">
        <w:rPr>
          <w:rFonts w:asciiTheme="majorHAnsi" w:hAnsiTheme="majorHAnsi" w:cstheme="majorHAnsi"/>
          <w:sz w:val="20"/>
        </w:rPr>
        <w:t xml:space="preserve"> </w:t>
      </w:r>
      <w:proofErr w:type="gramStart"/>
      <w:r w:rsidRPr="004F2222">
        <w:rPr>
          <w:rFonts w:asciiTheme="majorHAnsi" w:hAnsiTheme="majorHAnsi" w:cstheme="majorHAnsi"/>
          <w:sz w:val="20"/>
        </w:rPr>
        <w:t>at</w:t>
      </w:r>
      <w:proofErr w:type="gramEnd"/>
      <w:r w:rsidRPr="004F2222">
        <w:rPr>
          <w:rFonts w:asciiTheme="majorHAnsi" w:hAnsiTheme="majorHAnsi" w:cstheme="majorHAnsi"/>
          <w:sz w:val="20"/>
        </w:rPr>
        <w:t xml:space="preserve"> 3.</w:t>
      </w:r>
    </w:p>
  </w:footnote>
  <w:footnote w:id="160">
    <w:p w14:paraId="5CD186AB" w14:textId="77777777" w:rsidR="00E24593" w:rsidRPr="004F2222" w:rsidRDefault="00E24593" w:rsidP="00BB3006">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Id.</w:t>
      </w:r>
      <w:r w:rsidRPr="004F2222">
        <w:rPr>
          <w:rFonts w:asciiTheme="majorHAnsi" w:hAnsiTheme="majorHAnsi" w:cstheme="majorHAnsi"/>
          <w:sz w:val="20"/>
        </w:rPr>
        <w:t xml:space="preserve">; </w:t>
      </w:r>
      <w:r w:rsidRPr="004F2222">
        <w:rPr>
          <w:rFonts w:asciiTheme="majorHAnsi" w:hAnsiTheme="majorHAnsi" w:cstheme="majorHAnsi"/>
          <w:i/>
          <w:sz w:val="20"/>
        </w:rPr>
        <w:t>see also, e.g.</w:t>
      </w:r>
      <w:r w:rsidRPr="004F2222">
        <w:rPr>
          <w:rFonts w:asciiTheme="majorHAnsi" w:hAnsiTheme="majorHAnsi" w:cstheme="majorHAnsi"/>
          <w:sz w:val="20"/>
        </w:rPr>
        <w:t xml:space="preserve">, Convention against Torture, arts. 12-13. </w:t>
      </w:r>
    </w:p>
  </w:footnote>
  <w:footnote w:id="161">
    <w:p w14:paraId="6D283C57" w14:textId="67E2F0F2" w:rsidR="00E24593" w:rsidRPr="004F2222" w:rsidRDefault="00E24593" w:rsidP="00BB3006">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w:t>
      </w:r>
      <w:r w:rsidRPr="004F2222">
        <w:rPr>
          <w:rFonts w:asciiTheme="majorHAnsi" w:hAnsiTheme="majorHAnsi" w:cstheme="majorHAnsi"/>
          <w:i/>
          <w:sz w:val="20"/>
        </w:rPr>
        <w:t xml:space="preserve">See </w:t>
      </w:r>
      <w:r w:rsidRPr="004F2222">
        <w:rPr>
          <w:rFonts w:asciiTheme="majorHAnsi" w:hAnsiTheme="majorHAnsi" w:cstheme="majorHAnsi"/>
          <w:sz w:val="20"/>
        </w:rPr>
        <w:t>Letter from U.N. High Commissioner for Human Rights to H.E. Mr. Adul Hassan Mahmud Ali at 5 (further calling upon the Government to “[e]nhanc[e] efforts to prevent cases of torture and enforced disappearances”).</w:t>
      </w:r>
    </w:p>
  </w:footnote>
  <w:footnote w:id="162">
    <w:p w14:paraId="64C93E53" w14:textId="7C3F360C" w:rsidR="00E24593" w:rsidRPr="004F2222" w:rsidRDefault="00E24593" w:rsidP="000572C9">
      <w:pPr>
        <w:pStyle w:val="FootnoteText"/>
        <w:rPr>
          <w:rFonts w:asciiTheme="majorHAnsi" w:hAnsiTheme="majorHAnsi" w:cstheme="majorHAnsi"/>
          <w:sz w:val="20"/>
        </w:rPr>
      </w:pPr>
      <w:r w:rsidRPr="004F2222">
        <w:rPr>
          <w:rStyle w:val="FootnoteReference"/>
          <w:rFonts w:asciiTheme="majorHAnsi" w:hAnsiTheme="majorHAnsi" w:cstheme="majorHAnsi"/>
          <w:sz w:val="20"/>
        </w:rPr>
        <w:footnoteRef/>
      </w:r>
      <w:r w:rsidRPr="004F2222">
        <w:rPr>
          <w:rFonts w:asciiTheme="majorHAnsi" w:hAnsiTheme="majorHAnsi" w:cstheme="majorHAnsi"/>
          <w:sz w:val="20"/>
        </w:rPr>
        <w:t xml:space="preserve"> As mentioned above, the Appellate Division of the Supreme Court issued a directive in May 2016 explicitly prohibiting the rearrest of accused while they are released on bail or the arrest of the same individual for a new case without producing them in court. </w:t>
      </w:r>
      <w:r w:rsidRPr="004F2222">
        <w:rPr>
          <w:rFonts w:asciiTheme="majorHAnsi" w:hAnsiTheme="majorHAnsi" w:cstheme="majorHAnsi"/>
          <w:i/>
          <w:sz w:val="20"/>
        </w:rPr>
        <w:t>See</w:t>
      </w:r>
      <w:r w:rsidRPr="004F2222">
        <w:rPr>
          <w:rFonts w:asciiTheme="majorHAnsi" w:hAnsiTheme="majorHAnsi" w:cstheme="majorHAnsi"/>
          <w:sz w:val="20"/>
        </w:rPr>
        <w:t xml:space="preserve"> </w:t>
      </w:r>
      <w:r w:rsidRPr="004F2222">
        <w:rPr>
          <w:rFonts w:asciiTheme="majorHAnsi" w:hAnsiTheme="majorHAnsi" w:cstheme="majorHAnsi"/>
          <w:smallCaps/>
          <w:sz w:val="20"/>
        </w:rPr>
        <w:t>U.S. Department of State, 2016 Country Reports on Human Rights Practices - Bangladesh</w:t>
      </w:r>
      <w:r w:rsidRPr="004F2222">
        <w:rPr>
          <w:rFonts w:asciiTheme="majorHAnsi" w:hAnsiTheme="majorHAnsi" w:cstheme="majorHAnsi"/>
          <w:sz w:val="20"/>
        </w:rPr>
        <w:t>, sec. 1(d) (Mar. 3, 2017), https://www.refworld.org/docid/58ec8a7113.html.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2AC8" w14:textId="3110A1AD" w:rsidR="00E24593" w:rsidRPr="003D5CB3" w:rsidRDefault="00E24593" w:rsidP="003D5CB3">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98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A1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1C3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9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1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3D26"/>
    <w:multiLevelType w:val="hybridMultilevel"/>
    <w:tmpl w:val="53BA86D4"/>
    <w:lvl w:ilvl="0" w:tplc="F564ACE6">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5679B"/>
    <w:multiLevelType w:val="multilevel"/>
    <w:tmpl w:val="E7541A2A"/>
    <w:numStyleLink w:val="ListNumbers"/>
  </w:abstractNum>
  <w:abstractNum w:abstractNumId="13"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DA0999"/>
    <w:multiLevelType w:val="hybridMultilevel"/>
    <w:tmpl w:val="D57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3D6009"/>
    <w:multiLevelType w:val="hybridMultilevel"/>
    <w:tmpl w:val="C42C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DB48E6"/>
    <w:multiLevelType w:val="hybridMultilevel"/>
    <w:tmpl w:val="B3D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E77C51"/>
    <w:multiLevelType w:val="hybridMultilevel"/>
    <w:tmpl w:val="3DC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2010E"/>
    <w:multiLevelType w:val="hybridMultilevel"/>
    <w:tmpl w:val="CE0C4F40"/>
    <w:lvl w:ilvl="0" w:tplc="D604EDB2">
      <w:start w:val="1"/>
      <w:numFmt w:val="upperRoman"/>
      <w:lvlText w:val="%1."/>
      <w:lvlJc w:val="right"/>
      <w:pPr>
        <w:ind w:left="720" w:hanging="360"/>
      </w:pPr>
      <w:rPr>
        <w:b/>
      </w:rPr>
    </w:lvl>
    <w:lvl w:ilvl="1" w:tplc="4226332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FE3F67"/>
    <w:multiLevelType w:val="hybridMultilevel"/>
    <w:tmpl w:val="36CCA7A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721CB"/>
    <w:multiLevelType w:val="hybridMultilevel"/>
    <w:tmpl w:val="623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931863"/>
    <w:multiLevelType w:val="hybridMultilevel"/>
    <w:tmpl w:val="679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4425EB"/>
    <w:multiLevelType w:val="hybridMultilevel"/>
    <w:tmpl w:val="92846368"/>
    <w:lvl w:ilvl="0" w:tplc="A816CB3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639D4"/>
    <w:multiLevelType w:val="hybridMultilevel"/>
    <w:tmpl w:val="7FE26C8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6308AC"/>
    <w:multiLevelType w:val="hybridMultilevel"/>
    <w:tmpl w:val="D7EE47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2C2248D1"/>
    <w:multiLevelType w:val="hybridMultilevel"/>
    <w:tmpl w:val="91BC7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9F6E40"/>
    <w:multiLevelType w:val="hybridMultilevel"/>
    <w:tmpl w:val="B888B49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E0F3282"/>
    <w:multiLevelType w:val="multilevel"/>
    <w:tmpl w:val="371826C2"/>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30"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654FE1"/>
    <w:multiLevelType w:val="hybridMultilevel"/>
    <w:tmpl w:val="4C9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3DED78D7"/>
    <w:multiLevelType w:val="hybridMultilevel"/>
    <w:tmpl w:val="513E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2C4F3D"/>
    <w:multiLevelType w:val="hybridMultilevel"/>
    <w:tmpl w:val="5422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E8F1A22"/>
    <w:multiLevelType w:val="hybridMultilevel"/>
    <w:tmpl w:val="C2C47226"/>
    <w:lvl w:ilvl="0" w:tplc="F564ACE6">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E758F"/>
    <w:multiLevelType w:val="hybridMultilevel"/>
    <w:tmpl w:val="6EBEEA52"/>
    <w:lvl w:ilvl="0" w:tplc="EC062188">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EF2A2A"/>
    <w:multiLevelType w:val="hybridMultilevel"/>
    <w:tmpl w:val="B28C291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85FFA"/>
    <w:multiLevelType w:val="hybridMultilevel"/>
    <w:tmpl w:val="254E850C"/>
    <w:lvl w:ilvl="0" w:tplc="D604EDB2">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EC0990"/>
    <w:multiLevelType w:val="hybridMultilevel"/>
    <w:tmpl w:val="EB7C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D687A"/>
    <w:multiLevelType w:val="hybridMultilevel"/>
    <w:tmpl w:val="C224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FA7AEF"/>
    <w:multiLevelType w:val="hybridMultilevel"/>
    <w:tmpl w:val="C75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32"/>
  </w:num>
  <w:num w:numId="23">
    <w:abstractNumId w:val="26"/>
  </w:num>
  <w:num w:numId="24">
    <w:abstractNumId w:val="24"/>
  </w:num>
  <w:num w:numId="25">
    <w:abstractNumId w:val="13"/>
  </w:num>
  <w:num w:numId="26">
    <w:abstractNumId w:val="30"/>
  </w:num>
  <w:num w:numId="27">
    <w:abstractNumId w:val="11"/>
  </w:num>
  <w:num w:numId="28">
    <w:abstractNumId w:val="42"/>
  </w:num>
  <w:num w:numId="29">
    <w:abstractNumId w:val="12"/>
  </w:num>
  <w:num w:numId="30">
    <w:abstractNumId w:val="36"/>
  </w:num>
  <w:num w:numId="31">
    <w:abstractNumId w:val="18"/>
  </w:num>
  <w:num w:numId="32">
    <w:abstractNumId w:val="38"/>
  </w:num>
  <w:num w:numId="33">
    <w:abstractNumId w:val="35"/>
  </w:num>
  <w:num w:numId="34">
    <w:abstractNumId w:val="10"/>
  </w:num>
  <w:num w:numId="35">
    <w:abstractNumId w:val="16"/>
  </w:num>
  <w:num w:numId="36">
    <w:abstractNumId w:val="22"/>
  </w:num>
  <w:num w:numId="37">
    <w:abstractNumId w:val="39"/>
  </w:num>
  <w:num w:numId="38">
    <w:abstractNumId w:val="17"/>
  </w:num>
  <w:num w:numId="39">
    <w:abstractNumId w:val="34"/>
  </w:num>
  <w:num w:numId="40">
    <w:abstractNumId w:val="25"/>
  </w:num>
  <w:num w:numId="41">
    <w:abstractNumId w:val="41"/>
  </w:num>
  <w:num w:numId="42">
    <w:abstractNumId w:val="20"/>
  </w:num>
  <w:num w:numId="43">
    <w:abstractNumId w:val="21"/>
  </w:num>
  <w:num w:numId="44">
    <w:abstractNumId w:val="28"/>
  </w:num>
  <w:num w:numId="45">
    <w:abstractNumId w:val="2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5"/>
  </w:num>
  <w:num w:numId="49">
    <w:abstractNumId w:val="14"/>
  </w:num>
  <w:num w:numId="50">
    <w:abstractNumId w:val="33"/>
  </w:num>
  <w:num w:numId="51">
    <w:abstractNumId w:val="23"/>
  </w:num>
  <w:num w:numId="52">
    <w:abstractNumId w:val="37"/>
  </w:num>
  <w:num w:numId="53">
    <w:abstractNumId w:val="19"/>
  </w:num>
  <w:num w:numId="54">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BD2A76"/>
    <w:rsid w:val="00000446"/>
    <w:rsid w:val="0000098B"/>
    <w:rsid w:val="000014F7"/>
    <w:rsid w:val="00001BD3"/>
    <w:rsid w:val="00001DEB"/>
    <w:rsid w:val="00003148"/>
    <w:rsid w:val="00003AA5"/>
    <w:rsid w:val="0000480E"/>
    <w:rsid w:val="0000513C"/>
    <w:rsid w:val="00005614"/>
    <w:rsid w:val="000066A6"/>
    <w:rsid w:val="00007943"/>
    <w:rsid w:val="00007955"/>
    <w:rsid w:val="0001013F"/>
    <w:rsid w:val="00011BFB"/>
    <w:rsid w:val="00011F54"/>
    <w:rsid w:val="0001230F"/>
    <w:rsid w:val="00012A8F"/>
    <w:rsid w:val="000134A1"/>
    <w:rsid w:val="00014FF9"/>
    <w:rsid w:val="000157FC"/>
    <w:rsid w:val="00015D84"/>
    <w:rsid w:val="000171E3"/>
    <w:rsid w:val="000200DC"/>
    <w:rsid w:val="000221FE"/>
    <w:rsid w:val="000227E3"/>
    <w:rsid w:val="0002375B"/>
    <w:rsid w:val="0002378C"/>
    <w:rsid w:val="00023B95"/>
    <w:rsid w:val="00023D62"/>
    <w:rsid w:val="00024929"/>
    <w:rsid w:val="00025E36"/>
    <w:rsid w:val="00026BC0"/>
    <w:rsid w:val="00027032"/>
    <w:rsid w:val="000270D4"/>
    <w:rsid w:val="0002785A"/>
    <w:rsid w:val="00031C26"/>
    <w:rsid w:val="00031C7E"/>
    <w:rsid w:val="0003316D"/>
    <w:rsid w:val="00033F57"/>
    <w:rsid w:val="00034A24"/>
    <w:rsid w:val="00034FDE"/>
    <w:rsid w:val="00035CF1"/>
    <w:rsid w:val="00035EE1"/>
    <w:rsid w:val="00036E4C"/>
    <w:rsid w:val="0003767D"/>
    <w:rsid w:val="00037C97"/>
    <w:rsid w:val="00041B5A"/>
    <w:rsid w:val="00041C30"/>
    <w:rsid w:val="000420FB"/>
    <w:rsid w:val="00042B9A"/>
    <w:rsid w:val="000435E5"/>
    <w:rsid w:val="00043A84"/>
    <w:rsid w:val="0004458A"/>
    <w:rsid w:val="00044AD1"/>
    <w:rsid w:val="00044C2D"/>
    <w:rsid w:val="000453AB"/>
    <w:rsid w:val="000458F7"/>
    <w:rsid w:val="00045F22"/>
    <w:rsid w:val="00047CF1"/>
    <w:rsid w:val="00047F04"/>
    <w:rsid w:val="00051076"/>
    <w:rsid w:val="00051A3C"/>
    <w:rsid w:val="00052088"/>
    <w:rsid w:val="0005268C"/>
    <w:rsid w:val="00052C2E"/>
    <w:rsid w:val="00052D53"/>
    <w:rsid w:val="00052E75"/>
    <w:rsid w:val="00053A53"/>
    <w:rsid w:val="00053F93"/>
    <w:rsid w:val="00054209"/>
    <w:rsid w:val="000543D9"/>
    <w:rsid w:val="000549D9"/>
    <w:rsid w:val="00054CF0"/>
    <w:rsid w:val="00054F2B"/>
    <w:rsid w:val="00055246"/>
    <w:rsid w:val="000558DB"/>
    <w:rsid w:val="00056391"/>
    <w:rsid w:val="00056683"/>
    <w:rsid w:val="00056C29"/>
    <w:rsid w:val="000572C9"/>
    <w:rsid w:val="000572F5"/>
    <w:rsid w:val="00061149"/>
    <w:rsid w:val="000611A7"/>
    <w:rsid w:val="000623EA"/>
    <w:rsid w:val="00062405"/>
    <w:rsid w:val="000624B4"/>
    <w:rsid w:val="000624C6"/>
    <w:rsid w:val="000640FE"/>
    <w:rsid w:val="00065452"/>
    <w:rsid w:val="000655A6"/>
    <w:rsid w:val="00066916"/>
    <w:rsid w:val="000703E9"/>
    <w:rsid w:val="00070688"/>
    <w:rsid w:val="00071532"/>
    <w:rsid w:val="000716A0"/>
    <w:rsid w:val="000720CC"/>
    <w:rsid w:val="00073BBC"/>
    <w:rsid w:val="000747B0"/>
    <w:rsid w:val="00075181"/>
    <w:rsid w:val="0007656B"/>
    <w:rsid w:val="00077069"/>
    <w:rsid w:val="00080107"/>
    <w:rsid w:val="00082026"/>
    <w:rsid w:val="0008218F"/>
    <w:rsid w:val="000834A0"/>
    <w:rsid w:val="00083B82"/>
    <w:rsid w:val="0008510C"/>
    <w:rsid w:val="00085426"/>
    <w:rsid w:val="0008659C"/>
    <w:rsid w:val="0008736D"/>
    <w:rsid w:val="000900F8"/>
    <w:rsid w:val="000911BB"/>
    <w:rsid w:val="00091254"/>
    <w:rsid w:val="00091C70"/>
    <w:rsid w:val="00092FB3"/>
    <w:rsid w:val="00093051"/>
    <w:rsid w:val="00093136"/>
    <w:rsid w:val="0009533C"/>
    <w:rsid w:val="00095C73"/>
    <w:rsid w:val="0009613E"/>
    <w:rsid w:val="00096756"/>
    <w:rsid w:val="00096DAA"/>
    <w:rsid w:val="00097003"/>
    <w:rsid w:val="00097790"/>
    <w:rsid w:val="000977A7"/>
    <w:rsid w:val="00097DA4"/>
    <w:rsid w:val="000A00A5"/>
    <w:rsid w:val="000A0C44"/>
    <w:rsid w:val="000A1D3B"/>
    <w:rsid w:val="000A260C"/>
    <w:rsid w:val="000A2A99"/>
    <w:rsid w:val="000A2FF8"/>
    <w:rsid w:val="000A34FC"/>
    <w:rsid w:val="000A3C03"/>
    <w:rsid w:val="000A41CD"/>
    <w:rsid w:val="000A5602"/>
    <w:rsid w:val="000A7207"/>
    <w:rsid w:val="000A7DFC"/>
    <w:rsid w:val="000B020C"/>
    <w:rsid w:val="000B1169"/>
    <w:rsid w:val="000B120A"/>
    <w:rsid w:val="000B1E80"/>
    <w:rsid w:val="000B25F2"/>
    <w:rsid w:val="000B3071"/>
    <w:rsid w:val="000B3163"/>
    <w:rsid w:val="000B327A"/>
    <w:rsid w:val="000B3F22"/>
    <w:rsid w:val="000B41C6"/>
    <w:rsid w:val="000B46FF"/>
    <w:rsid w:val="000B539E"/>
    <w:rsid w:val="000B558E"/>
    <w:rsid w:val="000B643B"/>
    <w:rsid w:val="000B707B"/>
    <w:rsid w:val="000C03FB"/>
    <w:rsid w:val="000C0805"/>
    <w:rsid w:val="000C0957"/>
    <w:rsid w:val="000C0F07"/>
    <w:rsid w:val="000C2296"/>
    <w:rsid w:val="000C2A0E"/>
    <w:rsid w:val="000C3337"/>
    <w:rsid w:val="000C35D0"/>
    <w:rsid w:val="000C4601"/>
    <w:rsid w:val="000C4C8D"/>
    <w:rsid w:val="000C7735"/>
    <w:rsid w:val="000D0633"/>
    <w:rsid w:val="000D0B01"/>
    <w:rsid w:val="000D0E43"/>
    <w:rsid w:val="000D10C6"/>
    <w:rsid w:val="000D1CB0"/>
    <w:rsid w:val="000D27DC"/>
    <w:rsid w:val="000D4B20"/>
    <w:rsid w:val="000D500D"/>
    <w:rsid w:val="000D5954"/>
    <w:rsid w:val="000D6CAE"/>
    <w:rsid w:val="000D7BAF"/>
    <w:rsid w:val="000E03AF"/>
    <w:rsid w:val="000E1286"/>
    <w:rsid w:val="000E1731"/>
    <w:rsid w:val="000E1A27"/>
    <w:rsid w:val="000E34F0"/>
    <w:rsid w:val="000E35B4"/>
    <w:rsid w:val="000E3A44"/>
    <w:rsid w:val="000E40A1"/>
    <w:rsid w:val="000E483B"/>
    <w:rsid w:val="000E4E70"/>
    <w:rsid w:val="000E5CEB"/>
    <w:rsid w:val="000E61DB"/>
    <w:rsid w:val="000E72A7"/>
    <w:rsid w:val="000E748C"/>
    <w:rsid w:val="000F047F"/>
    <w:rsid w:val="000F1555"/>
    <w:rsid w:val="000F475A"/>
    <w:rsid w:val="000F5CAA"/>
    <w:rsid w:val="000F6A0E"/>
    <w:rsid w:val="000F6F56"/>
    <w:rsid w:val="001000B7"/>
    <w:rsid w:val="00101697"/>
    <w:rsid w:val="00102914"/>
    <w:rsid w:val="001030A2"/>
    <w:rsid w:val="001055C6"/>
    <w:rsid w:val="0010623E"/>
    <w:rsid w:val="0010633A"/>
    <w:rsid w:val="00107906"/>
    <w:rsid w:val="00110E8F"/>
    <w:rsid w:val="00112139"/>
    <w:rsid w:val="00112205"/>
    <w:rsid w:val="0011227D"/>
    <w:rsid w:val="001134A0"/>
    <w:rsid w:val="0011382E"/>
    <w:rsid w:val="00113C5C"/>
    <w:rsid w:val="00114DD1"/>
    <w:rsid w:val="00114FC5"/>
    <w:rsid w:val="0011501B"/>
    <w:rsid w:val="00115221"/>
    <w:rsid w:val="0011645F"/>
    <w:rsid w:val="001164D3"/>
    <w:rsid w:val="00117BFB"/>
    <w:rsid w:val="00117F5B"/>
    <w:rsid w:val="001201DA"/>
    <w:rsid w:val="00120C7B"/>
    <w:rsid w:val="0012116C"/>
    <w:rsid w:val="00122165"/>
    <w:rsid w:val="001227EB"/>
    <w:rsid w:val="00122F7E"/>
    <w:rsid w:val="0012389C"/>
    <w:rsid w:val="001243E9"/>
    <w:rsid w:val="00124BC3"/>
    <w:rsid w:val="00124F32"/>
    <w:rsid w:val="00125B5A"/>
    <w:rsid w:val="00126A69"/>
    <w:rsid w:val="00126AB2"/>
    <w:rsid w:val="00126E29"/>
    <w:rsid w:val="00127A18"/>
    <w:rsid w:val="00130A9D"/>
    <w:rsid w:val="00130E25"/>
    <w:rsid w:val="00131745"/>
    <w:rsid w:val="00131CD1"/>
    <w:rsid w:val="001321D7"/>
    <w:rsid w:val="00133192"/>
    <w:rsid w:val="001338DF"/>
    <w:rsid w:val="0013398D"/>
    <w:rsid w:val="00134095"/>
    <w:rsid w:val="001361CE"/>
    <w:rsid w:val="00136245"/>
    <w:rsid w:val="00140046"/>
    <w:rsid w:val="00140287"/>
    <w:rsid w:val="0014044F"/>
    <w:rsid w:val="00140493"/>
    <w:rsid w:val="0014169D"/>
    <w:rsid w:val="001416AA"/>
    <w:rsid w:val="001416B4"/>
    <w:rsid w:val="0014216C"/>
    <w:rsid w:val="001457CD"/>
    <w:rsid w:val="0014589B"/>
    <w:rsid w:val="0014657E"/>
    <w:rsid w:val="00146DF5"/>
    <w:rsid w:val="00147F38"/>
    <w:rsid w:val="00150CAF"/>
    <w:rsid w:val="0015168E"/>
    <w:rsid w:val="00151749"/>
    <w:rsid w:val="00153F3C"/>
    <w:rsid w:val="00153FB2"/>
    <w:rsid w:val="00154B6C"/>
    <w:rsid w:val="00155125"/>
    <w:rsid w:val="00155A9F"/>
    <w:rsid w:val="00155B55"/>
    <w:rsid w:val="00155EFB"/>
    <w:rsid w:val="0015606F"/>
    <w:rsid w:val="00156A52"/>
    <w:rsid w:val="00156D4C"/>
    <w:rsid w:val="00156E78"/>
    <w:rsid w:val="0016064D"/>
    <w:rsid w:val="0016199F"/>
    <w:rsid w:val="00161D0C"/>
    <w:rsid w:val="0016327D"/>
    <w:rsid w:val="00164202"/>
    <w:rsid w:val="00164326"/>
    <w:rsid w:val="00164B6E"/>
    <w:rsid w:val="00165258"/>
    <w:rsid w:val="001659D5"/>
    <w:rsid w:val="00165B1B"/>
    <w:rsid w:val="00166337"/>
    <w:rsid w:val="0016698B"/>
    <w:rsid w:val="00166CA3"/>
    <w:rsid w:val="00167722"/>
    <w:rsid w:val="00167B89"/>
    <w:rsid w:val="001705A6"/>
    <w:rsid w:val="00170A70"/>
    <w:rsid w:val="00171296"/>
    <w:rsid w:val="00171930"/>
    <w:rsid w:val="00172887"/>
    <w:rsid w:val="001733C5"/>
    <w:rsid w:val="00175827"/>
    <w:rsid w:val="001760BE"/>
    <w:rsid w:val="00176864"/>
    <w:rsid w:val="00177831"/>
    <w:rsid w:val="001778B2"/>
    <w:rsid w:val="00177B91"/>
    <w:rsid w:val="00177EC4"/>
    <w:rsid w:val="00180A2B"/>
    <w:rsid w:val="00180C66"/>
    <w:rsid w:val="00181007"/>
    <w:rsid w:val="00181984"/>
    <w:rsid w:val="00181A16"/>
    <w:rsid w:val="001827D5"/>
    <w:rsid w:val="00182ED3"/>
    <w:rsid w:val="001834DA"/>
    <w:rsid w:val="001835BB"/>
    <w:rsid w:val="00183920"/>
    <w:rsid w:val="00184076"/>
    <w:rsid w:val="0018480F"/>
    <w:rsid w:val="001852FF"/>
    <w:rsid w:val="001858D3"/>
    <w:rsid w:val="0018738D"/>
    <w:rsid w:val="00187515"/>
    <w:rsid w:val="00190CEB"/>
    <w:rsid w:val="0019122F"/>
    <w:rsid w:val="0019189F"/>
    <w:rsid w:val="00191992"/>
    <w:rsid w:val="001919A3"/>
    <w:rsid w:val="001920B3"/>
    <w:rsid w:val="0019212C"/>
    <w:rsid w:val="00192360"/>
    <w:rsid w:val="00192BFE"/>
    <w:rsid w:val="0019378B"/>
    <w:rsid w:val="001939FD"/>
    <w:rsid w:val="00193D77"/>
    <w:rsid w:val="0019424A"/>
    <w:rsid w:val="00194717"/>
    <w:rsid w:val="00194B51"/>
    <w:rsid w:val="0019546F"/>
    <w:rsid w:val="0019619A"/>
    <w:rsid w:val="00196FAB"/>
    <w:rsid w:val="00197444"/>
    <w:rsid w:val="00197924"/>
    <w:rsid w:val="001A12A3"/>
    <w:rsid w:val="001A157C"/>
    <w:rsid w:val="001A201A"/>
    <w:rsid w:val="001A27A9"/>
    <w:rsid w:val="001A3FD0"/>
    <w:rsid w:val="001A4BC0"/>
    <w:rsid w:val="001A5773"/>
    <w:rsid w:val="001A69D7"/>
    <w:rsid w:val="001A6FF6"/>
    <w:rsid w:val="001A759B"/>
    <w:rsid w:val="001B0073"/>
    <w:rsid w:val="001B03A7"/>
    <w:rsid w:val="001B116A"/>
    <w:rsid w:val="001B21C6"/>
    <w:rsid w:val="001B27D8"/>
    <w:rsid w:val="001B2EF0"/>
    <w:rsid w:val="001B364A"/>
    <w:rsid w:val="001B364F"/>
    <w:rsid w:val="001B4691"/>
    <w:rsid w:val="001B4C46"/>
    <w:rsid w:val="001B4CE2"/>
    <w:rsid w:val="001B5068"/>
    <w:rsid w:val="001B5C92"/>
    <w:rsid w:val="001B5F55"/>
    <w:rsid w:val="001B5F79"/>
    <w:rsid w:val="001B72BC"/>
    <w:rsid w:val="001C05BC"/>
    <w:rsid w:val="001C0DA5"/>
    <w:rsid w:val="001C1536"/>
    <w:rsid w:val="001C1C51"/>
    <w:rsid w:val="001C2DF9"/>
    <w:rsid w:val="001C3383"/>
    <w:rsid w:val="001C523A"/>
    <w:rsid w:val="001C5700"/>
    <w:rsid w:val="001C5B73"/>
    <w:rsid w:val="001C5FC6"/>
    <w:rsid w:val="001C72D7"/>
    <w:rsid w:val="001D0BDA"/>
    <w:rsid w:val="001D0C37"/>
    <w:rsid w:val="001D1272"/>
    <w:rsid w:val="001D192C"/>
    <w:rsid w:val="001D196C"/>
    <w:rsid w:val="001D1A63"/>
    <w:rsid w:val="001D2527"/>
    <w:rsid w:val="001D3480"/>
    <w:rsid w:val="001D3C2A"/>
    <w:rsid w:val="001D416E"/>
    <w:rsid w:val="001D5CBE"/>
    <w:rsid w:val="001D6562"/>
    <w:rsid w:val="001D66E8"/>
    <w:rsid w:val="001D6781"/>
    <w:rsid w:val="001D70CA"/>
    <w:rsid w:val="001D71FF"/>
    <w:rsid w:val="001D7271"/>
    <w:rsid w:val="001D73E4"/>
    <w:rsid w:val="001D7C84"/>
    <w:rsid w:val="001E0028"/>
    <w:rsid w:val="001E02AB"/>
    <w:rsid w:val="001E0944"/>
    <w:rsid w:val="001E0A4E"/>
    <w:rsid w:val="001E12E6"/>
    <w:rsid w:val="001E2B56"/>
    <w:rsid w:val="001E2BB0"/>
    <w:rsid w:val="001E2CB2"/>
    <w:rsid w:val="001E3B10"/>
    <w:rsid w:val="001E3D8E"/>
    <w:rsid w:val="001E445B"/>
    <w:rsid w:val="001E46A7"/>
    <w:rsid w:val="001E4B40"/>
    <w:rsid w:val="001E58D4"/>
    <w:rsid w:val="001E64D3"/>
    <w:rsid w:val="001E6E15"/>
    <w:rsid w:val="001E73C2"/>
    <w:rsid w:val="001E79BE"/>
    <w:rsid w:val="001E7B9A"/>
    <w:rsid w:val="001E7F6E"/>
    <w:rsid w:val="001F070F"/>
    <w:rsid w:val="001F105D"/>
    <w:rsid w:val="001F28C3"/>
    <w:rsid w:val="001F4261"/>
    <w:rsid w:val="001F4602"/>
    <w:rsid w:val="001F4778"/>
    <w:rsid w:val="001F48D3"/>
    <w:rsid w:val="001F516B"/>
    <w:rsid w:val="001F5C47"/>
    <w:rsid w:val="001F6E89"/>
    <w:rsid w:val="001F6FF6"/>
    <w:rsid w:val="001F7260"/>
    <w:rsid w:val="001F7BF6"/>
    <w:rsid w:val="001F7EC5"/>
    <w:rsid w:val="0020056B"/>
    <w:rsid w:val="002010E9"/>
    <w:rsid w:val="00201D39"/>
    <w:rsid w:val="00201E97"/>
    <w:rsid w:val="00202583"/>
    <w:rsid w:val="00202A3F"/>
    <w:rsid w:val="00202A8F"/>
    <w:rsid w:val="00202B0F"/>
    <w:rsid w:val="00202C7E"/>
    <w:rsid w:val="00203ABF"/>
    <w:rsid w:val="002045B8"/>
    <w:rsid w:val="0020590F"/>
    <w:rsid w:val="0020606B"/>
    <w:rsid w:val="00207D31"/>
    <w:rsid w:val="00210C26"/>
    <w:rsid w:val="002112CD"/>
    <w:rsid w:val="002114AC"/>
    <w:rsid w:val="00211BC7"/>
    <w:rsid w:val="00211D8A"/>
    <w:rsid w:val="0021298F"/>
    <w:rsid w:val="0021355C"/>
    <w:rsid w:val="00213AF3"/>
    <w:rsid w:val="00214468"/>
    <w:rsid w:val="00215363"/>
    <w:rsid w:val="0021552B"/>
    <w:rsid w:val="002157A1"/>
    <w:rsid w:val="0021668F"/>
    <w:rsid w:val="002168D6"/>
    <w:rsid w:val="00217077"/>
    <w:rsid w:val="00217B2C"/>
    <w:rsid w:val="00220909"/>
    <w:rsid w:val="0022125F"/>
    <w:rsid w:val="0022184D"/>
    <w:rsid w:val="00221A21"/>
    <w:rsid w:val="00221B85"/>
    <w:rsid w:val="002222CA"/>
    <w:rsid w:val="0022282F"/>
    <w:rsid w:val="002231A8"/>
    <w:rsid w:val="00223C07"/>
    <w:rsid w:val="00223FDC"/>
    <w:rsid w:val="002250FE"/>
    <w:rsid w:val="00226844"/>
    <w:rsid w:val="00227384"/>
    <w:rsid w:val="00227866"/>
    <w:rsid w:val="002303BD"/>
    <w:rsid w:val="002303C5"/>
    <w:rsid w:val="002308BF"/>
    <w:rsid w:val="0023176E"/>
    <w:rsid w:val="00231DB6"/>
    <w:rsid w:val="00231E78"/>
    <w:rsid w:val="002321C2"/>
    <w:rsid w:val="002330F2"/>
    <w:rsid w:val="002331B3"/>
    <w:rsid w:val="00233AB2"/>
    <w:rsid w:val="00233E7F"/>
    <w:rsid w:val="00233EF2"/>
    <w:rsid w:val="00233FD2"/>
    <w:rsid w:val="002342A7"/>
    <w:rsid w:val="0023446C"/>
    <w:rsid w:val="00234F65"/>
    <w:rsid w:val="0023551F"/>
    <w:rsid w:val="00235913"/>
    <w:rsid w:val="00236D5F"/>
    <w:rsid w:val="002375CD"/>
    <w:rsid w:val="00240321"/>
    <w:rsid w:val="00243C27"/>
    <w:rsid w:val="002446EF"/>
    <w:rsid w:val="00245A1C"/>
    <w:rsid w:val="00245EEE"/>
    <w:rsid w:val="002462D2"/>
    <w:rsid w:val="00246E75"/>
    <w:rsid w:val="00246F82"/>
    <w:rsid w:val="00247532"/>
    <w:rsid w:val="0024789C"/>
    <w:rsid w:val="002500B7"/>
    <w:rsid w:val="0025012C"/>
    <w:rsid w:val="00250133"/>
    <w:rsid w:val="002514D7"/>
    <w:rsid w:val="00251E88"/>
    <w:rsid w:val="00252C75"/>
    <w:rsid w:val="00253CDD"/>
    <w:rsid w:val="00254207"/>
    <w:rsid w:val="00254830"/>
    <w:rsid w:val="00255363"/>
    <w:rsid w:val="00255D31"/>
    <w:rsid w:val="002567BB"/>
    <w:rsid w:val="00256A62"/>
    <w:rsid w:val="002575FA"/>
    <w:rsid w:val="002578FA"/>
    <w:rsid w:val="00260E4B"/>
    <w:rsid w:val="002615F0"/>
    <w:rsid w:val="00261CC4"/>
    <w:rsid w:val="002620C4"/>
    <w:rsid w:val="00262A13"/>
    <w:rsid w:val="00262CA6"/>
    <w:rsid w:val="002638EE"/>
    <w:rsid w:val="00263AF7"/>
    <w:rsid w:val="00264003"/>
    <w:rsid w:val="0026467A"/>
    <w:rsid w:val="00264A67"/>
    <w:rsid w:val="00264E74"/>
    <w:rsid w:val="0026566B"/>
    <w:rsid w:val="00265A71"/>
    <w:rsid w:val="002660C8"/>
    <w:rsid w:val="0026629D"/>
    <w:rsid w:val="00266699"/>
    <w:rsid w:val="002668EA"/>
    <w:rsid w:val="00266946"/>
    <w:rsid w:val="0026752C"/>
    <w:rsid w:val="002675FE"/>
    <w:rsid w:val="0027060F"/>
    <w:rsid w:val="00271166"/>
    <w:rsid w:val="00271C23"/>
    <w:rsid w:val="00271DED"/>
    <w:rsid w:val="002722FF"/>
    <w:rsid w:val="00272586"/>
    <w:rsid w:val="00272886"/>
    <w:rsid w:val="00272E30"/>
    <w:rsid w:val="00274826"/>
    <w:rsid w:val="002760EE"/>
    <w:rsid w:val="00276E34"/>
    <w:rsid w:val="00277EA5"/>
    <w:rsid w:val="00281CA8"/>
    <w:rsid w:val="00283D8F"/>
    <w:rsid w:val="00283E07"/>
    <w:rsid w:val="00284944"/>
    <w:rsid w:val="00284A4E"/>
    <w:rsid w:val="00284E35"/>
    <w:rsid w:val="00285939"/>
    <w:rsid w:val="00285BEB"/>
    <w:rsid w:val="0028608C"/>
    <w:rsid w:val="0028725E"/>
    <w:rsid w:val="0028734F"/>
    <w:rsid w:val="00287964"/>
    <w:rsid w:val="002904A4"/>
    <w:rsid w:val="0029050D"/>
    <w:rsid w:val="002906DD"/>
    <w:rsid w:val="002908D1"/>
    <w:rsid w:val="00293118"/>
    <w:rsid w:val="002937F6"/>
    <w:rsid w:val="002944C8"/>
    <w:rsid w:val="00295E7F"/>
    <w:rsid w:val="002964A7"/>
    <w:rsid w:val="00296D83"/>
    <w:rsid w:val="002970C6"/>
    <w:rsid w:val="00297E82"/>
    <w:rsid w:val="002A053A"/>
    <w:rsid w:val="002A05D5"/>
    <w:rsid w:val="002A0779"/>
    <w:rsid w:val="002A0DB7"/>
    <w:rsid w:val="002A0EBC"/>
    <w:rsid w:val="002A24D1"/>
    <w:rsid w:val="002A2DD1"/>
    <w:rsid w:val="002A32C1"/>
    <w:rsid w:val="002A3345"/>
    <w:rsid w:val="002A3FD4"/>
    <w:rsid w:val="002A4BB3"/>
    <w:rsid w:val="002A4D3E"/>
    <w:rsid w:val="002A4F0E"/>
    <w:rsid w:val="002A5BA9"/>
    <w:rsid w:val="002A62E3"/>
    <w:rsid w:val="002A7D00"/>
    <w:rsid w:val="002A7ED7"/>
    <w:rsid w:val="002B0742"/>
    <w:rsid w:val="002B0BE1"/>
    <w:rsid w:val="002B1260"/>
    <w:rsid w:val="002B1401"/>
    <w:rsid w:val="002B1EE9"/>
    <w:rsid w:val="002B26F5"/>
    <w:rsid w:val="002B4770"/>
    <w:rsid w:val="002B48C8"/>
    <w:rsid w:val="002B5D66"/>
    <w:rsid w:val="002B5E29"/>
    <w:rsid w:val="002B5E42"/>
    <w:rsid w:val="002B6CB3"/>
    <w:rsid w:val="002B71F0"/>
    <w:rsid w:val="002B7804"/>
    <w:rsid w:val="002C01E2"/>
    <w:rsid w:val="002C0338"/>
    <w:rsid w:val="002C0920"/>
    <w:rsid w:val="002C0967"/>
    <w:rsid w:val="002C1BF7"/>
    <w:rsid w:val="002C202F"/>
    <w:rsid w:val="002C30D2"/>
    <w:rsid w:val="002C395F"/>
    <w:rsid w:val="002C3CED"/>
    <w:rsid w:val="002C3E85"/>
    <w:rsid w:val="002C53C9"/>
    <w:rsid w:val="002C5930"/>
    <w:rsid w:val="002C7559"/>
    <w:rsid w:val="002D0766"/>
    <w:rsid w:val="002D0D78"/>
    <w:rsid w:val="002D2D54"/>
    <w:rsid w:val="002D2F9B"/>
    <w:rsid w:val="002D3236"/>
    <w:rsid w:val="002D37CA"/>
    <w:rsid w:val="002D3CF6"/>
    <w:rsid w:val="002D4552"/>
    <w:rsid w:val="002D4B55"/>
    <w:rsid w:val="002D4F51"/>
    <w:rsid w:val="002D5587"/>
    <w:rsid w:val="002D571B"/>
    <w:rsid w:val="002D59A1"/>
    <w:rsid w:val="002D5C12"/>
    <w:rsid w:val="002D79D9"/>
    <w:rsid w:val="002D7CF8"/>
    <w:rsid w:val="002E1682"/>
    <w:rsid w:val="002E174A"/>
    <w:rsid w:val="002E2E98"/>
    <w:rsid w:val="002E3661"/>
    <w:rsid w:val="002E3773"/>
    <w:rsid w:val="002E399E"/>
    <w:rsid w:val="002E48D8"/>
    <w:rsid w:val="002E4FD7"/>
    <w:rsid w:val="002E56A3"/>
    <w:rsid w:val="002E68B2"/>
    <w:rsid w:val="002E6A96"/>
    <w:rsid w:val="002E7413"/>
    <w:rsid w:val="002E7443"/>
    <w:rsid w:val="002E7719"/>
    <w:rsid w:val="002F085D"/>
    <w:rsid w:val="002F146B"/>
    <w:rsid w:val="002F1A27"/>
    <w:rsid w:val="002F2035"/>
    <w:rsid w:val="002F2303"/>
    <w:rsid w:val="002F250A"/>
    <w:rsid w:val="002F4E21"/>
    <w:rsid w:val="002F6A72"/>
    <w:rsid w:val="002F6C4D"/>
    <w:rsid w:val="00300DA2"/>
    <w:rsid w:val="00301091"/>
    <w:rsid w:val="003010E7"/>
    <w:rsid w:val="0030147E"/>
    <w:rsid w:val="00301C5F"/>
    <w:rsid w:val="00301C65"/>
    <w:rsid w:val="00302205"/>
    <w:rsid w:val="00303089"/>
    <w:rsid w:val="0030327C"/>
    <w:rsid w:val="003037AF"/>
    <w:rsid w:val="00303956"/>
    <w:rsid w:val="003047D4"/>
    <w:rsid w:val="00304E69"/>
    <w:rsid w:val="003059F3"/>
    <w:rsid w:val="00305ACF"/>
    <w:rsid w:val="003066C8"/>
    <w:rsid w:val="00307000"/>
    <w:rsid w:val="0030741C"/>
    <w:rsid w:val="00307604"/>
    <w:rsid w:val="003077E3"/>
    <w:rsid w:val="00307BD3"/>
    <w:rsid w:val="00307E7E"/>
    <w:rsid w:val="003103A9"/>
    <w:rsid w:val="0031106A"/>
    <w:rsid w:val="00311AE6"/>
    <w:rsid w:val="00311B64"/>
    <w:rsid w:val="00311BDF"/>
    <w:rsid w:val="00311D64"/>
    <w:rsid w:val="00312D71"/>
    <w:rsid w:val="003130AE"/>
    <w:rsid w:val="00313936"/>
    <w:rsid w:val="00313C1E"/>
    <w:rsid w:val="003148A3"/>
    <w:rsid w:val="003154D6"/>
    <w:rsid w:val="0031580F"/>
    <w:rsid w:val="0031583B"/>
    <w:rsid w:val="00315ED3"/>
    <w:rsid w:val="00316576"/>
    <w:rsid w:val="003171B4"/>
    <w:rsid w:val="00317232"/>
    <w:rsid w:val="00317C01"/>
    <w:rsid w:val="0032000B"/>
    <w:rsid w:val="003201AA"/>
    <w:rsid w:val="003208B9"/>
    <w:rsid w:val="00320B5E"/>
    <w:rsid w:val="00321160"/>
    <w:rsid w:val="0032128F"/>
    <w:rsid w:val="0032155B"/>
    <w:rsid w:val="003221AE"/>
    <w:rsid w:val="00322340"/>
    <w:rsid w:val="00322856"/>
    <w:rsid w:val="00322C7F"/>
    <w:rsid w:val="003236CF"/>
    <w:rsid w:val="00324710"/>
    <w:rsid w:val="00325F31"/>
    <w:rsid w:val="003265B4"/>
    <w:rsid w:val="00326974"/>
    <w:rsid w:val="00327A37"/>
    <w:rsid w:val="00327F0E"/>
    <w:rsid w:val="00327F2B"/>
    <w:rsid w:val="00330830"/>
    <w:rsid w:val="00330834"/>
    <w:rsid w:val="0033199C"/>
    <w:rsid w:val="003321E2"/>
    <w:rsid w:val="0033395E"/>
    <w:rsid w:val="0033450F"/>
    <w:rsid w:val="0033471E"/>
    <w:rsid w:val="00334F1D"/>
    <w:rsid w:val="0033501F"/>
    <w:rsid w:val="00335C47"/>
    <w:rsid w:val="00336020"/>
    <w:rsid w:val="003370A7"/>
    <w:rsid w:val="00337A7E"/>
    <w:rsid w:val="00337BB8"/>
    <w:rsid w:val="00337DB7"/>
    <w:rsid w:val="003401BA"/>
    <w:rsid w:val="00340C64"/>
    <w:rsid w:val="00341467"/>
    <w:rsid w:val="00341B7D"/>
    <w:rsid w:val="003427FA"/>
    <w:rsid w:val="00342F07"/>
    <w:rsid w:val="00342F6E"/>
    <w:rsid w:val="00343456"/>
    <w:rsid w:val="00343C2A"/>
    <w:rsid w:val="00343E0C"/>
    <w:rsid w:val="0034478A"/>
    <w:rsid w:val="00344DB6"/>
    <w:rsid w:val="003456AC"/>
    <w:rsid w:val="0034621C"/>
    <w:rsid w:val="0034647D"/>
    <w:rsid w:val="00347060"/>
    <w:rsid w:val="003502F4"/>
    <w:rsid w:val="00350AC5"/>
    <w:rsid w:val="003512CA"/>
    <w:rsid w:val="00351579"/>
    <w:rsid w:val="003519EC"/>
    <w:rsid w:val="00351A10"/>
    <w:rsid w:val="00351A68"/>
    <w:rsid w:val="00352361"/>
    <w:rsid w:val="00352D3B"/>
    <w:rsid w:val="00352EA6"/>
    <w:rsid w:val="00353E8E"/>
    <w:rsid w:val="00354BCE"/>
    <w:rsid w:val="0035533C"/>
    <w:rsid w:val="00355AB4"/>
    <w:rsid w:val="0035627D"/>
    <w:rsid w:val="003565DE"/>
    <w:rsid w:val="003568C5"/>
    <w:rsid w:val="00356EE5"/>
    <w:rsid w:val="00357C70"/>
    <w:rsid w:val="00360506"/>
    <w:rsid w:val="003605EF"/>
    <w:rsid w:val="003607EC"/>
    <w:rsid w:val="00360E2D"/>
    <w:rsid w:val="00361010"/>
    <w:rsid w:val="00361879"/>
    <w:rsid w:val="003619C0"/>
    <w:rsid w:val="00361C0B"/>
    <w:rsid w:val="00362DC4"/>
    <w:rsid w:val="0036417D"/>
    <w:rsid w:val="003647C1"/>
    <w:rsid w:val="00365331"/>
    <w:rsid w:val="0036675D"/>
    <w:rsid w:val="003701FC"/>
    <w:rsid w:val="00370F93"/>
    <w:rsid w:val="00371102"/>
    <w:rsid w:val="00371725"/>
    <w:rsid w:val="00372386"/>
    <w:rsid w:val="003723CC"/>
    <w:rsid w:val="0037248B"/>
    <w:rsid w:val="00372DD6"/>
    <w:rsid w:val="0037425D"/>
    <w:rsid w:val="0037556F"/>
    <w:rsid w:val="00375D96"/>
    <w:rsid w:val="0037620A"/>
    <w:rsid w:val="00376596"/>
    <w:rsid w:val="003775D0"/>
    <w:rsid w:val="00382C46"/>
    <w:rsid w:val="003835C6"/>
    <w:rsid w:val="0038449E"/>
    <w:rsid w:val="00384572"/>
    <w:rsid w:val="0038479E"/>
    <w:rsid w:val="00384A69"/>
    <w:rsid w:val="00384AF4"/>
    <w:rsid w:val="003850F0"/>
    <w:rsid w:val="00385523"/>
    <w:rsid w:val="00386B10"/>
    <w:rsid w:val="00387FC8"/>
    <w:rsid w:val="00391482"/>
    <w:rsid w:val="00391515"/>
    <w:rsid w:val="003916C9"/>
    <w:rsid w:val="003923D5"/>
    <w:rsid w:val="00393936"/>
    <w:rsid w:val="003950A1"/>
    <w:rsid w:val="00396962"/>
    <w:rsid w:val="00396CC4"/>
    <w:rsid w:val="003A0531"/>
    <w:rsid w:val="003A1315"/>
    <w:rsid w:val="003A21DF"/>
    <w:rsid w:val="003A2F90"/>
    <w:rsid w:val="003A36E4"/>
    <w:rsid w:val="003A39FD"/>
    <w:rsid w:val="003A46F6"/>
    <w:rsid w:val="003A5B6F"/>
    <w:rsid w:val="003A6C38"/>
    <w:rsid w:val="003A766D"/>
    <w:rsid w:val="003B0252"/>
    <w:rsid w:val="003B0806"/>
    <w:rsid w:val="003B08E2"/>
    <w:rsid w:val="003B207E"/>
    <w:rsid w:val="003B26CE"/>
    <w:rsid w:val="003B2B27"/>
    <w:rsid w:val="003B2BD3"/>
    <w:rsid w:val="003B36F8"/>
    <w:rsid w:val="003B445E"/>
    <w:rsid w:val="003B4842"/>
    <w:rsid w:val="003B49FC"/>
    <w:rsid w:val="003B4FAC"/>
    <w:rsid w:val="003B5262"/>
    <w:rsid w:val="003B6668"/>
    <w:rsid w:val="003B6E41"/>
    <w:rsid w:val="003B6EF3"/>
    <w:rsid w:val="003C1438"/>
    <w:rsid w:val="003C1924"/>
    <w:rsid w:val="003C3274"/>
    <w:rsid w:val="003C36F7"/>
    <w:rsid w:val="003C39D0"/>
    <w:rsid w:val="003C39EE"/>
    <w:rsid w:val="003C5A58"/>
    <w:rsid w:val="003C6413"/>
    <w:rsid w:val="003C70B4"/>
    <w:rsid w:val="003C7C46"/>
    <w:rsid w:val="003C7CBF"/>
    <w:rsid w:val="003D0E33"/>
    <w:rsid w:val="003D15D7"/>
    <w:rsid w:val="003D18B2"/>
    <w:rsid w:val="003D1AAF"/>
    <w:rsid w:val="003D1D2C"/>
    <w:rsid w:val="003D23BA"/>
    <w:rsid w:val="003D27DF"/>
    <w:rsid w:val="003D2854"/>
    <w:rsid w:val="003D2BDF"/>
    <w:rsid w:val="003D30A0"/>
    <w:rsid w:val="003D30F8"/>
    <w:rsid w:val="003D389B"/>
    <w:rsid w:val="003D3D7C"/>
    <w:rsid w:val="003D3D9F"/>
    <w:rsid w:val="003D508B"/>
    <w:rsid w:val="003D59A9"/>
    <w:rsid w:val="003D5CB3"/>
    <w:rsid w:val="003D66D4"/>
    <w:rsid w:val="003D67A1"/>
    <w:rsid w:val="003E02A1"/>
    <w:rsid w:val="003E034E"/>
    <w:rsid w:val="003E0663"/>
    <w:rsid w:val="003E0EC0"/>
    <w:rsid w:val="003E0FAD"/>
    <w:rsid w:val="003E1F8C"/>
    <w:rsid w:val="003E1FF5"/>
    <w:rsid w:val="003E2961"/>
    <w:rsid w:val="003E35DA"/>
    <w:rsid w:val="003E3DAC"/>
    <w:rsid w:val="003E4BFD"/>
    <w:rsid w:val="003E4E38"/>
    <w:rsid w:val="003E56FA"/>
    <w:rsid w:val="003E5BB9"/>
    <w:rsid w:val="003E6EFE"/>
    <w:rsid w:val="003E6F0E"/>
    <w:rsid w:val="003E7F83"/>
    <w:rsid w:val="003F003A"/>
    <w:rsid w:val="003F026F"/>
    <w:rsid w:val="003F0B6B"/>
    <w:rsid w:val="003F13CD"/>
    <w:rsid w:val="003F16EB"/>
    <w:rsid w:val="003F1CAB"/>
    <w:rsid w:val="003F304F"/>
    <w:rsid w:val="003F4E51"/>
    <w:rsid w:val="003F4EB7"/>
    <w:rsid w:val="003F5EB2"/>
    <w:rsid w:val="003F64A2"/>
    <w:rsid w:val="003F65EB"/>
    <w:rsid w:val="003F7723"/>
    <w:rsid w:val="00401735"/>
    <w:rsid w:val="00401873"/>
    <w:rsid w:val="00401DC9"/>
    <w:rsid w:val="00402A2C"/>
    <w:rsid w:val="00403474"/>
    <w:rsid w:val="0040427F"/>
    <w:rsid w:val="004062C9"/>
    <w:rsid w:val="0040663A"/>
    <w:rsid w:val="0040666C"/>
    <w:rsid w:val="0040670A"/>
    <w:rsid w:val="004067CC"/>
    <w:rsid w:val="00406C57"/>
    <w:rsid w:val="00406DF6"/>
    <w:rsid w:val="00406F79"/>
    <w:rsid w:val="0040790C"/>
    <w:rsid w:val="00407E1E"/>
    <w:rsid w:val="004103E5"/>
    <w:rsid w:val="00410A43"/>
    <w:rsid w:val="00410C78"/>
    <w:rsid w:val="00410F09"/>
    <w:rsid w:val="00411B62"/>
    <w:rsid w:val="0041239C"/>
    <w:rsid w:val="00414321"/>
    <w:rsid w:val="00414AA2"/>
    <w:rsid w:val="00414F26"/>
    <w:rsid w:val="00414F2E"/>
    <w:rsid w:val="00415865"/>
    <w:rsid w:val="0041676B"/>
    <w:rsid w:val="004168E2"/>
    <w:rsid w:val="00416BB0"/>
    <w:rsid w:val="00420579"/>
    <w:rsid w:val="0042065A"/>
    <w:rsid w:val="00420B27"/>
    <w:rsid w:val="00420F45"/>
    <w:rsid w:val="00421B57"/>
    <w:rsid w:val="00422BE1"/>
    <w:rsid w:val="004236BC"/>
    <w:rsid w:val="004237C8"/>
    <w:rsid w:val="00423C88"/>
    <w:rsid w:val="00423FCD"/>
    <w:rsid w:val="004245FA"/>
    <w:rsid w:val="004246A3"/>
    <w:rsid w:val="00424F0B"/>
    <w:rsid w:val="00425549"/>
    <w:rsid w:val="004257AE"/>
    <w:rsid w:val="00426AD3"/>
    <w:rsid w:val="00427646"/>
    <w:rsid w:val="004276D2"/>
    <w:rsid w:val="00427DC2"/>
    <w:rsid w:val="00430252"/>
    <w:rsid w:val="004304A6"/>
    <w:rsid w:val="004306DA"/>
    <w:rsid w:val="004306FA"/>
    <w:rsid w:val="00431608"/>
    <w:rsid w:val="00432503"/>
    <w:rsid w:val="00433D10"/>
    <w:rsid w:val="00433F2D"/>
    <w:rsid w:val="0043435E"/>
    <w:rsid w:val="004348A1"/>
    <w:rsid w:val="00434CF2"/>
    <w:rsid w:val="00434FBF"/>
    <w:rsid w:val="004368A5"/>
    <w:rsid w:val="00437ABC"/>
    <w:rsid w:val="00440299"/>
    <w:rsid w:val="004406E9"/>
    <w:rsid w:val="004407F7"/>
    <w:rsid w:val="00441A11"/>
    <w:rsid w:val="0044202D"/>
    <w:rsid w:val="00443C11"/>
    <w:rsid w:val="00443C3A"/>
    <w:rsid w:val="00443F8E"/>
    <w:rsid w:val="004450A2"/>
    <w:rsid w:val="004457D5"/>
    <w:rsid w:val="00445B86"/>
    <w:rsid w:val="00446005"/>
    <w:rsid w:val="00446315"/>
    <w:rsid w:val="00446318"/>
    <w:rsid w:val="00446E08"/>
    <w:rsid w:val="004472E0"/>
    <w:rsid w:val="00447367"/>
    <w:rsid w:val="00447EC9"/>
    <w:rsid w:val="0045046E"/>
    <w:rsid w:val="00450842"/>
    <w:rsid w:val="004511CB"/>
    <w:rsid w:val="00452A3A"/>
    <w:rsid w:val="00452B07"/>
    <w:rsid w:val="004538CC"/>
    <w:rsid w:val="00453F5E"/>
    <w:rsid w:val="004541D2"/>
    <w:rsid w:val="00455BF1"/>
    <w:rsid w:val="004560C0"/>
    <w:rsid w:val="0045628B"/>
    <w:rsid w:val="00457348"/>
    <w:rsid w:val="004578B5"/>
    <w:rsid w:val="00460B70"/>
    <w:rsid w:val="004615DC"/>
    <w:rsid w:val="00462005"/>
    <w:rsid w:val="004626BB"/>
    <w:rsid w:val="00462B32"/>
    <w:rsid w:val="0046428E"/>
    <w:rsid w:val="00464978"/>
    <w:rsid w:val="00464EEA"/>
    <w:rsid w:val="00464FC1"/>
    <w:rsid w:val="00465365"/>
    <w:rsid w:val="004670F7"/>
    <w:rsid w:val="00470637"/>
    <w:rsid w:val="0047096A"/>
    <w:rsid w:val="00470C3B"/>
    <w:rsid w:val="0047235A"/>
    <w:rsid w:val="0047277D"/>
    <w:rsid w:val="00472809"/>
    <w:rsid w:val="0047290F"/>
    <w:rsid w:val="00472C00"/>
    <w:rsid w:val="00473429"/>
    <w:rsid w:val="00473F99"/>
    <w:rsid w:val="00474FC2"/>
    <w:rsid w:val="004757AA"/>
    <w:rsid w:val="00475B60"/>
    <w:rsid w:val="0047672D"/>
    <w:rsid w:val="004772D9"/>
    <w:rsid w:val="00477584"/>
    <w:rsid w:val="00477DAE"/>
    <w:rsid w:val="00477E91"/>
    <w:rsid w:val="00480585"/>
    <w:rsid w:val="004810CC"/>
    <w:rsid w:val="0048133D"/>
    <w:rsid w:val="004816A3"/>
    <w:rsid w:val="004818B4"/>
    <w:rsid w:val="0048274C"/>
    <w:rsid w:val="00482816"/>
    <w:rsid w:val="00483702"/>
    <w:rsid w:val="0048372D"/>
    <w:rsid w:val="00484531"/>
    <w:rsid w:val="00484F01"/>
    <w:rsid w:val="00485AD5"/>
    <w:rsid w:val="00485CF3"/>
    <w:rsid w:val="004861E3"/>
    <w:rsid w:val="004872B8"/>
    <w:rsid w:val="00487AFA"/>
    <w:rsid w:val="004905D1"/>
    <w:rsid w:val="004922C1"/>
    <w:rsid w:val="00492B81"/>
    <w:rsid w:val="00492D5B"/>
    <w:rsid w:val="00492F3C"/>
    <w:rsid w:val="00493CD2"/>
    <w:rsid w:val="00495C51"/>
    <w:rsid w:val="0049656F"/>
    <w:rsid w:val="004978F7"/>
    <w:rsid w:val="004A004A"/>
    <w:rsid w:val="004A0269"/>
    <w:rsid w:val="004A0F4F"/>
    <w:rsid w:val="004A1521"/>
    <w:rsid w:val="004A18F4"/>
    <w:rsid w:val="004A1B58"/>
    <w:rsid w:val="004A2BA9"/>
    <w:rsid w:val="004A36BE"/>
    <w:rsid w:val="004A4334"/>
    <w:rsid w:val="004A5210"/>
    <w:rsid w:val="004A5B37"/>
    <w:rsid w:val="004A64F9"/>
    <w:rsid w:val="004A711F"/>
    <w:rsid w:val="004A7209"/>
    <w:rsid w:val="004A7891"/>
    <w:rsid w:val="004B0303"/>
    <w:rsid w:val="004B16A6"/>
    <w:rsid w:val="004B19BA"/>
    <w:rsid w:val="004B24C2"/>
    <w:rsid w:val="004B274F"/>
    <w:rsid w:val="004B2C5A"/>
    <w:rsid w:val="004B3865"/>
    <w:rsid w:val="004B38CD"/>
    <w:rsid w:val="004B3FB0"/>
    <w:rsid w:val="004B4395"/>
    <w:rsid w:val="004B4FFA"/>
    <w:rsid w:val="004B5289"/>
    <w:rsid w:val="004B533C"/>
    <w:rsid w:val="004B576D"/>
    <w:rsid w:val="004B595D"/>
    <w:rsid w:val="004B5F86"/>
    <w:rsid w:val="004B5FCC"/>
    <w:rsid w:val="004B63E6"/>
    <w:rsid w:val="004B688C"/>
    <w:rsid w:val="004B70CE"/>
    <w:rsid w:val="004B733C"/>
    <w:rsid w:val="004B7EB4"/>
    <w:rsid w:val="004C04A1"/>
    <w:rsid w:val="004C0656"/>
    <w:rsid w:val="004C1E59"/>
    <w:rsid w:val="004C2030"/>
    <w:rsid w:val="004C2E4B"/>
    <w:rsid w:val="004C3DDC"/>
    <w:rsid w:val="004C3ED9"/>
    <w:rsid w:val="004C5D1B"/>
    <w:rsid w:val="004C66A5"/>
    <w:rsid w:val="004C68C6"/>
    <w:rsid w:val="004C7A4C"/>
    <w:rsid w:val="004C7B1B"/>
    <w:rsid w:val="004D4241"/>
    <w:rsid w:val="004D49EF"/>
    <w:rsid w:val="004D54A3"/>
    <w:rsid w:val="004D5B16"/>
    <w:rsid w:val="004D7743"/>
    <w:rsid w:val="004D7788"/>
    <w:rsid w:val="004D77EE"/>
    <w:rsid w:val="004D7D46"/>
    <w:rsid w:val="004D7DD9"/>
    <w:rsid w:val="004E0792"/>
    <w:rsid w:val="004E0CC3"/>
    <w:rsid w:val="004E1A4B"/>
    <w:rsid w:val="004E21BB"/>
    <w:rsid w:val="004E26A1"/>
    <w:rsid w:val="004E3615"/>
    <w:rsid w:val="004E4DAD"/>
    <w:rsid w:val="004E57E5"/>
    <w:rsid w:val="004E5A68"/>
    <w:rsid w:val="004E67DD"/>
    <w:rsid w:val="004E6B5F"/>
    <w:rsid w:val="004E72EB"/>
    <w:rsid w:val="004E780E"/>
    <w:rsid w:val="004F0B19"/>
    <w:rsid w:val="004F126C"/>
    <w:rsid w:val="004F2222"/>
    <w:rsid w:val="004F4E51"/>
    <w:rsid w:val="004F55A8"/>
    <w:rsid w:val="004F717F"/>
    <w:rsid w:val="004F7972"/>
    <w:rsid w:val="004F79DA"/>
    <w:rsid w:val="004F7E6B"/>
    <w:rsid w:val="00500118"/>
    <w:rsid w:val="00500CDC"/>
    <w:rsid w:val="005016D5"/>
    <w:rsid w:val="00502084"/>
    <w:rsid w:val="0050258C"/>
    <w:rsid w:val="005028FA"/>
    <w:rsid w:val="0050295B"/>
    <w:rsid w:val="00503522"/>
    <w:rsid w:val="00503656"/>
    <w:rsid w:val="0050388F"/>
    <w:rsid w:val="00503B27"/>
    <w:rsid w:val="00503C9C"/>
    <w:rsid w:val="0050451D"/>
    <w:rsid w:val="00504F7D"/>
    <w:rsid w:val="00505AD8"/>
    <w:rsid w:val="00506172"/>
    <w:rsid w:val="005062F6"/>
    <w:rsid w:val="00506945"/>
    <w:rsid w:val="0050695B"/>
    <w:rsid w:val="0050752D"/>
    <w:rsid w:val="00507A78"/>
    <w:rsid w:val="00507C7E"/>
    <w:rsid w:val="00507D7E"/>
    <w:rsid w:val="00507F3F"/>
    <w:rsid w:val="00510670"/>
    <w:rsid w:val="005107F5"/>
    <w:rsid w:val="00511787"/>
    <w:rsid w:val="00511E62"/>
    <w:rsid w:val="005120B9"/>
    <w:rsid w:val="0051222D"/>
    <w:rsid w:val="00512F4E"/>
    <w:rsid w:val="00513808"/>
    <w:rsid w:val="0051444E"/>
    <w:rsid w:val="00514EF4"/>
    <w:rsid w:val="0051523C"/>
    <w:rsid w:val="0051581A"/>
    <w:rsid w:val="0051664A"/>
    <w:rsid w:val="00516663"/>
    <w:rsid w:val="0051688D"/>
    <w:rsid w:val="00516B23"/>
    <w:rsid w:val="00517D2D"/>
    <w:rsid w:val="00517D59"/>
    <w:rsid w:val="00520028"/>
    <w:rsid w:val="00520514"/>
    <w:rsid w:val="0052231F"/>
    <w:rsid w:val="0052292C"/>
    <w:rsid w:val="00524E10"/>
    <w:rsid w:val="005258C9"/>
    <w:rsid w:val="005260C4"/>
    <w:rsid w:val="005262B3"/>
    <w:rsid w:val="00526E97"/>
    <w:rsid w:val="00527329"/>
    <w:rsid w:val="005303E7"/>
    <w:rsid w:val="00530E8F"/>
    <w:rsid w:val="00531E01"/>
    <w:rsid w:val="005320D7"/>
    <w:rsid w:val="00532BED"/>
    <w:rsid w:val="00532C36"/>
    <w:rsid w:val="0053313C"/>
    <w:rsid w:val="00533F1E"/>
    <w:rsid w:val="0053473D"/>
    <w:rsid w:val="00535BB1"/>
    <w:rsid w:val="00535EF6"/>
    <w:rsid w:val="005365C9"/>
    <w:rsid w:val="005367E3"/>
    <w:rsid w:val="005371AE"/>
    <w:rsid w:val="00542089"/>
    <w:rsid w:val="00542634"/>
    <w:rsid w:val="00542858"/>
    <w:rsid w:val="00542E6A"/>
    <w:rsid w:val="00543647"/>
    <w:rsid w:val="00543EED"/>
    <w:rsid w:val="00544170"/>
    <w:rsid w:val="00544554"/>
    <w:rsid w:val="00545040"/>
    <w:rsid w:val="0054586A"/>
    <w:rsid w:val="005462A9"/>
    <w:rsid w:val="00546360"/>
    <w:rsid w:val="00546490"/>
    <w:rsid w:val="00546914"/>
    <w:rsid w:val="00546C64"/>
    <w:rsid w:val="0054702F"/>
    <w:rsid w:val="0054783D"/>
    <w:rsid w:val="00547DC8"/>
    <w:rsid w:val="0055083E"/>
    <w:rsid w:val="00550914"/>
    <w:rsid w:val="005510A8"/>
    <w:rsid w:val="005513EF"/>
    <w:rsid w:val="00551F3A"/>
    <w:rsid w:val="0055215B"/>
    <w:rsid w:val="0055261B"/>
    <w:rsid w:val="00552648"/>
    <w:rsid w:val="0055292B"/>
    <w:rsid w:val="00553C51"/>
    <w:rsid w:val="005550C2"/>
    <w:rsid w:val="00555A66"/>
    <w:rsid w:val="0055652B"/>
    <w:rsid w:val="00556A40"/>
    <w:rsid w:val="0055737F"/>
    <w:rsid w:val="00557472"/>
    <w:rsid w:val="0055779D"/>
    <w:rsid w:val="00560634"/>
    <w:rsid w:val="0056085D"/>
    <w:rsid w:val="00561088"/>
    <w:rsid w:val="00561BCF"/>
    <w:rsid w:val="0056296E"/>
    <w:rsid w:val="00563414"/>
    <w:rsid w:val="00563B76"/>
    <w:rsid w:val="00564A41"/>
    <w:rsid w:val="005655AC"/>
    <w:rsid w:val="0056578F"/>
    <w:rsid w:val="005669E1"/>
    <w:rsid w:val="00567E5E"/>
    <w:rsid w:val="0057056B"/>
    <w:rsid w:val="00570C45"/>
    <w:rsid w:val="00570C88"/>
    <w:rsid w:val="00570F13"/>
    <w:rsid w:val="00571951"/>
    <w:rsid w:val="005720B1"/>
    <w:rsid w:val="00572115"/>
    <w:rsid w:val="00574843"/>
    <w:rsid w:val="005750A2"/>
    <w:rsid w:val="005750B9"/>
    <w:rsid w:val="0057633D"/>
    <w:rsid w:val="00576EBD"/>
    <w:rsid w:val="00577DBA"/>
    <w:rsid w:val="00577EDF"/>
    <w:rsid w:val="00580C79"/>
    <w:rsid w:val="00581D18"/>
    <w:rsid w:val="00581D49"/>
    <w:rsid w:val="00581FD3"/>
    <w:rsid w:val="00582834"/>
    <w:rsid w:val="00583DDF"/>
    <w:rsid w:val="0058465C"/>
    <w:rsid w:val="00585238"/>
    <w:rsid w:val="005857F1"/>
    <w:rsid w:val="00585C19"/>
    <w:rsid w:val="005874F1"/>
    <w:rsid w:val="00587BDF"/>
    <w:rsid w:val="00590509"/>
    <w:rsid w:val="005906AF"/>
    <w:rsid w:val="00590845"/>
    <w:rsid w:val="0059102B"/>
    <w:rsid w:val="005911A3"/>
    <w:rsid w:val="00592691"/>
    <w:rsid w:val="00594A1B"/>
    <w:rsid w:val="00595B74"/>
    <w:rsid w:val="00595F7E"/>
    <w:rsid w:val="0059625F"/>
    <w:rsid w:val="00596AF3"/>
    <w:rsid w:val="00597535"/>
    <w:rsid w:val="005978BE"/>
    <w:rsid w:val="005A0CF0"/>
    <w:rsid w:val="005A0ECF"/>
    <w:rsid w:val="005A11BD"/>
    <w:rsid w:val="005A1230"/>
    <w:rsid w:val="005A1883"/>
    <w:rsid w:val="005A1C66"/>
    <w:rsid w:val="005A313A"/>
    <w:rsid w:val="005A3AF8"/>
    <w:rsid w:val="005A4730"/>
    <w:rsid w:val="005A4B9F"/>
    <w:rsid w:val="005A5DB0"/>
    <w:rsid w:val="005A5EC6"/>
    <w:rsid w:val="005A660B"/>
    <w:rsid w:val="005A667E"/>
    <w:rsid w:val="005A7747"/>
    <w:rsid w:val="005A77D3"/>
    <w:rsid w:val="005B06C4"/>
    <w:rsid w:val="005B0AA1"/>
    <w:rsid w:val="005B0CB0"/>
    <w:rsid w:val="005B110F"/>
    <w:rsid w:val="005B2A2E"/>
    <w:rsid w:val="005B2C7C"/>
    <w:rsid w:val="005B2D6E"/>
    <w:rsid w:val="005B4C55"/>
    <w:rsid w:val="005B4EEC"/>
    <w:rsid w:val="005B5116"/>
    <w:rsid w:val="005B54D5"/>
    <w:rsid w:val="005B5520"/>
    <w:rsid w:val="005B7289"/>
    <w:rsid w:val="005C008D"/>
    <w:rsid w:val="005C0301"/>
    <w:rsid w:val="005C072A"/>
    <w:rsid w:val="005C0DAD"/>
    <w:rsid w:val="005C1338"/>
    <w:rsid w:val="005C1B6E"/>
    <w:rsid w:val="005C1CCB"/>
    <w:rsid w:val="005C1D67"/>
    <w:rsid w:val="005C1F7D"/>
    <w:rsid w:val="005C2FF7"/>
    <w:rsid w:val="005C339C"/>
    <w:rsid w:val="005C36FB"/>
    <w:rsid w:val="005C3C88"/>
    <w:rsid w:val="005C4E03"/>
    <w:rsid w:val="005C59DE"/>
    <w:rsid w:val="005C5ECD"/>
    <w:rsid w:val="005C6208"/>
    <w:rsid w:val="005C64C5"/>
    <w:rsid w:val="005C6D71"/>
    <w:rsid w:val="005C7A97"/>
    <w:rsid w:val="005D0E60"/>
    <w:rsid w:val="005D1DAC"/>
    <w:rsid w:val="005D2675"/>
    <w:rsid w:val="005D38B9"/>
    <w:rsid w:val="005D4B92"/>
    <w:rsid w:val="005D5E50"/>
    <w:rsid w:val="005D5F7D"/>
    <w:rsid w:val="005D6056"/>
    <w:rsid w:val="005D7A39"/>
    <w:rsid w:val="005E1064"/>
    <w:rsid w:val="005E1D20"/>
    <w:rsid w:val="005E1F68"/>
    <w:rsid w:val="005E2573"/>
    <w:rsid w:val="005E2C0C"/>
    <w:rsid w:val="005E3640"/>
    <w:rsid w:val="005E372D"/>
    <w:rsid w:val="005E37AA"/>
    <w:rsid w:val="005E3D55"/>
    <w:rsid w:val="005E3DB2"/>
    <w:rsid w:val="005E3E90"/>
    <w:rsid w:val="005E47AE"/>
    <w:rsid w:val="005E47F0"/>
    <w:rsid w:val="005E4A7D"/>
    <w:rsid w:val="005E5753"/>
    <w:rsid w:val="005E5E4B"/>
    <w:rsid w:val="005E6318"/>
    <w:rsid w:val="005E651D"/>
    <w:rsid w:val="005E7C10"/>
    <w:rsid w:val="005E7C7F"/>
    <w:rsid w:val="005E7EDF"/>
    <w:rsid w:val="005F046C"/>
    <w:rsid w:val="005F11C3"/>
    <w:rsid w:val="005F1276"/>
    <w:rsid w:val="005F19A7"/>
    <w:rsid w:val="005F1C50"/>
    <w:rsid w:val="005F3867"/>
    <w:rsid w:val="005F3C33"/>
    <w:rsid w:val="005F435C"/>
    <w:rsid w:val="005F5A62"/>
    <w:rsid w:val="005F6ACB"/>
    <w:rsid w:val="005F6B8F"/>
    <w:rsid w:val="005F7EBB"/>
    <w:rsid w:val="00600049"/>
    <w:rsid w:val="00600273"/>
    <w:rsid w:val="00601049"/>
    <w:rsid w:val="0060109D"/>
    <w:rsid w:val="00601693"/>
    <w:rsid w:val="00602909"/>
    <w:rsid w:val="00602F2B"/>
    <w:rsid w:val="006032A4"/>
    <w:rsid w:val="00603573"/>
    <w:rsid w:val="006036F8"/>
    <w:rsid w:val="00603D5A"/>
    <w:rsid w:val="00603EDE"/>
    <w:rsid w:val="0060435F"/>
    <w:rsid w:val="0060449F"/>
    <w:rsid w:val="00604B5B"/>
    <w:rsid w:val="00604DDD"/>
    <w:rsid w:val="006068F1"/>
    <w:rsid w:val="00606A55"/>
    <w:rsid w:val="00606D00"/>
    <w:rsid w:val="00607402"/>
    <w:rsid w:val="00607A6E"/>
    <w:rsid w:val="00607B62"/>
    <w:rsid w:val="00611492"/>
    <w:rsid w:val="00611AD3"/>
    <w:rsid w:val="00611B1D"/>
    <w:rsid w:val="00612613"/>
    <w:rsid w:val="006130F1"/>
    <w:rsid w:val="00613514"/>
    <w:rsid w:val="00613A4F"/>
    <w:rsid w:val="0061442F"/>
    <w:rsid w:val="00614DD3"/>
    <w:rsid w:val="00615AC7"/>
    <w:rsid w:val="00615DAC"/>
    <w:rsid w:val="006174E0"/>
    <w:rsid w:val="0062071E"/>
    <w:rsid w:val="00621129"/>
    <w:rsid w:val="00621166"/>
    <w:rsid w:val="00621D9B"/>
    <w:rsid w:val="00621F2F"/>
    <w:rsid w:val="00621F70"/>
    <w:rsid w:val="00623146"/>
    <w:rsid w:val="006235A1"/>
    <w:rsid w:val="00623613"/>
    <w:rsid w:val="006243E1"/>
    <w:rsid w:val="00624404"/>
    <w:rsid w:val="00624476"/>
    <w:rsid w:val="00624810"/>
    <w:rsid w:val="00624B8D"/>
    <w:rsid w:val="0062560C"/>
    <w:rsid w:val="00625AB0"/>
    <w:rsid w:val="006261AF"/>
    <w:rsid w:val="00626299"/>
    <w:rsid w:val="00626543"/>
    <w:rsid w:val="006270F3"/>
    <w:rsid w:val="006275E0"/>
    <w:rsid w:val="00627753"/>
    <w:rsid w:val="006277E0"/>
    <w:rsid w:val="00627EBD"/>
    <w:rsid w:val="006311D2"/>
    <w:rsid w:val="006316AB"/>
    <w:rsid w:val="00631EE0"/>
    <w:rsid w:val="00634248"/>
    <w:rsid w:val="00634318"/>
    <w:rsid w:val="006354B4"/>
    <w:rsid w:val="00635936"/>
    <w:rsid w:val="00635E24"/>
    <w:rsid w:val="00636F94"/>
    <w:rsid w:val="006400CB"/>
    <w:rsid w:val="006422CB"/>
    <w:rsid w:val="006424A2"/>
    <w:rsid w:val="00642EED"/>
    <w:rsid w:val="00643A02"/>
    <w:rsid w:val="006442BF"/>
    <w:rsid w:val="006449F4"/>
    <w:rsid w:val="00647875"/>
    <w:rsid w:val="00647BD7"/>
    <w:rsid w:val="006505B2"/>
    <w:rsid w:val="0065101D"/>
    <w:rsid w:val="00651C34"/>
    <w:rsid w:val="006522DD"/>
    <w:rsid w:val="00652A87"/>
    <w:rsid w:val="00653D8B"/>
    <w:rsid w:val="00655AA6"/>
    <w:rsid w:val="00657C59"/>
    <w:rsid w:val="0066155B"/>
    <w:rsid w:val="00662D65"/>
    <w:rsid w:val="006635F7"/>
    <w:rsid w:val="00663D73"/>
    <w:rsid w:val="00664AF2"/>
    <w:rsid w:val="00665A2F"/>
    <w:rsid w:val="0066701C"/>
    <w:rsid w:val="00670199"/>
    <w:rsid w:val="00671016"/>
    <w:rsid w:val="006721AA"/>
    <w:rsid w:val="00672521"/>
    <w:rsid w:val="006732B7"/>
    <w:rsid w:val="00673609"/>
    <w:rsid w:val="00673D59"/>
    <w:rsid w:val="00674756"/>
    <w:rsid w:val="0067590A"/>
    <w:rsid w:val="0067614C"/>
    <w:rsid w:val="00676C5F"/>
    <w:rsid w:val="0067758E"/>
    <w:rsid w:val="00680281"/>
    <w:rsid w:val="00680705"/>
    <w:rsid w:val="00681589"/>
    <w:rsid w:val="0068201A"/>
    <w:rsid w:val="00682818"/>
    <w:rsid w:val="006828B7"/>
    <w:rsid w:val="00682A76"/>
    <w:rsid w:val="00682D56"/>
    <w:rsid w:val="00683271"/>
    <w:rsid w:val="00683863"/>
    <w:rsid w:val="00685FFD"/>
    <w:rsid w:val="0068604F"/>
    <w:rsid w:val="00686EC9"/>
    <w:rsid w:val="00687080"/>
    <w:rsid w:val="00690F4A"/>
    <w:rsid w:val="006916AC"/>
    <w:rsid w:val="00692566"/>
    <w:rsid w:val="00693F7A"/>
    <w:rsid w:val="00694829"/>
    <w:rsid w:val="00694AEA"/>
    <w:rsid w:val="00694DFC"/>
    <w:rsid w:val="0069507C"/>
    <w:rsid w:val="00695208"/>
    <w:rsid w:val="006959F7"/>
    <w:rsid w:val="00696796"/>
    <w:rsid w:val="00696A8E"/>
    <w:rsid w:val="0069740A"/>
    <w:rsid w:val="0069777E"/>
    <w:rsid w:val="006A0B79"/>
    <w:rsid w:val="006A12F6"/>
    <w:rsid w:val="006A2C07"/>
    <w:rsid w:val="006A2E7D"/>
    <w:rsid w:val="006A33DD"/>
    <w:rsid w:val="006A34B6"/>
    <w:rsid w:val="006A36E2"/>
    <w:rsid w:val="006A4182"/>
    <w:rsid w:val="006A46F7"/>
    <w:rsid w:val="006A591F"/>
    <w:rsid w:val="006A5ABE"/>
    <w:rsid w:val="006A5EF8"/>
    <w:rsid w:val="006A701E"/>
    <w:rsid w:val="006A7507"/>
    <w:rsid w:val="006A75B5"/>
    <w:rsid w:val="006A763D"/>
    <w:rsid w:val="006A7794"/>
    <w:rsid w:val="006B0768"/>
    <w:rsid w:val="006B1265"/>
    <w:rsid w:val="006B19F5"/>
    <w:rsid w:val="006B2521"/>
    <w:rsid w:val="006B2670"/>
    <w:rsid w:val="006B3657"/>
    <w:rsid w:val="006B36DF"/>
    <w:rsid w:val="006B3D15"/>
    <w:rsid w:val="006B4AB1"/>
    <w:rsid w:val="006B4B8C"/>
    <w:rsid w:val="006B53BD"/>
    <w:rsid w:val="006B5D16"/>
    <w:rsid w:val="006B5EBB"/>
    <w:rsid w:val="006B639A"/>
    <w:rsid w:val="006B65DB"/>
    <w:rsid w:val="006B7487"/>
    <w:rsid w:val="006B7FBE"/>
    <w:rsid w:val="006C04EB"/>
    <w:rsid w:val="006C179F"/>
    <w:rsid w:val="006C1BA0"/>
    <w:rsid w:val="006C1DEB"/>
    <w:rsid w:val="006C1EF8"/>
    <w:rsid w:val="006C25A5"/>
    <w:rsid w:val="006C27AD"/>
    <w:rsid w:val="006C3D76"/>
    <w:rsid w:val="006C4D76"/>
    <w:rsid w:val="006C56DB"/>
    <w:rsid w:val="006C5AFB"/>
    <w:rsid w:val="006C6366"/>
    <w:rsid w:val="006C6EB3"/>
    <w:rsid w:val="006C719E"/>
    <w:rsid w:val="006C7C29"/>
    <w:rsid w:val="006C7FE2"/>
    <w:rsid w:val="006D1058"/>
    <w:rsid w:val="006D1205"/>
    <w:rsid w:val="006D1629"/>
    <w:rsid w:val="006D25BA"/>
    <w:rsid w:val="006D267B"/>
    <w:rsid w:val="006D4245"/>
    <w:rsid w:val="006D4B62"/>
    <w:rsid w:val="006D4C22"/>
    <w:rsid w:val="006D4E5E"/>
    <w:rsid w:val="006D57EE"/>
    <w:rsid w:val="006D5BFA"/>
    <w:rsid w:val="006D6582"/>
    <w:rsid w:val="006D663F"/>
    <w:rsid w:val="006D6897"/>
    <w:rsid w:val="006D73ED"/>
    <w:rsid w:val="006D7553"/>
    <w:rsid w:val="006E1B50"/>
    <w:rsid w:val="006E1C30"/>
    <w:rsid w:val="006E225B"/>
    <w:rsid w:val="006E2980"/>
    <w:rsid w:val="006E2A91"/>
    <w:rsid w:val="006E36F8"/>
    <w:rsid w:val="006E39A3"/>
    <w:rsid w:val="006E3C02"/>
    <w:rsid w:val="006E548C"/>
    <w:rsid w:val="006E5895"/>
    <w:rsid w:val="006E59FC"/>
    <w:rsid w:val="006E6059"/>
    <w:rsid w:val="006E68F4"/>
    <w:rsid w:val="006E68FE"/>
    <w:rsid w:val="006E6928"/>
    <w:rsid w:val="006E6E1B"/>
    <w:rsid w:val="006E7149"/>
    <w:rsid w:val="006E72C2"/>
    <w:rsid w:val="006E7603"/>
    <w:rsid w:val="006E79E3"/>
    <w:rsid w:val="006E7B18"/>
    <w:rsid w:val="006F0308"/>
    <w:rsid w:val="006F070B"/>
    <w:rsid w:val="006F0C3E"/>
    <w:rsid w:val="006F2794"/>
    <w:rsid w:val="006F3430"/>
    <w:rsid w:val="006F4C4E"/>
    <w:rsid w:val="006F4FC7"/>
    <w:rsid w:val="006F5426"/>
    <w:rsid w:val="006F59BE"/>
    <w:rsid w:val="006F635F"/>
    <w:rsid w:val="006F660D"/>
    <w:rsid w:val="006F6B90"/>
    <w:rsid w:val="006F7236"/>
    <w:rsid w:val="007005E2"/>
    <w:rsid w:val="007006D9"/>
    <w:rsid w:val="00701478"/>
    <w:rsid w:val="0070308B"/>
    <w:rsid w:val="007038A1"/>
    <w:rsid w:val="00704EAA"/>
    <w:rsid w:val="0070628B"/>
    <w:rsid w:val="00706378"/>
    <w:rsid w:val="00706676"/>
    <w:rsid w:val="00706D3A"/>
    <w:rsid w:val="00707C98"/>
    <w:rsid w:val="00710429"/>
    <w:rsid w:val="0071272B"/>
    <w:rsid w:val="00712A43"/>
    <w:rsid w:val="00712BA8"/>
    <w:rsid w:val="00713B2E"/>
    <w:rsid w:val="0071438C"/>
    <w:rsid w:val="00714A99"/>
    <w:rsid w:val="00715380"/>
    <w:rsid w:val="00715B5A"/>
    <w:rsid w:val="00715C51"/>
    <w:rsid w:val="00716318"/>
    <w:rsid w:val="0071776D"/>
    <w:rsid w:val="007177AA"/>
    <w:rsid w:val="00717828"/>
    <w:rsid w:val="0072023F"/>
    <w:rsid w:val="00720DF5"/>
    <w:rsid w:val="00721417"/>
    <w:rsid w:val="00721BA8"/>
    <w:rsid w:val="00723798"/>
    <w:rsid w:val="00723A13"/>
    <w:rsid w:val="00723F4C"/>
    <w:rsid w:val="007240EC"/>
    <w:rsid w:val="007241A7"/>
    <w:rsid w:val="00724BE2"/>
    <w:rsid w:val="00724CE9"/>
    <w:rsid w:val="0072540A"/>
    <w:rsid w:val="00725B43"/>
    <w:rsid w:val="007264B8"/>
    <w:rsid w:val="007264DF"/>
    <w:rsid w:val="00726E8F"/>
    <w:rsid w:val="0072780D"/>
    <w:rsid w:val="00727E49"/>
    <w:rsid w:val="00730159"/>
    <w:rsid w:val="00730570"/>
    <w:rsid w:val="00730DAE"/>
    <w:rsid w:val="00730EF7"/>
    <w:rsid w:val="007314EB"/>
    <w:rsid w:val="00732099"/>
    <w:rsid w:val="00732593"/>
    <w:rsid w:val="007326E4"/>
    <w:rsid w:val="0073321D"/>
    <w:rsid w:val="00733D0B"/>
    <w:rsid w:val="00734483"/>
    <w:rsid w:val="00734776"/>
    <w:rsid w:val="00734CD4"/>
    <w:rsid w:val="00735A9E"/>
    <w:rsid w:val="00735ACB"/>
    <w:rsid w:val="00735CCB"/>
    <w:rsid w:val="00736656"/>
    <w:rsid w:val="0073703C"/>
    <w:rsid w:val="007377A7"/>
    <w:rsid w:val="00737EBD"/>
    <w:rsid w:val="007401A0"/>
    <w:rsid w:val="00740524"/>
    <w:rsid w:val="00740CF6"/>
    <w:rsid w:val="007411B5"/>
    <w:rsid w:val="00741789"/>
    <w:rsid w:val="007421CC"/>
    <w:rsid w:val="00744F34"/>
    <w:rsid w:val="00745B35"/>
    <w:rsid w:val="00747874"/>
    <w:rsid w:val="00747A48"/>
    <w:rsid w:val="00747CF8"/>
    <w:rsid w:val="00747EEC"/>
    <w:rsid w:val="0075001C"/>
    <w:rsid w:val="007500CD"/>
    <w:rsid w:val="007507E0"/>
    <w:rsid w:val="0075087A"/>
    <w:rsid w:val="00751C03"/>
    <w:rsid w:val="00752220"/>
    <w:rsid w:val="007523B0"/>
    <w:rsid w:val="00752575"/>
    <w:rsid w:val="007525E9"/>
    <w:rsid w:val="00752F96"/>
    <w:rsid w:val="007530B9"/>
    <w:rsid w:val="00753113"/>
    <w:rsid w:val="00753F52"/>
    <w:rsid w:val="00755874"/>
    <w:rsid w:val="00755C37"/>
    <w:rsid w:val="0075601E"/>
    <w:rsid w:val="00756375"/>
    <w:rsid w:val="00756973"/>
    <w:rsid w:val="00756F37"/>
    <w:rsid w:val="00760435"/>
    <w:rsid w:val="007604C8"/>
    <w:rsid w:val="0076140D"/>
    <w:rsid w:val="00761453"/>
    <w:rsid w:val="0076188F"/>
    <w:rsid w:val="00761A91"/>
    <w:rsid w:val="00762484"/>
    <w:rsid w:val="00762768"/>
    <w:rsid w:val="00762786"/>
    <w:rsid w:val="0076318B"/>
    <w:rsid w:val="007632EA"/>
    <w:rsid w:val="0076459F"/>
    <w:rsid w:val="00764EDE"/>
    <w:rsid w:val="00765279"/>
    <w:rsid w:val="00766239"/>
    <w:rsid w:val="007667D1"/>
    <w:rsid w:val="007678B2"/>
    <w:rsid w:val="00767EEB"/>
    <w:rsid w:val="007700FB"/>
    <w:rsid w:val="007713BF"/>
    <w:rsid w:val="00771F32"/>
    <w:rsid w:val="00772099"/>
    <w:rsid w:val="007721DB"/>
    <w:rsid w:val="007745B5"/>
    <w:rsid w:val="00774E04"/>
    <w:rsid w:val="007752C5"/>
    <w:rsid w:val="007759A4"/>
    <w:rsid w:val="00775E13"/>
    <w:rsid w:val="00775E2C"/>
    <w:rsid w:val="00776297"/>
    <w:rsid w:val="007772BD"/>
    <w:rsid w:val="0078112D"/>
    <w:rsid w:val="00781A17"/>
    <w:rsid w:val="00781EE7"/>
    <w:rsid w:val="00782ADF"/>
    <w:rsid w:val="0078489E"/>
    <w:rsid w:val="00784B6E"/>
    <w:rsid w:val="00784C62"/>
    <w:rsid w:val="00785A1C"/>
    <w:rsid w:val="00785AD8"/>
    <w:rsid w:val="007863E0"/>
    <w:rsid w:val="0078643D"/>
    <w:rsid w:val="00786866"/>
    <w:rsid w:val="00790A02"/>
    <w:rsid w:val="007919A7"/>
    <w:rsid w:val="00791FC5"/>
    <w:rsid w:val="00792282"/>
    <w:rsid w:val="00793880"/>
    <w:rsid w:val="00793C2D"/>
    <w:rsid w:val="007948B0"/>
    <w:rsid w:val="00794EA4"/>
    <w:rsid w:val="00794FAD"/>
    <w:rsid w:val="00795025"/>
    <w:rsid w:val="007960D4"/>
    <w:rsid w:val="007962DB"/>
    <w:rsid w:val="007971E7"/>
    <w:rsid w:val="007A0189"/>
    <w:rsid w:val="007A0285"/>
    <w:rsid w:val="007A1DD0"/>
    <w:rsid w:val="007A261F"/>
    <w:rsid w:val="007A2868"/>
    <w:rsid w:val="007A2D1F"/>
    <w:rsid w:val="007A307F"/>
    <w:rsid w:val="007A3CF0"/>
    <w:rsid w:val="007A3E5F"/>
    <w:rsid w:val="007A4B0E"/>
    <w:rsid w:val="007A5B1A"/>
    <w:rsid w:val="007A7997"/>
    <w:rsid w:val="007A7ACF"/>
    <w:rsid w:val="007B126D"/>
    <w:rsid w:val="007B1741"/>
    <w:rsid w:val="007B1883"/>
    <w:rsid w:val="007B2402"/>
    <w:rsid w:val="007B2597"/>
    <w:rsid w:val="007B26C6"/>
    <w:rsid w:val="007B2A92"/>
    <w:rsid w:val="007B3095"/>
    <w:rsid w:val="007B36FF"/>
    <w:rsid w:val="007B3F83"/>
    <w:rsid w:val="007B4DEC"/>
    <w:rsid w:val="007B4F3D"/>
    <w:rsid w:val="007B58BC"/>
    <w:rsid w:val="007B6427"/>
    <w:rsid w:val="007B6A2E"/>
    <w:rsid w:val="007B705C"/>
    <w:rsid w:val="007B75BD"/>
    <w:rsid w:val="007B7753"/>
    <w:rsid w:val="007C0947"/>
    <w:rsid w:val="007C1362"/>
    <w:rsid w:val="007C165A"/>
    <w:rsid w:val="007C1AA7"/>
    <w:rsid w:val="007C38A2"/>
    <w:rsid w:val="007C4111"/>
    <w:rsid w:val="007C46E8"/>
    <w:rsid w:val="007C51B4"/>
    <w:rsid w:val="007C5FF0"/>
    <w:rsid w:val="007D06BF"/>
    <w:rsid w:val="007D11EC"/>
    <w:rsid w:val="007D2A79"/>
    <w:rsid w:val="007D3A05"/>
    <w:rsid w:val="007D3A94"/>
    <w:rsid w:val="007D3F61"/>
    <w:rsid w:val="007D49F8"/>
    <w:rsid w:val="007D5039"/>
    <w:rsid w:val="007D50B7"/>
    <w:rsid w:val="007D5649"/>
    <w:rsid w:val="007D5830"/>
    <w:rsid w:val="007D5FB3"/>
    <w:rsid w:val="007E0322"/>
    <w:rsid w:val="007E05F8"/>
    <w:rsid w:val="007E0C0E"/>
    <w:rsid w:val="007E0E81"/>
    <w:rsid w:val="007E1B9F"/>
    <w:rsid w:val="007E1E6C"/>
    <w:rsid w:val="007E2171"/>
    <w:rsid w:val="007E2C8B"/>
    <w:rsid w:val="007E2D70"/>
    <w:rsid w:val="007E2DB3"/>
    <w:rsid w:val="007E345B"/>
    <w:rsid w:val="007E3811"/>
    <w:rsid w:val="007E385D"/>
    <w:rsid w:val="007E3BAA"/>
    <w:rsid w:val="007E4164"/>
    <w:rsid w:val="007E4F71"/>
    <w:rsid w:val="007E52B2"/>
    <w:rsid w:val="007E5BC5"/>
    <w:rsid w:val="007E726B"/>
    <w:rsid w:val="007E7B4D"/>
    <w:rsid w:val="007F07A5"/>
    <w:rsid w:val="007F2BCB"/>
    <w:rsid w:val="007F2CBB"/>
    <w:rsid w:val="007F2D22"/>
    <w:rsid w:val="007F3290"/>
    <w:rsid w:val="007F340E"/>
    <w:rsid w:val="007F4EF6"/>
    <w:rsid w:val="007F50CC"/>
    <w:rsid w:val="007F5908"/>
    <w:rsid w:val="007F5BD1"/>
    <w:rsid w:val="007F6732"/>
    <w:rsid w:val="007F77D9"/>
    <w:rsid w:val="007F789A"/>
    <w:rsid w:val="007F7FEB"/>
    <w:rsid w:val="00800649"/>
    <w:rsid w:val="0080181E"/>
    <w:rsid w:val="00802B14"/>
    <w:rsid w:val="00804344"/>
    <w:rsid w:val="00804CA9"/>
    <w:rsid w:val="00805296"/>
    <w:rsid w:val="00805BC1"/>
    <w:rsid w:val="00806C94"/>
    <w:rsid w:val="00806E08"/>
    <w:rsid w:val="00807049"/>
    <w:rsid w:val="00807CF9"/>
    <w:rsid w:val="008104E9"/>
    <w:rsid w:val="008108E7"/>
    <w:rsid w:val="00810F63"/>
    <w:rsid w:val="0081220A"/>
    <w:rsid w:val="00812343"/>
    <w:rsid w:val="008127F8"/>
    <w:rsid w:val="008130EE"/>
    <w:rsid w:val="008133A4"/>
    <w:rsid w:val="008142B6"/>
    <w:rsid w:val="00814791"/>
    <w:rsid w:val="00815118"/>
    <w:rsid w:val="00815E40"/>
    <w:rsid w:val="008164D0"/>
    <w:rsid w:val="00817B21"/>
    <w:rsid w:val="00817B5E"/>
    <w:rsid w:val="00817CCC"/>
    <w:rsid w:val="00817FDE"/>
    <w:rsid w:val="008201FD"/>
    <w:rsid w:val="00820DF5"/>
    <w:rsid w:val="008211F6"/>
    <w:rsid w:val="00821C4C"/>
    <w:rsid w:val="00822577"/>
    <w:rsid w:val="00822ED9"/>
    <w:rsid w:val="00823EBA"/>
    <w:rsid w:val="00824854"/>
    <w:rsid w:val="00825265"/>
    <w:rsid w:val="00825FA8"/>
    <w:rsid w:val="008267CE"/>
    <w:rsid w:val="00826FE1"/>
    <w:rsid w:val="00827C67"/>
    <w:rsid w:val="00827D19"/>
    <w:rsid w:val="008307E4"/>
    <w:rsid w:val="00831B0F"/>
    <w:rsid w:val="00831D38"/>
    <w:rsid w:val="00832208"/>
    <w:rsid w:val="00832667"/>
    <w:rsid w:val="008329AA"/>
    <w:rsid w:val="0083323E"/>
    <w:rsid w:val="00833A2B"/>
    <w:rsid w:val="00834233"/>
    <w:rsid w:val="0083436B"/>
    <w:rsid w:val="0083482E"/>
    <w:rsid w:val="00834BB6"/>
    <w:rsid w:val="008356FB"/>
    <w:rsid w:val="00836974"/>
    <w:rsid w:val="00836A5D"/>
    <w:rsid w:val="008376B6"/>
    <w:rsid w:val="00837B89"/>
    <w:rsid w:val="00840137"/>
    <w:rsid w:val="00840DAB"/>
    <w:rsid w:val="008427F8"/>
    <w:rsid w:val="00842E62"/>
    <w:rsid w:val="00844602"/>
    <w:rsid w:val="00844DE9"/>
    <w:rsid w:val="0084750C"/>
    <w:rsid w:val="00847725"/>
    <w:rsid w:val="00847821"/>
    <w:rsid w:val="00847D27"/>
    <w:rsid w:val="00850AE6"/>
    <w:rsid w:val="00850C06"/>
    <w:rsid w:val="00850D25"/>
    <w:rsid w:val="00850EA5"/>
    <w:rsid w:val="008516CF"/>
    <w:rsid w:val="008516F4"/>
    <w:rsid w:val="00852800"/>
    <w:rsid w:val="00852DDD"/>
    <w:rsid w:val="00853B15"/>
    <w:rsid w:val="00853B2A"/>
    <w:rsid w:val="00853DC4"/>
    <w:rsid w:val="00853E1A"/>
    <w:rsid w:val="0085491D"/>
    <w:rsid w:val="00854C66"/>
    <w:rsid w:val="008556F0"/>
    <w:rsid w:val="0085594D"/>
    <w:rsid w:val="00855BA3"/>
    <w:rsid w:val="0085666A"/>
    <w:rsid w:val="00856BBC"/>
    <w:rsid w:val="00857289"/>
    <w:rsid w:val="008576F1"/>
    <w:rsid w:val="0086122D"/>
    <w:rsid w:val="00861307"/>
    <w:rsid w:val="008628AA"/>
    <w:rsid w:val="00862D70"/>
    <w:rsid w:val="00863CC2"/>
    <w:rsid w:val="00864288"/>
    <w:rsid w:val="00864F53"/>
    <w:rsid w:val="008651F8"/>
    <w:rsid w:val="008651FD"/>
    <w:rsid w:val="00865E8D"/>
    <w:rsid w:val="00866DA0"/>
    <w:rsid w:val="0086735F"/>
    <w:rsid w:val="00871C51"/>
    <w:rsid w:val="00871CCA"/>
    <w:rsid w:val="00871CE5"/>
    <w:rsid w:val="00871FB3"/>
    <w:rsid w:val="0087287A"/>
    <w:rsid w:val="00872C08"/>
    <w:rsid w:val="00872D1C"/>
    <w:rsid w:val="0087322B"/>
    <w:rsid w:val="008732CD"/>
    <w:rsid w:val="008742D5"/>
    <w:rsid w:val="00874D70"/>
    <w:rsid w:val="00874FC1"/>
    <w:rsid w:val="0087517C"/>
    <w:rsid w:val="00875782"/>
    <w:rsid w:val="00875B35"/>
    <w:rsid w:val="00875F8A"/>
    <w:rsid w:val="00876F3E"/>
    <w:rsid w:val="00877087"/>
    <w:rsid w:val="008776A6"/>
    <w:rsid w:val="0087785D"/>
    <w:rsid w:val="00880DC0"/>
    <w:rsid w:val="00881AEB"/>
    <w:rsid w:val="0088335A"/>
    <w:rsid w:val="008836C3"/>
    <w:rsid w:val="00883E36"/>
    <w:rsid w:val="00884330"/>
    <w:rsid w:val="008846E2"/>
    <w:rsid w:val="00884D4F"/>
    <w:rsid w:val="00884FAB"/>
    <w:rsid w:val="00884FB9"/>
    <w:rsid w:val="00886D8A"/>
    <w:rsid w:val="008905AC"/>
    <w:rsid w:val="00890F42"/>
    <w:rsid w:val="008918E3"/>
    <w:rsid w:val="00892045"/>
    <w:rsid w:val="008921F5"/>
    <w:rsid w:val="00892FEF"/>
    <w:rsid w:val="0089319E"/>
    <w:rsid w:val="008945F2"/>
    <w:rsid w:val="00894802"/>
    <w:rsid w:val="00894F47"/>
    <w:rsid w:val="00895280"/>
    <w:rsid w:val="0089578B"/>
    <w:rsid w:val="008965E0"/>
    <w:rsid w:val="008A026A"/>
    <w:rsid w:val="008A0716"/>
    <w:rsid w:val="008A1173"/>
    <w:rsid w:val="008A1AC2"/>
    <w:rsid w:val="008A1CE1"/>
    <w:rsid w:val="008A1D98"/>
    <w:rsid w:val="008A227B"/>
    <w:rsid w:val="008A4D7F"/>
    <w:rsid w:val="008A61C3"/>
    <w:rsid w:val="008A6711"/>
    <w:rsid w:val="008A6EE2"/>
    <w:rsid w:val="008A7A16"/>
    <w:rsid w:val="008B2984"/>
    <w:rsid w:val="008B34C0"/>
    <w:rsid w:val="008B3A01"/>
    <w:rsid w:val="008B41F6"/>
    <w:rsid w:val="008B513D"/>
    <w:rsid w:val="008B56DD"/>
    <w:rsid w:val="008B591E"/>
    <w:rsid w:val="008B60DF"/>
    <w:rsid w:val="008B6590"/>
    <w:rsid w:val="008B6A74"/>
    <w:rsid w:val="008B6F0D"/>
    <w:rsid w:val="008B7B76"/>
    <w:rsid w:val="008C0150"/>
    <w:rsid w:val="008C1723"/>
    <w:rsid w:val="008C1953"/>
    <w:rsid w:val="008C1E98"/>
    <w:rsid w:val="008C36FC"/>
    <w:rsid w:val="008C3D98"/>
    <w:rsid w:val="008C3F7A"/>
    <w:rsid w:val="008C42F0"/>
    <w:rsid w:val="008C5719"/>
    <w:rsid w:val="008C60D7"/>
    <w:rsid w:val="008C62F7"/>
    <w:rsid w:val="008C643B"/>
    <w:rsid w:val="008C6983"/>
    <w:rsid w:val="008C7166"/>
    <w:rsid w:val="008C74B2"/>
    <w:rsid w:val="008C79A0"/>
    <w:rsid w:val="008D08F8"/>
    <w:rsid w:val="008D20A2"/>
    <w:rsid w:val="008D2A48"/>
    <w:rsid w:val="008D353E"/>
    <w:rsid w:val="008D3F3D"/>
    <w:rsid w:val="008D40BD"/>
    <w:rsid w:val="008D6191"/>
    <w:rsid w:val="008D7367"/>
    <w:rsid w:val="008D7460"/>
    <w:rsid w:val="008D7D12"/>
    <w:rsid w:val="008D7D43"/>
    <w:rsid w:val="008E0224"/>
    <w:rsid w:val="008E067F"/>
    <w:rsid w:val="008E08E9"/>
    <w:rsid w:val="008E0C87"/>
    <w:rsid w:val="008E1105"/>
    <w:rsid w:val="008E1CC0"/>
    <w:rsid w:val="008E2238"/>
    <w:rsid w:val="008E271E"/>
    <w:rsid w:val="008E30E8"/>
    <w:rsid w:val="008E34ED"/>
    <w:rsid w:val="008E396C"/>
    <w:rsid w:val="008E5A52"/>
    <w:rsid w:val="008E7124"/>
    <w:rsid w:val="008E758D"/>
    <w:rsid w:val="008E75DB"/>
    <w:rsid w:val="008F0321"/>
    <w:rsid w:val="008F17B4"/>
    <w:rsid w:val="008F1928"/>
    <w:rsid w:val="008F19B1"/>
    <w:rsid w:val="008F23A1"/>
    <w:rsid w:val="008F2669"/>
    <w:rsid w:val="008F26C9"/>
    <w:rsid w:val="008F4151"/>
    <w:rsid w:val="008F449E"/>
    <w:rsid w:val="008F52FA"/>
    <w:rsid w:val="008F5556"/>
    <w:rsid w:val="008F56E4"/>
    <w:rsid w:val="008F5718"/>
    <w:rsid w:val="008F67E6"/>
    <w:rsid w:val="008F685E"/>
    <w:rsid w:val="008F6D9C"/>
    <w:rsid w:val="008F74E8"/>
    <w:rsid w:val="008F74F1"/>
    <w:rsid w:val="00900C09"/>
    <w:rsid w:val="00903140"/>
    <w:rsid w:val="009046D6"/>
    <w:rsid w:val="009062E0"/>
    <w:rsid w:val="009066D4"/>
    <w:rsid w:val="00906F3A"/>
    <w:rsid w:val="009073DA"/>
    <w:rsid w:val="0091000B"/>
    <w:rsid w:val="009118DA"/>
    <w:rsid w:val="009128C8"/>
    <w:rsid w:val="009128F7"/>
    <w:rsid w:val="0091293E"/>
    <w:rsid w:val="00912F17"/>
    <w:rsid w:val="00915359"/>
    <w:rsid w:val="00915643"/>
    <w:rsid w:val="0091689D"/>
    <w:rsid w:val="00917376"/>
    <w:rsid w:val="00917C72"/>
    <w:rsid w:val="009204CB"/>
    <w:rsid w:val="0092068A"/>
    <w:rsid w:val="00922632"/>
    <w:rsid w:val="00922D8D"/>
    <w:rsid w:val="00923087"/>
    <w:rsid w:val="009246C3"/>
    <w:rsid w:val="009248B6"/>
    <w:rsid w:val="00925423"/>
    <w:rsid w:val="00926187"/>
    <w:rsid w:val="009265E7"/>
    <w:rsid w:val="00927BEC"/>
    <w:rsid w:val="009307EE"/>
    <w:rsid w:val="00931AA0"/>
    <w:rsid w:val="0093360B"/>
    <w:rsid w:val="00933A2E"/>
    <w:rsid w:val="00934ED6"/>
    <w:rsid w:val="009367A5"/>
    <w:rsid w:val="00936AE1"/>
    <w:rsid w:val="0093726E"/>
    <w:rsid w:val="0093741C"/>
    <w:rsid w:val="00937D94"/>
    <w:rsid w:val="00937E61"/>
    <w:rsid w:val="0094024E"/>
    <w:rsid w:val="00940A54"/>
    <w:rsid w:val="00940C4D"/>
    <w:rsid w:val="00940D7A"/>
    <w:rsid w:val="00941D90"/>
    <w:rsid w:val="00941FDF"/>
    <w:rsid w:val="009427F8"/>
    <w:rsid w:val="009427FF"/>
    <w:rsid w:val="0094369D"/>
    <w:rsid w:val="009437FB"/>
    <w:rsid w:val="00943A7C"/>
    <w:rsid w:val="00944388"/>
    <w:rsid w:val="009465A1"/>
    <w:rsid w:val="009467BE"/>
    <w:rsid w:val="009467BF"/>
    <w:rsid w:val="00946C16"/>
    <w:rsid w:val="00947D37"/>
    <w:rsid w:val="00947F2E"/>
    <w:rsid w:val="00950088"/>
    <w:rsid w:val="009504C4"/>
    <w:rsid w:val="009529CD"/>
    <w:rsid w:val="00952DB9"/>
    <w:rsid w:val="00953027"/>
    <w:rsid w:val="00953362"/>
    <w:rsid w:val="00953E91"/>
    <w:rsid w:val="00955BAC"/>
    <w:rsid w:val="0095600A"/>
    <w:rsid w:val="009563EC"/>
    <w:rsid w:val="00957F23"/>
    <w:rsid w:val="00960344"/>
    <w:rsid w:val="00960FF7"/>
    <w:rsid w:val="009616CF"/>
    <w:rsid w:val="00961748"/>
    <w:rsid w:val="0096181E"/>
    <w:rsid w:val="009618A2"/>
    <w:rsid w:val="009619F5"/>
    <w:rsid w:val="00961A33"/>
    <w:rsid w:val="009620FA"/>
    <w:rsid w:val="0096246B"/>
    <w:rsid w:val="00963D72"/>
    <w:rsid w:val="00964631"/>
    <w:rsid w:val="009646D9"/>
    <w:rsid w:val="00964B90"/>
    <w:rsid w:val="00964C29"/>
    <w:rsid w:val="00965152"/>
    <w:rsid w:val="00965475"/>
    <w:rsid w:val="0096584D"/>
    <w:rsid w:val="0096599C"/>
    <w:rsid w:val="00965EF0"/>
    <w:rsid w:val="00966532"/>
    <w:rsid w:val="00966D7A"/>
    <w:rsid w:val="00967AEF"/>
    <w:rsid w:val="00970369"/>
    <w:rsid w:val="00970F07"/>
    <w:rsid w:val="009719BC"/>
    <w:rsid w:val="00971A2D"/>
    <w:rsid w:val="00971E99"/>
    <w:rsid w:val="00971EF5"/>
    <w:rsid w:val="00972EBA"/>
    <w:rsid w:val="0097349D"/>
    <w:rsid w:val="009738D9"/>
    <w:rsid w:val="00976F18"/>
    <w:rsid w:val="0097733B"/>
    <w:rsid w:val="00977B1B"/>
    <w:rsid w:val="00977C54"/>
    <w:rsid w:val="00980C87"/>
    <w:rsid w:val="0098127F"/>
    <w:rsid w:val="0098199C"/>
    <w:rsid w:val="00981EB0"/>
    <w:rsid w:val="0098205E"/>
    <w:rsid w:val="00982572"/>
    <w:rsid w:val="009841A5"/>
    <w:rsid w:val="00984D0D"/>
    <w:rsid w:val="00984F29"/>
    <w:rsid w:val="0098533E"/>
    <w:rsid w:val="00985BD3"/>
    <w:rsid w:val="00986FF8"/>
    <w:rsid w:val="009876FC"/>
    <w:rsid w:val="00990FD1"/>
    <w:rsid w:val="009915B0"/>
    <w:rsid w:val="00991753"/>
    <w:rsid w:val="009919CF"/>
    <w:rsid w:val="00991E72"/>
    <w:rsid w:val="009929A5"/>
    <w:rsid w:val="009939CA"/>
    <w:rsid w:val="00994BE8"/>
    <w:rsid w:val="00994F17"/>
    <w:rsid w:val="0099534C"/>
    <w:rsid w:val="009957DE"/>
    <w:rsid w:val="00995BE5"/>
    <w:rsid w:val="00995D63"/>
    <w:rsid w:val="00995DBA"/>
    <w:rsid w:val="00995EE3"/>
    <w:rsid w:val="00996ED8"/>
    <w:rsid w:val="009975EF"/>
    <w:rsid w:val="009A088B"/>
    <w:rsid w:val="009A2390"/>
    <w:rsid w:val="009A2E2E"/>
    <w:rsid w:val="009A353C"/>
    <w:rsid w:val="009A37E3"/>
    <w:rsid w:val="009A3928"/>
    <w:rsid w:val="009A4FC9"/>
    <w:rsid w:val="009A5A30"/>
    <w:rsid w:val="009A6126"/>
    <w:rsid w:val="009A74BA"/>
    <w:rsid w:val="009A77AD"/>
    <w:rsid w:val="009A7CA6"/>
    <w:rsid w:val="009A7D5D"/>
    <w:rsid w:val="009B173D"/>
    <w:rsid w:val="009B2653"/>
    <w:rsid w:val="009B35F9"/>
    <w:rsid w:val="009B36FC"/>
    <w:rsid w:val="009B548D"/>
    <w:rsid w:val="009B65CD"/>
    <w:rsid w:val="009B6A04"/>
    <w:rsid w:val="009B6D04"/>
    <w:rsid w:val="009B6DFD"/>
    <w:rsid w:val="009B7595"/>
    <w:rsid w:val="009B7B20"/>
    <w:rsid w:val="009C00C2"/>
    <w:rsid w:val="009C1029"/>
    <w:rsid w:val="009C26D1"/>
    <w:rsid w:val="009C335F"/>
    <w:rsid w:val="009C3994"/>
    <w:rsid w:val="009C3B96"/>
    <w:rsid w:val="009C3BB0"/>
    <w:rsid w:val="009C3E6F"/>
    <w:rsid w:val="009C464A"/>
    <w:rsid w:val="009C46EE"/>
    <w:rsid w:val="009C5C62"/>
    <w:rsid w:val="009C5EB3"/>
    <w:rsid w:val="009C7B50"/>
    <w:rsid w:val="009C7EA0"/>
    <w:rsid w:val="009D06D4"/>
    <w:rsid w:val="009D0E01"/>
    <w:rsid w:val="009D1992"/>
    <w:rsid w:val="009D1B71"/>
    <w:rsid w:val="009D2287"/>
    <w:rsid w:val="009D2DA0"/>
    <w:rsid w:val="009D352D"/>
    <w:rsid w:val="009D4941"/>
    <w:rsid w:val="009D4B10"/>
    <w:rsid w:val="009D5B41"/>
    <w:rsid w:val="009D5BA8"/>
    <w:rsid w:val="009D5DC6"/>
    <w:rsid w:val="009D6B7C"/>
    <w:rsid w:val="009D6DDB"/>
    <w:rsid w:val="009D709A"/>
    <w:rsid w:val="009D74E1"/>
    <w:rsid w:val="009D7DA4"/>
    <w:rsid w:val="009E0AAB"/>
    <w:rsid w:val="009E0AF7"/>
    <w:rsid w:val="009E1978"/>
    <w:rsid w:val="009E1EB7"/>
    <w:rsid w:val="009E2489"/>
    <w:rsid w:val="009E257B"/>
    <w:rsid w:val="009E2F60"/>
    <w:rsid w:val="009E34D7"/>
    <w:rsid w:val="009E420C"/>
    <w:rsid w:val="009E46B5"/>
    <w:rsid w:val="009E66D6"/>
    <w:rsid w:val="009E6727"/>
    <w:rsid w:val="009E7CAD"/>
    <w:rsid w:val="009F0573"/>
    <w:rsid w:val="009F4B78"/>
    <w:rsid w:val="009F6ACA"/>
    <w:rsid w:val="009F6BD0"/>
    <w:rsid w:val="009F79FE"/>
    <w:rsid w:val="00A008A7"/>
    <w:rsid w:val="00A00F20"/>
    <w:rsid w:val="00A01347"/>
    <w:rsid w:val="00A01829"/>
    <w:rsid w:val="00A01DE1"/>
    <w:rsid w:val="00A01EE0"/>
    <w:rsid w:val="00A01EEB"/>
    <w:rsid w:val="00A02B84"/>
    <w:rsid w:val="00A033D3"/>
    <w:rsid w:val="00A03A16"/>
    <w:rsid w:val="00A03A21"/>
    <w:rsid w:val="00A04998"/>
    <w:rsid w:val="00A05FF4"/>
    <w:rsid w:val="00A0608F"/>
    <w:rsid w:val="00A07080"/>
    <w:rsid w:val="00A07342"/>
    <w:rsid w:val="00A07F02"/>
    <w:rsid w:val="00A102A9"/>
    <w:rsid w:val="00A102F3"/>
    <w:rsid w:val="00A10A9A"/>
    <w:rsid w:val="00A10CD9"/>
    <w:rsid w:val="00A110CD"/>
    <w:rsid w:val="00A1195A"/>
    <w:rsid w:val="00A1442E"/>
    <w:rsid w:val="00A1453A"/>
    <w:rsid w:val="00A14630"/>
    <w:rsid w:val="00A14699"/>
    <w:rsid w:val="00A149D5"/>
    <w:rsid w:val="00A15682"/>
    <w:rsid w:val="00A15F65"/>
    <w:rsid w:val="00A16137"/>
    <w:rsid w:val="00A16231"/>
    <w:rsid w:val="00A17281"/>
    <w:rsid w:val="00A17570"/>
    <w:rsid w:val="00A17BAC"/>
    <w:rsid w:val="00A21E9F"/>
    <w:rsid w:val="00A22E09"/>
    <w:rsid w:val="00A23478"/>
    <w:rsid w:val="00A239D4"/>
    <w:rsid w:val="00A23F73"/>
    <w:rsid w:val="00A24337"/>
    <w:rsid w:val="00A243C8"/>
    <w:rsid w:val="00A25B35"/>
    <w:rsid w:val="00A264E0"/>
    <w:rsid w:val="00A27708"/>
    <w:rsid w:val="00A27A21"/>
    <w:rsid w:val="00A3030C"/>
    <w:rsid w:val="00A3039D"/>
    <w:rsid w:val="00A30A36"/>
    <w:rsid w:val="00A30F1B"/>
    <w:rsid w:val="00A3106E"/>
    <w:rsid w:val="00A32855"/>
    <w:rsid w:val="00A33390"/>
    <w:rsid w:val="00A33702"/>
    <w:rsid w:val="00A33C3C"/>
    <w:rsid w:val="00A34232"/>
    <w:rsid w:val="00A35BC2"/>
    <w:rsid w:val="00A3705B"/>
    <w:rsid w:val="00A400D6"/>
    <w:rsid w:val="00A402E1"/>
    <w:rsid w:val="00A41B92"/>
    <w:rsid w:val="00A41E96"/>
    <w:rsid w:val="00A423AA"/>
    <w:rsid w:val="00A426D7"/>
    <w:rsid w:val="00A45B37"/>
    <w:rsid w:val="00A45C30"/>
    <w:rsid w:val="00A45F00"/>
    <w:rsid w:val="00A4634E"/>
    <w:rsid w:val="00A46D2D"/>
    <w:rsid w:val="00A46F68"/>
    <w:rsid w:val="00A502CC"/>
    <w:rsid w:val="00A5093A"/>
    <w:rsid w:val="00A51952"/>
    <w:rsid w:val="00A51E21"/>
    <w:rsid w:val="00A5227F"/>
    <w:rsid w:val="00A52D06"/>
    <w:rsid w:val="00A53C15"/>
    <w:rsid w:val="00A550F9"/>
    <w:rsid w:val="00A5546D"/>
    <w:rsid w:val="00A55B88"/>
    <w:rsid w:val="00A56842"/>
    <w:rsid w:val="00A56C38"/>
    <w:rsid w:val="00A57270"/>
    <w:rsid w:val="00A57AEE"/>
    <w:rsid w:val="00A57C60"/>
    <w:rsid w:val="00A57E54"/>
    <w:rsid w:val="00A60115"/>
    <w:rsid w:val="00A604F7"/>
    <w:rsid w:val="00A60EBC"/>
    <w:rsid w:val="00A62740"/>
    <w:rsid w:val="00A62F5B"/>
    <w:rsid w:val="00A63CDB"/>
    <w:rsid w:val="00A63E1D"/>
    <w:rsid w:val="00A64058"/>
    <w:rsid w:val="00A6599C"/>
    <w:rsid w:val="00A67A92"/>
    <w:rsid w:val="00A67B4C"/>
    <w:rsid w:val="00A715AA"/>
    <w:rsid w:val="00A71C6C"/>
    <w:rsid w:val="00A7259A"/>
    <w:rsid w:val="00A7281B"/>
    <w:rsid w:val="00A72944"/>
    <w:rsid w:val="00A729A6"/>
    <w:rsid w:val="00A72CED"/>
    <w:rsid w:val="00A74158"/>
    <w:rsid w:val="00A74539"/>
    <w:rsid w:val="00A7458F"/>
    <w:rsid w:val="00A74C2B"/>
    <w:rsid w:val="00A754DE"/>
    <w:rsid w:val="00A75AC6"/>
    <w:rsid w:val="00A75CA2"/>
    <w:rsid w:val="00A75EE4"/>
    <w:rsid w:val="00A7600B"/>
    <w:rsid w:val="00A7655D"/>
    <w:rsid w:val="00A76B4D"/>
    <w:rsid w:val="00A76B64"/>
    <w:rsid w:val="00A76C7A"/>
    <w:rsid w:val="00A76D16"/>
    <w:rsid w:val="00A7741A"/>
    <w:rsid w:val="00A80637"/>
    <w:rsid w:val="00A80D10"/>
    <w:rsid w:val="00A81A38"/>
    <w:rsid w:val="00A81C8F"/>
    <w:rsid w:val="00A82298"/>
    <w:rsid w:val="00A824B7"/>
    <w:rsid w:val="00A82F67"/>
    <w:rsid w:val="00A84019"/>
    <w:rsid w:val="00A84395"/>
    <w:rsid w:val="00A84767"/>
    <w:rsid w:val="00A85351"/>
    <w:rsid w:val="00A85916"/>
    <w:rsid w:val="00A86353"/>
    <w:rsid w:val="00A86E42"/>
    <w:rsid w:val="00A86F32"/>
    <w:rsid w:val="00A90A38"/>
    <w:rsid w:val="00A9146D"/>
    <w:rsid w:val="00A93934"/>
    <w:rsid w:val="00A93BE7"/>
    <w:rsid w:val="00A93CB3"/>
    <w:rsid w:val="00A944E1"/>
    <w:rsid w:val="00A94608"/>
    <w:rsid w:val="00A9463A"/>
    <w:rsid w:val="00A95409"/>
    <w:rsid w:val="00A954EF"/>
    <w:rsid w:val="00A95795"/>
    <w:rsid w:val="00A95B0E"/>
    <w:rsid w:val="00A95DE3"/>
    <w:rsid w:val="00A972FD"/>
    <w:rsid w:val="00A97D3C"/>
    <w:rsid w:val="00AA01BD"/>
    <w:rsid w:val="00AA092A"/>
    <w:rsid w:val="00AA0E47"/>
    <w:rsid w:val="00AA1191"/>
    <w:rsid w:val="00AA370B"/>
    <w:rsid w:val="00AA37EE"/>
    <w:rsid w:val="00AA50C1"/>
    <w:rsid w:val="00AA58DC"/>
    <w:rsid w:val="00AA5B9A"/>
    <w:rsid w:val="00AA6162"/>
    <w:rsid w:val="00AA64B9"/>
    <w:rsid w:val="00AA6CF0"/>
    <w:rsid w:val="00AA7864"/>
    <w:rsid w:val="00AA7EC1"/>
    <w:rsid w:val="00AB20D2"/>
    <w:rsid w:val="00AB2C06"/>
    <w:rsid w:val="00AB49CF"/>
    <w:rsid w:val="00AB4AB7"/>
    <w:rsid w:val="00AB5CC4"/>
    <w:rsid w:val="00AB5D7C"/>
    <w:rsid w:val="00AB6751"/>
    <w:rsid w:val="00AB713F"/>
    <w:rsid w:val="00AB78F6"/>
    <w:rsid w:val="00AC01E3"/>
    <w:rsid w:val="00AC03FD"/>
    <w:rsid w:val="00AC0824"/>
    <w:rsid w:val="00AC0CD8"/>
    <w:rsid w:val="00AC1359"/>
    <w:rsid w:val="00AC1A1D"/>
    <w:rsid w:val="00AC20BF"/>
    <w:rsid w:val="00AC2A0A"/>
    <w:rsid w:val="00AC37D5"/>
    <w:rsid w:val="00AC3ACC"/>
    <w:rsid w:val="00AC3F92"/>
    <w:rsid w:val="00AC4198"/>
    <w:rsid w:val="00AC4202"/>
    <w:rsid w:val="00AC46E6"/>
    <w:rsid w:val="00AC4DB9"/>
    <w:rsid w:val="00AC4E25"/>
    <w:rsid w:val="00AC6170"/>
    <w:rsid w:val="00AC6D07"/>
    <w:rsid w:val="00AC6E4E"/>
    <w:rsid w:val="00AC78E2"/>
    <w:rsid w:val="00AC7962"/>
    <w:rsid w:val="00AC79D5"/>
    <w:rsid w:val="00AD0227"/>
    <w:rsid w:val="00AD0974"/>
    <w:rsid w:val="00AD0D5E"/>
    <w:rsid w:val="00AD13AE"/>
    <w:rsid w:val="00AD1E6A"/>
    <w:rsid w:val="00AD290F"/>
    <w:rsid w:val="00AD45EA"/>
    <w:rsid w:val="00AD462B"/>
    <w:rsid w:val="00AD4A76"/>
    <w:rsid w:val="00AD4CE8"/>
    <w:rsid w:val="00AD4F10"/>
    <w:rsid w:val="00AD55A7"/>
    <w:rsid w:val="00AD66EA"/>
    <w:rsid w:val="00AE17A6"/>
    <w:rsid w:val="00AE1985"/>
    <w:rsid w:val="00AE19F1"/>
    <w:rsid w:val="00AE1D33"/>
    <w:rsid w:val="00AE2B28"/>
    <w:rsid w:val="00AE3175"/>
    <w:rsid w:val="00AE6A41"/>
    <w:rsid w:val="00AF0022"/>
    <w:rsid w:val="00AF0301"/>
    <w:rsid w:val="00AF0684"/>
    <w:rsid w:val="00AF0AFC"/>
    <w:rsid w:val="00AF0F36"/>
    <w:rsid w:val="00AF1809"/>
    <w:rsid w:val="00AF19CA"/>
    <w:rsid w:val="00AF383B"/>
    <w:rsid w:val="00AF3A4C"/>
    <w:rsid w:val="00AF3AE6"/>
    <w:rsid w:val="00AF49A8"/>
    <w:rsid w:val="00AF4B54"/>
    <w:rsid w:val="00AF5768"/>
    <w:rsid w:val="00AF5D52"/>
    <w:rsid w:val="00AF6376"/>
    <w:rsid w:val="00AF69C7"/>
    <w:rsid w:val="00AF6A4A"/>
    <w:rsid w:val="00AF701F"/>
    <w:rsid w:val="00AF718C"/>
    <w:rsid w:val="00B00AB2"/>
    <w:rsid w:val="00B00EB6"/>
    <w:rsid w:val="00B0103B"/>
    <w:rsid w:val="00B01DA4"/>
    <w:rsid w:val="00B029AF"/>
    <w:rsid w:val="00B02C2B"/>
    <w:rsid w:val="00B02D28"/>
    <w:rsid w:val="00B0318F"/>
    <w:rsid w:val="00B047DD"/>
    <w:rsid w:val="00B04DCF"/>
    <w:rsid w:val="00B05914"/>
    <w:rsid w:val="00B05E91"/>
    <w:rsid w:val="00B05FA9"/>
    <w:rsid w:val="00B06050"/>
    <w:rsid w:val="00B06489"/>
    <w:rsid w:val="00B06689"/>
    <w:rsid w:val="00B067A5"/>
    <w:rsid w:val="00B06DBD"/>
    <w:rsid w:val="00B070A2"/>
    <w:rsid w:val="00B07AA3"/>
    <w:rsid w:val="00B100CF"/>
    <w:rsid w:val="00B10D7F"/>
    <w:rsid w:val="00B118A8"/>
    <w:rsid w:val="00B11A13"/>
    <w:rsid w:val="00B123DE"/>
    <w:rsid w:val="00B1274E"/>
    <w:rsid w:val="00B12869"/>
    <w:rsid w:val="00B13784"/>
    <w:rsid w:val="00B13FB7"/>
    <w:rsid w:val="00B14A3E"/>
    <w:rsid w:val="00B15103"/>
    <w:rsid w:val="00B1566E"/>
    <w:rsid w:val="00B160B0"/>
    <w:rsid w:val="00B1699E"/>
    <w:rsid w:val="00B174EF"/>
    <w:rsid w:val="00B17659"/>
    <w:rsid w:val="00B17B92"/>
    <w:rsid w:val="00B214DF"/>
    <w:rsid w:val="00B21A51"/>
    <w:rsid w:val="00B21BCB"/>
    <w:rsid w:val="00B220E1"/>
    <w:rsid w:val="00B22ADC"/>
    <w:rsid w:val="00B25DE9"/>
    <w:rsid w:val="00B26824"/>
    <w:rsid w:val="00B27000"/>
    <w:rsid w:val="00B30A1F"/>
    <w:rsid w:val="00B30C29"/>
    <w:rsid w:val="00B31DCD"/>
    <w:rsid w:val="00B32162"/>
    <w:rsid w:val="00B325A5"/>
    <w:rsid w:val="00B34566"/>
    <w:rsid w:val="00B34661"/>
    <w:rsid w:val="00B348CB"/>
    <w:rsid w:val="00B348F1"/>
    <w:rsid w:val="00B34A6B"/>
    <w:rsid w:val="00B36153"/>
    <w:rsid w:val="00B3630A"/>
    <w:rsid w:val="00B3672E"/>
    <w:rsid w:val="00B36F93"/>
    <w:rsid w:val="00B3728F"/>
    <w:rsid w:val="00B37373"/>
    <w:rsid w:val="00B37711"/>
    <w:rsid w:val="00B406FE"/>
    <w:rsid w:val="00B40715"/>
    <w:rsid w:val="00B41019"/>
    <w:rsid w:val="00B41390"/>
    <w:rsid w:val="00B414A8"/>
    <w:rsid w:val="00B4187D"/>
    <w:rsid w:val="00B43620"/>
    <w:rsid w:val="00B437A9"/>
    <w:rsid w:val="00B44264"/>
    <w:rsid w:val="00B444C4"/>
    <w:rsid w:val="00B4481B"/>
    <w:rsid w:val="00B462CE"/>
    <w:rsid w:val="00B462E5"/>
    <w:rsid w:val="00B4646A"/>
    <w:rsid w:val="00B465FC"/>
    <w:rsid w:val="00B476C1"/>
    <w:rsid w:val="00B47856"/>
    <w:rsid w:val="00B47D8C"/>
    <w:rsid w:val="00B50B9F"/>
    <w:rsid w:val="00B50C90"/>
    <w:rsid w:val="00B50DC5"/>
    <w:rsid w:val="00B51381"/>
    <w:rsid w:val="00B5307C"/>
    <w:rsid w:val="00B530E0"/>
    <w:rsid w:val="00B5353B"/>
    <w:rsid w:val="00B54421"/>
    <w:rsid w:val="00B5485F"/>
    <w:rsid w:val="00B548D3"/>
    <w:rsid w:val="00B55DDC"/>
    <w:rsid w:val="00B567BB"/>
    <w:rsid w:val="00B577D6"/>
    <w:rsid w:val="00B6199E"/>
    <w:rsid w:val="00B61F3D"/>
    <w:rsid w:val="00B620AC"/>
    <w:rsid w:val="00B62160"/>
    <w:rsid w:val="00B62264"/>
    <w:rsid w:val="00B63024"/>
    <w:rsid w:val="00B63048"/>
    <w:rsid w:val="00B63194"/>
    <w:rsid w:val="00B635A4"/>
    <w:rsid w:val="00B6474C"/>
    <w:rsid w:val="00B65BF7"/>
    <w:rsid w:val="00B66222"/>
    <w:rsid w:val="00B66C10"/>
    <w:rsid w:val="00B66FF9"/>
    <w:rsid w:val="00B6709E"/>
    <w:rsid w:val="00B6787E"/>
    <w:rsid w:val="00B67A99"/>
    <w:rsid w:val="00B700EF"/>
    <w:rsid w:val="00B7058B"/>
    <w:rsid w:val="00B729B5"/>
    <w:rsid w:val="00B732F5"/>
    <w:rsid w:val="00B734CA"/>
    <w:rsid w:val="00B74A3F"/>
    <w:rsid w:val="00B7505F"/>
    <w:rsid w:val="00B75399"/>
    <w:rsid w:val="00B753CE"/>
    <w:rsid w:val="00B757E7"/>
    <w:rsid w:val="00B75CD8"/>
    <w:rsid w:val="00B76008"/>
    <w:rsid w:val="00B7676B"/>
    <w:rsid w:val="00B803A6"/>
    <w:rsid w:val="00B80FFF"/>
    <w:rsid w:val="00B816DD"/>
    <w:rsid w:val="00B81874"/>
    <w:rsid w:val="00B81DA6"/>
    <w:rsid w:val="00B8204E"/>
    <w:rsid w:val="00B827ED"/>
    <w:rsid w:val="00B82F00"/>
    <w:rsid w:val="00B8315E"/>
    <w:rsid w:val="00B83194"/>
    <w:rsid w:val="00B841C1"/>
    <w:rsid w:val="00B842C5"/>
    <w:rsid w:val="00B8634E"/>
    <w:rsid w:val="00B91961"/>
    <w:rsid w:val="00B91B62"/>
    <w:rsid w:val="00B92E73"/>
    <w:rsid w:val="00B93FD4"/>
    <w:rsid w:val="00B9451B"/>
    <w:rsid w:val="00B96B70"/>
    <w:rsid w:val="00B97139"/>
    <w:rsid w:val="00BA0183"/>
    <w:rsid w:val="00BA0965"/>
    <w:rsid w:val="00BA0A14"/>
    <w:rsid w:val="00BA167E"/>
    <w:rsid w:val="00BA1EA0"/>
    <w:rsid w:val="00BA2C76"/>
    <w:rsid w:val="00BA3F32"/>
    <w:rsid w:val="00BA3FDA"/>
    <w:rsid w:val="00BA4F52"/>
    <w:rsid w:val="00BA581F"/>
    <w:rsid w:val="00BA5DA9"/>
    <w:rsid w:val="00BA630C"/>
    <w:rsid w:val="00BA64A2"/>
    <w:rsid w:val="00BA6CA0"/>
    <w:rsid w:val="00BA716A"/>
    <w:rsid w:val="00BA7290"/>
    <w:rsid w:val="00BA7461"/>
    <w:rsid w:val="00BA7F20"/>
    <w:rsid w:val="00BB0760"/>
    <w:rsid w:val="00BB0924"/>
    <w:rsid w:val="00BB123B"/>
    <w:rsid w:val="00BB16EB"/>
    <w:rsid w:val="00BB17DC"/>
    <w:rsid w:val="00BB26CD"/>
    <w:rsid w:val="00BB2810"/>
    <w:rsid w:val="00BB2F71"/>
    <w:rsid w:val="00BB3006"/>
    <w:rsid w:val="00BB3214"/>
    <w:rsid w:val="00BB3632"/>
    <w:rsid w:val="00BB4154"/>
    <w:rsid w:val="00BB44FE"/>
    <w:rsid w:val="00BB4FF0"/>
    <w:rsid w:val="00BB5078"/>
    <w:rsid w:val="00BB5735"/>
    <w:rsid w:val="00BB58D0"/>
    <w:rsid w:val="00BB6A78"/>
    <w:rsid w:val="00BB7848"/>
    <w:rsid w:val="00BC0CA4"/>
    <w:rsid w:val="00BC1E04"/>
    <w:rsid w:val="00BC1FFE"/>
    <w:rsid w:val="00BC32AA"/>
    <w:rsid w:val="00BC33E9"/>
    <w:rsid w:val="00BC3956"/>
    <w:rsid w:val="00BC4626"/>
    <w:rsid w:val="00BC4C84"/>
    <w:rsid w:val="00BC5B7D"/>
    <w:rsid w:val="00BC6DCF"/>
    <w:rsid w:val="00BD0277"/>
    <w:rsid w:val="00BD03E1"/>
    <w:rsid w:val="00BD0411"/>
    <w:rsid w:val="00BD1E8E"/>
    <w:rsid w:val="00BD1F45"/>
    <w:rsid w:val="00BD22DD"/>
    <w:rsid w:val="00BD2A76"/>
    <w:rsid w:val="00BD2BDE"/>
    <w:rsid w:val="00BD2E54"/>
    <w:rsid w:val="00BD30DA"/>
    <w:rsid w:val="00BD328D"/>
    <w:rsid w:val="00BD36D7"/>
    <w:rsid w:val="00BD4185"/>
    <w:rsid w:val="00BD4286"/>
    <w:rsid w:val="00BD4AA0"/>
    <w:rsid w:val="00BD57D6"/>
    <w:rsid w:val="00BD606B"/>
    <w:rsid w:val="00BD662C"/>
    <w:rsid w:val="00BD6805"/>
    <w:rsid w:val="00BE0BCC"/>
    <w:rsid w:val="00BE1F3A"/>
    <w:rsid w:val="00BE2260"/>
    <w:rsid w:val="00BE255C"/>
    <w:rsid w:val="00BE3611"/>
    <w:rsid w:val="00BE36C3"/>
    <w:rsid w:val="00BE3F4F"/>
    <w:rsid w:val="00BE41BA"/>
    <w:rsid w:val="00BE4710"/>
    <w:rsid w:val="00BE4E8E"/>
    <w:rsid w:val="00BE4F46"/>
    <w:rsid w:val="00BE6548"/>
    <w:rsid w:val="00BE6EA7"/>
    <w:rsid w:val="00BE7042"/>
    <w:rsid w:val="00BE73F6"/>
    <w:rsid w:val="00BE7C1B"/>
    <w:rsid w:val="00BF004B"/>
    <w:rsid w:val="00BF0EE1"/>
    <w:rsid w:val="00BF12AF"/>
    <w:rsid w:val="00BF18EB"/>
    <w:rsid w:val="00BF269E"/>
    <w:rsid w:val="00BF2D03"/>
    <w:rsid w:val="00BF2DE9"/>
    <w:rsid w:val="00BF33DA"/>
    <w:rsid w:val="00BF3682"/>
    <w:rsid w:val="00BF44A2"/>
    <w:rsid w:val="00BF4A6F"/>
    <w:rsid w:val="00BF66F8"/>
    <w:rsid w:val="00BF70DE"/>
    <w:rsid w:val="00BF7386"/>
    <w:rsid w:val="00BF75BD"/>
    <w:rsid w:val="00BF7B5C"/>
    <w:rsid w:val="00C00585"/>
    <w:rsid w:val="00C016A7"/>
    <w:rsid w:val="00C0225E"/>
    <w:rsid w:val="00C022CC"/>
    <w:rsid w:val="00C02649"/>
    <w:rsid w:val="00C03645"/>
    <w:rsid w:val="00C03BAD"/>
    <w:rsid w:val="00C03C68"/>
    <w:rsid w:val="00C03DC5"/>
    <w:rsid w:val="00C03EE0"/>
    <w:rsid w:val="00C0554E"/>
    <w:rsid w:val="00C057E6"/>
    <w:rsid w:val="00C06695"/>
    <w:rsid w:val="00C07751"/>
    <w:rsid w:val="00C077BB"/>
    <w:rsid w:val="00C07AE6"/>
    <w:rsid w:val="00C119CB"/>
    <w:rsid w:val="00C1297A"/>
    <w:rsid w:val="00C12EF4"/>
    <w:rsid w:val="00C13FC4"/>
    <w:rsid w:val="00C143C3"/>
    <w:rsid w:val="00C14436"/>
    <w:rsid w:val="00C14D53"/>
    <w:rsid w:val="00C158C7"/>
    <w:rsid w:val="00C15A7B"/>
    <w:rsid w:val="00C15AF6"/>
    <w:rsid w:val="00C169C1"/>
    <w:rsid w:val="00C16CEF"/>
    <w:rsid w:val="00C17C94"/>
    <w:rsid w:val="00C2054A"/>
    <w:rsid w:val="00C215E9"/>
    <w:rsid w:val="00C2190C"/>
    <w:rsid w:val="00C22221"/>
    <w:rsid w:val="00C23314"/>
    <w:rsid w:val="00C23E0A"/>
    <w:rsid w:val="00C23E76"/>
    <w:rsid w:val="00C243A2"/>
    <w:rsid w:val="00C257D7"/>
    <w:rsid w:val="00C25AFB"/>
    <w:rsid w:val="00C3005B"/>
    <w:rsid w:val="00C30212"/>
    <w:rsid w:val="00C3148D"/>
    <w:rsid w:val="00C3196E"/>
    <w:rsid w:val="00C31C6B"/>
    <w:rsid w:val="00C3348D"/>
    <w:rsid w:val="00C33EF3"/>
    <w:rsid w:val="00C34837"/>
    <w:rsid w:val="00C352E7"/>
    <w:rsid w:val="00C35764"/>
    <w:rsid w:val="00C36074"/>
    <w:rsid w:val="00C3620B"/>
    <w:rsid w:val="00C36CFF"/>
    <w:rsid w:val="00C374F1"/>
    <w:rsid w:val="00C401EB"/>
    <w:rsid w:val="00C40380"/>
    <w:rsid w:val="00C40464"/>
    <w:rsid w:val="00C408BA"/>
    <w:rsid w:val="00C41A5C"/>
    <w:rsid w:val="00C41E44"/>
    <w:rsid w:val="00C42167"/>
    <w:rsid w:val="00C427D4"/>
    <w:rsid w:val="00C43569"/>
    <w:rsid w:val="00C43611"/>
    <w:rsid w:val="00C439E3"/>
    <w:rsid w:val="00C43F0E"/>
    <w:rsid w:val="00C4552B"/>
    <w:rsid w:val="00C45C6C"/>
    <w:rsid w:val="00C45E94"/>
    <w:rsid w:val="00C46781"/>
    <w:rsid w:val="00C5083E"/>
    <w:rsid w:val="00C50B1F"/>
    <w:rsid w:val="00C511DE"/>
    <w:rsid w:val="00C51E48"/>
    <w:rsid w:val="00C52A60"/>
    <w:rsid w:val="00C52FD7"/>
    <w:rsid w:val="00C53A6D"/>
    <w:rsid w:val="00C54417"/>
    <w:rsid w:val="00C545D7"/>
    <w:rsid w:val="00C54C7F"/>
    <w:rsid w:val="00C54D12"/>
    <w:rsid w:val="00C56459"/>
    <w:rsid w:val="00C607AA"/>
    <w:rsid w:val="00C60D2C"/>
    <w:rsid w:val="00C611C5"/>
    <w:rsid w:val="00C613B7"/>
    <w:rsid w:val="00C61849"/>
    <w:rsid w:val="00C62049"/>
    <w:rsid w:val="00C6265F"/>
    <w:rsid w:val="00C62A95"/>
    <w:rsid w:val="00C63748"/>
    <w:rsid w:val="00C6386D"/>
    <w:rsid w:val="00C6408A"/>
    <w:rsid w:val="00C64B2A"/>
    <w:rsid w:val="00C653D7"/>
    <w:rsid w:val="00C6667D"/>
    <w:rsid w:val="00C66891"/>
    <w:rsid w:val="00C672C8"/>
    <w:rsid w:val="00C6747D"/>
    <w:rsid w:val="00C67760"/>
    <w:rsid w:val="00C677DE"/>
    <w:rsid w:val="00C679EF"/>
    <w:rsid w:val="00C70434"/>
    <w:rsid w:val="00C70998"/>
    <w:rsid w:val="00C7206B"/>
    <w:rsid w:val="00C72BBE"/>
    <w:rsid w:val="00C72CB8"/>
    <w:rsid w:val="00C734F8"/>
    <w:rsid w:val="00C7392E"/>
    <w:rsid w:val="00C73B85"/>
    <w:rsid w:val="00C73F58"/>
    <w:rsid w:val="00C765D9"/>
    <w:rsid w:val="00C76B98"/>
    <w:rsid w:val="00C77BAB"/>
    <w:rsid w:val="00C80212"/>
    <w:rsid w:val="00C815A6"/>
    <w:rsid w:val="00C816A2"/>
    <w:rsid w:val="00C827AF"/>
    <w:rsid w:val="00C82AC7"/>
    <w:rsid w:val="00C83250"/>
    <w:rsid w:val="00C840DD"/>
    <w:rsid w:val="00C841E9"/>
    <w:rsid w:val="00C854D3"/>
    <w:rsid w:val="00C855CD"/>
    <w:rsid w:val="00C85A4F"/>
    <w:rsid w:val="00C86B17"/>
    <w:rsid w:val="00C86ECB"/>
    <w:rsid w:val="00C8700B"/>
    <w:rsid w:val="00C874AC"/>
    <w:rsid w:val="00C87F7F"/>
    <w:rsid w:val="00C90243"/>
    <w:rsid w:val="00C90E04"/>
    <w:rsid w:val="00C91154"/>
    <w:rsid w:val="00C912CF"/>
    <w:rsid w:val="00C927B8"/>
    <w:rsid w:val="00C92AA7"/>
    <w:rsid w:val="00C94F8A"/>
    <w:rsid w:val="00C95371"/>
    <w:rsid w:val="00C95C58"/>
    <w:rsid w:val="00C964F1"/>
    <w:rsid w:val="00C9671A"/>
    <w:rsid w:val="00C968AF"/>
    <w:rsid w:val="00C96E13"/>
    <w:rsid w:val="00C96F9B"/>
    <w:rsid w:val="00C9715A"/>
    <w:rsid w:val="00C974F0"/>
    <w:rsid w:val="00C97F5A"/>
    <w:rsid w:val="00CA03A4"/>
    <w:rsid w:val="00CA0673"/>
    <w:rsid w:val="00CA1017"/>
    <w:rsid w:val="00CA44B8"/>
    <w:rsid w:val="00CA4C7A"/>
    <w:rsid w:val="00CA79FB"/>
    <w:rsid w:val="00CA7F10"/>
    <w:rsid w:val="00CB02AB"/>
    <w:rsid w:val="00CB091E"/>
    <w:rsid w:val="00CB16A8"/>
    <w:rsid w:val="00CB1799"/>
    <w:rsid w:val="00CB1CF8"/>
    <w:rsid w:val="00CB2139"/>
    <w:rsid w:val="00CB295B"/>
    <w:rsid w:val="00CB3166"/>
    <w:rsid w:val="00CB3327"/>
    <w:rsid w:val="00CB33E6"/>
    <w:rsid w:val="00CB37B6"/>
    <w:rsid w:val="00CB38DC"/>
    <w:rsid w:val="00CB3A78"/>
    <w:rsid w:val="00CB3C9C"/>
    <w:rsid w:val="00CB3CBB"/>
    <w:rsid w:val="00CB4B22"/>
    <w:rsid w:val="00CB5169"/>
    <w:rsid w:val="00CB5E33"/>
    <w:rsid w:val="00CB5F7A"/>
    <w:rsid w:val="00CB6B54"/>
    <w:rsid w:val="00CB72A9"/>
    <w:rsid w:val="00CB7345"/>
    <w:rsid w:val="00CC028D"/>
    <w:rsid w:val="00CC0706"/>
    <w:rsid w:val="00CC0B8F"/>
    <w:rsid w:val="00CC2DC7"/>
    <w:rsid w:val="00CC32C3"/>
    <w:rsid w:val="00CC346D"/>
    <w:rsid w:val="00CC37D2"/>
    <w:rsid w:val="00CC3A78"/>
    <w:rsid w:val="00CC422B"/>
    <w:rsid w:val="00CC47AB"/>
    <w:rsid w:val="00CC4D70"/>
    <w:rsid w:val="00CC4E6F"/>
    <w:rsid w:val="00CC52DE"/>
    <w:rsid w:val="00CC53A0"/>
    <w:rsid w:val="00CC560C"/>
    <w:rsid w:val="00CC60B1"/>
    <w:rsid w:val="00CC750B"/>
    <w:rsid w:val="00CC7DD8"/>
    <w:rsid w:val="00CC7FDB"/>
    <w:rsid w:val="00CD0893"/>
    <w:rsid w:val="00CD198C"/>
    <w:rsid w:val="00CD292B"/>
    <w:rsid w:val="00CD2E85"/>
    <w:rsid w:val="00CD34AE"/>
    <w:rsid w:val="00CD4235"/>
    <w:rsid w:val="00CD54CA"/>
    <w:rsid w:val="00CD56C9"/>
    <w:rsid w:val="00CD6BB3"/>
    <w:rsid w:val="00CD7E4A"/>
    <w:rsid w:val="00CD7F47"/>
    <w:rsid w:val="00CD7F58"/>
    <w:rsid w:val="00CE01AB"/>
    <w:rsid w:val="00CE0FF4"/>
    <w:rsid w:val="00CE1EF0"/>
    <w:rsid w:val="00CE2799"/>
    <w:rsid w:val="00CE32C2"/>
    <w:rsid w:val="00CE348C"/>
    <w:rsid w:val="00CE370A"/>
    <w:rsid w:val="00CE428B"/>
    <w:rsid w:val="00CE4A85"/>
    <w:rsid w:val="00CE5923"/>
    <w:rsid w:val="00CE5E2F"/>
    <w:rsid w:val="00CE6069"/>
    <w:rsid w:val="00CE6291"/>
    <w:rsid w:val="00CE687B"/>
    <w:rsid w:val="00CE68D7"/>
    <w:rsid w:val="00CE6ACF"/>
    <w:rsid w:val="00CE7010"/>
    <w:rsid w:val="00CE7362"/>
    <w:rsid w:val="00CF25DA"/>
    <w:rsid w:val="00CF303E"/>
    <w:rsid w:val="00CF3059"/>
    <w:rsid w:val="00CF4074"/>
    <w:rsid w:val="00CF6441"/>
    <w:rsid w:val="00CF6B9F"/>
    <w:rsid w:val="00CF6CC7"/>
    <w:rsid w:val="00CF7B94"/>
    <w:rsid w:val="00D00B0B"/>
    <w:rsid w:val="00D018F8"/>
    <w:rsid w:val="00D02471"/>
    <w:rsid w:val="00D02990"/>
    <w:rsid w:val="00D02A4E"/>
    <w:rsid w:val="00D02D9A"/>
    <w:rsid w:val="00D02F58"/>
    <w:rsid w:val="00D039B0"/>
    <w:rsid w:val="00D03E04"/>
    <w:rsid w:val="00D04EB5"/>
    <w:rsid w:val="00D04EC5"/>
    <w:rsid w:val="00D05079"/>
    <w:rsid w:val="00D0535C"/>
    <w:rsid w:val="00D0555F"/>
    <w:rsid w:val="00D05CB5"/>
    <w:rsid w:val="00D062F9"/>
    <w:rsid w:val="00D06DD3"/>
    <w:rsid w:val="00D073E3"/>
    <w:rsid w:val="00D07612"/>
    <w:rsid w:val="00D07C57"/>
    <w:rsid w:val="00D07F05"/>
    <w:rsid w:val="00D11B63"/>
    <w:rsid w:val="00D11C20"/>
    <w:rsid w:val="00D12885"/>
    <w:rsid w:val="00D12FDC"/>
    <w:rsid w:val="00D13B5F"/>
    <w:rsid w:val="00D14916"/>
    <w:rsid w:val="00D14AB1"/>
    <w:rsid w:val="00D15316"/>
    <w:rsid w:val="00D15903"/>
    <w:rsid w:val="00D15FEE"/>
    <w:rsid w:val="00D16105"/>
    <w:rsid w:val="00D16BC1"/>
    <w:rsid w:val="00D17BDF"/>
    <w:rsid w:val="00D20A37"/>
    <w:rsid w:val="00D20E83"/>
    <w:rsid w:val="00D21435"/>
    <w:rsid w:val="00D21F25"/>
    <w:rsid w:val="00D21F67"/>
    <w:rsid w:val="00D21F89"/>
    <w:rsid w:val="00D22188"/>
    <w:rsid w:val="00D230DF"/>
    <w:rsid w:val="00D235EF"/>
    <w:rsid w:val="00D236C5"/>
    <w:rsid w:val="00D24FC4"/>
    <w:rsid w:val="00D250F3"/>
    <w:rsid w:val="00D26321"/>
    <w:rsid w:val="00D26FF8"/>
    <w:rsid w:val="00D270C8"/>
    <w:rsid w:val="00D27516"/>
    <w:rsid w:val="00D27631"/>
    <w:rsid w:val="00D27997"/>
    <w:rsid w:val="00D27D05"/>
    <w:rsid w:val="00D30DB5"/>
    <w:rsid w:val="00D31330"/>
    <w:rsid w:val="00D3157C"/>
    <w:rsid w:val="00D31A7A"/>
    <w:rsid w:val="00D3201E"/>
    <w:rsid w:val="00D322CC"/>
    <w:rsid w:val="00D324DF"/>
    <w:rsid w:val="00D32A0F"/>
    <w:rsid w:val="00D32A93"/>
    <w:rsid w:val="00D32F6E"/>
    <w:rsid w:val="00D34015"/>
    <w:rsid w:val="00D3470F"/>
    <w:rsid w:val="00D34894"/>
    <w:rsid w:val="00D34AF3"/>
    <w:rsid w:val="00D34B91"/>
    <w:rsid w:val="00D35A01"/>
    <w:rsid w:val="00D35AD9"/>
    <w:rsid w:val="00D3626E"/>
    <w:rsid w:val="00D3692C"/>
    <w:rsid w:val="00D36F64"/>
    <w:rsid w:val="00D37BF2"/>
    <w:rsid w:val="00D37C54"/>
    <w:rsid w:val="00D40299"/>
    <w:rsid w:val="00D4187F"/>
    <w:rsid w:val="00D42064"/>
    <w:rsid w:val="00D42568"/>
    <w:rsid w:val="00D43B1D"/>
    <w:rsid w:val="00D43C90"/>
    <w:rsid w:val="00D45265"/>
    <w:rsid w:val="00D46A8C"/>
    <w:rsid w:val="00D46D48"/>
    <w:rsid w:val="00D47102"/>
    <w:rsid w:val="00D47151"/>
    <w:rsid w:val="00D4756F"/>
    <w:rsid w:val="00D477E2"/>
    <w:rsid w:val="00D47CAE"/>
    <w:rsid w:val="00D5002A"/>
    <w:rsid w:val="00D500A4"/>
    <w:rsid w:val="00D504EC"/>
    <w:rsid w:val="00D508C7"/>
    <w:rsid w:val="00D50BF0"/>
    <w:rsid w:val="00D542DD"/>
    <w:rsid w:val="00D54B75"/>
    <w:rsid w:val="00D554A2"/>
    <w:rsid w:val="00D55512"/>
    <w:rsid w:val="00D562FF"/>
    <w:rsid w:val="00D56354"/>
    <w:rsid w:val="00D56ED6"/>
    <w:rsid w:val="00D609BE"/>
    <w:rsid w:val="00D613DA"/>
    <w:rsid w:val="00D63B25"/>
    <w:rsid w:val="00D63B2C"/>
    <w:rsid w:val="00D6497D"/>
    <w:rsid w:val="00D64F78"/>
    <w:rsid w:val="00D65974"/>
    <w:rsid w:val="00D65B87"/>
    <w:rsid w:val="00D67067"/>
    <w:rsid w:val="00D676BC"/>
    <w:rsid w:val="00D70007"/>
    <w:rsid w:val="00D7011D"/>
    <w:rsid w:val="00D70CF9"/>
    <w:rsid w:val="00D712A0"/>
    <w:rsid w:val="00D71474"/>
    <w:rsid w:val="00D71515"/>
    <w:rsid w:val="00D7197B"/>
    <w:rsid w:val="00D72D1A"/>
    <w:rsid w:val="00D7483F"/>
    <w:rsid w:val="00D74B45"/>
    <w:rsid w:val="00D7540E"/>
    <w:rsid w:val="00D75A7A"/>
    <w:rsid w:val="00D76A6A"/>
    <w:rsid w:val="00D77A92"/>
    <w:rsid w:val="00D8023F"/>
    <w:rsid w:val="00D81719"/>
    <w:rsid w:val="00D8197F"/>
    <w:rsid w:val="00D81C0E"/>
    <w:rsid w:val="00D822D7"/>
    <w:rsid w:val="00D829E9"/>
    <w:rsid w:val="00D830D4"/>
    <w:rsid w:val="00D83BCE"/>
    <w:rsid w:val="00D844F6"/>
    <w:rsid w:val="00D845F1"/>
    <w:rsid w:val="00D84E16"/>
    <w:rsid w:val="00D86DFA"/>
    <w:rsid w:val="00D875EB"/>
    <w:rsid w:val="00D87D38"/>
    <w:rsid w:val="00D87DCD"/>
    <w:rsid w:val="00D90FAD"/>
    <w:rsid w:val="00D915BB"/>
    <w:rsid w:val="00D91B5D"/>
    <w:rsid w:val="00D920BB"/>
    <w:rsid w:val="00D921D0"/>
    <w:rsid w:val="00D9255C"/>
    <w:rsid w:val="00D9283C"/>
    <w:rsid w:val="00D93388"/>
    <w:rsid w:val="00D93E42"/>
    <w:rsid w:val="00D94B86"/>
    <w:rsid w:val="00D94CBF"/>
    <w:rsid w:val="00D95F4B"/>
    <w:rsid w:val="00D9657D"/>
    <w:rsid w:val="00D96A88"/>
    <w:rsid w:val="00D96B7F"/>
    <w:rsid w:val="00D96BC8"/>
    <w:rsid w:val="00D96F97"/>
    <w:rsid w:val="00D97495"/>
    <w:rsid w:val="00DA08C4"/>
    <w:rsid w:val="00DA0FB0"/>
    <w:rsid w:val="00DA10AB"/>
    <w:rsid w:val="00DA26E8"/>
    <w:rsid w:val="00DA2B82"/>
    <w:rsid w:val="00DA318B"/>
    <w:rsid w:val="00DA35CC"/>
    <w:rsid w:val="00DA3F93"/>
    <w:rsid w:val="00DA45B7"/>
    <w:rsid w:val="00DA46CF"/>
    <w:rsid w:val="00DA5D81"/>
    <w:rsid w:val="00DA682B"/>
    <w:rsid w:val="00DA79B3"/>
    <w:rsid w:val="00DA7B56"/>
    <w:rsid w:val="00DB03D2"/>
    <w:rsid w:val="00DB096D"/>
    <w:rsid w:val="00DB0D17"/>
    <w:rsid w:val="00DB0ECD"/>
    <w:rsid w:val="00DB0EF1"/>
    <w:rsid w:val="00DB0FC9"/>
    <w:rsid w:val="00DB1490"/>
    <w:rsid w:val="00DB293E"/>
    <w:rsid w:val="00DB2DF8"/>
    <w:rsid w:val="00DB2EB0"/>
    <w:rsid w:val="00DB3E32"/>
    <w:rsid w:val="00DB49E1"/>
    <w:rsid w:val="00DB4AF0"/>
    <w:rsid w:val="00DB7F5A"/>
    <w:rsid w:val="00DC0066"/>
    <w:rsid w:val="00DC1710"/>
    <w:rsid w:val="00DC2402"/>
    <w:rsid w:val="00DC2431"/>
    <w:rsid w:val="00DC265E"/>
    <w:rsid w:val="00DC3011"/>
    <w:rsid w:val="00DC3012"/>
    <w:rsid w:val="00DC4371"/>
    <w:rsid w:val="00DC44AB"/>
    <w:rsid w:val="00DC4FC9"/>
    <w:rsid w:val="00DC5C9D"/>
    <w:rsid w:val="00DC6C72"/>
    <w:rsid w:val="00DD0BF0"/>
    <w:rsid w:val="00DD1033"/>
    <w:rsid w:val="00DD180D"/>
    <w:rsid w:val="00DD31D4"/>
    <w:rsid w:val="00DD36DF"/>
    <w:rsid w:val="00DD3886"/>
    <w:rsid w:val="00DD4F32"/>
    <w:rsid w:val="00DD51CC"/>
    <w:rsid w:val="00DD5276"/>
    <w:rsid w:val="00DD5A30"/>
    <w:rsid w:val="00DD5AEA"/>
    <w:rsid w:val="00DD5DE6"/>
    <w:rsid w:val="00DD7F74"/>
    <w:rsid w:val="00DE00AE"/>
    <w:rsid w:val="00DE130A"/>
    <w:rsid w:val="00DE1890"/>
    <w:rsid w:val="00DE1FD6"/>
    <w:rsid w:val="00DE2090"/>
    <w:rsid w:val="00DE218D"/>
    <w:rsid w:val="00DE2FC4"/>
    <w:rsid w:val="00DE39FB"/>
    <w:rsid w:val="00DE3A7D"/>
    <w:rsid w:val="00DE3C90"/>
    <w:rsid w:val="00DE3E05"/>
    <w:rsid w:val="00DE430C"/>
    <w:rsid w:val="00DE46D7"/>
    <w:rsid w:val="00DE5AD6"/>
    <w:rsid w:val="00DE5BD9"/>
    <w:rsid w:val="00DE6B06"/>
    <w:rsid w:val="00DE6F24"/>
    <w:rsid w:val="00DE76EB"/>
    <w:rsid w:val="00DE7CB4"/>
    <w:rsid w:val="00DF132D"/>
    <w:rsid w:val="00DF1B7F"/>
    <w:rsid w:val="00DF1C92"/>
    <w:rsid w:val="00DF22E2"/>
    <w:rsid w:val="00DF515E"/>
    <w:rsid w:val="00DF59D5"/>
    <w:rsid w:val="00DF5B97"/>
    <w:rsid w:val="00DF60D4"/>
    <w:rsid w:val="00DF689F"/>
    <w:rsid w:val="00DF6E61"/>
    <w:rsid w:val="00DF7320"/>
    <w:rsid w:val="00DF784C"/>
    <w:rsid w:val="00DF78E0"/>
    <w:rsid w:val="00DF7A10"/>
    <w:rsid w:val="00E01DBF"/>
    <w:rsid w:val="00E01E27"/>
    <w:rsid w:val="00E02735"/>
    <w:rsid w:val="00E02EE7"/>
    <w:rsid w:val="00E030AF"/>
    <w:rsid w:val="00E03923"/>
    <w:rsid w:val="00E03AFB"/>
    <w:rsid w:val="00E044F8"/>
    <w:rsid w:val="00E056AB"/>
    <w:rsid w:val="00E05B2A"/>
    <w:rsid w:val="00E05CC2"/>
    <w:rsid w:val="00E05DE1"/>
    <w:rsid w:val="00E0754A"/>
    <w:rsid w:val="00E107B2"/>
    <w:rsid w:val="00E10C96"/>
    <w:rsid w:val="00E110DB"/>
    <w:rsid w:val="00E119E5"/>
    <w:rsid w:val="00E11ABF"/>
    <w:rsid w:val="00E11B22"/>
    <w:rsid w:val="00E11E3C"/>
    <w:rsid w:val="00E12206"/>
    <w:rsid w:val="00E1246C"/>
    <w:rsid w:val="00E12A17"/>
    <w:rsid w:val="00E13056"/>
    <w:rsid w:val="00E1324F"/>
    <w:rsid w:val="00E13772"/>
    <w:rsid w:val="00E1381D"/>
    <w:rsid w:val="00E13A8F"/>
    <w:rsid w:val="00E15556"/>
    <w:rsid w:val="00E1558D"/>
    <w:rsid w:val="00E15D4A"/>
    <w:rsid w:val="00E16A3A"/>
    <w:rsid w:val="00E16E3C"/>
    <w:rsid w:val="00E17CAC"/>
    <w:rsid w:val="00E17F1B"/>
    <w:rsid w:val="00E21298"/>
    <w:rsid w:val="00E21D4A"/>
    <w:rsid w:val="00E21DE8"/>
    <w:rsid w:val="00E21F68"/>
    <w:rsid w:val="00E2299C"/>
    <w:rsid w:val="00E23B26"/>
    <w:rsid w:val="00E24593"/>
    <w:rsid w:val="00E2683C"/>
    <w:rsid w:val="00E26DDF"/>
    <w:rsid w:val="00E31B64"/>
    <w:rsid w:val="00E330C1"/>
    <w:rsid w:val="00E349EB"/>
    <w:rsid w:val="00E35A93"/>
    <w:rsid w:val="00E35C6C"/>
    <w:rsid w:val="00E35CBC"/>
    <w:rsid w:val="00E363A0"/>
    <w:rsid w:val="00E36ABD"/>
    <w:rsid w:val="00E3737C"/>
    <w:rsid w:val="00E37644"/>
    <w:rsid w:val="00E378F9"/>
    <w:rsid w:val="00E400DA"/>
    <w:rsid w:val="00E40647"/>
    <w:rsid w:val="00E40B32"/>
    <w:rsid w:val="00E41691"/>
    <w:rsid w:val="00E41F07"/>
    <w:rsid w:val="00E43519"/>
    <w:rsid w:val="00E43F01"/>
    <w:rsid w:val="00E44AA3"/>
    <w:rsid w:val="00E44E46"/>
    <w:rsid w:val="00E45756"/>
    <w:rsid w:val="00E471D9"/>
    <w:rsid w:val="00E477AB"/>
    <w:rsid w:val="00E4780F"/>
    <w:rsid w:val="00E478EA"/>
    <w:rsid w:val="00E50288"/>
    <w:rsid w:val="00E5045A"/>
    <w:rsid w:val="00E5144D"/>
    <w:rsid w:val="00E51841"/>
    <w:rsid w:val="00E518E1"/>
    <w:rsid w:val="00E51B3F"/>
    <w:rsid w:val="00E51C64"/>
    <w:rsid w:val="00E52C10"/>
    <w:rsid w:val="00E52F6C"/>
    <w:rsid w:val="00E531B6"/>
    <w:rsid w:val="00E54F76"/>
    <w:rsid w:val="00E5518A"/>
    <w:rsid w:val="00E55C93"/>
    <w:rsid w:val="00E55D8F"/>
    <w:rsid w:val="00E560E7"/>
    <w:rsid w:val="00E57107"/>
    <w:rsid w:val="00E57D4B"/>
    <w:rsid w:val="00E6211B"/>
    <w:rsid w:val="00E629CA"/>
    <w:rsid w:val="00E63091"/>
    <w:rsid w:val="00E63D2E"/>
    <w:rsid w:val="00E64407"/>
    <w:rsid w:val="00E65CB9"/>
    <w:rsid w:val="00E660B6"/>
    <w:rsid w:val="00E66229"/>
    <w:rsid w:val="00E67150"/>
    <w:rsid w:val="00E67CFA"/>
    <w:rsid w:val="00E706CC"/>
    <w:rsid w:val="00E70B10"/>
    <w:rsid w:val="00E70CAE"/>
    <w:rsid w:val="00E711B5"/>
    <w:rsid w:val="00E71468"/>
    <w:rsid w:val="00E723D9"/>
    <w:rsid w:val="00E73952"/>
    <w:rsid w:val="00E73CE7"/>
    <w:rsid w:val="00E74890"/>
    <w:rsid w:val="00E7528E"/>
    <w:rsid w:val="00E7641F"/>
    <w:rsid w:val="00E76FEE"/>
    <w:rsid w:val="00E77DE0"/>
    <w:rsid w:val="00E801EC"/>
    <w:rsid w:val="00E80347"/>
    <w:rsid w:val="00E840D6"/>
    <w:rsid w:val="00E85A1A"/>
    <w:rsid w:val="00E86512"/>
    <w:rsid w:val="00E866CE"/>
    <w:rsid w:val="00E8708D"/>
    <w:rsid w:val="00E874E1"/>
    <w:rsid w:val="00E875DB"/>
    <w:rsid w:val="00E87BF9"/>
    <w:rsid w:val="00E87D16"/>
    <w:rsid w:val="00E90C84"/>
    <w:rsid w:val="00E90DDB"/>
    <w:rsid w:val="00E91C92"/>
    <w:rsid w:val="00E94A88"/>
    <w:rsid w:val="00E94BFD"/>
    <w:rsid w:val="00E9507F"/>
    <w:rsid w:val="00E95945"/>
    <w:rsid w:val="00E95ECF"/>
    <w:rsid w:val="00E95F46"/>
    <w:rsid w:val="00E962E9"/>
    <w:rsid w:val="00EA00D7"/>
    <w:rsid w:val="00EA00F1"/>
    <w:rsid w:val="00EA0CC0"/>
    <w:rsid w:val="00EA2E6B"/>
    <w:rsid w:val="00EA2F60"/>
    <w:rsid w:val="00EA4254"/>
    <w:rsid w:val="00EA5219"/>
    <w:rsid w:val="00EA606F"/>
    <w:rsid w:val="00EA636B"/>
    <w:rsid w:val="00EA6375"/>
    <w:rsid w:val="00EA6381"/>
    <w:rsid w:val="00EA67D7"/>
    <w:rsid w:val="00EA6EB4"/>
    <w:rsid w:val="00EA72F6"/>
    <w:rsid w:val="00EA7584"/>
    <w:rsid w:val="00EB0133"/>
    <w:rsid w:val="00EB12D5"/>
    <w:rsid w:val="00EB1DC8"/>
    <w:rsid w:val="00EB1EDF"/>
    <w:rsid w:val="00EB2335"/>
    <w:rsid w:val="00EB23F4"/>
    <w:rsid w:val="00EB328A"/>
    <w:rsid w:val="00EB39DC"/>
    <w:rsid w:val="00EB3C58"/>
    <w:rsid w:val="00EB3F9A"/>
    <w:rsid w:val="00EB41F3"/>
    <w:rsid w:val="00EB4305"/>
    <w:rsid w:val="00EB5485"/>
    <w:rsid w:val="00EB6BAF"/>
    <w:rsid w:val="00EB6F8F"/>
    <w:rsid w:val="00EC0315"/>
    <w:rsid w:val="00EC15D3"/>
    <w:rsid w:val="00EC1C59"/>
    <w:rsid w:val="00EC2193"/>
    <w:rsid w:val="00EC227F"/>
    <w:rsid w:val="00EC25D2"/>
    <w:rsid w:val="00EC2B73"/>
    <w:rsid w:val="00EC3214"/>
    <w:rsid w:val="00EC3C32"/>
    <w:rsid w:val="00EC46C8"/>
    <w:rsid w:val="00EC48C8"/>
    <w:rsid w:val="00EC60BE"/>
    <w:rsid w:val="00EC6BEC"/>
    <w:rsid w:val="00EC720E"/>
    <w:rsid w:val="00EC760A"/>
    <w:rsid w:val="00EC7EFD"/>
    <w:rsid w:val="00ED0725"/>
    <w:rsid w:val="00ED0947"/>
    <w:rsid w:val="00ED132E"/>
    <w:rsid w:val="00ED16A5"/>
    <w:rsid w:val="00ED28FF"/>
    <w:rsid w:val="00ED293F"/>
    <w:rsid w:val="00ED44A5"/>
    <w:rsid w:val="00ED4B34"/>
    <w:rsid w:val="00ED5894"/>
    <w:rsid w:val="00ED655C"/>
    <w:rsid w:val="00ED65D0"/>
    <w:rsid w:val="00ED7E8D"/>
    <w:rsid w:val="00ED7ECE"/>
    <w:rsid w:val="00EE02C3"/>
    <w:rsid w:val="00EE1AC1"/>
    <w:rsid w:val="00EE1EE4"/>
    <w:rsid w:val="00EE260A"/>
    <w:rsid w:val="00EE295D"/>
    <w:rsid w:val="00EE2FC0"/>
    <w:rsid w:val="00EE3B35"/>
    <w:rsid w:val="00EE3D08"/>
    <w:rsid w:val="00EE4120"/>
    <w:rsid w:val="00EE5792"/>
    <w:rsid w:val="00EE595D"/>
    <w:rsid w:val="00EE605F"/>
    <w:rsid w:val="00EE6966"/>
    <w:rsid w:val="00EE71B1"/>
    <w:rsid w:val="00EE7506"/>
    <w:rsid w:val="00EF044C"/>
    <w:rsid w:val="00EF1697"/>
    <w:rsid w:val="00EF1E64"/>
    <w:rsid w:val="00EF1FB6"/>
    <w:rsid w:val="00EF30B3"/>
    <w:rsid w:val="00EF3A7E"/>
    <w:rsid w:val="00EF4008"/>
    <w:rsid w:val="00EF448A"/>
    <w:rsid w:val="00EF4899"/>
    <w:rsid w:val="00EF4955"/>
    <w:rsid w:val="00EF5064"/>
    <w:rsid w:val="00EF5191"/>
    <w:rsid w:val="00EF51A3"/>
    <w:rsid w:val="00EF53A5"/>
    <w:rsid w:val="00EF56DB"/>
    <w:rsid w:val="00EF58B0"/>
    <w:rsid w:val="00EF5B4D"/>
    <w:rsid w:val="00EF6076"/>
    <w:rsid w:val="00EF64E1"/>
    <w:rsid w:val="00EF6BF8"/>
    <w:rsid w:val="00EF7E81"/>
    <w:rsid w:val="00F00188"/>
    <w:rsid w:val="00F0037D"/>
    <w:rsid w:val="00F00B1A"/>
    <w:rsid w:val="00F01DC8"/>
    <w:rsid w:val="00F02758"/>
    <w:rsid w:val="00F02A99"/>
    <w:rsid w:val="00F02B5C"/>
    <w:rsid w:val="00F03071"/>
    <w:rsid w:val="00F038D1"/>
    <w:rsid w:val="00F0407D"/>
    <w:rsid w:val="00F04ADD"/>
    <w:rsid w:val="00F057A5"/>
    <w:rsid w:val="00F068C2"/>
    <w:rsid w:val="00F06CAA"/>
    <w:rsid w:val="00F06FD8"/>
    <w:rsid w:val="00F076FE"/>
    <w:rsid w:val="00F07D18"/>
    <w:rsid w:val="00F1077D"/>
    <w:rsid w:val="00F10872"/>
    <w:rsid w:val="00F10DBE"/>
    <w:rsid w:val="00F11585"/>
    <w:rsid w:val="00F11803"/>
    <w:rsid w:val="00F12F4B"/>
    <w:rsid w:val="00F12F51"/>
    <w:rsid w:val="00F149A3"/>
    <w:rsid w:val="00F158FF"/>
    <w:rsid w:val="00F159AB"/>
    <w:rsid w:val="00F15F2E"/>
    <w:rsid w:val="00F16B85"/>
    <w:rsid w:val="00F17954"/>
    <w:rsid w:val="00F17FBC"/>
    <w:rsid w:val="00F20E4B"/>
    <w:rsid w:val="00F20F7A"/>
    <w:rsid w:val="00F213F7"/>
    <w:rsid w:val="00F221AF"/>
    <w:rsid w:val="00F22AF2"/>
    <w:rsid w:val="00F22E41"/>
    <w:rsid w:val="00F23260"/>
    <w:rsid w:val="00F23A46"/>
    <w:rsid w:val="00F240F6"/>
    <w:rsid w:val="00F24A85"/>
    <w:rsid w:val="00F2561C"/>
    <w:rsid w:val="00F258C5"/>
    <w:rsid w:val="00F27C6A"/>
    <w:rsid w:val="00F3093D"/>
    <w:rsid w:val="00F3104B"/>
    <w:rsid w:val="00F311D0"/>
    <w:rsid w:val="00F3137A"/>
    <w:rsid w:val="00F336BF"/>
    <w:rsid w:val="00F33701"/>
    <w:rsid w:val="00F33B28"/>
    <w:rsid w:val="00F3456B"/>
    <w:rsid w:val="00F35548"/>
    <w:rsid w:val="00F35A5A"/>
    <w:rsid w:val="00F35D97"/>
    <w:rsid w:val="00F364A2"/>
    <w:rsid w:val="00F37D32"/>
    <w:rsid w:val="00F40687"/>
    <w:rsid w:val="00F423F2"/>
    <w:rsid w:val="00F434D9"/>
    <w:rsid w:val="00F443B6"/>
    <w:rsid w:val="00F4467B"/>
    <w:rsid w:val="00F44FB8"/>
    <w:rsid w:val="00F45162"/>
    <w:rsid w:val="00F46103"/>
    <w:rsid w:val="00F4624C"/>
    <w:rsid w:val="00F47847"/>
    <w:rsid w:val="00F478B1"/>
    <w:rsid w:val="00F516E5"/>
    <w:rsid w:val="00F51CC5"/>
    <w:rsid w:val="00F52CEE"/>
    <w:rsid w:val="00F53CD9"/>
    <w:rsid w:val="00F54064"/>
    <w:rsid w:val="00F556E8"/>
    <w:rsid w:val="00F55C31"/>
    <w:rsid w:val="00F55D16"/>
    <w:rsid w:val="00F55F8D"/>
    <w:rsid w:val="00F569D5"/>
    <w:rsid w:val="00F56D47"/>
    <w:rsid w:val="00F60587"/>
    <w:rsid w:val="00F6058B"/>
    <w:rsid w:val="00F61B2A"/>
    <w:rsid w:val="00F61D39"/>
    <w:rsid w:val="00F621BC"/>
    <w:rsid w:val="00F62657"/>
    <w:rsid w:val="00F62883"/>
    <w:rsid w:val="00F647A2"/>
    <w:rsid w:val="00F64A8B"/>
    <w:rsid w:val="00F64DAC"/>
    <w:rsid w:val="00F64E25"/>
    <w:rsid w:val="00F64F7B"/>
    <w:rsid w:val="00F657FF"/>
    <w:rsid w:val="00F65A80"/>
    <w:rsid w:val="00F66E17"/>
    <w:rsid w:val="00F67AD1"/>
    <w:rsid w:val="00F67E4B"/>
    <w:rsid w:val="00F70708"/>
    <w:rsid w:val="00F70E3A"/>
    <w:rsid w:val="00F70F16"/>
    <w:rsid w:val="00F71956"/>
    <w:rsid w:val="00F71CCB"/>
    <w:rsid w:val="00F72AE3"/>
    <w:rsid w:val="00F72B61"/>
    <w:rsid w:val="00F72BF4"/>
    <w:rsid w:val="00F72E14"/>
    <w:rsid w:val="00F73CD6"/>
    <w:rsid w:val="00F7416E"/>
    <w:rsid w:val="00F742C2"/>
    <w:rsid w:val="00F75300"/>
    <w:rsid w:val="00F753EA"/>
    <w:rsid w:val="00F77938"/>
    <w:rsid w:val="00F77AD2"/>
    <w:rsid w:val="00F8011B"/>
    <w:rsid w:val="00F8204E"/>
    <w:rsid w:val="00F8238D"/>
    <w:rsid w:val="00F826B0"/>
    <w:rsid w:val="00F82AFE"/>
    <w:rsid w:val="00F82D34"/>
    <w:rsid w:val="00F8471B"/>
    <w:rsid w:val="00F84C57"/>
    <w:rsid w:val="00F851B1"/>
    <w:rsid w:val="00F85487"/>
    <w:rsid w:val="00F8562C"/>
    <w:rsid w:val="00F8651A"/>
    <w:rsid w:val="00F86E7E"/>
    <w:rsid w:val="00F86ECE"/>
    <w:rsid w:val="00F870EE"/>
    <w:rsid w:val="00F871F5"/>
    <w:rsid w:val="00F87992"/>
    <w:rsid w:val="00F87F96"/>
    <w:rsid w:val="00F90A0B"/>
    <w:rsid w:val="00F92804"/>
    <w:rsid w:val="00F93216"/>
    <w:rsid w:val="00F93BAD"/>
    <w:rsid w:val="00F94354"/>
    <w:rsid w:val="00F943EE"/>
    <w:rsid w:val="00F94855"/>
    <w:rsid w:val="00F95250"/>
    <w:rsid w:val="00F95913"/>
    <w:rsid w:val="00F9617D"/>
    <w:rsid w:val="00F963F3"/>
    <w:rsid w:val="00F9693F"/>
    <w:rsid w:val="00F97381"/>
    <w:rsid w:val="00F9742B"/>
    <w:rsid w:val="00F97EBC"/>
    <w:rsid w:val="00FA0A48"/>
    <w:rsid w:val="00FA0AF1"/>
    <w:rsid w:val="00FA0C0F"/>
    <w:rsid w:val="00FA0CF3"/>
    <w:rsid w:val="00FA1938"/>
    <w:rsid w:val="00FA1CAC"/>
    <w:rsid w:val="00FA23DB"/>
    <w:rsid w:val="00FA29C5"/>
    <w:rsid w:val="00FA2C60"/>
    <w:rsid w:val="00FA2DE1"/>
    <w:rsid w:val="00FA2E32"/>
    <w:rsid w:val="00FA33B5"/>
    <w:rsid w:val="00FA3515"/>
    <w:rsid w:val="00FA35D9"/>
    <w:rsid w:val="00FA3A6E"/>
    <w:rsid w:val="00FA4ED2"/>
    <w:rsid w:val="00FA6714"/>
    <w:rsid w:val="00FB2128"/>
    <w:rsid w:val="00FB335A"/>
    <w:rsid w:val="00FB45CD"/>
    <w:rsid w:val="00FB4B07"/>
    <w:rsid w:val="00FB4D52"/>
    <w:rsid w:val="00FB4E99"/>
    <w:rsid w:val="00FB55DC"/>
    <w:rsid w:val="00FB58AA"/>
    <w:rsid w:val="00FB7150"/>
    <w:rsid w:val="00FC01B9"/>
    <w:rsid w:val="00FC14F9"/>
    <w:rsid w:val="00FC1A16"/>
    <w:rsid w:val="00FC263E"/>
    <w:rsid w:val="00FC2ECF"/>
    <w:rsid w:val="00FC3840"/>
    <w:rsid w:val="00FC3940"/>
    <w:rsid w:val="00FC4957"/>
    <w:rsid w:val="00FC5121"/>
    <w:rsid w:val="00FC551F"/>
    <w:rsid w:val="00FC5C79"/>
    <w:rsid w:val="00FC602E"/>
    <w:rsid w:val="00FC6231"/>
    <w:rsid w:val="00FC76AB"/>
    <w:rsid w:val="00FC77D7"/>
    <w:rsid w:val="00FC7CC2"/>
    <w:rsid w:val="00FC7CE4"/>
    <w:rsid w:val="00FD11C5"/>
    <w:rsid w:val="00FD166D"/>
    <w:rsid w:val="00FD35C1"/>
    <w:rsid w:val="00FD3881"/>
    <w:rsid w:val="00FD5152"/>
    <w:rsid w:val="00FD529B"/>
    <w:rsid w:val="00FD5AD0"/>
    <w:rsid w:val="00FD7434"/>
    <w:rsid w:val="00FE0936"/>
    <w:rsid w:val="00FE168F"/>
    <w:rsid w:val="00FE3E4E"/>
    <w:rsid w:val="00FE4B79"/>
    <w:rsid w:val="00FE5E31"/>
    <w:rsid w:val="00FE6A9B"/>
    <w:rsid w:val="00FF0463"/>
    <w:rsid w:val="00FF070B"/>
    <w:rsid w:val="00FF0786"/>
    <w:rsid w:val="00FF15A4"/>
    <w:rsid w:val="00FF171F"/>
    <w:rsid w:val="00FF2D9B"/>
    <w:rsid w:val="00FF3112"/>
    <w:rsid w:val="00FF5A52"/>
    <w:rsid w:val="00FF5E99"/>
    <w:rsid w:val="00FF6439"/>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73A9"/>
  <w15:chartTrackingRefBased/>
  <w15:docId w15:val="{7072A0E4-AC70-4EA0-9FB4-79AD4AA1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unhideWhenUsed="1" w:qFormat="1"/>
    <w:lsdException w:name="List Number" w:uiPriority="7" w:qFormat="1"/>
    <w:lsdException w:name="List 2" w:uiPriority="5" w:unhideWhenUsed="1" w:qFormat="1"/>
    <w:lsdException w:name="List 3" w:uiPriority="5" w:unhideWhenUsed="1"/>
    <w:lsdException w:name="List 4" w:uiPriority="5"/>
    <w:lsdException w:name="List 5" w:uiPriority="5"/>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unhideWhenUsed="1"/>
    <w:lsdException w:name="List Continue 5"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752F96"/>
    <w:rPr>
      <w:sz w:val="22"/>
    </w:rPr>
  </w:style>
  <w:style w:type="paragraph" w:styleId="Heading1">
    <w:name w:val="heading 1"/>
    <w:basedOn w:val="Normal"/>
    <w:link w:val="Heading1Char"/>
    <w:uiPriority w:val="4"/>
    <w:qFormat/>
    <w:rsid w:val="00DF1B7F"/>
    <w:pPr>
      <w:keepNext/>
      <w:numPr>
        <w:numId w:val="21"/>
      </w:numPr>
      <w:spacing w:after="240"/>
      <w:outlineLvl w:val="0"/>
    </w:pPr>
    <w:rPr>
      <w:rFonts w:asciiTheme="majorHAnsi" w:eastAsiaTheme="majorEastAsia" w:hAnsiTheme="majorHAnsi" w:cstheme="majorBidi"/>
      <w:b/>
      <w:bCs/>
      <w:szCs w:val="28"/>
      <w:u w:val="single"/>
    </w:rPr>
  </w:style>
  <w:style w:type="paragraph" w:styleId="Heading2">
    <w:name w:val="heading 2"/>
    <w:basedOn w:val="Normal"/>
    <w:link w:val="Heading2Char"/>
    <w:uiPriority w:val="4"/>
    <w:qFormat/>
    <w:rsid w:val="00D0535C"/>
    <w:pPr>
      <w:keepNext/>
      <w:numPr>
        <w:ilvl w:val="1"/>
        <w:numId w:val="21"/>
      </w:numPr>
      <w:spacing w:after="240"/>
      <w:outlineLvl w:val="1"/>
    </w:pPr>
    <w:rPr>
      <w:rFonts w:asciiTheme="majorHAnsi" w:eastAsiaTheme="majorEastAsia" w:hAnsiTheme="majorHAnsi" w:cstheme="majorBidi"/>
      <w:b/>
      <w:bCs/>
      <w:szCs w:val="26"/>
      <w:u w:val="single"/>
    </w:rPr>
  </w:style>
  <w:style w:type="paragraph" w:styleId="Heading3">
    <w:name w:val="heading 3"/>
    <w:basedOn w:val="Normal"/>
    <w:link w:val="Heading3Char"/>
    <w:uiPriority w:val="4"/>
    <w:qFormat/>
    <w:rsid w:val="00B47D8C"/>
    <w:pPr>
      <w:keepNext/>
      <w:numPr>
        <w:ilvl w:val="2"/>
        <w:numId w:val="11"/>
      </w:numPr>
      <w:spacing w:after="240"/>
      <w:outlineLvl w:val="2"/>
    </w:pPr>
    <w:rPr>
      <w:rFonts w:asciiTheme="majorHAnsi" w:eastAsiaTheme="majorEastAsia" w:hAnsiTheme="majorHAnsi" w:cstheme="majorBidi"/>
      <w:bCs/>
      <w:i/>
    </w:rPr>
  </w:style>
  <w:style w:type="paragraph" w:styleId="Heading4">
    <w:name w:val="heading 4"/>
    <w:basedOn w:val="Normal"/>
    <w:link w:val="Heading4Char"/>
    <w:uiPriority w:val="4"/>
    <w:qFormat/>
    <w:rsid w:val="00A6599C"/>
    <w:pPr>
      <w:numPr>
        <w:ilvl w:val="3"/>
        <w:numId w:val="21"/>
      </w:numPr>
      <w:spacing w:after="240"/>
      <w:outlineLvl w:val="3"/>
    </w:pPr>
    <w:rPr>
      <w:rFonts w:asciiTheme="majorHAnsi" w:eastAsiaTheme="majorEastAsia" w:hAnsiTheme="majorHAnsi" w:cstheme="majorBidi"/>
      <w:bCs/>
      <w:iCs/>
    </w:rPr>
  </w:style>
  <w:style w:type="paragraph" w:styleId="Heading5">
    <w:name w:val="heading 5"/>
    <w:basedOn w:val="Normal"/>
    <w:link w:val="Heading5Char"/>
    <w:uiPriority w:val="4"/>
    <w:qFormat/>
    <w:rsid w:val="00A6599C"/>
    <w:pPr>
      <w:numPr>
        <w:ilvl w:val="4"/>
        <w:numId w:val="21"/>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A6599C"/>
    <w:pPr>
      <w:numPr>
        <w:ilvl w:val="5"/>
        <w:numId w:val="21"/>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A6599C"/>
    <w:pPr>
      <w:numPr>
        <w:ilvl w:val="6"/>
        <w:numId w:val="21"/>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A6599C"/>
    <w:pPr>
      <w:numPr>
        <w:ilvl w:val="7"/>
        <w:numId w:val="21"/>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A6599C"/>
    <w:pPr>
      <w:numPr>
        <w:ilvl w:val="8"/>
        <w:numId w:val="21"/>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customStyle="1" w:styleId="FooterChar">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nhideWhenUsed/>
    <w:rsid w:val="00C66891"/>
    <w:pPr>
      <w:spacing w:after="120" w:line="260" w:lineRule="exact"/>
    </w:pPr>
    <w:rPr>
      <w:szCs w:val="20"/>
    </w:rPr>
  </w:style>
  <w:style w:type="character" w:customStyle="1" w:styleId="FootnoteTextChar">
    <w:name w:val="Footnote Text Char"/>
    <w:basedOn w:val="DefaultParagraphFont"/>
    <w:link w:val="FootnoteText"/>
    <w:rsid w:val="00C66891"/>
    <w:rPr>
      <w:szCs w:val="20"/>
    </w:rPr>
  </w:style>
  <w:style w:type="character" w:styleId="FootnoteReference">
    <w:name w:val="footnote reference"/>
    <w:basedOn w:val="DefaultParagraphFont"/>
    <w:semiHidden/>
    <w:unhideWhenUsed/>
    <w:rsid w:val="00C66891"/>
    <w:rPr>
      <w:vertAlign w:val="superscript"/>
    </w:rPr>
  </w:style>
  <w:style w:type="paragraph" w:styleId="BlockText">
    <w:name w:val="Block Text"/>
    <w:basedOn w:val="Normal"/>
    <w:link w:val="BlockTextChar"/>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DF1B7F"/>
    <w:rPr>
      <w:rFonts w:asciiTheme="majorHAnsi" w:eastAsiaTheme="majorEastAsia" w:hAnsiTheme="majorHAnsi" w:cstheme="majorBidi"/>
      <w:b/>
      <w:bCs/>
      <w:sz w:val="22"/>
      <w:szCs w:val="28"/>
      <w:u w:val="single"/>
    </w:rPr>
  </w:style>
  <w:style w:type="character" w:customStyle="1" w:styleId="Heading2Char">
    <w:name w:val="Heading 2 Char"/>
    <w:basedOn w:val="DefaultParagraphFont"/>
    <w:link w:val="Heading2"/>
    <w:uiPriority w:val="4"/>
    <w:rsid w:val="00D0535C"/>
    <w:rPr>
      <w:rFonts w:asciiTheme="majorHAnsi" w:eastAsiaTheme="majorEastAsia" w:hAnsiTheme="majorHAnsi" w:cstheme="majorBidi"/>
      <w:b/>
      <w:bCs/>
      <w:sz w:val="22"/>
      <w:szCs w:val="26"/>
      <w:u w:val="single"/>
    </w:rPr>
  </w:style>
  <w:style w:type="character" w:customStyle="1" w:styleId="Heading3Char">
    <w:name w:val="Heading 3 Char"/>
    <w:basedOn w:val="DefaultParagraphFont"/>
    <w:link w:val="Heading3"/>
    <w:uiPriority w:val="4"/>
    <w:rsid w:val="000A00A5"/>
    <w:rPr>
      <w:rFonts w:asciiTheme="majorHAnsi" w:eastAsiaTheme="majorEastAsia" w:hAnsiTheme="majorHAnsi" w:cstheme="majorBidi"/>
      <w:bCs/>
      <w:i/>
      <w:sz w:val="22"/>
    </w:rPr>
  </w:style>
  <w:style w:type="character" w:customStyle="1" w:styleId="Heading4Char">
    <w:name w:val="Heading 4 Char"/>
    <w:basedOn w:val="DefaultParagraphFont"/>
    <w:link w:val="Heading4"/>
    <w:uiPriority w:val="4"/>
    <w:rsid w:val="00A6599C"/>
    <w:rPr>
      <w:rFonts w:asciiTheme="majorHAnsi" w:eastAsiaTheme="majorEastAsia" w:hAnsiTheme="majorHAnsi" w:cstheme="majorBidi"/>
      <w:bCs/>
      <w:iCs/>
    </w:rPr>
  </w:style>
  <w:style w:type="character" w:customStyle="1" w:styleId="Heading5Char">
    <w:name w:val="Heading 5 Char"/>
    <w:basedOn w:val="DefaultParagraphFont"/>
    <w:link w:val="Heading5"/>
    <w:uiPriority w:val="4"/>
    <w:rsid w:val="00A6599C"/>
    <w:rPr>
      <w:rFonts w:asciiTheme="majorHAnsi" w:eastAsiaTheme="majorEastAsia" w:hAnsiTheme="majorHAnsi" w:cstheme="majorBidi"/>
    </w:rPr>
  </w:style>
  <w:style w:type="character" w:customStyle="1" w:styleId="Heading6Char">
    <w:name w:val="Heading 6 Char"/>
    <w:basedOn w:val="DefaultParagraphFont"/>
    <w:link w:val="Heading6"/>
    <w:uiPriority w:val="4"/>
    <w:rsid w:val="00A6599C"/>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A6599C"/>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A6599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A6599C"/>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6"/>
    <w:qFormat/>
    <w:rsid w:val="00477584"/>
    <w:pPr>
      <w:numPr>
        <w:numId w:val="28"/>
      </w:numPr>
      <w:spacing w:after="240"/>
    </w:pPr>
  </w:style>
  <w:style w:type="paragraph" w:styleId="ListBullet2">
    <w:name w:val="List Bullet 2"/>
    <w:basedOn w:val="Normal"/>
    <w:uiPriority w:val="6"/>
    <w:qFormat/>
    <w:rsid w:val="00477584"/>
    <w:pPr>
      <w:numPr>
        <w:ilvl w:val="1"/>
        <w:numId w:val="28"/>
      </w:numPr>
      <w:spacing w:after="240"/>
    </w:pPr>
  </w:style>
  <w:style w:type="paragraph" w:styleId="ListBullet3">
    <w:name w:val="List Bullet 3"/>
    <w:basedOn w:val="Normal"/>
    <w:uiPriority w:val="6"/>
    <w:rsid w:val="00477584"/>
    <w:pPr>
      <w:numPr>
        <w:ilvl w:val="2"/>
        <w:numId w:val="28"/>
      </w:numPr>
      <w:spacing w:after="240"/>
    </w:pPr>
  </w:style>
  <w:style w:type="paragraph" w:styleId="ListBullet4">
    <w:name w:val="List Bullet 4"/>
    <w:basedOn w:val="Normal"/>
    <w:uiPriority w:val="6"/>
    <w:rsid w:val="00477584"/>
    <w:pPr>
      <w:numPr>
        <w:ilvl w:val="3"/>
        <w:numId w:val="28"/>
      </w:numPr>
      <w:spacing w:after="240"/>
    </w:pPr>
  </w:style>
  <w:style w:type="paragraph" w:styleId="ListBullet5">
    <w:name w:val="List Bullet 5"/>
    <w:basedOn w:val="Normal"/>
    <w:uiPriority w:val="6"/>
    <w:rsid w:val="00477584"/>
    <w:pPr>
      <w:numPr>
        <w:ilvl w:val="4"/>
        <w:numId w:val="28"/>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29"/>
      </w:numPr>
      <w:spacing w:after="240"/>
    </w:pPr>
  </w:style>
  <w:style w:type="paragraph" w:styleId="ListNumber2">
    <w:name w:val="List Number 2"/>
    <w:basedOn w:val="Normal"/>
    <w:uiPriority w:val="7"/>
    <w:qFormat/>
    <w:rsid w:val="00477584"/>
    <w:pPr>
      <w:numPr>
        <w:ilvl w:val="1"/>
        <w:numId w:val="29"/>
      </w:numPr>
      <w:spacing w:after="240"/>
    </w:pPr>
  </w:style>
  <w:style w:type="paragraph" w:styleId="ListNumber3">
    <w:name w:val="List Number 3"/>
    <w:basedOn w:val="Normal"/>
    <w:uiPriority w:val="7"/>
    <w:rsid w:val="00477584"/>
    <w:pPr>
      <w:numPr>
        <w:ilvl w:val="2"/>
        <w:numId w:val="29"/>
      </w:numPr>
      <w:spacing w:after="240"/>
    </w:pPr>
  </w:style>
  <w:style w:type="paragraph" w:styleId="ListNumber4">
    <w:name w:val="List Number 4"/>
    <w:basedOn w:val="Normal"/>
    <w:uiPriority w:val="7"/>
    <w:rsid w:val="00477584"/>
    <w:pPr>
      <w:numPr>
        <w:ilvl w:val="3"/>
        <w:numId w:val="29"/>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29"/>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24"/>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25"/>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26"/>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27"/>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rsid w:val="001E0028"/>
    <w:pPr>
      <w:tabs>
        <w:tab w:val="right" w:leader="dot" w:pos="9346"/>
      </w:tabs>
      <w:spacing w:after="240"/>
      <w:ind w:left="720" w:right="720" w:hanging="720"/>
    </w:pPr>
    <w:rPr>
      <w:noProof/>
    </w:rPr>
  </w:style>
  <w:style w:type="paragraph" w:styleId="TOC2">
    <w:name w:val="toc 2"/>
    <w:basedOn w:val="Normal"/>
    <w:next w:val="Normal"/>
    <w:uiPriority w:val="39"/>
    <w:rsid w:val="001E0028"/>
    <w:pPr>
      <w:tabs>
        <w:tab w:val="right" w:leader="dot" w:pos="9346"/>
      </w:tabs>
      <w:spacing w:after="240"/>
      <w:ind w:left="1440" w:right="720" w:hanging="720"/>
    </w:pPr>
    <w:rPr>
      <w:noProof/>
    </w:rPr>
  </w:style>
  <w:style w:type="paragraph" w:styleId="TOC3">
    <w:name w:val="toc 3"/>
    <w:basedOn w:val="Normal"/>
    <w:next w:val="Normal"/>
    <w:uiPriority w:val="39"/>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character" w:styleId="CommentReference">
    <w:name w:val="annotation reference"/>
    <w:basedOn w:val="DefaultParagraphFont"/>
    <w:uiPriority w:val="99"/>
    <w:semiHidden/>
    <w:unhideWhenUsed/>
    <w:rsid w:val="0014589B"/>
    <w:rPr>
      <w:sz w:val="16"/>
      <w:szCs w:val="16"/>
    </w:rPr>
  </w:style>
  <w:style w:type="paragraph" w:styleId="CommentText">
    <w:name w:val="annotation text"/>
    <w:basedOn w:val="Normal"/>
    <w:link w:val="CommentTextChar"/>
    <w:uiPriority w:val="99"/>
    <w:unhideWhenUsed/>
    <w:rsid w:val="0014589B"/>
    <w:pPr>
      <w:suppressAutoHyphens/>
      <w:kinsoku w:val="0"/>
      <w:overflowPunct w:val="0"/>
      <w:autoSpaceDE w:val="0"/>
      <w:autoSpaceDN w:val="0"/>
      <w:adjustRightInd w:val="0"/>
      <w:snapToGrid w:val="0"/>
    </w:pPr>
    <w:rPr>
      <w:rFonts w:ascii="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14589B"/>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145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9B"/>
    <w:rPr>
      <w:rFonts w:ascii="Segoe UI" w:hAnsi="Segoe UI" w:cs="Segoe UI"/>
      <w:sz w:val="18"/>
      <w:szCs w:val="18"/>
    </w:rPr>
  </w:style>
  <w:style w:type="paragraph" w:customStyle="1" w:styleId="SingleTxtG">
    <w:name w:val="_ Single Txt_G"/>
    <w:basedOn w:val="Normal"/>
    <w:qFormat/>
    <w:rsid w:val="0014589B"/>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A7F20"/>
    <w:pPr>
      <w:suppressAutoHyphens w:val="0"/>
      <w:kinsoku/>
      <w:overflowPunct/>
      <w:autoSpaceDE/>
      <w:autoSpaceDN/>
      <w:adjustRightInd/>
      <w:snapToGrid/>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A7F20"/>
    <w:rPr>
      <w:rFonts w:ascii="Times New Roman" w:hAnsi="Times New Roman" w:cs="Times New Roman"/>
      <w:b/>
      <w:bCs/>
      <w:sz w:val="20"/>
      <w:szCs w:val="20"/>
      <w:lang w:val="en-GB"/>
    </w:rPr>
  </w:style>
  <w:style w:type="paragraph" w:styleId="ListParagraph">
    <w:name w:val="List Paragraph"/>
    <w:basedOn w:val="Normal"/>
    <w:uiPriority w:val="9"/>
    <w:rsid w:val="000A34FC"/>
    <w:pPr>
      <w:ind w:left="720"/>
      <w:contextualSpacing/>
    </w:pPr>
  </w:style>
  <w:style w:type="paragraph" w:customStyle="1" w:styleId="Original">
    <w:name w:val="Original"/>
    <w:next w:val="Normal"/>
    <w:rsid w:val="001F5C47"/>
    <w:rPr>
      <w:rFonts w:ascii="Times New Roman" w:hAnsi="Times New Roman" w:cs="Times New Roman"/>
      <w:spacing w:val="4"/>
      <w:w w:val="103"/>
      <w:kern w:val="14"/>
      <w:sz w:val="20"/>
      <w:szCs w:val="20"/>
      <w:lang w:val="en-GB"/>
    </w:rPr>
  </w:style>
  <w:style w:type="character" w:styleId="Hyperlink">
    <w:name w:val="Hyperlink"/>
    <w:basedOn w:val="DefaultParagraphFont"/>
    <w:uiPriority w:val="99"/>
    <w:unhideWhenUsed/>
    <w:rsid w:val="009128F7"/>
    <w:rPr>
      <w:color w:val="0000FF" w:themeColor="hyperlink"/>
      <w:u w:val="single"/>
    </w:rPr>
  </w:style>
  <w:style w:type="character" w:styleId="FollowedHyperlink">
    <w:name w:val="FollowedHyperlink"/>
    <w:basedOn w:val="DefaultParagraphFont"/>
    <w:uiPriority w:val="99"/>
    <w:semiHidden/>
    <w:unhideWhenUsed/>
    <w:rsid w:val="00683863"/>
    <w:rPr>
      <w:color w:val="800080" w:themeColor="followedHyperlink"/>
      <w:u w:val="single"/>
    </w:rPr>
  </w:style>
  <w:style w:type="paragraph" w:customStyle="1" w:styleId="ImanageFooter">
    <w:name w:val="Imanage Footer"/>
    <w:basedOn w:val="Normal"/>
    <w:rsid w:val="00097003"/>
    <w:rPr>
      <w:rFonts w:ascii="Times New Roman" w:eastAsia="Times New Roman" w:hAnsi="Times New Roman" w:cs="Times New Roman"/>
      <w:sz w:val="16"/>
    </w:rPr>
  </w:style>
  <w:style w:type="character" w:styleId="EndnoteReference">
    <w:name w:val="endnote reference"/>
    <w:basedOn w:val="DefaultParagraphFont"/>
    <w:uiPriority w:val="99"/>
    <w:semiHidden/>
    <w:unhideWhenUsed/>
    <w:rsid w:val="00511787"/>
    <w:rPr>
      <w:vertAlign w:val="superscript"/>
    </w:rPr>
  </w:style>
  <w:style w:type="paragraph" w:styleId="Revision">
    <w:name w:val="Revision"/>
    <w:hidden/>
    <w:uiPriority w:val="99"/>
    <w:semiHidden/>
    <w:rsid w:val="00140493"/>
    <w:rPr>
      <w:sz w:val="22"/>
    </w:rPr>
  </w:style>
  <w:style w:type="paragraph" w:customStyle="1" w:styleId="NumberedParaDouble">
    <w:name w:val="Numbered Para Double"/>
    <w:basedOn w:val="Normal"/>
    <w:rsid w:val="00A85351"/>
    <w:pPr>
      <w:tabs>
        <w:tab w:val="left" w:pos="2160"/>
      </w:tabs>
      <w:spacing w:line="480" w:lineRule="auto"/>
      <w:ind w:firstLine="1440"/>
    </w:pPr>
    <w:rPr>
      <w:rFonts w:ascii="Georgia" w:eastAsia="Arial Unicode MS" w:hAnsi="Georgia"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50">
      <w:bodyDiv w:val="1"/>
      <w:marLeft w:val="0"/>
      <w:marRight w:val="0"/>
      <w:marTop w:val="0"/>
      <w:marBottom w:val="0"/>
      <w:divBdr>
        <w:top w:val="none" w:sz="0" w:space="0" w:color="auto"/>
        <w:left w:val="none" w:sz="0" w:space="0" w:color="auto"/>
        <w:bottom w:val="none" w:sz="0" w:space="0" w:color="auto"/>
        <w:right w:val="none" w:sz="0" w:space="0" w:color="auto"/>
      </w:divBdr>
    </w:div>
    <w:div w:id="7828772">
      <w:bodyDiv w:val="1"/>
      <w:marLeft w:val="0"/>
      <w:marRight w:val="0"/>
      <w:marTop w:val="0"/>
      <w:marBottom w:val="0"/>
      <w:divBdr>
        <w:top w:val="none" w:sz="0" w:space="0" w:color="auto"/>
        <w:left w:val="none" w:sz="0" w:space="0" w:color="auto"/>
        <w:bottom w:val="none" w:sz="0" w:space="0" w:color="auto"/>
        <w:right w:val="none" w:sz="0" w:space="0" w:color="auto"/>
      </w:divBdr>
    </w:div>
    <w:div w:id="338121069">
      <w:bodyDiv w:val="1"/>
      <w:marLeft w:val="0"/>
      <w:marRight w:val="0"/>
      <w:marTop w:val="0"/>
      <w:marBottom w:val="0"/>
      <w:divBdr>
        <w:top w:val="none" w:sz="0" w:space="0" w:color="auto"/>
        <w:left w:val="none" w:sz="0" w:space="0" w:color="auto"/>
        <w:bottom w:val="none" w:sz="0" w:space="0" w:color="auto"/>
        <w:right w:val="none" w:sz="0" w:space="0" w:color="auto"/>
      </w:divBdr>
    </w:div>
    <w:div w:id="496919593">
      <w:bodyDiv w:val="1"/>
      <w:marLeft w:val="0"/>
      <w:marRight w:val="0"/>
      <w:marTop w:val="0"/>
      <w:marBottom w:val="0"/>
      <w:divBdr>
        <w:top w:val="none" w:sz="0" w:space="0" w:color="auto"/>
        <w:left w:val="none" w:sz="0" w:space="0" w:color="auto"/>
        <w:bottom w:val="none" w:sz="0" w:space="0" w:color="auto"/>
        <w:right w:val="none" w:sz="0" w:space="0" w:color="auto"/>
      </w:divBdr>
    </w:div>
    <w:div w:id="575438358">
      <w:bodyDiv w:val="1"/>
      <w:marLeft w:val="0"/>
      <w:marRight w:val="0"/>
      <w:marTop w:val="0"/>
      <w:marBottom w:val="0"/>
      <w:divBdr>
        <w:top w:val="none" w:sz="0" w:space="0" w:color="auto"/>
        <w:left w:val="none" w:sz="0" w:space="0" w:color="auto"/>
        <w:bottom w:val="none" w:sz="0" w:space="0" w:color="auto"/>
        <w:right w:val="none" w:sz="0" w:space="0" w:color="auto"/>
      </w:divBdr>
    </w:div>
    <w:div w:id="696614021">
      <w:bodyDiv w:val="1"/>
      <w:marLeft w:val="0"/>
      <w:marRight w:val="0"/>
      <w:marTop w:val="0"/>
      <w:marBottom w:val="0"/>
      <w:divBdr>
        <w:top w:val="none" w:sz="0" w:space="0" w:color="auto"/>
        <w:left w:val="none" w:sz="0" w:space="0" w:color="auto"/>
        <w:bottom w:val="none" w:sz="0" w:space="0" w:color="auto"/>
        <w:right w:val="none" w:sz="0" w:space="0" w:color="auto"/>
      </w:divBdr>
      <w:divsChild>
        <w:div w:id="30426145">
          <w:marLeft w:val="0"/>
          <w:marRight w:val="0"/>
          <w:marTop w:val="0"/>
          <w:marBottom w:val="0"/>
          <w:divBdr>
            <w:top w:val="none" w:sz="0" w:space="0" w:color="auto"/>
            <w:left w:val="none" w:sz="0" w:space="0" w:color="auto"/>
            <w:bottom w:val="none" w:sz="0" w:space="0" w:color="auto"/>
            <w:right w:val="none" w:sz="0" w:space="0" w:color="auto"/>
          </w:divBdr>
          <w:divsChild>
            <w:div w:id="273945404">
              <w:marLeft w:val="0"/>
              <w:marRight w:val="0"/>
              <w:marTop w:val="0"/>
              <w:marBottom w:val="0"/>
              <w:divBdr>
                <w:top w:val="none" w:sz="0" w:space="0" w:color="auto"/>
                <w:left w:val="none" w:sz="0" w:space="0" w:color="auto"/>
                <w:bottom w:val="none" w:sz="0" w:space="0" w:color="auto"/>
                <w:right w:val="none" w:sz="0" w:space="0" w:color="auto"/>
              </w:divBdr>
              <w:divsChild>
                <w:div w:id="1527332542">
                  <w:marLeft w:val="0"/>
                  <w:marRight w:val="0"/>
                  <w:marTop w:val="0"/>
                  <w:marBottom w:val="0"/>
                  <w:divBdr>
                    <w:top w:val="none" w:sz="0" w:space="0" w:color="auto"/>
                    <w:left w:val="none" w:sz="0" w:space="0" w:color="auto"/>
                    <w:bottom w:val="none" w:sz="0" w:space="0" w:color="auto"/>
                    <w:right w:val="none" w:sz="0" w:space="0" w:color="auto"/>
                  </w:divBdr>
                  <w:divsChild>
                    <w:div w:id="14670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583">
      <w:bodyDiv w:val="1"/>
      <w:marLeft w:val="0"/>
      <w:marRight w:val="0"/>
      <w:marTop w:val="0"/>
      <w:marBottom w:val="0"/>
      <w:divBdr>
        <w:top w:val="none" w:sz="0" w:space="0" w:color="auto"/>
        <w:left w:val="none" w:sz="0" w:space="0" w:color="auto"/>
        <w:bottom w:val="none" w:sz="0" w:space="0" w:color="auto"/>
        <w:right w:val="none" w:sz="0" w:space="0" w:color="auto"/>
      </w:divBdr>
    </w:div>
    <w:div w:id="871260335">
      <w:bodyDiv w:val="1"/>
      <w:marLeft w:val="0"/>
      <w:marRight w:val="0"/>
      <w:marTop w:val="0"/>
      <w:marBottom w:val="0"/>
      <w:divBdr>
        <w:top w:val="none" w:sz="0" w:space="0" w:color="auto"/>
        <w:left w:val="none" w:sz="0" w:space="0" w:color="auto"/>
        <w:bottom w:val="none" w:sz="0" w:space="0" w:color="auto"/>
        <w:right w:val="none" w:sz="0" w:space="0" w:color="auto"/>
      </w:divBdr>
    </w:div>
    <w:div w:id="952982116">
      <w:bodyDiv w:val="1"/>
      <w:marLeft w:val="0"/>
      <w:marRight w:val="0"/>
      <w:marTop w:val="0"/>
      <w:marBottom w:val="0"/>
      <w:divBdr>
        <w:top w:val="none" w:sz="0" w:space="0" w:color="auto"/>
        <w:left w:val="none" w:sz="0" w:space="0" w:color="auto"/>
        <w:bottom w:val="none" w:sz="0" w:space="0" w:color="auto"/>
        <w:right w:val="none" w:sz="0" w:space="0" w:color="auto"/>
      </w:divBdr>
      <w:divsChild>
        <w:div w:id="1460685350">
          <w:marLeft w:val="0"/>
          <w:marRight w:val="0"/>
          <w:marTop w:val="0"/>
          <w:marBottom w:val="0"/>
          <w:divBdr>
            <w:top w:val="none" w:sz="0" w:space="0" w:color="auto"/>
            <w:left w:val="none" w:sz="0" w:space="0" w:color="auto"/>
            <w:bottom w:val="none" w:sz="0" w:space="0" w:color="auto"/>
            <w:right w:val="none" w:sz="0" w:space="0" w:color="auto"/>
          </w:divBdr>
        </w:div>
      </w:divsChild>
    </w:div>
    <w:div w:id="959605227">
      <w:bodyDiv w:val="1"/>
      <w:marLeft w:val="0"/>
      <w:marRight w:val="0"/>
      <w:marTop w:val="0"/>
      <w:marBottom w:val="0"/>
      <w:divBdr>
        <w:top w:val="none" w:sz="0" w:space="0" w:color="auto"/>
        <w:left w:val="none" w:sz="0" w:space="0" w:color="auto"/>
        <w:bottom w:val="none" w:sz="0" w:space="0" w:color="auto"/>
        <w:right w:val="none" w:sz="0" w:space="0" w:color="auto"/>
      </w:divBdr>
      <w:divsChild>
        <w:div w:id="2029138368">
          <w:blockQuote w:val="1"/>
          <w:marLeft w:val="676"/>
          <w:marRight w:val="676"/>
          <w:marTop w:val="373"/>
          <w:marBottom w:val="373"/>
          <w:divBdr>
            <w:top w:val="none" w:sz="0" w:space="0" w:color="auto"/>
            <w:left w:val="none" w:sz="0" w:space="0" w:color="auto"/>
            <w:bottom w:val="none" w:sz="0" w:space="0" w:color="auto"/>
            <w:right w:val="none" w:sz="0" w:space="0" w:color="auto"/>
          </w:divBdr>
        </w:div>
      </w:divsChild>
    </w:div>
    <w:div w:id="963345995">
      <w:bodyDiv w:val="1"/>
      <w:marLeft w:val="0"/>
      <w:marRight w:val="0"/>
      <w:marTop w:val="0"/>
      <w:marBottom w:val="0"/>
      <w:divBdr>
        <w:top w:val="none" w:sz="0" w:space="0" w:color="auto"/>
        <w:left w:val="none" w:sz="0" w:space="0" w:color="auto"/>
        <w:bottom w:val="none" w:sz="0" w:space="0" w:color="auto"/>
        <w:right w:val="none" w:sz="0" w:space="0" w:color="auto"/>
      </w:divBdr>
    </w:div>
    <w:div w:id="998730770">
      <w:bodyDiv w:val="1"/>
      <w:marLeft w:val="0"/>
      <w:marRight w:val="0"/>
      <w:marTop w:val="0"/>
      <w:marBottom w:val="0"/>
      <w:divBdr>
        <w:top w:val="none" w:sz="0" w:space="0" w:color="auto"/>
        <w:left w:val="none" w:sz="0" w:space="0" w:color="auto"/>
        <w:bottom w:val="none" w:sz="0" w:space="0" w:color="auto"/>
        <w:right w:val="none" w:sz="0" w:space="0" w:color="auto"/>
      </w:divBdr>
    </w:div>
    <w:div w:id="998845356">
      <w:bodyDiv w:val="1"/>
      <w:marLeft w:val="0"/>
      <w:marRight w:val="0"/>
      <w:marTop w:val="0"/>
      <w:marBottom w:val="0"/>
      <w:divBdr>
        <w:top w:val="none" w:sz="0" w:space="0" w:color="auto"/>
        <w:left w:val="none" w:sz="0" w:space="0" w:color="auto"/>
        <w:bottom w:val="none" w:sz="0" w:space="0" w:color="auto"/>
        <w:right w:val="none" w:sz="0" w:space="0" w:color="auto"/>
      </w:divBdr>
    </w:div>
    <w:div w:id="1085803452">
      <w:bodyDiv w:val="1"/>
      <w:marLeft w:val="0"/>
      <w:marRight w:val="0"/>
      <w:marTop w:val="0"/>
      <w:marBottom w:val="0"/>
      <w:divBdr>
        <w:top w:val="none" w:sz="0" w:space="0" w:color="auto"/>
        <w:left w:val="none" w:sz="0" w:space="0" w:color="auto"/>
        <w:bottom w:val="none" w:sz="0" w:space="0" w:color="auto"/>
        <w:right w:val="none" w:sz="0" w:space="0" w:color="auto"/>
      </w:divBdr>
      <w:divsChild>
        <w:div w:id="1977178605">
          <w:marLeft w:val="0"/>
          <w:marRight w:val="0"/>
          <w:marTop w:val="0"/>
          <w:marBottom w:val="0"/>
          <w:divBdr>
            <w:top w:val="none" w:sz="0" w:space="0" w:color="auto"/>
            <w:left w:val="none" w:sz="0" w:space="0" w:color="auto"/>
            <w:bottom w:val="none" w:sz="0" w:space="0" w:color="auto"/>
            <w:right w:val="none" w:sz="0" w:space="0" w:color="auto"/>
          </w:divBdr>
        </w:div>
      </w:divsChild>
    </w:div>
    <w:div w:id="1237206184">
      <w:bodyDiv w:val="1"/>
      <w:marLeft w:val="0"/>
      <w:marRight w:val="0"/>
      <w:marTop w:val="0"/>
      <w:marBottom w:val="0"/>
      <w:divBdr>
        <w:top w:val="none" w:sz="0" w:space="0" w:color="auto"/>
        <w:left w:val="none" w:sz="0" w:space="0" w:color="auto"/>
        <w:bottom w:val="none" w:sz="0" w:space="0" w:color="auto"/>
        <w:right w:val="none" w:sz="0" w:space="0" w:color="auto"/>
      </w:divBdr>
    </w:div>
    <w:div w:id="1276868158">
      <w:bodyDiv w:val="1"/>
      <w:marLeft w:val="0"/>
      <w:marRight w:val="0"/>
      <w:marTop w:val="0"/>
      <w:marBottom w:val="0"/>
      <w:divBdr>
        <w:top w:val="none" w:sz="0" w:space="0" w:color="auto"/>
        <w:left w:val="none" w:sz="0" w:space="0" w:color="auto"/>
        <w:bottom w:val="none" w:sz="0" w:space="0" w:color="auto"/>
        <w:right w:val="none" w:sz="0" w:space="0" w:color="auto"/>
      </w:divBdr>
    </w:div>
    <w:div w:id="1385058468">
      <w:bodyDiv w:val="1"/>
      <w:marLeft w:val="0"/>
      <w:marRight w:val="0"/>
      <w:marTop w:val="0"/>
      <w:marBottom w:val="0"/>
      <w:divBdr>
        <w:top w:val="none" w:sz="0" w:space="0" w:color="auto"/>
        <w:left w:val="none" w:sz="0" w:space="0" w:color="auto"/>
        <w:bottom w:val="none" w:sz="0" w:space="0" w:color="auto"/>
        <w:right w:val="none" w:sz="0" w:space="0" w:color="auto"/>
      </w:divBdr>
    </w:div>
    <w:div w:id="1401323394">
      <w:bodyDiv w:val="1"/>
      <w:marLeft w:val="0"/>
      <w:marRight w:val="0"/>
      <w:marTop w:val="0"/>
      <w:marBottom w:val="0"/>
      <w:divBdr>
        <w:top w:val="none" w:sz="0" w:space="0" w:color="auto"/>
        <w:left w:val="none" w:sz="0" w:space="0" w:color="auto"/>
        <w:bottom w:val="none" w:sz="0" w:space="0" w:color="auto"/>
        <w:right w:val="none" w:sz="0" w:space="0" w:color="auto"/>
      </w:divBdr>
    </w:div>
    <w:div w:id="1436944014">
      <w:bodyDiv w:val="1"/>
      <w:marLeft w:val="0"/>
      <w:marRight w:val="0"/>
      <w:marTop w:val="0"/>
      <w:marBottom w:val="0"/>
      <w:divBdr>
        <w:top w:val="none" w:sz="0" w:space="0" w:color="auto"/>
        <w:left w:val="none" w:sz="0" w:space="0" w:color="auto"/>
        <w:bottom w:val="none" w:sz="0" w:space="0" w:color="auto"/>
        <w:right w:val="none" w:sz="0" w:space="0" w:color="auto"/>
      </w:divBdr>
    </w:div>
    <w:div w:id="1490750874">
      <w:bodyDiv w:val="1"/>
      <w:marLeft w:val="0"/>
      <w:marRight w:val="0"/>
      <w:marTop w:val="0"/>
      <w:marBottom w:val="0"/>
      <w:divBdr>
        <w:top w:val="none" w:sz="0" w:space="0" w:color="auto"/>
        <w:left w:val="none" w:sz="0" w:space="0" w:color="auto"/>
        <w:bottom w:val="none" w:sz="0" w:space="0" w:color="auto"/>
        <w:right w:val="none" w:sz="0" w:space="0" w:color="auto"/>
      </w:divBdr>
    </w:div>
    <w:div w:id="1628899822">
      <w:bodyDiv w:val="1"/>
      <w:marLeft w:val="0"/>
      <w:marRight w:val="0"/>
      <w:marTop w:val="0"/>
      <w:marBottom w:val="0"/>
      <w:divBdr>
        <w:top w:val="none" w:sz="0" w:space="0" w:color="auto"/>
        <w:left w:val="none" w:sz="0" w:space="0" w:color="auto"/>
        <w:bottom w:val="none" w:sz="0" w:space="0" w:color="auto"/>
        <w:right w:val="none" w:sz="0" w:space="0" w:color="auto"/>
      </w:divBdr>
    </w:div>
    <w:div w:id="1682077216">
      <w:bodyDiv w:val="1"/>
      <w:marLeft w:val="0"/>
      <w:marRight w:val="0"/>
      <w:marTop w:val="0"/>
      <w:marBottom w:val="0"/>
      <w:divBdr>
        <w:top w:val="none" w:sz="0" w:space="0" w:color="auto"/>
        <w:left w:val="none" w:sz="0" w:space="0" w:color="auto"/>
        <w:bottom w:val="none" w:sz="0" w:space="0" w:color="auto"/>
        <w:right w:val="none" w:sz="0" w:space="0" w:color="auto"/>
      </w:divBdr>
    </w:div>
    <w:div w:id="1740126701">
      <w:bodyDiv w:val="1"/>
      <w:marLeft w:val="0"/>
      <w:marRight w:val="0"/>
      <w:marTop w:val="0"/>
      <w:marBottom w:val="0"/>
      <w:divBdr>
        <w:top w:val="none" w:sz="0" w:space="0" w:color="auto"/>
        <w:left w:val="none" w:sz="0" w:space="0" w:color="auto"/>
        <w:bottom w:val="none" w:sz="0" w:space="0" w:color="auto"/>
        <w:right w:val="none" w:sz="0" w:space="0" w:color="auto"/>
      </w:divBdr>
    </w:div>
    <w:div w:id="2046328131">
      <w:bodyDiv w:val="1"/>
      <w:marLeft w:val="0"/>
      <w:marRight w:val="0"/>
      <w:marTop w:val="0"/>
      <w:marBottom w:val="0"/>
      <w:divBdr>
        <w:top w:val="none" w:sz="0" w:space="0" w:color="auto"/>
        <w:left w:val="none" w:sz="0" w:space="0" w:color="auto"/>
        <w:bottom w:val="none" w:sz="0" w:space="0" w:color="auto"/>
        <w:right w:val="none" w:sz="0" w:space="0" w:color="auto"/>
      </w:divBdr>
    </w:div>
    <w:div w:id="2096778008">
      <w:bodyDiv w:val="1"/>
      <w:marLeft w:val="0"/>
      <w:marRight w:val="0"/>
      <w:marTop w:val="0"/>
      <w:marBottom w:val="0"/>
      <w:divBdr>
        <w:top w:val="none" w:sz="0" w:space="0" w:color="auto"/>
        <w:left w:val="none" w:sz="0" w:space="0" w:color="auto"/>
        <w:bottom w:val="none" w:sz="0" w:space="0" w:color="auto"/>
        <w:right w:val="none" w:sz="0" w:space="0" w:color="auto"/>
      </w:divBdr>
    </w:div>
    <w:div w:id="2115440749">
      <w:bodyDiv w:val="1"/>
      <w:marLeft w:val="0"/>
      <w:marRight w:val="0"/>
      <w:marTop w:val="0"/>
      <w:marBottom w:val="0"/>
      <w:divBdr>
        <w:top w:val="none" w:sz="0" w:space="0" w:color="auto"/>
        <w:left w:val="none" w:sz="0" w:space="0" w:color="auto"/>
        <w:bottom w:val="none" w:sz="0" w:space="0" w:color="auto"/>
        <w:right w:val="none" w:sz="0" w:space="0" w:color="auto"/>
      </w:divBdr>
    </w:div>
    <w:div w:id="21217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1293&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8A173-D422-43F0-A552-6E6619F06034}">
  <ds:schemaRefs>
    <ds:schemaRef ds:uri="http://schemas.openxmlformats.org/officeDocument/2006/bibliography"/>
  </ds:schemaRefs>
</ds:datastoreItem>
</file>

<file path=customXml/itemProps2.xml><?xml version="1.0" encoding="utf-8"?>
<ds:datastoreItem xmlns:ds="http://schemas.openxmlformats.org/officeDocument/2006/customXml" ds:itemID="{F403CB66-A0CC-4D00-A069-4FB5084A5F59}"/>
</file>

<file path=customXml/itemProps3.xml><?xml version="1.0" encoding="utf-8"?>
<ds:datastoreItem xmlns:ds="http://schemas.openxmlformats.org/officeDocument/2006/customXml" ds:itemID="{DEBB1867-15C7-4A07-BC66-6C0A420438C1}"/>
</file>

<file path=customXml/itemProps4.xml><?xml version="1.0" encoding="utf-8"?>
<ds:datastoreItem xmlns:ds="http://schemas.openxmlformats.org/officeDocument/2006/customXml" ds:itemID="{F151BEE9-02AC-48D8-8594-8D95F0E243F1}"/>
</file>

<file path=docProps/app.xml><?xml version="1.0" encoding="utf-8"?>
<Properties xmlns="http://schemas.openxmlformats.org/officeDocument/2006/extended-properties" xmlns:vt="http://schemas.openxmlformats.org/officeDocument/2006/docPropsVTypes">
  <Template>Normal</Template>
  <TotalTime>222</TotalTime>
  <Pages>31</Pages>
  <Words>10255</Words>
  <Characters>58455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McKean</dc:creator>
  <cp:keywords/>
  <dc:description/>
  <cp:lastModifiedBy>David McKean</cp:lastModifiedBy>
  <cp:revision>9</cp:revision>
  <cp:lastPrinted>2019-06-24T21:18:00Z</cp:lastPrinted>
  <dcterms:created xsi:type="dcterms:W3CDTF">2019-06-20T21:47:00Z</dcterms:created>
  <dcterms:modified xsi:type="dcterms:W3CDTF">2019-06-24T21:18:00Z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