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87050"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0BFB68BC"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9D061"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3B068D">
        <w:rPr>
          <w:noProof/>
        </w:rPr>
        <w:t>India: Actors of protection</w:t>
      </w:r>
    </w:p>
    <w:p w14:paraId="0D02FF17" w14:textId="77777777" w:rsidR="00EA3BC4" w:rsidRPr="009B0C7C" w:rsidRDefault="00EA3BC4" w:rsidP="00EA3BC4"/>
    <w:p w14:paraId="4700C948" w14:textId="77777777" w:rsidR="00EA3BC4" w:rsidRDefault="00EA3BC4" w:rsidP="00EA3BC4">
      <w:r>
        <w:t xml:space="preserve">  </w:t>
      </w:r>
    </w:p>
    <w:p w14:paraId="0436A447" w14:textId="3444B363" w:rsidR="00EA3BC4" w:rsidRDefault="00EA3BC4" w:rsidP="00EA3BC4">
      <w:pPr>
        <w:pStyle w:val="subheading2"/>
      </w:pPr>
      <w:r>
        <w:t xml:space="preserve">Version </w:t>
      </w:r>
      <w:r w:rsidR="003B068D">
        <w:t>1.0</w:t>
      </w:r>
    </w:p>
    <w:p w14:paraId="3F48F875" w14:textId="0EB81E36" w:rsidR="00EA3BC4" w:rsidRPr="004F6C4A" w:rsidRDefault="004262EF" w:rsidP="00EA3BC4">
      <w:pPr>
        <w:pStyle w:val="subheading2"/>
      </w:pPr>
      <w:r>
        <w:t>January 2019</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proofErr w:type="gramStart"/>
      <w:r w:rsidRPr="00FA12B1">
        <w:t>Home</w:t>
      </w:r>
      <w:proofErr w:type="gramEnd"/>
      <w:r w:rsidRPr="00FA12B1">
        <w:t xml:space="preserv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3FE9DCF1" w:rsidR="00EA3BC4" w:rsidRDefault="00EA3BC4" w:rsidP="00EA3BC4">
      <w:pPr>
        <w:pStyle w:val="CPITPrefaceText"/>
        <w:ind w:right="95"/>
      </w:pPr>
      <w:r>
        <w:t>It is split into two main sections: (1) analysis</w:t>
      </w:r>
      <w:r w:rsidR="00647EBD">
        <w:t xml:space="preserve"> and assessment</w:t>
      </w:r>
      <w:r>
        <w:t xml:space="preserve"> of COI</w:t>
      </w:r>
      <w:r w:rsidR="00647EBD">
        <w:t xml:space="preserve"> and other evidence</w:t>
      </w:r>
      <w:r>
        <w:t xml:space="preserve">; and (2) COI. These are explained in more detail below. </w:t>
      </w:r>
    </w:p>
    <w:p w14:paraId="5C6D7EE6" w14:textId="77777777" w:rsidR="00EA3BC4" w:rsidRDefault="00EA3BC4" w:rsidP="00EA3BC4">
      <w:pPr>
        <w:pStyle w:val="subheading2"/>
        <w:rPr>
          <w:sz w:val="24"/>
          <w:szCs w:val="24"/>
        </w:rPr>
      </w:pPr>
    </w:p>
    <w:p w14:paraId="6FAA3237" w14:textId="449FF1F5" w:rsidR="00EA3BC4" w:rsidRPr="00BF31D7" w:rsidRDefault="00647EBD" w:rsidP="00EA3BC4">
      <w:pPr>
        <w:pStyle w:val="subheading2"/>
        <w:rPr>
          <w:sz w:val="24"/>
          <w:szCs w:val="24"/>
        </w:rPr>
      </w:pPr>
      <w:r>
        <w:rPr>
          <w:sz w:val="24"/>
          <w:szCs w:val="24"/>
        </w:rPr>
        <w:t>Assessment</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w:t>
      </w:r>
      <w:proofErr w:type="gramStart"/>
      <w:r w:rsidR="00EA3BC4" w:rsidRPr="00BF31D7">
        <w:t>i.e.</w:t>
      </w:r>
      <w:proofErr w:type="gramEnd"/>
      <w:r w:rsidR="00EA3BC4" w:rsidRPr="00BF31D7">
        <w:t xml:space="preserv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EA3BC4">
      <w:pPr>
        <w:numPr>
          <w:ilvl w:val="0"/>
          <w:numId w:val="9"/>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EA3BC4">
      <w:pPr>
        <w:numPr>
          <w:ilvl w:val="0"/>
          <w:numId w:val="9"/>
        </w:numPr>
      </w:pPr>
      <w:r w:rsidRPr="00BF31D7">
        <w:t>A person is able to obtain protection from th</w:t>
      </w:r>
      <w:r>
        <w:t>e state (or quasi state bodies)</w:t>
      </w:r>
    </w:p>
    <w:p w14:paraId="15AB1921" w14:textId="50153955" w:rsidR="00EA3BC4" w:rsidRDefault="00EA3BC4" w:rsidP="00EA3BC4">
      <w:pPr>
        <w:numPr>
          <w:ilvl w:val="0"/>
          <w:numId w:val="9"/>
        </w:numPr>
      </w:pPr>
      <w:r w:rsidRPr="00BF31D7">
        <w:t>A person is reasonably able to relocate within a country or territory</w:t>
      </w:r>
    </w:p>
    <w:p w14:paraId="5FEFC3E7" w14:textId="1AB059FB" w:rsidR="00EA3BC4" w:rsidRDefault="00EA3BC4" w:rsidP="00EA3BC4">
      <w:pPr>
        <w:numPr>
          <w:ilvl w:val="0"/>
          <w:numId w:val="9"/>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EA3BC4">
      <w:pPr>
        <w:numPr>
          <w:ilvl w:val="0"/>
          <w:numId w:val="9"/>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6B329D38"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1"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2" w:history="1">
        <w:r w:rsidRPr="00785A9D">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74A47D5B" w:rsidR="00EA3BC4" w:rsidRDefault="003D41D5" w:rsidP="00EA3BC4">
      <w:r w:rsidRPr="00647EBD">
        <w:t>All i</w:t>
      </w:r>
      <w:r w:rsidR="00EA3BC4" w:rsidRPr="00647EBD">
        <w:t xml:space="preserve">nformation </w:t>
      </w:r>
      <w:r w:rsidRPr="00647EBD">
        <w:t>included in the note was published or made publicly available on or before</w:t>
      </w:r>
      <w:r w:rsidR="00EA3BC4" w:rsidRPr="00647EBD">
        <w:t xml:space="preserve"> the </w:t>
      </w:r>
      <w:r w:rsidRPr="00647EBD">
        <w:t>‘</w:t>
      </w:r>
      <w:r w:rsidR="00EA3BC4" w:rsidRPr="00647EBD">
        <w:t>cut-off</w:t>
      </w:r>
      <w:r w:rsidRPr="00647EBD">
        <w:t>’</w:t>
      </w:r>
      <w:r w:rsidR="00EA3BC4" w:rsidRPr="00647EBD">
        <w:t xml:space="preserve"> date</w:t>
      </w:r>
      <w:r w:rsidR="00657C11" w:rsidRPr="00647EBD">
        <w:t>(s)</w:t>
      </w:r>
      <w:r w:rsidR="00EA3BC4" w:rsidRPr="00647EBD">
        <w:t xml:space="preserve"> in the country information section. Any event taking place or</w:t>
      </w:r>
      <w:r w:rsidRPr="00647EBD">
        <w:t xml:space="preserve"> </w:t>
      </w:r>
      <w:r w:rsidR="00EA3BC4" w:rsidRPr="00647EBD">
        <w:t xml:space="preserve">report/article published after </w:t>
      </w:r>
      <w:r w:rsidR="00647EBD">
        <w:t>these date(s)</w:t>
      </w:r>
      <w:r w:rsidR="00EA3BC4" w:rsidRPr="00647EBD">
        <w:t xml:space="preserve"> is not included.</w:t>
      </w:r>
      <w:r w:rsidR="00657C11">
        <w:t xml:space="preserve"> </w:t>
      </w:r>
    </w:p>
    <w:p w14:paraId="433B8BCA" w14:textId="222BD417" w:rsidR="00EA3BC4" w:rsidRDefault="00EA3BC4" w:rsidP="00EA3BC4">
      <w:r w:rsidRPr="00BF31D7">
        <w:t xml:space="preserve">All information is publicly accessible or can be made publicly </w:t>
      </w:r>
      <w:proofErr w:type="gramStart"/>
      <w:r w:rsidRPr="00BF31D7">
        <w:t>available</w:t>
      </w:r>
      <w:r w:rsidR="003D41D5">
        <w:t>,</w:t>
      </w:r>
      <w:r w:rsidRPr="00BF31D7">
        <w:t xml:space="preserve"> and</w:t>
      </w:r>
      <w:proofErr w:type="gramEnd"/>
      <w:r w:rsidRPr="00BF31D7">
        <w:t xml:space="preserve"> is from generally reliable sources. Sources and the information they provide are carefully considered before inclusion. </w:t>
      </w:r>
      <w:r>
        <w:br w:type="page"/>
      </w:r>
    </w:p>
    <w:p w14:paraId="5E6EACC2" w14:textId="5038F350"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EA3BC4">
      <w:pPr>
        <w:numPr>
          <w:ilvl w:val="0"/>
          <w:numId w:val="10"/>
        </w:numPr>
      </w:pPr>
      <w:r w:rsidRPr="00BF31D7">
        <w:t>the motivation, purpose, knowledge and experience of the source</w:t>
      </w:r>
    </w:p>
    <w:p w14:paraId="60621B6A" w14:textId="6CFA3FCE" w:rsidR="00EA3BC4" w:rsidRPr="00BF31D7" w:rsidRDefault="00EA3BC4" w:rsidP="00EA3BC4">
      <w:pPr>
        <w:numPr>
          <w:ilvl w:val="0"/>
          <w:numId w:val="10"/>
        </w:numPr>
      </w:pPr>
      <w:r w:rsidRPr="00BF31D7">
        <w:t>how the information was obtained, including specific methodologies used</w:t>
      </w:r>
    </w:p>
    <w:p w14:paraId="2EC2A20D" w14:textId="08292CB4" w:rsidR="00EA3BC4" w:rsidRPr="00BF31D7" w:rsidRDefault="00EA3BC4" w:rsidP="00EA3BC4">
      <w:pPr>
        <w:numPr>
          <w:ilvl w:val="0"/>
          <w:numId w:val="10"/>
        </w:numPr>
      </w:pPr>
      <w:r w:rsidRPr="00BF31D7">
        <w:t>the currency and detail of information</w:t>
      </w:r>
      <w:r w:rsidR="00EE4AC8">
        <w:t>,</w:t>
      </w:r>
      <w:r>
        <w:t xml:space="preserve"> and</w:t>
      </w:r>
    </w:p>
    <w:p w14:paraId="7BCF9FD1" w14:textId="77777777" w:rsidR="00EA3BC4" w:rsidRPr="00BF31D7" w:rsidRDefault="00EA3BC4" w:rsidP="00EA3BC4">
      <w:pPr>
        <w:numPr>
          <w:ilvl w:val="0"/>
          <w:numId w:val="10"/>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589E8B3A" w:rsidR="00EA3BC4" w:rsidRDefault="00EA3BC4" w:rsidP="00EA3BC4">
      <w:pPr>
        <w:pStyle w:val="CPITPrefaceText"/>
      </w:pPr>
      <w:r w:rsidRPr="000549F2">
        <w:t xml:space="preserve">Our goal is to continuously improve our material. Therefore, if you would like to comment on this note, please email </w:t>
      </w:r>
      <w:r w:rsidRPr="00625B43">
        <w:t xml:space="preserve">the </w:t>
      </w:r>
      <w:hyperlink r:id="rId13" w:history="1">
        <w:r w:rsidRPr="00625B43">
          <w:rPr>
            <w:rStyle w:val="Hyperlink"/>
          </w:rPr>
          <w:t>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4"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w:t>
      </w:r>
      <w:proofErr w:type="gramStart"/>
      <w:r w:rsidRPr="002E0C2A">
        <w:t>Home</w:t>
      </w:r>
      <w:proofErr w:type="gramEnd"/>
      <w:r w:rsidRPr="002E0C2A">
        <w:t xml:space="preserv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26C4FD32" w:rsidR="00EA3BC4" w:rsidRPr="002E0C2A" w:rsidRDefault="00EA3BC4" w:rsidP="00EA3BC4">
      <w:pPr>
        <w:pStyle w:val="CPITPrefaceText"/>
        <w:ind w:left="720"/>
      </w:pPr>
      <w:r w:rsidRPr="002E0C2A">
        <w:t xml:space="preserve">Email: </w:t>
      </w:r>
      <w:hyperlink r:id="rId15" w:history="1">
        <w:r w:rsidR="009D1F2B" w:rsidRPr="00871864">
          <w:rPr>
            <w:rStyle w:val="Hyperlink"/>
          </w:rPr>
          <w:t>chiefinspector@icinspector.gov.uk</w:t>
        </w:r>
      </w:hyperlink>
      <w:r w:rsidR="009D1F2B">
        <w:t xml:space="preserve"> </w:t>
      </w:r>
      <w:r w:rsidRPr="002E0C2A">
        <w:t xml:space="preserve">    </w:t>
      </w:r>
    </w:p>
    <w:p w14:paraId="78A21245" w14:textId="5B9C6974" w:rsidR="00EA3BC4" w:rsidRDefault="00EA3BC4" w:rsidP="00EA3BC4">
      <w:r w:rsidRPr="002E0C2A">
        <w:t>Information about the IAGCI’s work and a list of the documents which have been reviewed by the IAGCI can be found on the Independent Chief Inspector</w:t>
      </w:r>
      <w:r w:rsidR="00CC3310">
        <w:t>’</w:t>
      </w:r>
      <w:r w:rsidRPr="002E0C2A">
        <w:t xml:space="preserve">s pages of the </w:t>
      </w:r>
      <w:hyperlink r:id="rId16"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57512F8D" w14:textId="77777777" w:rsidR="00EB19ED" w:rsidRDefault="00EA3BC4" w:rsidP="00EA3BC4">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609A21D7" w14:textId="4A09983B" w:rsidR="00EB19ED"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6000965" w:history="1">
        <w:r w:rsidR="00EB19ED" w:rsidRPr="005804B0">
          <w:rPr>
            <w:rStyle w:val="Hyperlink"/>
            <w:noProof/>
          </w:rPr>
          <w:t>Assessment</w:t>
        </w:r>
        <w:r w:rsidR="00EB19ED">
          <w:rPr>
            <w:noProof/>
            <w:webHidden/>
          </w:rPr>
          <w:tab/>
        </w:r>
        <w:r w:rsidR="00EB19ED">
          <w:rPr>
            <w:noProof/>
            <w:webHidden/>
          </w:rPr>
          <w:fldChar w:fldCharType="begin"/>
        </w:r>
        <w:r w:rsidR="00EB19ED">
          <w:rPr>
            <w:noProof/>
            <w:webHidden/>
          </w:rPr>
          <w:instrText xml:space="preserve"> PAGEREF _Toc536000965 \h </w:instrText>
        </w:r>
        <w:r w:rsidR="00EB19ED">
          <w:rPr>
            <w:noProof/>
            <w:webHidden/>
          </w:rPr>
        </w:r>
        <w:r w:rsidR="00EB19ED">
          <w:rPr>
            <w:noProof/>
            <w:webHidden/>
          </w:rPr>
          <w:fldChar w:fldCharType="separate"/>
        </w:r>
        <w:r w:rsidR="00EB19ED">
          <w:rPr>
            <w:noProof/>
            <w:webHidden/>
          </w:rPr>
          <w:t>5</w:t>
        </w:r>
        <w:r w:rsidR="00EB19ED">
          <w:rPr>
            <w:noProof/>
            <w:webHidden/>
          </w:rPr>
          <w:fldChar w:fldCharType="end"/>
        </w:r>
      </w:hyperlink>
    </w:p>
    <w:p w14:paraId="14112B58" w14:textId="7488DB88" w:rsidR="00EB19ED" w:rsidRDefault="00000000">
      <w:pPr>
        <w:pStyle w:val="TOC2"/>
        <w:rPr>
          <w:rFonts w:asciiTheme="minorHAnsi" w:eastAsiaTheme="minorEastAsia" w:hAnsiTheme="minorHAnsi" w:cstheme="minorBidi"/>
          <w:noProof/>
          <w:color w:val="auto"/>
          <w:sz w:val="22"/>
          <w:lang w:eastAsia="en-GB"/>
        </w:rPr>
      </w:pPr>
      <w:hyperlink w:anchor="_Toc536000966" w:history="1">
        <w:r w:rsidR="00EB19ED" w:rsidRPr="005804B0">
          <w:rPr>
            <w:rStyle w:val="Hyperlink"/>
            <w:noProof/>
          </w:rPr>
          <w:t>1.</w:t>
        </w:r>
        <w:r w:rsidR="00EB19ED">
          <w:rPr>
            <w:rFonts w:asciiTheme="minorHAnsi" w:eastAsiaTheme="minorEastAsia" w:hAnsiTheme="minorHAnsi" w:cstheme="minorBidi"/>
            <w:noProof/>
            <w:color w:val="auto"/>
            <w:sz w:val="22"/>
            <w:lang w:eastAsia="en-GB"/>
          </w:rPr>
          <w:tab/>
        </w:r>
        <w:r w:rsidR="00EB19ED" w:rsidRPr="005804B0">
          <w:rPr>
            <w:rStyle w:val="Hyperlink"/>
            <w:noProof/>
          </w:rPr>
          <w:t>Introduction</w:t>
        </w:r>
        <w:r w:rsidR="00EB19ED">
          <w:rPr>
            <w:noProof/>
            <w:webHidden/>
          </w:rPr>
          <w:tab/>
        </w:r>
        <w:r w:rsidR="00EB19ED">
          <w:rPr>
            <w:noProof/>
            <w:webHidden/>
          </w:rPr>
          <w:fldChar w:fldCharType="begin"/>
        </w:r>
        <w:r w:rsidR="00EB19ED">
          <w:rPr>
            <w:noProof/>
            <w:webHidden/>
          </w:rPr>
          <w:instrText xml:space="preserve"> PAGEREF _Toc536000966 \h </w:instrText>
        </w:r>
        <w:r w:rsidR="00EB19ED">
          <w:rPr>
            <w:noProof/>
            <w:webHidden/>
          </w:rPr>
        </w:r>
        <w:r w:rsidR="00EB19ED">
          <w:rPr>
            <w:noProof/>
            <w:webHidden/>
          </w:rPr>
          <w:fldChar w:fldCharType="separate"/>
        </w:r>
        <w:r w:rsidR="00EB19ED">
          <w:rPr>
            <w:noProof/>
            <w:webHidden/>
          </w:rPr>
          <w:t>5</w:t>
        </w:r>
        <w:r w:rsidR="00EB19ED">
          <w:rPr>
            <w:noProof/>
            <w:webHidden/>
          </w:rPr>
          <w:fldChar w:fldCharType="end"/>
        </w:r>
      </w:hyperlink>
    </w:p>
    <w:p w14:paraId="71B89A92" w14:textId="0D854A1C" w:rsidR="00EB19ED" w:rsidRDefault="00000000">
      <w:pPr>
        <w:pStyle w:val="TOC3"/>
        <w:rPr>
          <w:rFonts w:asciiTheme="minorHAnsi" w:eastAsiaTheme="minorEastAsia" w:hAnsiTheme="minorHAnsi" w:cstheme="minorBidi"/>
          <w:noProof/>
          <w:color w:val="auto"/>
          <w:sz w:val="22"/>
          <w:lang w:eastAsia="en-GB"/>
        </w:rPr>
      </w:pPr>
      <w:hyperlink w:anchor="_Toc536000967" w:history="1">
        <w:r w:rsidR="00EB19ED" w:rsidRPr="005804B0">
          <w:rPr>
            <w:rStyle w:val="Hyperlink"/>
            <w:noProof/>
          </w:rPr>
          <w:t>1.1</w:t>
        </w:r>
        <w:r w:rsidR="00EB19ED">
          <w:rPr>
            <w:rFonts w:asciiTheme="minorHAnsi" w:eastAsiaTheme="minorEastAsia" w:hAnsiTheme="minorHAnsi" w:cstheme="minorBidi"/>
            <w:noProof/>
            <w:color w:val="auto"/>
            <w:sz w:val="22"/>
            <w:lang w:eastAsia="en-GB"/>
          </w:rPr>
          <w:tab/>
        </w:r>
        <w:r w:rsidR="00EB19ED" w:rsidRPr="005804B0">
          <w:rPr>
            <w:rStyle w:val="Hyperlink"/>
            <w:noProof/>
          </w:rPr>
          <w:t>Basis of claim</w:t>
        </w:r>
        <w:r w:rsidR="00EB19ED">
          <w:rPr>
            <w:noProof/>
            <w:webHidden/>
          </w:rPr>
          <w:tab/>
        </w:r>
        <w:r w:rsidR="00EB19ED">
          <w:rPr>
            <w:noProof/>
            <w:webHidden/>
          </w:rPr>
          <w:fldChar w:fldCharType="begin"/>
        </w:r>
        <w:r w:rsidR="00EB19ED">
          <w:rPr>
            <w:noProof/>
            <w:webHidden/>
          </w:rPr>
          <w:instrText xml:space="preserve"> PAGEREF _Toc536000967 \h </w:instrText>
        </w:r>
        <w:r w:rsidR="00EB19ED">
          <w:rPr>
            <w:noProof/>
            <w:webHidden/>
          </w:rPr>
        </w:r>
        <w:r w:rsidR="00EB19ED">
          <w:rPr>
            <w:noProof/>
            <w:webHidden/>
          </w:rPr>
          <w:fldChar w:fldCharType="separate"/>
        </w:r>
        <w:r w:rsidR="00EB19ED">
          <w:rPr>
            <w:noProof/>
            <w:webHidden/>
          </w:rPr>
          <w:t>5</w:t>
        </w:r>
        <w:r w:rsidR="00EB19ED">
          <w:rPr>
            <w:noProof/>
            <w:webHidden/>
          </w:rPr>
          <w:fldChar w:fldCharType="end"/>
        </w:r>
      </w:hyperlink>
    </w:p>
    <w:p w14:paraId="520EB771" w14:textId="5E97282A" w:rsidR="00EB19ED" w:rsidRDefault="00000000">
      <w:pPr>
        <w:pStyle w:val="TOC3"/>
        <w:rPr>
          <w:rFonts w:asciiTheme="minorHAnsi" w:eastAsiaTheme="minorEastAsia" w:hAnsiTheme="minorHAnsi" w:cstheme="minorBidi"/>
          <w:noProof/>
          <w:color w:val="auto"/>
          <w:sz w:val="22"/>
          <w:lang w:eastAsia="en-GB"/>
        </w:rPr>
      </w:pPr>
      <w:hyperlink w:anchor="_Toc536000968" w:history="1">
        <w:r w:rsidR="00EB19ED" w:rsidRPr="005804B0">
          <w:rPr>
            <w:rStyle w:val="Hyperlink"/>
            <w:noProof/>
          </w:rPr>
          <w:t>1.2</w:t>
        </w:r>
        <w:r w:rsidR="00EB19ED">
          <w:rPr>
            <w:rFonts w:asciiTheme="minorHAnsi" w:eastAsiaTheme="minorEastAsia" w:hAnsiTheme="minorHAnsi" w:cstheme="minorBidi"/>
            <w:noProof/>
            <w:color w:val="auto"/>
            <w:sz w:val="22"/>
            <w:lang w:eastAsia="en-GB"/>
          </w:rPr>
          <w:tab/>
        </w:r>
        <w:r w:rsidR="00EB19ED" w:rsidRPr="005804B0">
          <w:rPr>
            <w:rStyle w:val="Hyperlink"/>
            <w:noProof/>
          </w:rPr>
          <w:t>Points to note</w:t>
        </w:r>
        <w:r w:rsidR="00EB19ED">
          <w:rPr>
            <w:noProof/>
            <w:webHidden/>
          </w:rPr>
          <w:tab/>
        </w:r>
        <w:r w:rsidR="00EB19ED">
          <w:rPr>
            <w:noProof/>
            <w:webHidden/>
          </w:rPr>
          <w:fldChar w:fldCharType="begin"/>
        </w:r>
        <w:r w:rsidR="00EB19ED">
          <w:rPr>
            <w:noProof/>
            <w:webHidden/>
          </w:rPr>
          <w:instrText xml:space="preserve"> PAGEREF _Toc536000968 \h </w:instrText>
        </w:r>
        <w:r w:rsidR="00EB19ED">
          <w:rPr>
            <w:noProof/>
            <w:webHidden/>
          </w:rPr>
        </w:r>
        <w:r w:rsidR="00EB19ED">
          <w:rPr>
            <w:noProof/>
            <w:webHidden/>
          </w:rPr>
          <w:fldChar w:fldCharType="separate"/>
        </w:r>
        <w:r w:rsidR="00EB19ED">
          <w:rPr>
            <w:noProof/>
            <w:webHidden/>
          </w:rPr>
          <w:t>5</w:t>
        </w:r>
        <w:r w:rsidR="00EB19ED">
          <w:rPr>
            <w:noProof/>
            <w:webHidden/>
          </w:rPr>
          <w:fldChar w:fldCharType="end"/>
        </w:r>
      </w:hyperlink>
    </w:p>
    <w:p w14:paraId="19A0532E" w14:textId="2660F47B" w:rsidR="00EB19ED" w:rsidRDefault="00000000">
      <w:pPr>
        <w:pStyle w:val="TOC2"/>
        <w:rPr>
          <w:rFonts w:asciiTheme="minorHAnsi" w:eastAsiaTheme="minorEastAsia" w:hAnsiTheme="minorHAnsi" w:cstheme="minorBidi"/>
          <w:noProof/>
          <w:color w:val="auto"/>
          <w:sz w:val="22"/>
          <w:lang w:eastAsia="en-GB"/>
        </w:rPr>
      </w:pPr>
      <w:hyperlink w:anchor="_Toc536000969" w:history="1">
        <w:r w:rsidR="00EB19ED" w:rsidRPr="005804B0">
          <w:rPr>
            <w:rStyle w:val="Hyperlink"/>
            <w:noProof/>
          </w:rPr>
          <w:t>2.</w:t>
        </w:r>
        <w:r w:rsidR="00EB19ED">
          <w:rPr>
            <w:rFonts w:asciiTheme="minorHAnsi" w:eastAsiaTheme="minorEastAsia" w:hAnsiTheme="minorHAnsi" w:cstheme="minorBidi"/>
            <w:noProof/>
            <w:color w:val="auto"/>
            <w:sz w:val="22"/>
            <w:lang w:eastAsia="en-GB"/>
          </w:rPr>
          <w:tab/>
        </w:r>
        <w:r w:rsidR="00EB19ED" w:rsidRPr="005804B0">
          <w:rPr>
            <w:rStyle w:val="Hyperlink"/>
            <w:noProof/>
          </w:rPr>
          <w:t>Consideration of issues</w:t>
        </w:r>
        <w:r w:rsidR="00EB19ED">
          <w:rPr>
            <w:noProof/>
            <w:webHidden/>
          </w:rPr>
          <w:tab/>
        </w:r>
        <w:r w:rsidR="00EB19ED">
          <w:rPr>
            <w:noProof/>
            <w:webHidden/>
          </w:rPr>
          <w:fldChar w:fldCharType="begin"/>
        </w:r>
        <w:r w:rsidR="00EB19ED">
          <w:rPr>
            <w:noProof/>
            <w:webHidden/>
          </w:rPr>
          <w:instrText xml:space="preserve"> PAGEREF _Toc536000969 \h </w:instrText>
        </w:r>
        <w:r w:rsidR="00EB19ED">
          <w:rPr>
            <w:noProof/>
            <w:webHidden/>
          </w:rPr>
        </w:r>
        <w:r w:rsidR="00EB19ED">
          <w:rPr>
            <w:noProof/>
            <w:webHidden/>
          </w:rPr>
          <w:fldChar w:fldCharType="separate"/>
        </w:r>
        <w:r w:rsidR="00EB19ED">
          <w:rPr>
            <w:noProof/>
            <w:webHidden/>
          </w:rPr>
          <w:t>5</w:t>
        </w:r>
        <w:r w:rsidR="00EB19ED">
          <w:rPr>
            <w:noProof/>
            <w:webHidden/>
          </w:rPr>
          <w:fldChar w:fldCharType="end"/>
        </w:r>
      </w:hyperlink>
    </w:p>
    <w:p w14:paraId="36A3B91E" w14:textId="322E4CD4" w:rsidR="00EB19ED" w:rsidRDefault="00000000">
      <w:pPr>
        <w:pStyle w:val="TOC3"/>
        <w:rPr>
          <w:rFonts w:asciiTheme="minorHAnsi" w:eastAsiaTheme="minorEastAsia" w:hAnsiTheme="minorHAnsi" w:cstheme="minorBidi"/>
          <w:noProof/>
          <w:color w:val="auto"/>
          <w:sz w:val="22"/>
          <w:lang w:eastAsia="en-GB"/>
        </w:rPr>
      </w:pPr>
      <w:hyperlink w:anchor="_Toc536000970" w:history="1">
        <w:r w:rsidR="00EB19ED" w:rsidRPr="005804B0">
          <w:rPr>
            <w:rStyle w:val="Hyperlink"/>
            <w:noProof/>
          </w:rPr>
          <w:t>2.1</w:t>
        </w:r>
        <w:r w:rsidR="00EB19ED">
          <w:rPr>
            <w:rFonts w:asciiTheme="minorHAnsi" w:eastAsiaTheme="minorEastAsia" w:hAnsiTheme="minorHAnsi" w:cstheme="minorBidi"/>
            <w:noProof/>
            <w:color w:val="auto"/>
            <w:sz w:val="22"/>
            <w:lang w:eastAsia="en-GB"/>
          </w:rPr>
          <w:tab/>
        </w:r>
        <w:r w:rsidR="00EB19ED" w:rsidRPr="005804B0">
          <w:rPr>
            <w:rStyle w:val="Hyperlink"/>
            <w:noProof/>
          </w:rPr>
          <w:t>Credibility</w:t>
        </w:r>
        <w:r w:rsidR="00EB19ED">
          <w:rPr>
            <w:noProof/>
            <w:webHidden/>
          </w:rPr>
          <w:tab/>
        </w:r>
        <w:r w:rsidR="00EB19ED">
          <w:rPr>
            <w:noProof/>
            <w:webHidden/>
          </w:rPr>
          <w:fldChar w:fldCharType="begin"/>
        </w:r>
        <w:r w:rsidR="00EB19ED">
          <w:rPr>
            <w:noProof/>
            <w:webHidden/>
          </w:rPr>
          <w:instrText xml:space="preserve"> PAGEREF _Toc536000970 \h </w:instrText>
        </w:r>
        <w:r w:rsidR="00EB19ED">
          <w:rPr>
            <w:noProof/>
            <w:webHidden/>
          </w:rPr>
        </w:r>
        <w:r w:rsidR="00EB19ED">
          <w:rPr>
            <w:noProof/>
            <w:webHidden/>
          </w:rPr>
          <w:fldChar w:fldCharType="separate"/>
        </w:r>
        <w:r w:rsidR="00EB19ED">
          <w:rPr>
            <w:noProof/>
            <w:webHidden/>
          </w:rPr>
          <w:t>5</w:t>
        </w:r>
        <w:r w:rsidR="00EB19ED">
          <w:rPr>
            <w:noProof/>
            <w:webHidden/>
          </w:rPr>
          <w:fldChar w:fldCharType="end"/>
        </w:r>
      </w:hyperlink>
    </w:p>
    <w:p w14:paraId="42019096" w14:textId="1EF52AF9" w:rsidR="00EB19ED" w:rsidRDefault="00000000">
      <w:pPr>
        <w:pStyle w:val="TOC3"/>
        <w:rPr>
          <w:rFonts w:asciiTheme="minorHAnsi" w:eastAsiaTheme="minorEastAsia" w:hAnsiTheme="minorHAnsi" w:cstheme="minorBidi"/>
          <w:noProof/>
          <w:color w:val="auto"/>
          <w:sz w:val="22"/>
          <w:lang w:eastAsia="en-GB"/>
        </w:rPr>
      </w:pPr>
      <w:hyperlink w:anchor="_Toc536000971" w:history="1">
        <w:r w:rsidR="00EB19ED" w:rsidRPr="005804B0">
          <w:rPr>
            <w:rStyle w:val="Hyperlink"/>
            <w:noProof/>
          </w:rPr>
          <w:t>2.2</w:t>
        </w:r>
        <w:r w:rsidR="00EB19ED">
          <w:rPr>
            <w:rFonts w:asciiTheme="minorHAnsi" w:eastAsiaTheme="minorEastAsia" w:hAnsiTheme="minorHAnsi" w:cstheme="minorBidi"/>
            <w:noProof/>
            <w:color w:val="auto"/>
            <w:sz w:val="22"/>
            <w:lang w:eastAsia="en-GB"/>
          </w:rPr>
          <w:tab/>
        </w:r>
        <w:r w:rsidR="00EB19ED" w:rsidRPr="005804B0">
          <w:rPr>
            <w:rStyle w:val="Hyperlink"/>
            <w:noProof/>
          </w:rPr>
          <w:t>Exclusion</w:t>
        </w:r>
        <w:r w:rsidR="00EB19ED">
          <w:rPr>
            <w:noProof/>
            <w:webHidden/>
          </w:rPr>
          <w:tab/>
        </w:r>
        <w:r w:rsidR="00EB19ED">
          <w:rPr>
            <w:noProof/>
            <w:webHidden/>
          </w:rPr>
          <w:fldChar w:fldCharType="begin"/>
        </w:r>
        <w:r w:rsidR="00EB19ED">
          <w:rPr>
            <w:noProof/>
            <w:webHidden/>
          </w:rPr>
          <w:instrText xml:space="preserve"> PAGEREF _Toc536000971 \h </w:instrText>
        </w:r>
        <w:r w:rsidR="00EB19ED">
          <w:rPr>
            <w:noProof/>
            <w:webHidden/>
          </w:rPr>
        </w:r>
        <w:r w:rsidR="00EB19ED">
          <w:rPr>
            <w:noProof/>
            <w:webHidden/>
          </w:rPr>
          <w:fldChar w:fldCharType="separate"/>
        </w:r>
        <w:r w:rsidR="00EB19ED">
          <w:rPr>
            <w:noProof/>
            <w:webHidden/>
          </w:rPr>
          <w:t>5</w:t>
        </w:r>
        <w:r w:rsidR="00EB19ED">
          <w:rPr>
            <w:noProof/>
            <w:webHidden/>
          </w:rPr>
          <w:fldChar w:fldCharType="end"/>
        </w:r>
      </w:hyperlink>
    </w:p>
    <w:p w14:paraId="5114986B" w14:textId="24F50AF3" w:rsidR="00EB19ED" w:rsidRDefault="00000000">
      <w:pPr>
        <w:pStyle w:val="TOC3"/>
        <w:rPr>
          <w:rFonts w:asciiTheme="minorHAnsi" w:eastAsiaTheme="minorEastAsia" w:hAnsiTheme="minorHAnsi" w:cstheme="minorBidi"/>
          <w:noProof/>
          <w:color w:val="auto"/>
          <w:sz w:val="22"/>
          <w:lang w:eastAsia="en-GB"/>
        </w:rPr>
      </w:pPr>
      <w:hyperlink w:anchor="_Toc536000972" w:history="1">
        <w:r w:rsidR="00EB19ED" w:rsidRPr="005804B0">
          <w:rPr>
            <w:rStyle w:val="Hyperlink"/>
            <w:noProof/>
          </w:rPr>
          <w:t>2.3</w:t>
        </w:r>
        <w:r w:rsidR="00EB19ED">
          <w:rPr>
            <w:rFonts w:asciiTheme="minorHAnsi" w:eastAsiaTheme="minorEastAsia" w:hAnsiTheme="minorHAnsi" w:cstheme="minorBidi"/>
            <w:noProof/>
            <w:color w:val="auto"/>
            <w:sz w:val="22"/>
            <w:lang w:eastAsia="en-GB"/>
          </w:rPr>
          <w:tab/>
        </w:r>
        <w:r w:rsidR="00EB19ED" w:rsidRPr="005804B0">
          <w:rPr>
            <w:rStyle w:val="Hyperlink"/>
            <w:noProof/>
          </w:rPr>
          <w:t>Protection</w:t>
        </w:r>
        <w:r w:rsidR="00EB19ED">
          <w:rPr>
            <w:noProof/>
            <w:webHidden/>
          </w:rPr>
          <w:tab/>
        </w:r>
        <w:r w:rsidR="00EB19ED">
          <w:rPr>
            <w:noProof/>
            <w:webHidden/>
          </w:rPr>
          <w:fldChar w:fldCharType="begin"/>
        </w:r>
        <w:r w:rsidR="00EB19ED">
          <w:rPr>
            <w:noProof/>
            <w:webHidden/>
          </w:rPr>
          <w:instrText xml:space="preserve"> PAGEREF _Toc536000972 \h </w:instrText>
        </w:r>
        <w:r w:rsidR="00EB19ED">
          <w:rPr>
            <w:noProof/>
            <w:webHidden/>
          </w:rPr>
        </w:r>
        <w:r w:rsidR="00EB19ED">
          <w:rPr>
            <w:noProof/>
            <w:webHidden/>
          </w:rPr>
          <w:fldChar w:fldCharType="separate"/>
        </w:r>
        <w:r w:rsidR="00EB19ED">
          <w:rPr>
            <w:noProof/>
            <w:webHidden/>
          </w:rPr>
          <w:t>6</w:t>
        </w:r>
        <w:r w:rsidR="00EB19ED">
          <w:rPr>
            <w:noProof/>
            <w:webHidden/>
          </w:rPr>
          <w:fldChar w:fldCharType="end"/>
        </w:r>
      </w:hyperlink>
    </w:p>
    <w:p w14:paraId="1E28171E" w14:textId="0AB296B5" w:rsidR="00EB19ED"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6000973" w:history="1">
        <w:r w:rsidR="00EB19ED" w:rsidRPr="005804B0">
          <w:rPr>
            <w:rStyle w:val="Hyperlink"/>
            <w:noProof/>
          </w:rPr>
          <w:t>Country information</w:t>
        </w:r>
        <w:r w:rsidR="00EB19ED">
          <w:rPr>
            <w:noProof/>
            <w:webHidden/>
          </w:rPr>
          <w:tab/>
        </w:r>
        <w:r w:rsidR="00EB19ED">
          <w:rPr>
            <w:noProof/>
            <w:webHidden/>
          </w:rPr>
          <w:fldChar w:fldCharType="begin"/>
        </w:r>
        <w:r w:rsidR="00EB19ED">
          <w:rPr>
            <w:noProof/>
            <w:webHidden/>
          </w:rPr>
          <w:instrText xml:space="preserve"> PAGEREF _Toc536000973 \h </w:instrText>
        </w:r>
        <w:r w:rsidR="00EB19ED">
          <w:rPr>
            <w:noProof/>
            <w:webHidden/>
          </w:rPr>
        </w:r>
        <w:r w:rsidR="00EB19ED">
          <w:rPr>
            <w:noProof/>
            <w:webHidden/>
          </w:rPr>
          <w:fldChar w:fldCharType="separate"/>
        </w:r>
        <w:r w:rsidR="00EB19ED">
          <w:rPr>
            <w:noProof/>
            <w:webHidden/>
          </w:rPr>
          <w:t>8</w:t>
        </w:r>
        <w:r w:rsidR="00EB19ED">
          <w:rPr>
            <w:noProof/>
            <w:webHidden/>
          </w:rPr>
          <w:fldChar w:fldCharType="end"/>
        </w:r>
      </w:hyperlink>
    </w:p>
    <w:p w14:paraId="030B9000" w14:textId="3A93DBD9" w:rsidR="00EB19ED" w:rsidRDefault="00000000">
      <w:pPr>
        <w:pStyle w:val="TOC2"/>
        <w:rPr>
          <w:rFonts w:asciiTheme="minorHAnsi" w:eastAsiaTheme="minorEastAsia" w:hAnsiTheme="minorHAnsi" w:cstheme="minorBidi"/>
          <w:noProof/>
          <w:color w:val="auto"/>
          <w:sz w:val="22"/>
          <w:lang w:eastAsia="en-GB"/>
        </w:rPr>
      </w:pPr>
      <w:hyperlink w:anchor="_Toc536000974" w:history="1">
        <w:r w:rsidR="00EB19ED" w:rsidRPr="005804B0">
          <w:rPr>
            <w:rStyle w:val="Hyperlink"/>
            <w:noProof/>
          </w:rPr>
          <w:t>3.</w:t>
        </w:r>
        <w:r w:rsidR="00EB19ED">
          <w:rPr>
            <w:rFonts w:asciiTheme="minorHAnsi" w:eastAsiaTheme="minorEastAsia" w:hAnsiTheme="minorHAnsi" w:cstheme="minorBidi"/>
            <w:noProof/>
            <w:color w:val="auto"/>
            <w:sz w:val="22"/>
            <w:lang w:eastAsia="en-GB"/>
          </w:rPr>
          <w:tab/>
        </w:r>
        <w:r w:rsidR="00EB19ED" w:rsidRPr="005804B0">
          <w:rPr>
            <w:rStyle w:val="Hyperlink"/>
            <w:noProof/>
          </w:rPr>
          <w:t>Security apparatus</w:t>
        </w:r>
        <w:r w:rsidR="00EB19ED">
          <w:rPr>
            <w:noProof/>
            <w:webHidden/>
          </w:rPr>
          <w:tab/>
        </w:r>
        <w:r w:rsidR="00EB19ED">
          <w:rPr>
            <w:noProof/>
            <w:webHidden/>
          </w:rPr>
          <w:fldChar w:fldCharType="begin"/>
        </w:r>
        <w:r w:rsidR="00EB19ED">
          <w:rPr>
            <w:noProof/>
            <w:webHidden/>
          </w:rPr>
          <w:instrText xml:space="preserve"> PAGEREF _Toc536000974 \h </w:instrText>
        </w:r>
        <w:r w:rsidR="00EB19ED">
          <w:rPr>
            <w:noProof/>
            <w:webHidden/>
          </w:rPr>
        </w:r>
        <w:r w:rsidR="00EB19ED">
          <w:rPr>
            <w:noProof/>
            <w:webHidden/>
          </w:rPr>
          <w:fldChar w:fldCharType="separate"/>
        </w:r>
        <w:r w:rsidR="00EB19ED">
          <w:rPr>
            <w:noProof/>
            <w:webHidden/>
          </w:rPr>
          <w:t>8</w:t>
        </w:r>
        <w:r w:rsidR="00EB19ED">
          <w:rPr>
            <w:noProof/>
            <w:webHidden/>
          </w:rPr>
          <w:fldChar w:fldCharType="end"/>
        </w:r>
      </w:hyperlink>
    </w:p>
    <w:p w14:paraId="6DA00905" w14:textId="441FB1BC" w:rsidR="00EB19ED" w:rsidRDefault="00000000">
      <w:pPr>
        <w:pStyle w:val="TOC3"/>
        <w:rPr>
          <w:rFonts w:asciiTheme="minorHAnsi" w:eastAsiaTheme="minorEastAsia" w:hAnsiTheme="minorHAnsi" w:cstheme="minorBidi"/>
          <w:noProof/>
          <w:color w:val="auto"/>
          <w:sz w:val="22"/>
          <w:lang w:eastAsia="en-GB"/>
        </w:rPr>
      </w:pPr>
      <w:hyperlink w:anchor="_Toc536000975" w:history="1">
        <w:r w:rsidR="00EB19ED" w:rsidRPr="005804B0">
          <w:rPr>
            <w:rStyle w:val="Hyperlink"/>
            <w:noProof/>
          </w:rPr>
          <w:t>3.1</w:t>
        </w:r>
        <w:r w:rsidR="00EB19ED">
          <w:rPr>
            <w:rFonts w:asciiTheme="minorHAnsi" w:eastAsiaTheme="minorEastAsia" w:hAnsiTheme="minorHAnsi" w:cstheme="minorBidi"/>
            <w:noProof/>
            <w:color w:val="auto"/>
            <w:sz w:val="22"/>
            <w:lang w:eastAsia="en-GB"/>
          </w:rPr>
          <w:tab/>
        </w:r>
        <w:r w:rsidR="00EB19ED" w:rsidRPr="005804B0">
          <w:rPr>
            <w:rStyle w:val="Hyperlink"/>
            <w:noProof/>
          </w:rPr>
          <w:t>State police forces</w:t>
        </w:r>
        <w:r w:rsidR="00EB19ED">
          <w:rPr>
            <w:noProof/>
            <w:webHidden/>
          </w:rPr>
          <w:tab/>
        </w:r>
        <w:r w:rsidR="00EB19ED">
          <w:rPr>
            <w:noProof/>
            <w:webHidden/>
          </w:rPr>
          <w:fldChar w:fldCharType="begin"/>
        </w:r>
        <w:r w:rsidR="00EB19ED">
          <w:rPr>
            <w:noProof/>
            <w:webHidden/>
          </w:rPr>
          <w:instrText xml:space="preserve"> PAGEREF _Toc536000975 \h </w:instrText>
        </w:r>
        <w:r w:rsidR="00EB19ED">
          <w:rPr>
            <w:noProof/>
            <w:webHidden/>
          </w:rPr>
        </w:r>
        <w:r w:rsidR="00EB19ED">
          <w:rPr>
            <w:noProof/>
            <w:webHidden/>
          </w:rPr>
          <w:fldChar w:fldCharType="separate"/>
        </w:r>
        <w:r w:rsidR="00EB19ED">
          <w:rPr>
            <w:noProof/>
            <w:webHidden/>
          </w:rPr>
          <w:t>8</w:t>
        </w:r>
        <w:r w:rsidR="00EB19ED">
          <w:rPr>
            <w:noProof/>
            <w:webHidden/>
          </w:rPr>
          <w:fldChar w:fldCharType="end"/>
        </w:r>
      </w:hyperlink>
    </w:p>
    <w:p w14:paraId="2F86E76D" w14:textId="241326EB" w:rsidR="00EB19ED" w:rsidRDefault="00000000">
      <w:pPr>
        <w:pStyle w:val="TOC3"/>
        <w:rPr>
          <w:rFonts w:asciiTheme="minorHAnsi" w:eastAsiaTheme="minorEastAsia" w:hAnsiTheme="minorHAnsi" w:cstheme="minorBidi"/>
          <w:noProof/>
          <w:color w:val="auto"/>
          <w:sz w:val="22"/>
          <w:lang w:eastAsia="en-GB"/>
        </w:rPr>
      </w:pPr>
      <w:hyperlink w:anchor="_Toc536000976" w:history="1">
        <w:r w:rsidR="00EB19ED" w:rsidRPr="005804B0">
          <w:rPr>
            <w:rStyle w:val="Hyperlink"/>
            <w:noProof/>
          </w:rPr>
          <w:t>3.2</w:t>
        </w:r>
        <w:r w:rsidR="00EB19ED">
          <w:rPr>
            <w:rFonts w:asciiTheme="minorHAnsi" w:eastAsiaTheme="minorEastAsia" w:hAnsiTheme="minorHAnsi" w:cstheme="minorBidi"/>
            <w:noProof/>
            <w:color w:val="auto"/>
            <w:sz w:val="22"/>
            <w:lang w:eastAsia="en-GB"/>
          </w:rPr>
          <w:tab/>
        </w:r>
        <w:r w:rsidR="00EB19ED" w:rsidRPr="005804B0">
          <w:rPr>
            <w:rStyle w:val="Hyperlink"/>
            <w:noProof/>
          </w:rPr>
          <w:t>Central police forces</w:t>
        </w:r>
        <w:r w:rsidR="00EB19ED">
          <w:rPr>
            <w:noProof/>
            <w:webHidden/>
          </w:rPr>
          <w:tab/>
        </w:r>
        <w:r w:rsidR="00EB19ED">
          <w:rPr>
            <w:noProof/>
            <w:webHidden/>
          </w:rPr>
          <w:fldChar w:fldCharType="begin"/>
        </w:r>
        <w:r w:rsidR="00EB19ED">
          <w:rPr>
            <w:noProof/>
            <w:webHidden/>
          </w:rPr>
          <w:instrText xml:space="preserve"> PAGEREF _Toc536000976 \h </w:instrText>
        </w:r>
        <w:r w:rsidR="00EB19ED">
          <w:rPr>
            <w:noProof/>
            <w:webHidden/>
          </w:rPr>
        </w:r>
        <w:r w:rsidR="00EB19ED">
          <w:rPr>
            <w:noProof/>
            <w:webHidden/>
          </w:rPr>
          <w:fldChar w:fldCharType="separate"/>
        </w:r>
        <w:r w:rsidR="00EB19ED">
          <w:rPr>
            <w:noProof/>
            <w:webHidden/>
          </w:rPr>
          <w:t>8</w:t>
        </w:r>
        <w:r w:rsidR="00EB19ED">
          <w:rPr>
            <w:noProof/>
            <w:webHidden/>
          </w:rPr>
          <w:fldChar w:fldCharType="end"/>
        </w:r>
      </w:hyperlink>
    </w:p>
    <w:p w14:paraId="65690CA6" w14:textId="15E69FEF" w:rsidR="00EB19ED" w:rsidRDefault="00000000">
      <w:pPr>
        <w:pStyle w:val="TOC3"/>
        <w:rPr>
          <w:rFonts w:asciiTheme="minorHAnsi" w:eastAsiaTheme="minorEastAsia" w:hAnsiTheme="minorHAnsi" w:cstheme="minorBidi"/>
          <w:noProof/>
          <w:color w:val="auto"/>
          <w:sz w:val="22"/>
          <w:lang w:eastAsia="en-GB"/>
        </w:rPr>
      </w:pPr>
      <w:hyperlink w:anchor="_Toc536000977" w:history="1">
        <w:r w:rsidR="00EB19ED" w:rsidRPr="005804B0">
          <w:rPr>
            <w:rStyle w:val="Hyperlink"/>
            <w:noProof/>
          </w:rPr>
          <w:t>3.3</w:t>
        </w:r>
        <w:r w:rsidR="00EB19ED">
          <w:rPr>
            <w:rFonts w:asciiTheme="minorHAnsi" w:eastAsiaTheme="minorEastAsia" w:hAnsiTheme="minorHAnsi" w:cstheme="minorBidi"/>
            <w:noProof/>
            <w:color w:val="auto"/>
            <w:sz w:val="22"/>
            <w:lang w:eastAsia="en-GB"/>
          </w:rPr>
          <w:tab/>
        </w:r>
        <w:r w:rsidR="00EB19ED" w:rsidRPr="005804B0">
          <w:rPr>
            <w:rStyle w:val="Hyperlink"/>
            <w:noProof/>
          </w:rPr>
          <w:t>Intelligence agencies</w:t>
        </w:r>
        <w:r w:rsidR="00EB19ED">
          <w:rPr>
            <w:noProof/>
            <w:webHidden/>
          </w:rPr>
          <w:tab/>
        </w:r>
        <w:r w:rsidR="00EB19ED">
          <w:rPr>
            <w:noProof/>
            <w:webHidden/>
          </w:rPr>
          <w:fldChar w:fldCharType="begin"/>
        </w:r>
        <w:r w:rsidR="00EB19ED">
          <w:rPr>
            <w:noProof/>
            <w:webHidden/>
          </w:rPr>
          <w:instrText xml:space="preserve"> PAGEREF _Toc536000977 \h </w:instrText>
        </w:r>
        <w:r w:rsidR="00EB19ED">
          <w:rPr>
            <w:noProof/>
            <w:webHidden/>
          </w:rPr>
        </w:r>
        <w:r w:rsidR="00EB19ED">
          <w:rPr>
            <w:noProof/>
            <w:webHidden/>
          </w:rPr>
          <w:fldChar w:fldCharType="separate"/>
        </w:r>
        <w:r w:rsidR="00EB19ED">
          <w:rPr>
            <w:noProof/>
            <w:webHidden/>
          </w:rPr>
          <w:t>9</w:t>
        </w:r>
        <w:r w:rsidR="00EB19ED">
          <w:rPr>
            <w:noProof/>
            <w:webHidden/>
          </w:rPr>
          <w:fldChar w:fldCharType="end"/>
        </w:r>
      </w:hyperlink>
    </w:p>
    <w:p w14:paraId="0A172429" w14:textId="613D2E0D" w:rsidR="00EB19ED" w:rsidRDefault="00000000">
      <w:pPr>
        <w:pStyle w:val="TOC3"/>
        <w:rPr>
          <w:rFonts w:asciiTheme="minorHAnsi" w:eastAsiaTheme="minorEastAsia" w:hAnsiTheme="minorHAnsi" w:cstheme="minorBidi"/>
          <w:noProof/>
          <w:color w:val="auto"/>
          <w:sz w:val="22"/>
          <w:lang w:eastAsia="en-GB"/>
        </w:rPr>
      </w:pPr>
      <w:hyperlink w:anchor="_Toc536000978" w:history="1">
        <w:r w:rsidR="00EB19ED" w:rsidRPr="005804B0">
          <w:rPr>
            <w:rStyle w:val="Hyperlink"/>
            <w:noProof/>
          </w:rPr>
          <w:t>3.4</w:t>
        </w:r>
        <w:r w:rsidR="00EB19ED">
          <w:rPr>
            <w:rFonts w:asciiTheme="minorHAnsi" w:eastAsiaTheme="minorEastAsia" w:hAnsiTheme="minorHAnsi" w:cstheme="minorBidi"/>
            <w:noProof/>
            <w:color w:val="auto"/>
            <w:sz w:val="22"/>
            <w:lang w:eastAsia="en-GB"/>
          </w:rPr>
          <w:tab/>
        </w:r>
        <w:r w:rsidR="00EB19ED" w:rsidRPr="005804B0">
          <w:rPr>
            <w:rStyle w:val="Hyperlink"/>
            <w:noProof/>
          </w:rPr>
          <w:t>Armed forces</w:t>
        </w:r>
        <w:r w:rsidR="00EB19ED">
          <w:rPr>
            <w:noProof/>
            <w:webHidden/>
          </w:rPr>
          <w:tab/>
        </w:r>
        <w:r w:rsidR="00EB19ED">
          <w:rPr>
            <w:noProof/>
            <w:webHidden/>
          </w:rPr>
          <w:fldChar w:fldCharType="begin"/>
        </w:r>
        <w:r w:rsidR="00EB19ED">
          <w:rPr>
            <w:noProof/>
            <w:webHidden/>
          </w:rPr>
          <w:instrText xml:space="preserve"> PAGEREF _Toc536000978 \h </w:instrText>
        </w:r>
        <w:r w:rsidR="00EB19ED">
          <w:rPr>
            <w:noProof/>
            <w:webHidden/>
          </w:rPr>
        </w:r>
        <w:r w:rsidR="00EB19ED">
          <w:rPr>
            <w:noProof/>
            <w:webHidden/>
          </w:rPr>
          <w:fldChar w:fldCharType="separate"/>
        </w:r>
        <w:r w:rsidR="00EB19ED">
          <w:rPr>
            <w:noProof/>
            <w:webHidden/>
          </w:rPr>
          <w:t>9</w:t>
        </w:r>
        <w:r w:rsidR="00EB19ED">
          <w:rPr>
            <w:noProof/>
            <w:webHidden/>
          </w:rPr>
          <w:fldChar w:fldCharType="end"/>
        </w:r>
      </w:hyperlink>
    </w:p>
    <w:p w14:paraId="34D2E2EE" w14:textId="16029C93" w:rsidR="00EB19ED" w:rsidRDefault="00000000">
      <w:pPr>
        <w:pStyle w:val="TOC2"/>
        <w:rPr>
          <w:rFonts w:asciiTheme="minorHAnsi" w:eastAsiaTheme="minorEastAsia" w:hAnsiTheme="minorHAnsi" w:cstheme="minorBidi"/>
          <w:noProof/>
          <w:color w:val="auto"/>
          <w:sz w:val="22"/>
          <w:lang w:eastAsia="en-GB"/>
        </w:rPr>
      </w:pPr>
      <w:hyperlink w:anchor="_Toc536000979" w:history="1">
        <w:r w:rsidR="00EB19ED" w:rsidRPr="005804B0">
          <w:rPr>
            <w:rStyle w:val="Hyperlink"/>
            <w:noProof/>
          </w:rPr>
          <w:t>4.</w:t>
        </w:r>
        <w:r w:rsidR="00EB19ED">
          <w:rPr>
            <w:rFonts w:asciiTheme="minorHAnsi" w:eastAsiaTheme="minorEastAsia" w:hAnsiTheme="minorHAnsi" w:cstheme="minorBidi"/>
            <w:noProof/>
            <w:color w:val="auto"/>
            <w:sz w:val="22"/>
            <w:lang w:eastAsia="en-GB"/>
          </w:rPr>
          <w:tab/>
        </w:r>
        <w:r w:rsidR="00EB19ED" w:rsidRPr="005804B0">
          <w:rPr>
            <w:rStyle w:val="Hyperlink"/>
            <w:noProof/>
          </w:rPr>
          <w:t>Arrest and detention</w:t>
        </w:r>
        <w:r w:rsidR="00EB19ED">
          <w:rPr>
            <w:noProof/>
            <w:webHidden/>
          </w:rPr>
          <w:tab/>
        </w:r>
        <w:r w:rsidR="00EB19ED">
          <w:rPr>
            <w:noProof/>
            <w:webHidden/>
          </w:rPr>
          <w:fldChar w:fldCharType="begin"/>
        </w:r>
        <w:r w:rsidR="00EB19ED">
          <w:rPr>
            <w:noProof/>
            <w:webHidden/>
          </w:rPr>
          <w:instrText xml:space="preserve"> PAGEREF _Toc536000979 \h </w:instrText>
        </w:r>
        <w:r w:rsidR="00EB19ED">
          <w:rPr>
            <w:noProof/>
            <w:webHidden/>
          </w:rPr>
        </w:r>
        <w:r w:rsidR="00EB19ED">
          <w:rPr>
            <w:noProof/>
            <w:webHidden/>
          </w:rPr>
          <w:fldChar w:fldCharType="separate"/>
        </w:r>
        <w:r w:rsidR="00EB19ED">
          <w:rPr>
            <w:noProof/>
            <w:webHidden/>
          </w:rPr>
          <w:t>10</w:t>
        </w:r>
        <w:r w:rsidR="00EB19ED">
          <w:rPr>
            <w:noProof/>
            <w:webHidden/>
          </w:rPr>
          <w:fldChar w:fldCharType="end"/>
        </w:r>
      </w:hyperlink>
    </w:p>
    <w:p w14:paraId="19589A7B" w14:textId="0A0D6220" w:rsidR="00EB19ED" w:rsidRDefault="00000000">
      <w:pPr>
        <w:pStyle w:val="TOC3"/>
        <w:rPr>
          <w:rFonts w:asciiTheme="minorHAnsi" w:eastAsiaTheme="minorEastAsia" w:hAnsiTheme="minorHAnsi" w:cstheme="minorBidi"/>
          <w:noProof/>
          <w:color w:val="auto"/>
          <w:sz w:val="22"/>
          <w:lang w:eastAsia="en-GB"/>
        </w:rPr>
      </w:pPr>
      <w:hyperlink w:anchor="_Toc536000980" w:history="1">
        <w:r w:rsidR="00EB19ED" w:rsidRPr="005804B0">
          <w:rPr>
            <w:rStyle w:val="Hyperlink"/>
            <w:noProof/>
          </w:rPr>
          <w:t>4.1</w:t>
        </w:r>
        <w:r w:rsidR="00EB19ED">
          <w:rPr>
            <w:rFonts w:asciiTheme="minorHAnsi" w:eastAsiaTheme="minorEastAsia" w:hAnsiTheme="minorHAnsi" w:cstheme="minorBidi"/>
            <w:noProof/>
            <w:color w:val="auto"/>
            <w:sz w:val="22"/>
            <w:lang w:eastAsia="en-GB"/>
          </w:rPr>
          <w:tab/>
        </w:r>
        <w:r w:rsidR="00EB19ED" w:rsidRPr="005804B0">
          <w:rPr>
            <w:rStyle w:val="Hyperlink"/>
            <w:noProof/>
          </w:rPr>
          <w:t>Legal rights</w:t>
        </w:r>
        <w:r w:rsidR="00EB19ED">
          <w:rPr>
            <w:noProof/>
            <w:webHidden/>
          </w:rPr>
          <w:tab/>
        </w:r>
        <w:r w:rsidR="00EB19ED">
          <w:rPr>
            <w:noProof/>
            <w:webHidden/>
          </w:rPr>
          <w:fldChar w:fldCharType="begin"/>
        </w:r>
        <w:r w:rsidR="00EB19ED">
          <w:rPr>
            <w:noProof/>
            <w:webHidden/>
          </w:rPr>
          <w:instrText xml:space="preserve"> PAGEREF _Toc536000980 \h </w:instrText>
        </w:r>
        <w:r w:rsidR="00EB19ED">
          <w:rPr>
            <w:noProof/>
            <w:webHidden/>
          </w:rPr>
        </w:r>
        <w:r w:rsidR="00EB19ED">
          <w:rPr>
            <w:noProof/>
            <w:webHidden/>
          </w:rPr>
          <w:fldChar w:fldCharType="separate"/>
        </w:r>
        <w:r w:rsidR="00EB19ED">
          <w:rPr>
            <w:noProof/>
            <w:webHidden/>
          </w:rPr>
          <w:t>10</w:t>
        </w:r>
        <w:r w:rsidR="00EB19ED">
          <w:rPr>
            <w:noProof/>
            <w:webHidden/>
          </w:rPr>
          <w:fldChar w:fldCharType="end"/>
        </w:r>
      </w:hyperlink>
    </w:p>
    <w:p w14:paraId="772B283D" w14:textId="2C9DA602" w:rsidR="00EB19ED" w:rsidRDefault="00000000">
      <w:pPr>
        <w:pStyle w:val="TOC3"/>
        <w:rPr>
          <w:rFonts w:asciiTheme="minorHAnsi" w:eastAsiaTheme="minorEastAsia" w:hAnsiTheme="minorHAnsi" w:cstheme="minorBidi"/>
          <w:noProof/>
          <w:color w:val="auto"/>
          <w:sz w:val="22"/>
          <w:lang w:eastAsia="en-GB"/>
        </w:rPr>
      </w:pPr>
      <w:hyperlink w:anchor="_Toc536000981" w:history="1">
        <w:r w:rsidR="00EB19ED" w:rsidRPr="005804B0">
          <w:rPr>
            <w:rStyle w:val="Hyperlink"/>
            <w:noProof/>
          </w:rPr>
          <w:t>4.2</w:t>
        </w:r>
        <w:r w:rsidR="00EB19ED">
          <w:rPr>
            <w:rFonts w:asciiTheme="minorHAnsi" w:eastAsiaTheme="minorEastAsia" w:hAnsiTheme="minorHAnsi" w:cstheme="minorBidi"/>
            <w:noProof/>
            <w:color w:val="auto"/>
            <w:sz w:val="22"/>
            <w:lang w:eastAsia="en-GB"/>
          </w:rPr>
          <w:tab/>
        </w:r>
        <w:r w:rsidR="00EB19ED" w:rsidRPr="005804B0">
          <w:rPr>
            <w:rStyle w:val="Hyperlink"/>
            <w:noProof/>
          </w:rPr>
          <w:t>First Information Reports (FIRs)</w:t>
        </w:r>
        <w:r w:rsidR="00EB19ED">
          <w:rPr>
            <w:noProof/>
            <w:webHidden/>
          </w:rPr>
          <w:tab/>
        </w:r>
        <w:r w:rsidR="00EB19ED">
          <w:rPr>
            <w:noProof/>
            <w:webHidden/>
          </w:rPr>
          <w:fldChar w:fldCharType="begin"/>
        </w:r>
        <w:r w:rsidR="00EB19ED">
          <w:rPr>
            <w:noProof/>
            <w:webHidden/>
          </w:rPr>
          <w:instrText xml:space="preserve"> PAGEREF _Toc536000981 \h </w:instrText>
        </w:r>
        <w:r w:rsidR="00EB19ED">
          <w:rPr>
            <w:noProof/>
            <w:webHidden/>
          </w:rPr>
        </w:r>
        <w:r w:rsidR="00EB19ED">
          <w:rPr>
            <w:noProof/>
            <w:webHidden/>
          </w:rPr>
          <w:fldChar w:fldCharType="separate"/>
        </w:r>
        <w:r w:rsidR="00EB19ED">
          <w:rPr>
            <w:noProof/>
            <w:webHidden/>
          </w:rPr>
          <w:t>11</w:t>
        </w:r>
        <w:r w:rsidR="00EB19ED">
          <w:rPr>
            <w:noProof/>
            <w:webHidden/>
          </w:rPr>
          <w:fldChar w:fldCharType="end"/>
        </w:r>
      </w:hyperlink>
    </w:p>
    <w:p w14:paraId="4DB397E8" w14:textId="08A88D8B" w:rsidR="00EB19ED" w:rsidRDefault="00000000">
      <w:pPr>
        <w:pStyle w:val="TOC2"/>
        <w:rPr>
          <w:rFonts w:asciiTheme="minorHAnsi" w:eastAsiaTheme="minorEastAsia" w:hAnsiTheme="minorHAnsi" w:cstheme="minorBidi"/>
          <w:noProof/>
          <w:color w:val="auto"/>
          <w:sz w:val="22"/>
          <w:lang w:eastAsia="en-GB"/>
        </w:rPr>
      </w:pPr>
      <w:hyperlink w:anchor="_Toc536000982" w:history="1">
        <w:r w:rsidR="00EB19ED" w:rsidRPr="005804B0">
          <w:rPr>
            <w:rStyle w:val="Hyperlink"/>
            <w:noProof/>
          </w:rPr>
          <w:t>5.</w:t>
        </w:r>
        <w:r w:rsidR="00EB19ED">
          <w:rPr>
            <w:rFonts w:asciiTheme="minorHAnsi" w:eastAsiaTheme="minorEastAsia" w:hAnsiTheme="minorHAnsi" w:cstheme="minorBidi"/>
            <w:noProof/>
            <w:color w:val="auto"/>
            <w:sz w:val="22"/>
            <w:lang w:eastAsia="en-GB"/>
          </w:rPr>
          <w:tab/>
        </w:r>
        <w:r w:rsidR="00EB19ED" w:rsidRPr="005804B0">
          <w:rPr>
            <w:rStyle w:val="Hyperlink"/>
            <w:noProof/>
          </w:rPr>
          <w:t>Capabilities of the security forces</w:t>
        </w:r>
        <w:r w:rsidR="00EB19ED">
          <w:rPr>
            <w:noProof/>
            <w:webHidden/>
          </w:rPr>
          <w:tab/>
        </w:r>
        <w:r w:rsidR="00EB19ED">
          <w:rPr>
            <w:noProof/>
            <w:webHidden/>
          </w:rPr>
          <w:fldChar w:fldCharType="begin"/>
        </w:r>
        <w:r w:rsidR="00EB19ED">
          <w:rPr>
            <w:noProof/>
            <w:webHidden/>
          </w:rPr>
          <w:instrText xml:space="preserve"> PAGEREF _Toc536000982 \h </w:instrText>
        </w:r>
        <w:r w:rsidR="00EB19ED">
          <w:rPr>
            <w:noProof/>
            <w:webHidden/>
          </w:rPr>
        </w:r>
        <w:r w:rsidR="00EB19ED">
          <w:rPr>
            <w:noProof/>
            <w:webHidden/>
          </w:rPr>
          <w:fldChar w:fldCharType="separate"/>
        </w:r>
        <w:r w:rsidR="00EB19ED">
          <w:rPr>
            <w:noProof/>
            <w:webHidden/>
          </w:rPr>
          <w:t>11</w:t>
        </w:r>
        <w:r w:rsidR="00EB19ED">
          <w:rPr>
            <w:noProof/>
            <w:webHidden/>
          </w:rPr>
          <w:fldChar w:fldCharType="end"/>
        </w:r>
      </w:hyperlink>
    </w:p>
    <w:p w14:paraId="7DD780E9" w14:textId="14A8A28B" w:rsidR="00EB19ED" w:rsidRDefault="00000000">
      <w:pPr>
        <w:pStyle w:val="TOC3"/>
        <w:rPr>
          <w:rFonts w:asciiTheme="minorHAnsi" w:eastAsiaTheme="minorEastAsia" w:hAnsiTheme="minorHAnsi" w:cstheme="minorBidi"/>
          <w:noProof/>
          <w:color w:val="auto"/>
          <w:sz w:val="22"/>
          <w:lang w:eastAsia="en-GB"/>
        </w:rPr>
      </w:pPr>
      <w:hyperlink w:anchor="_Toc536000983" w:history="1">
        <w:r w:rsidR="00EB19ED" w:rsidRPr="005804B0">
          <w:rPr>
            <w:rStyle w:val="Hyperlink"/>
            <w:noProof/>
          </w:rPr>
          <w:t>5.1</w:t>
        </w:r>
        <w:r w:rsidR="00EB19ED">
          <w:rPr>
            <w:rFonts w:asciiTheme="minorHAnsi" w:eastAsiaTheme="minorEastAsia" w:hAnsiTheme="minorHAnsi" w:cstheme="minorBidi"/>
            <w:noProof/>
            <w:color w:val="auto"/>
            <w:sz w:val="22"/>
            <w:lang w:eastAsia="en-GB"/>
          </w:rPr>
          <w:tab/>
        </w:r>
        <w:r w:rsidR="00EB19ED" w:rsidRPr="005804B0">
          <w:rPr>
            <w:rStyle w:val="Hyperlink"/>
            <w:noProof/>
          </w:rPr>
          <w:t>Surveillance and tracking systems</w:t>
        </w:r>
        <w:r w:rsidR="00EB19ED">
          <w:rPr>
            <w:noProof/>
            <w:webHidden/>
          </w:rPr>
          <w:tab/>
        </w:r>
        <w:r w:rsidR="00EB19ED">
          <w:rPr>
            <w:noProof/>
            <w:webHidden/>
          </w:rPr>
          <w:fldChar w:fldCharType="begin"/>
        </w:r>
        <w:r w:rsidR="00EB19ED">
          <w:rPr>
            <w:noProof/>
            <w:webHidden/>
          </w:rPr>
          <w:instrText xml:space="preserve"> PAGEREF _Toc536000983 \h </w:instrText>
        </w:r>
        <w:r w:rsidR="00EB19ED">
          <w:rPr>
            <w:noProof/>
            <w:webHidden/>
          </w:rPr>
        </w:r>
        <w:r w:rsidR="00EB19ED">
          <w:rPr>
            <w:noProof/>
            <w:webHidden/>
          </w:rPr>
          <w:fldChar w:fldCharType="separate"/>
        </w:r>
        <w:r w:rsidR="00EB19ED">
          <w:rPr>
            <w:noProof/>
            <w:webHidden/>
          </w:rPr>
          <w:t>11</w:t>
        </w:r>
        <w:r w:rsidR="00EB19ED">
          <w:rPr>
            <w:noProof/>
            <w:webHidden/>
          </w:rPr>
          <w:fldChar w:fldCharType="end"/>
        </w:r>
      </w:hyperlink>
    </w:p>
    <w:p w14:paraId="4F795E7C" w14:textId="0DBB5DBF" w:rsidR="00EB19ED" w:rsidRDefault="00000000">
      <w:pPr>
        <w:pStyle w:val="TOC3"/>
        <w:rPr>
          <w:rFonts w:asciiTheme="minorHAnsi" w:eastAsiaTheme="minorEastAsia" w:hAnsiTheme="minorHAnsi" w:cstheme="minorBidi"/>
          <w:noProof/>
          <w:color w:val="auto"/>
          <w:sz w:val="22"/>
          <w:lang w:eastAsia="en-GB"/>
        </w:rPr>
      </w:pPr>
      <w:hyperlink w:anchor="_Toc536000984" w:history="1">
        <w:r w:rsidR="00EB19ED" w:rsidRPr="005804B0">
          <w:rPr>
            <w:rStyle w:val="Hyperlink"/>
            <w:noProof/>
          </w:rPr>
          <w:t>5.2</w:t>
        </w:r>
        <w:r w:rsidR="00EB19ED">
          <w:rPr>
            <w:rFonts w:asciiTheme="minorHAnsi" w:eastAsiaTheme="minorEastAsia" w:hAnsiTheme="minorHAnsi" w:cstheme="minorBidi"/>
            <w:noProof/>
            <w:color w:val="auto"/>
            <w:sz w:val="22"/>
            <w:lang w:eastAsia="en-GB"/>
          </w:rPr>
          <w:tab/>
        </w:r>
        <w:r w:rsidR="00EB19ED" w:rsidRPr="005804B0">
          <w:rPr>
            <w:rStyle w:val="Hyperlink"/>
            <w:noProof/>
          </w:rPr>
          <w:t>Effectiveness</w:t>
        </w:r>
        <w:r w:rsidR="00EB19ED">
          <w:rPr>
            <w:noProof/>
            <w:webHidden/>
          </w:rPr>
          <w:tab/>
        </w:r>
        <w:r w:rsidR="00EB19ED">
          <w:rPr>
            <w:noProof/>
            <w:webHidden/>
          </w:rPr>
          <w:fldChar w:fldCharType="begin"/>
        </w:r>
        <w:r w:rsidR="00EB19ED">
          <w:rPr>
            <w:noProof/>
            <w:webHidden/>
          </w:rPr>
          <w:instrText xml:space="preserve"> PAGEREF _Toc536000984 \h </w:instrText>
        </w:r>
        <w:r w:rsidR="00EB19ED">
          <w:rPr>
            <w:noProof/>
            <w:webHidden/>
          </w:rPr>
        </w:r>
        <w:r w:rsidR="00EB19ED">
          <w:rPr>
            <w:noProof/>
            <w:webHidden/>
          </w:rPr>
          <w:fldChar w:fldCharType="separate"/>
        </w:r>
        <w:r w:rsidR="00EB19ED">
          <w:rPr>
            <w:noProof/>
            <w:webHidden/>
          </w:rPr>
          <w:t>11</w:t>
        </w:r>
        <w:r w:rsidR="00EB19ED">
          <w:rPr>
            <w:noProof/>
            <w:webHidden/>
          </w:rPr>
          <w:fldChar w:fldCharType="end"/>
        </w:r>
      </w:hyperlink>
    </w:p>
    <w:p w14:paraId="7E2A8DFD" w14:textId="786E859B" w:rsidR="00EB19ED" w:rsidRDefault="00000000">
      <w:pPr>
        <w:pStyle w:val="TOC3"/>
        <w:rPr>
          <w:rFonts w:asciiTheme="minorHAnsi" w:eastAsiaTheme="minorEastAsia" w:hAnsiTheme="minorHAnsi" w:cstheme="minorBidi"/>
          <w:noProof/>
          <w:color w:val="auto"/>
          <w:sz w:val="22"/>
          <w:lang w:eastAsia="en-GB"/>
        </w:rPr>
      </w:pPr>
      <w:hyperlink w:anchor="_Toc536000985" w:history="1">
        <w:r w:rsidR="00EB19ED" w:rsidRPr="005804B0">
          <w:rPr>
            <w:rStyle w:val="Hyperlink"/>
            <w:noProof/>
          </w:rPr>
          <w:t>5.3</w:t>
        </w:r>
        <w:r w:rsidR="00EB19ED">
          <w:rPr>
            <w:rFonts w:asciiTheme="minorHAnsi" w:eastAsiaTheme="minorEastAsia" w:hAnsiTheme="minorHAnsi" w:cstheme="minorBidi"/>
            <w:noProof/>
            <w:color w:val="auto"/>
            <w:sz w:val="22"/>
            <w:lang w:eastAsia="en-GB"/>
          </w:rPr>
          <w:tab/>
        </w:r>
        <w:r w:rsidR="00EB19ED" w:rsidRPr="005804B0">
          <w:rPr>
            <w:rStyle w:val="Hyperlink"/>
            <w:noProof/>
          </w:rPr>
          <w:t>Human rights abuses</w:t>
        </w:r>
        <w:r w:rsidR="00EB19ED">
          <w:rPr>
            <w:noProof/>
            <w:webHidden/>
          </w:rPr>
          <w:tab/>
        </w:r>
        <w:r w:rsidR="00EB19ED">
          <w:rPr>
            <w:noProof/>
            <w:webHidden/>
          </w:rPr>
          <w:fldChar w:fldCharType="begin"/>
        </w:r>
        <w:r w:rsidR="00EB19ED">
          <w:rPr>
            <w:noProof/>
            <w:webHidden/>
          </w:rPr>
          <w:instrText xml:space="preserve"> PAGEREF _Toc536000985 \h </w:instrText>
        </w:r>
        <w:r w:rsidR="00EB19ED">
          <w:rPr>
            <w:noProof/>
            <w:webHidden/>
          </w:rPr>
        </w:r>
        <w:r w:rsidR="00EB19ED">
          <w:rPr>
            <w:noProof/>
            <w:webHidden/>
          </w:rPr>
          <w:fldChar w:fldCharType="separate"/>
        </w:r>
        <w:r w:rsidR="00EB19ED">
          <w:rPr>
            <w:noProof/>
            <w:webHidden/>
          </w:rPr>
          <w:t>14</w:t>
        </w:r>
        <w:r w:rsidR="00EB19ED">
          <w:rPr>
            <w:noProof/>
            <w:webHidden/>
          </w:rPr>
          <w:fldChar w:fldCharType="end"/>
        </w:r>
      </w:hyperlink>
    </w:p>
    <w:p w14:paraId="41962609" w14:textId="3CB7657C" w:rsidR="00EB19ED" w:rsidRDefault="00000000">
      <w:pPr>
        <w:pStyle w:val="TOC3"/>
        <w:rPr>
          <w:rFonts w:asciiTheme="minorHAnsi" w:eastAsiaTheme="minorEastAsia" w:hAnsiTheme="minorHAnsi" w:cstheme="minorBidi"/>
          <w:noProof/>
          <w:color w:val="auto"/>
          <w:sz w:val="22"/>
          <w:lang w:eastAsia="en-GB"/>
        </w:rPr>
      </w:pPr>
      <w:hyperlink w:anchor="_Toc536000986" w:history="1">
        <w:r w:rsidR="00EB19ED" w:rsidRPr="005804B0">
          <w:rPr>
            <w:rStyle w:val="Hyperlink"/>
            <w:noProof/>
          </w:rPr>
          <w:t>5.4</w:t>
        </w:r>
        <w:r w:rsidR="00EB19ED">
          <w:rPr>
            <w:rFonts w:asciiTheme="minorHAnsi" w:eastAsiaTheme="minorEastAsia" w:hAnsiTheme="minorHAnsi" w:cstheme="minorBidi"/>
            <w:noProof/>
            <w:color w:val="auto"/>
            <w:sz w:val="22"/>
            <w:lang w:eastAsia="en-GB"/>
          </w:rPr>
          <w:tab/>
        </w:r>
        <w:r w:rsidR="00EB19ED" w:rsidRPr="005804B0">
          <w:rPr>
            <w:rStyle w:val="Hyperlink"/>
            <w:noProof/>
          </w:rPr>
          <w:t>Avenues of redress</w:t>
        </w:r>
        <w:r w:rsidR="00EB19ED">
          <w:rPr>
            <w:noProof/>
            <w:webHidden/>
          </w:rPr>
          <w:tab/>
        </w:r>
        <w:r w:rsidR="00EB19ED">
          <w:rPr>
            <w:noProof/>
            <w:webHidden/>
          </w:rPr>
          <w:fldChar w:fldCharType="begin"/>
        </w:r>
        <w:r w:rsidR="00EB19ED">
          <w:rPr>
            <w:noProof/>
            <w:webHidden/>
          </w:rPr>
          <w:instrText xml:space="preserve"> PAGEREF _Toc536000986 \h </w:instrText>
        </w:r>
        <w:r w:rsidR="00EB19ED">
          <w:rPr>
            <w:noProof/>
            <w:webHidden/>
          </w:rPr>
        </w:r>
        <w:r w:rsidR="00EB19ED">
          <w:rPr>
            <w:noProof/>
            <w:webHidden/>
          </w:rPr>
          <w:fldChar w:fldCharType="separate"/>
        </w:r>
        <w:r w:rsidR="00EB19ED">
          <w:rPr>
            <w:noProof/>
            <w:webHidden/>
          </w:rPr>
          <w:t>16</w:t>
        </w:r>
        <w:r w:rsidR="00EB19ED">
          <w:rPr>
            <w:noProof/>
            <w:webHidden/>
          </w:rPr>
          <w:fldChar w:fldCharType="end"/>
        </w:r>
      </w:hyperlink>
    </w:p>
    <w:p w14:paraId="383DFC50" w14:textId="46D4E020" w:rsidR="00EB19ED" w:rsidRDefault="00000000">
      <w:pPr>
        <w:pStyle w:val="TOC2"/>
        <w:rPr>
          <w:rFonts w:asciiTheme="minorHAnsi" w:eastAsiaTheme="minorEastAsia" w:hAnsiTheme="minorHAnsi" w:cstheme="minorBidi"/>
          <w:noProof/>
          <w:color w:val="auto"/>
          <w:sz w:val="22"/>
          <w:lang w:eastAsia="en-GB"/>
        </w:rPr>
      </w:pPr>
      <w:hyperlink w:anchor="_Toc536000987" w:history="1">
        <w:r w:rsidR="00EB19ED" w:rsidRPr="005804B0">
          <w:rPr>
            <w:rStyle w:val="Hyperlink"/>
            <w:noProof/>
          </w:rPr>
          <w:t>6.</w:t>
        </w:r>
        <w:r w:rsidR="00EB19ED">
          <w:rPr>
            <w:rFonts w:asciiTheme="minorHAnsi" w:eastAsiaTheme="minorEastAsia" w:hAnsiTheme="minorHAnsi" w:cstheme="minorBidi"/>
            <w:noProof/>
            <w:color w:val="auto"/>
            <w:sz w:val="22"/>
            <w:lang w:eastAsia="en-GB"/>
          </w:rPr>
          <w:tab/>
        </w:r>
        <w:r w:rsidR="00EB19ED" w:rsidRPr="005804B0">
          <w:rPr>
            <w:rStyle w:val="Hyperlink"/>
            <w:noProof/>
          </w:rPr>
          <w:t>Rule of law and the judiciary</w:t>
        </w:r>
        <w:r w:rsidR="00EB19ED">
          <w:rPr>
            <w:noProof/>
            <w:webHidden/>
          </w:rPr>
          <w:tab/>
        </w:r>
        <w:r w:rsidR="00EB19ED">
          <w:rPr>
            <w:noProof/>
            <w:webHidden/>
          </w:rPr>
          <w:fldChar w:fldCharType="begin"/>
        </w:r>
        <w:r w:rsidR="00EB19ED">
          <w:rPr>
            <w:noProof/>
            <w:webHidden/>
          </w:rPr>
          <w:instrText xml:space="preserve"> PAGEREF _Toc536000987 \h </w:instrText>
        </w:r>
        <w:r w:rsidR="00EB19ED">
          <w:rPr>
            <w:noProof/>
            <w:webHidden/>
          </w:rPr>
        </w:r>
        <w:r w:rsidR="00EB19ED">
          <w:rPr>
            <w:noProof/>
            <w:webHidden/>
          </w:rPr>
          <w:fldChar w:fldCharType="separate"/>
        </w:r>
        <w:r w:rsidR="00EB19ED">
          <w:rPr>
            <w:noProof/>
            <w:webHidden/>
          </w:rPr>
          <w:t>18</w:t>
        </w:r>
        <w:r w:rsidR="00EB19ED">
          <w:rPr>
            <w:noProof/>
            <w:webHidden/>
          </w:rPr>
          <w:fldChar w:fldCharType="end"/>
        </w:r>
      </w:hyperlink>
    </w:p>
    <w:p w14:paraId="3D05691F" w14:textId="2BB500CE" w:rsidR="00EB19ED" w:rsidRDefault="00000000">
      <w:pPr>
        <w:pStyle w:val="TOC3"/>
        <w:rPr>
          <w:rFonts w:asciiTheme="minorHAnsi" w:eastAsiaTheme="minorEastAsia" w:hAnsiTheme="minorHAnsi" w:cstheme="minorBidi"/>
          <w:noProof/>
          <w:color w:val="auto"/>
          <w:sz w:val="22"/>
          <w:lang w:eastAsia="en-GB"/>
        </w:rPr>
      </w:pPr>
      <w:hyperlink w:anchor="_Toc536000988" w:history="1">
        <w:r w:rsidR="00EB19ED" w:rsidRPr="005804B0">
          <w:rPr>
            <w:rStyle w:val="Hyperlink"/>
            <w:noProof/>
          </w:rPr>
          <w:t>6.1</w:t>
        </w:r>
        <w:r w:rsidR="00EB19ED">
          <w:rPr>
            <w:rFonts w:asciiTheme="minorHAnsi" w:eastAsiaTheme="minorEastAsia" w:hAnsiTheme="minorHAnsi" w:cstheme="minorBidi"/>
            <w:noProof/>
            <w:color w:val="auto"/>
            <w:sz w:val="22"/>
            <w:lang w:eastAsia="en-GB"/>
          </w:rPr>
          <w:tab/>
        </w:r>
        <w:r w:rsidR="00EB19ED" w:rsidRPr="005804B0">
          <w:rPr>
            <w:rStyle w:val="Hyperlink"/>
            <w:noProof/>
          </w:rPr>
          <w:t>Organisation</w:t>
        </w:r>
        <w:r w:rsidR="00EB19ED">
          <w:rPr>
            <w:noProof/>
            <w:webHidden/>
          </w:rPr>
          <w:tab/>
        </w:r>
        <w:r w:rsidR="00EB19ED">
          <w:rPr>
            <w:noProof/>
            <w:webHidden/>
          </w:rPr>
          <w:fldChar w:fldCharType="begin"/>
        </w:r>
        <w:r w:rsidR="00EB19ED">
          <w:rPr>
            <w:noProof/>
            <w:webHidden/>
          </w:rPr>
          <w:instrText xml:space="preserve"> PAGEREF _Toc536000988 \h </w:instrText>
        </w:r>
        <w:r w:rsidR="00EB19ED">
          <w:rPr>
            <w:noProof/>
            <w:webHidden/>
          </w:rPr>
        </w:r>
        <w:r w:rsidR="00EB19ED">
          <w:rPr>
            <w:noProof/>
            <w:webHidden/>
          </w:rPr>
          <w:fldChar w:fldCharType="separate"/>
        </w:r>
        <w:r w:rsidR="00EB19ED">
          <w:rPr>
            <w:noProof/>
            <w:webHidden/>
          </w:rPr>
          <w:t>18</w:t>
        </w:r>
        <w:r w:rsidR="00EB19ED">
          <w:rPr>
            <w:noProof/>
            <w:webHidden/>
          </w:rPr>
          <w:fldChar w:fldCharType="end"/>
        </w:r>
      </w:hyperlink>
    </w:p>
    <w:p w14:paraId="139E9EDC" w14:textId="729FFA7B" w:rsidR="00EB19ED" w:rsidRDefault="00000000">
      <w:pPr>
        <w:pStyle w:val="TOC3"/>
        <w:rPr>
          <w:rFonts w:asciiTheme="minorHAnsi" w:eastAsiaTheme="minorEastAsia" w:hAnsiTheme="minorHAnsi" w:cstheme="minorBidi"/>
          <w:noProof/>
          <w:color w:val="auto"/>
          <w:sz w:val="22"/>
          <w:lang w:eastAsia="en-GB"/>
        </w:rPr>
      </w:pPr>
      <w:hyperlink w:anchor="_Toc536000989" w:history="1">
        <w:r w:rsidR="00EB19ED" w:rsidRPr="005804B0">
          <w:rPr>
            <w:rStyle w:val="Hyperlink"/>
            <w:noProof/>
          </w:rPr>
          <w:t>6.2</w:t>
        </w:r>
        <w:r w:rsidR="00EB19ED">
          <w:rPr>
            <w:rFonts w:asciiTheme="minorHAnsi" w:eastAsiaTheme="minorEastAsia" w:hAnsiTheme="minorHAnsi" w:cstheme="minorBidi"/>
            <w:noProof/>
            <w:color w:val="auto"/>
            <w:sz w:val="22"/>
            <w:lang w:eastAsia="en-GB"/>
          </w:rPr>
          <w:tab/>
        </w:r>
        <w:r w:rsidR="00EB19ED" w:rsidRPr="005804B0">
          <w:rPr>
            <w:rStyle w:val="Hyperlink"/>
            <w:noProof/>
          </w:rPr>
          <w:t>Fair trial</w:t>
        </w:r>
        <w:r w:rsidR="00EB19ED">
          <w:rPr>
            <w:noProof/>
            <w:webHidden/>
          </w:rPr>
          <w:tab/>
        </w:r>
        <w:r w:rsidR="00EB19ED">
          <w:rPr>
            <w:noProof/>
            <w:webHidden/>
          </w:rPr>
          <w:fldChar w:fldCharType="begin"/>
        </w:r>
        <w:r w:rsidR="00EB19ED">
          <w:rPr>
            <w:noProof/>
            <w:webHidden/>
          </w:rPr>
          <w:instrText xml:space="preserve"> PAGEREF _Toc536000989 \h </w:instrText>
        </w:r>
        <w:r w:rsidR="00EB19ED">
          <w:rPr>
            <w:noProof/>
            <w:webHidden/>
          </w:rPr>
        </w:r>
        <w:r w:rsidR="00EB19ED">
          <w:rPr>
            <w:noProof/>
            <w:webHidden/>
          </w:rPr>
          <w:fldChar w:fldCharType="separate"/>
        </w:r>
        <w:r w:rsidR="00EB19ED">
          <w:rPr>
            <w:noProof/>
            <w:webHidden/>
          </w:rPr>
          <w:t>18</w:t>
        </w:r>
        <w:r w:rsidR="00EB19ED">
          <w:rPr>
            <w:noProof/>
            <w:webHidden/>
          </w:rPr>
          <w:fldChar w:fldCharType="end"/>
        </w:r>
      </w:hyperlink>
    </w:p>
    <w:p w14:paraId="4741142B" w14:textId="2B5E99E0" w:rsidR="00EB19ED" w:rsidRDefault="00000000">
      <w:pPr>
        <w:pStyle w:val="TOC3"/>
        <w:rPr>
          <w:rFonts w:asciiTheme="minorHAnsi" w:eastAsiaTheme="minorEastAsia" w:hAnsiTheme="minorHAnsi" w:cstheme="minorBidi"/>
          <w:noProof/>
          <w:color w:val="auto"/>
          <w:sz w:val="22"/>
          <w:lang w:eastAsia="en-GB"/>
        </w:rPr>
      </w:pPr>
      <w:hyperlink w:anchor="_Toc536000990" w:history="1">
        <w:r w:rsidR="00EB19ED" w:rsidRPr="005804B0">
          <w:rPr>
            <w:rStyle w:val="Hyperlink"/>
            <w:noProof/>
          </w:rPr>
          <w:t>6.3</w:t>
        </w:r>
        <w:r w:rsidR="00EB19ED">
          <w:rPr>
            <w:rFonts w:asciiTheme="minorHAnsi" w:eastAsiaTheme="minorEastAsia" w:hAnsiTheme="minorHAnsi" w:cstheme="minorBidi"/>
            <w:noProof/>
            <w:color w:val="auto"/>
            <w:sz w:val="22"/>
            <w:lang w:eastAsia="en-GB"/>
          </w:rPr>
          <w:tab/>
        </w:r>
        <w:r w:rsidR="00EB19ED" w:rsidRPr="005804B0">
          <w:rPr>
            <w:rStyle w:val="Hyperlink"/>
            <w:noProof/>
          </w:rPr>
          <w:t>Independence</w:t>
        </w:r>
        <w:r w:rsidR="00EB19ED">
          <w:rPr>
            <w:noProof/>
            <w:webHidden/>
          </w:rPr>
          <w:tab/>
        </w:r>
        <w:r w:rsidR="00EB19ED">
          <w:rPr>
            <w:noProof/>
            <w:webHidden/>
          </w:rPr>
          <w:fldChar w:fldCharType="begin"/>
        </w:r>
        <w:r w:rsidR="00EB19ED">
          <w:rPr>
            <w:noProof/>
            <w:webHidden/>
          </w:rPr>
          <w:instrText xml:space="preserve"> PAGEREF _Toc536000990 \h </w:instrText>
        </w:r>
        <w:r w:rsidR="00EB19ED">
          <w:rPr>
            <w:noProof/>
            <w:webHidden/>
          </w:rPr>
        </w:r>
        <w:r w:rsidR="00EB19ED">
          <w:rPr>
            <w:noProof/>
            <w:webHidden/>
          </w:rPr>
          <w:fldChar w:fldCharType="separate"/>
        </w:r>
        <w:r w:rsidR="00EB19ED">
          <w:rPr>
            <w:noProof/>
            <w:webHidden/>
          </w:rPr>
          <w:t>19</w:t>
        </w:r>
        <w:r w:rsidR="00EB19ED">
          <w:rPr>
            <w:noProof/>
            <w:webHidden/>
          </w:rPr>
          <w:fldChar w:fldCharType="end"/>
        </w:r>
      </w:hyperlink>
    </w:p>
    <w:p w14:paraId="26AFA2F1" w14:textId="588996E2" w:rsidR="00EB19ED" w:rsidRDefault="00000000">
      <w:pPr>
        <w:pStyle w:val="TOC3"/>
        <w:rPr>
          <w:rFonts w:asciiTheme="minorHAnsi" w:eastAsiaTheme="minorEastAsia" w:hAnsiTheme="minorHAnsi" w:cstheme="minorBidi"/>
          <w:noProof/>
          <w:color w:val="auto"/>
          <w:sz w:val="22"/>
          <w:lang w:eastAsia="en-GB"/>
        </w:rPr>
      </w:pPr>
      <w:hyperlink w:anchor="_Toc536000991" w:history="1">
        <w:r w:rsidR="00EB19ED" w:rsidRPr="005804B0">
          <w:rPr>
            <w:rStyle w:val="Hyperlink"/>
            <w:noProof/>
          </w:rPr>
          <w:t>6.4</w:t>
        </w:r>
        <w:r w:rsidR="00EB19ED">
          <w:rPr>
            <w:rFonts w:asciiTheme="minorHAnsi" w:eastAsiaTheme="minorEastAsia" w:hAnsiTheme="minorHAnsi" w:cstheme="minorBidi"/>
            <w:noProof/>
            <w:color w:val="auto"/>
            <w:sz w:val="22"/>
            <w:lang w:eastAsia="en-GB"/>
          </w:rPr>
          <w:tab/>
        </w:r>
        <w:r w:rsidR="00EB19ED" w:rsidRPr="005804B0">
          <w:rPr>
            <w:rStyle w:val="Hyperlink"/>
            <w:noProof/>
          </w:rPr>
          <w:t>Effectiveness</w:t>
        </w:r>
        <w:r w:rsidR="00EB19ED">
          <w:rPr>
            <w:noProof/>
            <w:webHidden/>
          </w:rPr>
          <w:tab/>
        </w:r>
        <w:r w:rsidR="00EB19ED">
          <w:rPr>
            <w:noProof/>
            <w:webHidden/>
          </w:rPr>
          <w:fldChar w:fldCharType="begin"/>
        </w:r>
        <w:r w:rsidR="00EB19ED">
          <w:rPr>
            <w:noProof/>
            <w:webHidden/>
          </w:rPr>
          <w:instrText xml:space="preserve"> PAGEREF _Toc536000991 \h </w:instrText>
        </w:r>
        <w:r w:rsidR="00EB19ED">
          <w:rPr>
            <w:noProof/>
            <w:webHidden/>
          </w:rPr>
        </w:r>
        <w:r w:rsidR="00EB19ED">
          <w:rPr>
            <w:noProof/>
            <w:webHidden/>
          </w:rPr>
          <w:fldChar w:fldCharType="separate"/>
        </w:r>
        <w:r w:rsidR="00EB19ED">
          <w:rPr>
            <w:noProof/>
            <w:webHidden/>
          </w:rPr>
          <w:t>19</w:t>
        </w:r>
        <w:r w:rsidR="00EB19ED">
          <w:rPr>
            <w:noProof/>
            <w:webHidden/>
          </w:rPr>
          <w:fldChar w:fldCharType="end"/>
        </w:r>
      </w:hyperlink>
    </w:p>
    <w:p w14:paraId="3B0AD1EA" w14:textId="17C8C6A7" w:rsidR="00EB19ED" w:rsidRDefault="00000000">
      <w:pPr>
        <w:pStyle w:val="TOC3"/>
        <w:rPr>
          <w:rFonts w:asciiTheme="minorHAnsi" w:eastAsiaTheme="minorEastAsia" w:hAnsiTheme="minorHAnsi" w:cstheme="minorBidi"/>
          <w:noProof/>
          <w:color w:val="auto"/>
          <w:sz w:val="22"/>
          <w:lang w:eastAsia="en-GB"/>
        </w:rPr>
      </w:pPr>
      <w:hyperlink w:anchor="_Toc536000992" w:history="1">
        <w:r w:rsidR="00EB19ED" w:rsidRPr="005804B0">
          <w:rPr>
            <w:rStyle w:val="Hyperlink"/>
            <w:noProof/>
          </w:rPr>
          <w:t>6.5</w:t>
        </w:r>
        <w:r w:rsidR="00EB19ED">
          <w:rPr>
            <w:rFonts w:asciiTheme="minorHAnsi" w:eastAsiaTheme="minorEastAsia" w:hAnsiTheme="minorHAnsi" w:cstheme="minorBidi"/>
            <w:noProof/>
            <w:color w:val="auto"/>
            <w:sz w:val="22"/>
            <w:lang w:eastAsia="en-GB"/>
          </w:rPr>
          <w:tab/>
        </w:r>
        <w:r w:rsidR="00EB19ED" w:rsidRPr="005804B0">
          <w:rPr>
            <w:rStyle w:val="Hyperlink"/>
            <w:noProof/>
          </w:rPr>
          <w:t>Juvenile justice</w:t>
        </w:r>
        <w:r w:rsidR="00EB19ED">
          <w:rPr>
            <w:noProof/>
            <w:webHidden/>
          </w:rPr>
          <w:tab/>
        </w:r>
        <w:r w:rsidR="00EB19ED">
          <w:rPr>
            <w:noProof/>
            <w:webHidden/>
          </w:rPr>
          <w:fldChar w:fldCharType="begin"/>
        </w:r>
        <w:r w:rsidR="00EB19ED">
          <w:rPr>
            <w:noProof/>
            <w:webHidden/>
          </w:rPr>
          <w:instrText xml:space="preserve"> PAGEREF _Toc536000992 \h </w:instrText>
        </w:r>
        <w:r w:rsidR="00EB19ED">
          <w:rPr>
            <w:noProof/>
            <w:webHidden/>
          </w:rPr>
        </w:r>
        <w:r w:rsidR="00EB19ED">
          <w:rPr>
            <w:noProof/>
            <w:webHidden/>
          </w:rPr>
          <w:fldChar w:fldCharType="separate"/>
        </w:r>
        <w:r w:rsidR="00EB19ED">
          <w:rPr>
            <w:noProof/>
            <w:webHidden/>
          </w:rPr>
          <w:t>21</w:t>
        </w:r>
        <w:r w:rsidR="00EB19ED">
          <w:rPr>
            <w:noProof/>
            <w:webHidden/>
          </w:rPr>
          <w:fldChar w:fldCharType="end"/>
        </w:r>
      </w:hyperlink>
    </w:p>
    <w:p w14:paraId="2923DA19" w14:textId="14977867" w:rsidR="00EB19ED" w:rsidRDefault="00000000">
      <w:pPr>
        <w:pStyle w:val="TOC3"/>
        <w:rPr>
          <w:rFonts w:asciiTheme="minorHAnsi" w:eastAsiaTheme="minorEastAsia" w:hAnsiTheme="minorHAnsi" w:cstheme="minorBidi"/>
          <w:noProof/>
          <w:color w:val="auto"/>
          <w:sz w:val="22"/>
          <w:lang w:eastAsia="en-GB"/>
        </w:rPr>
      </w:pPr>
      <w:hyperlink w:anchor="_Toc536000993" w:history="1">
        <w:r w:rsidR="00EB19ED" w:rsidRPr="005804B0">
          <w:rPr>
            <w:rStyle w:val="Hyperlink"/>
            <w:noProof/>
          </w:rPr>
          <w:t>6.6</w:t>
        </w:r>
        <w:r w:rsidR="00EB19ED">
          <w:rPr>
            <w:rFonts w:asciiTheme="minorHAnsi" w:eastAsiaTheme="minorEastAsia" w:hAnsiTheme="minorHAnsi" w:cstheme="minorBidi"/>
            <w:noProof/>
            <w:color w:val="auto"/>
            <w:sz w:val="22"/>
            <w:lang w:eastAsia="en-GB"/>
          </w:rPr>
          <w:tab/>
        </w:r>
        <w:r w:rsidR="00EB19ED" w:rsidRPr="005804B0">
          <w:rPr>
            <w:rStyle w:val="Hyperlink"/>
            <w:noProof/>
          </w:rPr>
          <w:t>Alternative dispute resolution</w:t>
        </w:r>
        <w:r w:rsidR="00EB19ED">
          <w:rPr>
            <w:noProof/>
            <w:webHidden/>
          </w:rPr>
          <w:tab/>
        </w:r>
        <w:r w:rsidR="00EB19ED">
          <w:rPr>
            <w:noProof/>
            <w:webHidden/>
          </w:rPr>
          <w:fldChar w:fldCharType="begin"/>
        </w:r>
        <w:r w:rsidR="00EB19ED">
          <w:rPr>
            <w:noProof/>
            <w:webHidden/>
          </w:rPr>
          <w:instrText xml:space="preserve"> PAGEREF _Toc536000993 \h </w:instrText>
        </w:r>
        <w:r w:rsidR="00EB19ED">
          <w:rPr>
            <w:noProof/>
            <w:webHidden/>
          </w:rPr>
        </w:r>
        <w:r w:rsidR="00EB19ED">
          <w:rPr>
            <w:noProof/>
            <w:webHidden/>
          </w:rPr>
          <w:fldChar w:fldCharType="separate"/>
        </w:r>
        <w:r w:rsidR="00EB19ED">
          <w:rPr>
            <w:noProof/>
            <w:webHidden/>
          </w:rPr>
          <w:t>21</w:t>
        </w:r>
        <w:r w:rsidR="00EB19ED">
          <w:rPr>
            <w:noProof/>
            <w:webHidden/>
          </w:rPr>
          <w:fldChar w:fldCharType="end"/>
        </w:r>
      </w:hyperlink>
    </w:p>
    <w:p w14:paraId="5F72AD9F" w14:textId="39E10AA5" w:rsidR="00EB19ED" w:rsidRDefault="00000000">
      <w:pPr>
        <w:pStyle w:val="TOC3"/>
        <w:rPr>
          <w:rFonts w:asciiTheme="minorHAnsi" w:eastAsiaTheme="minorEastAsia" w:hAnsiTheme="minorHAnsi" w:cstheme="minorBidi"/>
          <w:noProof/>
          <w:color w:val="auto"/>
          <w:sz w:val="22"/>
          <w:lang w:eastAsia="en-GB"/>
        </w:rPr>
      </w:pPr>
      <w:hyperlink w:anchor="_Toc536000994" w:history="1">
        <w:r w:rsidR="00EB19ED" w:rsidRPr="005804B0">
          <w:rPr>
            <w:rStyle w:val="Hyperlink"/>
            <w:noProof/>
          </w:rPr>
          <w:t>6.7</w:t>
        </w:r>
        <w:r w:rsidR="00EB19ED">
          <w:rPr>
            <w:rFonts w:asciiTheme="minorHAnsi" w:eastAsiaTheme="minorEastAsia" w:hAnsiTheme="minorHAnsi" w:cstheme="minorBidi"/>
            <w:noProof/>
            <w:color w:val="auto"/>
            <w:sz w:val="22"/>
            <w:lang w:eastAsia="en-GB"/>
          </w:rPr>
          <w:tab/>
        </w:r>
        <w:r w:rsidR="00EB19ED" w:rsidRPr="005804B0">
          <w:rPr>
            <w:rStyle w:val="Hyperlink"/>
            <w:noProof/>
          </w:rPr>
          <w:t>Legal aid</w:t>
        </w:r>
        <w:r w:rsidR="00EB19ED">
          <w:rPr>
            <w:noProof/>
            <w:webHidden/>
          </w:rPr>
          <w:tab/>
        </w:r>
        <w:r w:rsidR="00EB19ED">
          <w:rPr>
            <w:noProof/>
            <w:webHidden/>
          </w:rPr>
          <w:fldChar w:fldCharType="begin"/>
        </w:r>
        <w:r w:rsidR="00EB19ED">
          <w:rPr>
            <w:noProof/>
            <w:webHidden/>
          </w:rPr>
          <w:instrText xml:space="preserve"> PAGEREF _Toc536000994 \h </w:instrText>
        </w:r>
        <w:r w:rsidR="00EB19ED">
          <w:rPr>
            <w:noProof/>
            <w:webHidden/>
          </w:rPr>
        </w:r>
        <w:r w:rsidR="00EB19ED">
          <w:rPr>
            <w:noProof/>
            <w:webHidden/>
          </w:rPr>
          <w:fldChar w:fldCharType="separate"/>
        </w:r>
        <w:r w:rsidR="00EB19ED">
          <w:rPr>
            <w:noProof/>
            <w:webHidden/>
          </w:rPr>
          <w:t>22</w:t>
        </w:r>
        <w:r w:rsidR="00EB19ED">
          <w:rPr>
            <w:noProof/>
            <w:webHidden/>
          </w:rPr>
          <w:fldChar w:fldCharType="end"/>
        </w:r>
      </w:hyperlink>
    </w:p>
    <w:p w14:paraId="4D7BA3F9" w14:textId="17E26176" w:rsidR="00EB19ED"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6000995" w:history="1">
        <w:r w:rsidR="00EB19ED" w:rsidRPr="005804B0">
          <w:rPr>
            <w:rStyle w:val="Hyperlink"/>
            <w:noProof/>
          </w:rPr>
          <w:t>Terms of Reference</w:t>
        </w:r>
        <w:r w:rsidR="00EB19ED">
          <w:rPr>
            <w:noProof/>
            <w:webHidden/>
          </w:rPr>
          <w:tab/>
        </w:r>
        <w:r w:rsidR="00EB19ED">
          <w:rPr>
            <w:noProof/>
            <w:webHidden/>
          </w:rPr>
          <w:fldChar w:fldCharType="begin"/>
        </w:r>
        <w:r w:rsidR="00EB19ED">
          <w:rPr>
            <w:noProof/>
            <w:webHidden/>
          </w:rPr>
          <w:instrText xml:space="preserve"> PAGEREF _Toc536000995 \h </w:instrText>
        </w:r>
        <w:r w:rsidR="00EB19ED">
          <w:rPr>
            <w:noProof/>
            <w:webHidden/>
          </w:rPr>
        </w:r>
        <w:r w:rsidR="00EB19ED">
          <w:rPr>
            <w:noProof/>
            <w:webHidden/>
          </w:rPr>
          <w:fldChar w:fldCharType="separate"/>
        </w:r>
        <w:r w:rsidR="00EB19ED">
          <w:rPr>
            <w:noProof/>
            <w:webHidden/>
          </w:rPr>
          <w:t>24</w:t>
        </w:r>
        <w:r w:rsidR="00EB19ED">
          <w:rPr>
            <w:noProof/>
            <w:webHidden/>
          </w:rPr>
          <w:fldChar w:fldCharType="end"/>
        </w:r>
      </w:hyperlink>
    </w:p>
    <w:p w14:paraId="1B4E60ED" w14:textId="128A48AC" w:rsidR="00EB19ED"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6000996" w:history="1">
        <w:r w:rsidR="00EB19ED" w:rsidRPr="005804B0">
          <w:rPr>
            <w:rStyle w:val="Hyperlink"/>
            <w:noProof/>
          </w:rPr>
          <w:t>Bibliography</w:t>
        </w:r>
        <w:r w:rsidR="00EB19ED">
          <w:rPr>
            <w:noProof/>
            <w:webHidden/>
          </w:rPr>
          <w:tab/>
        </w:r>
        <w:r w:rsidR="00EB19ED">
          <w:rPr>
            <w:noProof/>
            <w:webHidden/>
          </w:rPr>
          <w:fldChar w:fldCharType="begin"/>
        </w:r>
        <w:r w:rsidR="00EB19ED">
          <w:rPr>
            <w:noProof/>
            <w:webHidden/>
          </w:rPr>
          <w:instrText xml:space="preserve"> PAGEREF _Toc536000996 \h </w:instrText>
        </w:r>
        <w:r w:rsidR="00EB19ED">
          <w:rPr>
            <w:noProof/>
            <w:webHidden/>
          </w:rPr>
        </w:r>
        <w:r w:rsidR="00EB19ED">
          <w:rPr>
            <w:noProof/>
            <w:webHidden/>
          </w:rPr>
          <w:fldChar w:fldCharType="separate"/>
        </w:r>
        <w:r w:rsidR="00EB19ED">
          <w:rPr>
            <w:noProof/>
            <w:webHidden/>
          </w:rPr>
          <w:t>25</w:t>
        </w:r>
        <w:r w:rsidR="00EB19ED">
          <w:rPr>
            <w:noProof/>
            <w:webHidden/>
          </w:rPr>
          <w:fldChar w:fldCharType="end"/>
        </w:r>
      </w:hyperlink>
    </w:p>
    <w:p w14:paraId="28E912EE" w14:textId="7872C55E" w:rsidR="00EB19ED" w:rsidRDefault="00000000">
      <w:pPr>
        <w:pStyle w:val="TOC2"/>
        <w:rPr>
          <w:rFonts w:asciiTheme="minorHAnsi" w:eastAsiaTheme="minorEastAsia" w:hAnsiTheme="minorHAnsi" w:cstheme="minorBidi"/>
          <w:noProof/>
          <w:color w:val="auto"/>
          <w:sz w:val="22"/>
          <w:lang w:eastAsia="en-GB"/>
        </w:rPr>
      </w:pPr>
      <w:hyperlink w:anchor="_Toc536000997" w:history="1">
        <w:r w:rsidR="00EB19ED" w:rsidRPr="005804B0">
          <w:rPr>
            <w:rStyle w:val="Hyperlink"/>
            <w:noProof/>
          </w:rPr>
          <w:t>Sources cited</w:t>
        </w:r>
        <w:r w:rsidR="00EB19ED">
          <w:rPr>
            <w:noProof/>
            <w:webHidden/>
          </w:rPr>
          <w:tab/>
        </w:r>
        <w:r w:rsidR="00EB19ED">
          <w:rPr>
            <w:noProof/>
            <w:webHidden/>
          </w:rPr>
          <w:fldChar w:fldCharType="begin"/>
        </w:r>
        <w:r w:rsidR="00EB19ED">
          <w:rPr>
            <w:noProof/>
            <w:webHidden/>
          </w:rPr>
          <w:instrText xml:space="preserve"> PAGEREF _Toc536000997 \h </w:instrText>
        </w:r>
        <w:r w:rsidR="00EB19ED">
          <w:rPr>
            <w:noProof/>
            <w:webHidden/>
          </w:rPr>
        </w:r>
        <w:r w:rsidR="00EB19ED">
          <w:rPr>
            <w:noProof/>
            <w:webHidden/>
          </w:rPr>
          <w:fldChar w:fldCharType="separate"/>
        </w:r>
        <w:r w:rsidR="00EB19ED">
          <w:rPr>
            <w:noProof/>
            <w:webHidden/>
          </w:rPr>
          <w:t>25</w:t>
        </w:r>
        <w:r w:rsidR="00EB19ED">
          <w:rPr>
            <w:noProof/>
            <w:webHidden/>
          </w:rPr>
          <w:fldChar w:fldCharType="end"/>
        </w:r>
      </w:hyperlink>
    </w:p>
    <w:p w14:paraId="1087FC18" w14:textId="07DDF6B0" w:rsidR="00EB19ED" w:rsidRDefault="00000000">
      <w:pPr>
        <w:pStyle w:val="TOC2"/>
        <w:rPr>
          <w:rFonts w:asciiTheme="minorHAnsi" w:eastAsiaTheme="minorEastAsia" w:hAnsiTheme="minorHAnsi" w:cstheme="minorBidi"/>
          <w:noProof/>
          <w:color w:val="auto"/>
          <w:sz w:val="22"/>
          <w:lang w:eastAsia="en-GB"/>
        </w:rPr>
      </w:pPr>
      <w:hyperlink w:anchor="_Toc536000998" w:history="1">
        <w:r w:rsidR="00EB19ED" w:rsidRPr="005804B0">
          <w:rPr>
            <w:rStyle w:val="Hyperlink"/>
            <w:noProof/>
          </w:rPr>
          <w:t>Sources consulted but not cited</w:t>
        </w:r>
        <w:r w:rsidR="00EB19ED">
          <w:rPr>
            <w:noProof/>
            <w:webHidden/>
          </w:rPr>
          <w:tab/>
        </w:r>
        <w:r w:rsidR="00EB19ED">
          <w:rPr>
            <w:noProof/>
            <w:webHidden/>
          </w:rPr>
          <w:fldChar w:fldCharType="begin"/>
        </w:r>
        <w:r w:rsidR="00EB19ED">
          <w:rPr>
            <w:noProof/>
            <w:webHidden/>
          </w:rPr>
          <w:instrText xml:space="preserve"> PAGEREF _Toc536000998 \h </w:instrText>
        </w:r>
        <w:r w:rsidR="00EB19ED">
          <w:rPr>
            <w:noProof/>
            <w:webHidden/>
          </w:rPr>
        </w:r>
        <w:r w:rsidR="00EB19ED">
          <w:rPr>
            <w:noProof/>
            <w:webHidden/>
          </w:rPr>
          <w:fldChar w:fldCharType="separate"/>
        </w:r>
        <w:r w:rsidR="00EB19ED">
          <w:rPr>
            <w:noProof/>
            <w:webHidden/>
          </w:rPr>
          <w:t>28</w:t>
        </w:r>
        <w:r w:rsidR="00EB19ED">
          <w:rPr>
            <w:noProof/>
            <w:webHidden/>
          </w:rPr>
          <w:fldChar w:fldCharType="end"/>
        </w:r>
      </w:hyperlink>
    </w:p>
    <w:p w14:paraId="4BDEF112" w14:textId="7379C493" w:rsidR="00EB19ED"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6000999" w:history="1">
        <w:r w:rsidR="00EB19ED" w:rsidRPr="005804B0">
          <w:rPr>
            <w:rStyle w:val="Hyperlink"/>
            <w:noProof/>
          </w:rPr>
          <w:t>Version control</w:t>
        </w:r>
        <w:r w:rsidR="00EB19ED">
          <w:rPr>
            <w:noProof/>
            <w:webHidden/>
          </w:rPr>
          <w:tab/>
        </w:r>
        <w:r w:rsidR="00EB19ED">
          <w:rPr>
            <w:noProof/>
            <w:webHidden/>
          </w:rPr>
          <w:fldChar w:fldCharType="begin"/>
        </w:r>
        <w:r w:rsidR="00EB19ED">
          <w:rPr>
            <w:noProof/>
            <w:webHidden/>
          </w:rPr>
          <w:instrText xml:space="preserve"> PAGEREF _Toc536000999 \h </w:instrText>
        </w:r>
        <w:r w:rsidR="00EB19ED">
          <w:rPr>
            <w:noProof/>
            <w:webHidden/>
          </w:rPr>
        </w:r>
        <w:r w:rsidR="00EB19ED">
          <w:rPr>
            <w:noProof/>
            <w:webHidden/>
          </w:rPr>
          <w:fldChar w:fldCharType="separate"/>
        </w:r>
        <w:r w:rsidR="00EB19ED">
          <w:rPr>
            <w:noProof/>
            <w:webHidden/>
          </w:rPr>
          <w:t>29</w:t>
        </w:r>
        <w:r w:rsidR="00EB19ED">
          <w:rPr>
            <w:noProof/>
            <w:webHidden/>
          </w:rPr>
          <w:fldChar w:fldCharType="end"/>
        </w:r>
      </w:hyperlink>
    </w:p>
    <w:p w14:paraId="66B3AD0B" w14:textId="08675E18" w:rsidR="00EA3BC4" w:rsidRDefault="00EA3BC4" w:rsidP="00AF6F85">
      <w:pPr>
        <w:pStyle w:val="Heading1"/>
      </w:pPr>
      <w:r>
        <w:lastRenderedPageBreak/>
        <w:fldChar w:fldCharType="end"/>
      </w:r>
      <w:bookmarkStart w:id="5" w:name="_Toc536000965"/>
      <w:bookmarkStart w:id="6" w:name="_Toc500775364"/>
      <w:r>
        <w:t>A</w:t>
      </w:r>
      <w:r w:rsidR="00647EBD">
        <w:t>ssessment</w:t>
      </w:r>
      <w:bookmarkEnd w:id="5"/>
    </w:p>
    <w:p w14:paraId="1602650D" w14:textId="7538D722" w:rsidR="00EA3BC4" w:rsidRPr="00AF62ED" w:rsidRDefault="00EA3BC4" w:rsidP="00EA3BC4">
      <w:pPr>
        <w:jc w:val="right"/>
        <w:rPr>
          <w:color w:val="7030A0"/>
        </w:rPr>
      </w:pPr>
      <w:r w:rsidRPr="00AF62ED">
        <w:rPr>
          <w:color w:val="7030A0"/>
        </w:rPr>
        <w:t xml:space="preserve">Updated: </w:t>
      </w:r>
      <w:bookmarkEnd w:id="2"/>
      <w:bookmarkEnd w:id="6"/>
      <w:r w:rsidR="004262EF">
        <w:rPr>
          <w:color w:val="7030A0"/>
        </w:rPr>
        <w:t>23 January</w:t>
      </w:r>
      <w:r w:rsidR="009C0997">
        <w:rPr>
          <w:color w:val="7030A0"/>
        </w:rPr>
        <w:t xml:space="preserve"> 2018</w:t>
      </w:r>
    </w:p>
    <w:p w14:paraId="74EB6655" w14:textId="77777777" w:rsidR="00EA3BC4" w:rsidRDefault="00EA3BC4" w:rsidP="00EA3BC4">
      <w:pPr>
        <w:pStyle w:val="Heading2"/>
      </w:pPr>
      <w:bookmarkStart w:id="7" w:name="_Toc536000966"/>
      <w:r>
        <w:t>Introduction</w:t>
      </w:r>
      <w:bookmarkEnd w:id="7"/>
    </w:p>
    <w:p w14:paraId="05C1B714" w14:textId="77777777" w:rsidR="00EA3BC4" w:rsidRPr="00FE3E58" w:rsidRDefault="00EA3BC4" w:rsidP="00EA3BC4">
      <w:pPr>
        <w:pStyle w:val="Heading3"/>
      </w:pPr>
      <w:bookmarkStart w:id="8" w:name="_Basis_of_claim"/>
      <w:bookmarkStart w:id="9" w:name="_Toc536000967"/>
      <w:bookmarkEnd w:id="8"/>
      <w:r>
        <w:t>Basis of claim</w:t>
      </w:r>
      <w:bookmarkEnd w:id="9"/>
    </w:p>
    <w:p w14:paraId="33E33A5C" w14:textId="3B956530" w:rsidR="00233A64" w:rsidRDefault="00233A64" w:rsidP="00233A64">
      <w:pPr>
        <w:pStyle w:val="ListParagraph"/>
      </w:pPr>
      <w:r w:rsidRPr="009C1646">
        <w:t>Whether</w:t>
      </w:r>
      <w:r>
        <w:t>,</w:t>
      </w:r>
      <w:r w:rsidRPr="009C1646">
        <w:t xml:space="preserve"> in general</w:t>
      </w:r>
      <w:r>
        <w:t>, a person</w:t>
      </w:r>
      <w:r w:rsidRPr="009C1646">
        <w:t xml:space="preserve"> at risk of persecution </w:t>
      </w:r>
      <w:r>
        <w:t>and/</w:t>
      </w:r>
      <w:r w:rsidRPr="009C1646">
        <w:t>or serious harm from non-sta</w:t>
      </w:r>
      <w:r>
        <w:t>te actors</w:t>
      </w:r>
      <w:r w:rsidR="004E4CF8">
        <w:t xml:space="preserve"> and/or rogue state actors</w:t>
      </w:r>
      <w:r>
        <w:t xml:space="preserve"> is able to obtain</w:t>
      </w:r>
      <w:r w:rsidRPr="009C1646">
        <w:t xml:space="preserve"> effective state protection</w:t>
      </w:r>
      <w:r>
        <w:t>.</w:t>
      </w:r>
    </w:p>
    <w:p w14:paraId="225D389A" w14:textId="3BAC3BCD" w:rsidR="00517744" w:rsidRDefault="00517744" w:rsidP="00517744">
      <w:pPr>
        <w:pStyle w:val="Heading3"/>
      </w:pPr>
      <w:bookmarkStart w:id="10" w:name="_Toc536000968"/>
      <w:r>
        <w:t>Points to note</w:t>
      </w:r>
      <w:bookmarkEnd w:id="10"/>
    </w:p>
    <w:p w14:paraId="14272926" w14:textId="744BCB17" w:rsidR="005B1953" w:rsidRDefault="005B1953" w:rsidP="00517744">
      <w:pPr>
        <w:pStyle w:val="ListParagraph"/>
      </w:pPr>
      <w:r>
        <w:t>This CPIN does not specifically cover the state of Jammu and Kashmir.</w:t>
      </w:r>
    </w:p>
    <w:p w14:paraId="597EF027" w14:textId="08CEC8A5" w:rsidR="00517744" w:rsidRPr="00517744" w:rsidRDefault="00517744" w:rsidP="00517744">
      <w:pPr>
        <w:pStyle w:val="ListParagraph"/>
      </w:pPr>
      <w:r>
        <w:t>Where a claim is refused, it must be considered for certification under section 94 of the Nationality, Immigration and Asylum Act 2002, as</w:t>
      </w:r>
      <w:r w:rsidRPr="000B5483">
        <w:rPr>
          <w:color w:val="000000" w:themeColor="text1"/>
        </w:rPr>
        <w:t xml:space="preserve"> India </w:t>
      </w:r>
      <w:r>
        <w:t>is listed as a designated state</w:t>
      </w:r>
      <w:r w:rsidR="00F305F9">
        <w:t xml:space="preserve"> (see </w:t>
      </w:r>
      <w:hyperlink r:id="rId17" w:history="1">
        <w:r w:rsidR="00F305F9" w:rsidRPr="00A97848">
          <w:rPr>
            <w:rStyle w:val="Hyperlink"/>
          </w:rPr>
          <w:t>Certification of protection and human rights claims under section 94 of the Nationality, Immigration and Asylum Act 2002 (clearly unfounded claims)</w:t>
        </w:r>
      </w:hyperlink>
      <w:r w:rsidR="00F305F9">
        <w:t>).</w:t>
      </w:r>
    </w:p>
    <w:p w14:paraId="47A5AE10" w14:textId="77777777" w:rsidR="00EA3BC4" w:rsidRDefault="00000000" w:rsidP="00EA3BC4">
      <w:pPr>
        <w:ind w:left="851" w:hanging="851"/>
        <w:jc w:val="right"/>
      </w:pPr>
      <w:hyperlink w:anchor="contents" w:history="1">
        <w:r w:rsidR="00EA3BC4" w:rsidRPr="006B4863">
          <w:rPr>
            <w:rStyle w:val="Hyperlink"/>
            <w:szCs w:val="24"/>
          </w:rPr>
          <w:t>Back to Contents</w:t>
        </w:r>
      </w:hyperlink>
    </w:p>
    <w:p w14:paraId="11858D66" w14:textId="77777777" w:rsidR="00DB258D" w:rsidRDefault="00EA3BC4" w:rsidP="00EA3BC4">
      <w:pPr>
        <w:pStyle w:val="Heading2"/>
      </w:pPr>
      <w:bookmarkStart w:id="11" w:name="_Toc536000969"/>
      <w:r>
        <w:t>Consideration of i</w:t>
      </w:r>
      <w:r w:rsidRPr="00FE3E58">
        <w:t>ssues</w:t>
      </w:r>
      <w:bookmarkEnd w:id="11"/>
    </w:p>
    <w:p w14:paraId="6ACE69B6" w14:textId="77777777" w:rsidR="00DB258D" w:rsidRDefault="00DB258D" w:rsidP="00DB258D">
      <w:pPr>
        <w:pStyle w:val="Heading3"/>
      </w:pPr>
      <w:bookmarkStart w:id="12" w:name="_Toc526944312"/>
      <w:bookmarkStart w:id="13" w:name="_Toc536000970"/>
      <w:r>
        <w:t>Credibility</w:t>
      </w:r>
      <w:bookmarkEnd w:id="12"/>
      <w:bookmarkEnd w:id="13"/>
    </w:p>
    <w:p w14:paraId="0BBA60D5" w14:textId="77777777" w:rsidR="00DB258D" w:rsidRDefault="00DB258D" w:rsidP="00DB258D">
      <w:pPr>
        <w:pStyle w:val="ListParagraph"/>
        <w:numPr>
          <w:ilvl w:val="2"/>
          <w:numId w:val="14"/>
        </w:numPr>
        <w:ind w:left="851" w:hanging="851"/>
      </w:pPr>
      <w:bookmarkStart w:id="14" w:name="_Hlk526942796"/>
      <w:bookmarkStart w:id="15" w:name="_Toc435516135"/>
      <w:r>
        <w:t xml:space="preserve">For information on assessing credibility, see the </w:t>
      </w:r>
      <w:hyperlink r:id="rId18" w:history="1">
        <w:r>
          <w:rPr>
            <w:rStyle w:val="Hyperlink"/>
          </w:rPr>
          <w:t>Asylum Instruction on Assessing Credibility and Refugee Status</w:t>
        </w:r>
      </w:hyperlink>
      <w:r>
        <w:t xml:space="preserve">. </w:t>
      </w:r>
    </w:p>
    <w:bookmarkEnd w:id="14"/>
    <w:p w14:paraId="08218CA5" w14:textId="78AD5A7F" w:rsidR="00DB258D" w:rsidRDefault="00DB258D" w:rsidP="00DB258D">
      <w:pPr>
        <w:pStyle w:val="ListParagraph"/>
        <w:numPr>
          <w:ilvl w:val="2"/>
          <w:numId w:val="14"/>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19" w:history="1">
        <w:r>
          <w:rPr>
            <w:rStyle w:val="Hyperlink"/>
          </w:rPr>
          <w:t>Asylum Instruction on Visa Matches, Asylum Claims from UK Visa Applicants</w:t>
        </w:r>
      </w:hyperlink>
      <w:r>
        <w:t>).</w:t>
      </w:r>
    </w:p>
    <w:p w14:paraId="2D75AD9A" w14:textId="1F98F197" w:rsidR="007C20A7" w:rsidRDefault="007C20A7" w:rsidP="00DB258D">
      <w:pPr>
        <w:pStyle w:val="ListParagraph"/>
        <w:numPr>
          <w:ilvl w:val="2"/>
          <w:numId w:val="14"/>
        </w:numPr>
        <w:ind w:left="851" w:hanging="851"/>
      </w:pPr>
      <w:bookmarkStart w:id="16" w:name="_Hlk527713631"/>
      <w:r>
        <w:t xml:space="preserve">Decision makers should also consider the need to conduct language analysis testing (see </w:t>
      </w:r>
      <w:r w:rsidRPr="007C20A7">
        <w:rPr>
          <w:szCs w:val="24"/>
        </w:rPr>
        <w:t>the</w:t>
      </w:r>
      <w:r>
        <w:rPr>
          <w:szCs w:val="24"/>
        </w:rPr>
        <w:t xml:space="preserve"> </w:t>
      </w:r>
      <w:hyperlink r:id="rId20" w:history="1">
        <w:r w:rsidRPr="007C20A7">
          <w:rPr>
            <w:rStyle w:val="Hyperlink"/>
            <w:szCs w:val="24"/>
          </w:rPr>
          <w:t>Asylum Instruction on Language Analysis</w:t>
        </w:r>
      </w:hyperlink>
      <w:r w:rsidRPr="007C20A7">
        <w:rPr>
          <w:szCs w:val="24"/>
        </w:rPr>
        <w:t>).</w:t>
      </w:r>
    </w:p>
    <w:bookmarkEnd w:id="15"/>
    <w:bookmarkEnd w:id="16"/>
    <w:p w14:paraId="060FB565" w14:textId="18B2A433" w:rsidR="00233A64" w:rsidRPr="00DB258D" w:rsidRDefault="007C20A7" w:rsidP="00233A64">
      <w:pPr>
        <w:jc w:val="right"/>
      </w:pPr>
      <w:r>
        <w:fldChar w:fldCharType="begin"/>
      </w:r>
      <w:r>
        <w:instrText xml:space="preserve"> HYPERLINK \l "contents" </w:instrText>
      </w:r>
      <w:r>
        <w:fldChar w:fldCharType="separate"/>
      </w:r>
      <w:r w:rsidR="00233A64" w:rsidRPr="006B4863">
        <w:rPr>
          <w:rStyle w:val="Hyperlink"/>
          <w:szCs w:val="24"/>
        </w:rPr>
        <w:t>Back to Contents</w:t>
      </w:r>
      <w:r>
        <w:rPr>
          <w:rStyle w:val="Hyperlink"/>
          <w:szCs w:val="24"/>
        </w:rPr>
        <w:fldChar w:fldCharType="end"/>
      </w:r>
    </w:p>
    <w:p w14:paraId="55138695" w14:textId="77777777" w:rsidR="00DB258D" w:rsidRDefault="00DB258D" w:rsidP="00DB258D">
      <w:pPr>
        <w:pStyle w:val="Heading3"/>
      </w:pPr>
      <w:bookmarkStart w:id="17" w:name="_Toc526944313"/>
      <w:bookmarkStart w:id="18" w:name="_Toc536000971"/>
      <w:r w:rsidRPr="00AB58EB">
        <w:t>Exclusion</w:t>
      </w:r>
      <w:bookmarkEnd w:id="17"/>
      <w:bookmarkEnd w:id="18"/>
    </w:p>
    <w:p w14:paraId="691EF43E" w14:textId="77777777" w:rsidR="00DB258D" w:rsidRPr="00817FFC" w:rsidRDefault="00DB258D" w:rsidP="00DB258D">
      <w:pPr>
        <w:pStyle w:val="ListParagraph"/>
        <w:rPr>
          <w:sz w:val="20"/>
          <w:szCs w:val="20"/>
        </w:rPr>
      </w:pPr>
      <w:r w:rsidRPr="00C84C6D">
        <w:t>D</w:t>
      </w:r>
      <w:r>
        <w:t>ecision makers must consider whether one (or more) of the exclusion clauses is applicable. Each case must be considered on its individual facts and merits.</w:t>
      </w:r>
    </w:p>
    <w:p w14:paraId="638CE0DD" w14:textId="3C5F89DB" w:rsidR="00DB258D" w:rsidRPr="00EB19ED" w:rsidRDefault="00DB258D" w:rsidP="00DB258D">
      <w:pPr>
        <w:pStyle w:val="ListParagraph"/>
        <w:rPr>
          <w:sz w:val="20"/>
          <w:szCs w:val="20"/>
        </w:rPr>
      </w:pPr>
      <w:r>
        <w:t xml:space="preserve">For further guidance on the exclusion clauses and restricted leave, see the </w:t>
      </w:r>
      <w:hyperlink r:id="rId21" w:history="1">
        <w:r w:rsidRPr="00215300">
          <w:rPr>
            <w:rStyle w:val="Hyperlink"/>
          </w:rPr>
          <w:t>Asylum Instruction on Exclusion: Article 1F of the Refugee Convention</w:t>
        </w:r>
      </w:hyperlink>
      <w:r>
        <w:t xml:space="preserve"> and the </w:t>
      </w:r>
      <w:hyperlink r:id="rId22" w:history="1">
        <w:r w:rsidRPr="00215300">
          <w:rPr>
            <w:rStyle w:val="Hyperlink"/>
          </w:rPr>
          <w:t>Asylum Instruction on Restricted Leave</w:t>
        </w:r>
      </w:hyperlink>
      <w:r>
        <w:t>.</w:t>
      </w:r>
    </w:p>
    <w:p w14:paraId="64A2143D" w14:textId="77777777" w:rsidR="00EB19ED" w:rsidRPr="00215300" w:rsidRDefault="00EB19ED" w:rsidP="00EB19ED">
      <w:pPr>
        <w:ind w:left="851"/>
        <w:rPr>
          <w:b/>
          <w:bCs/>
          <w:color w:val="FF0000"/>
          <w:szCs w:val="24"/>
        </w:rPr>
      </w:pPr>
      <w:r w:rsidRPr="00215300">
        <w:rPr>
          <w:b/>
          <w:bCs/>
          <w:color w:val="FF0000"/>
          <w:szCs w:val="24"/>
        </w:rPr>
        <w:t>OFFICIAL-SENSITIVE</w:t>
      </w:r>
    </w:p>
    <w:p w14:paraId="38EF540F" w14:textId="77777777" w:rsidR="00EB19ED" w:rsidRPr="00215300" w:rsidRDefault="00EB19ED" w:rsidP="00EB19ED">
      <w:pPr>
        <w:ind w:left="851"/>
        <w:rPr>
          <w:b/>
          <w:bCs/>
          <w:color w:val="FF0000"/>
          <w:szCs w:val="24"/>
        </w:rPr>
      </w:pPr>
      <w:r w:rsidRPr="00215300">
        <w:rPr>
          <w:b/>
          <w:bCs/>
          <w:color w:val="FF0000"/>
          <w:szCs w:val="24"/>
        </w:rPr>
        <w:t>Do not print or disclose the contents of this section</w:t>
      </w:r>
    </w:p>
    <w:p w14:paraId="50788C81" w14:textId="77777777" w:rsidR="00EB19ED" w:rsidRPr="00215300" w:rsidRDefault="00EB19ED" w:rsidP="00EB19ED">
      <w:pPr>
        <w:pStyle w:val="Default"/>
        <w:spacing w:after="120"/>
        <w:ind w:left="851"/>
        <w:rPr>
          <w:color w:val="auto"/>
        </w:rPr>
      </w:pPr>
      <w:r w:rsidRPr="00215300">
        <w:rPr>
          <w:color w:val="auto"/>
        </w:rPr>
        <w:t xml:space="preserve">Decision makers must consider referring </w:t>
      </w:r>
      <w:r>
        <w:rPr>
          <w:color w:val="auto"/>
        </w:rPr>
        <w:t xml:space="preserve">applicable </w:t>
      </w:r>
      <w:r w:rsidRPr="00215300">
        <w:rPr>
          <w:color w:val="auto"/>
        </w:rPr>
        <w:t xml:space="preserve">cases to </w:t>
      </w:r>
      <w:r>
        <w:rPr>
          <w:color w:val="auto"/>
        </w:rPr>
        <w:t>SCU</w:t>
      </w:r>
      <w:r w:rsidRPr="00215300">
        <w:rPr>
          <w:color w:val="auto"/>
        </w:rPr>
        <w:t xml:space="preserve">. </w:t>
      </w:r>
    </w:p>
    <w:p w14:paraId="3BB30E86" w14:textId="77777777" w:rsidR="00EB19ED" w:rsidRPr="00215300" w:rsidRDefault="00EB19ED" w:rsidP="00EB19ED">
      <w:pPr>
        <w:pStyle w:val="ListParagraph"/>
        <w:numPr>
          <w:ilvl w:val="0"/>
          <w:numId w:val="0"/>
        </w:numPr>
        <w:ind w:left="851"/>
        <w:rPr>
          <w:szCs w:val="24"/>
        </w:rPr>
      </w:pPr>
      <w:r w:rsidRPr="00215300">
        <w:rPr>
          <w:szCs w:val="24"/>
        </w:rPr>
        <w:t xml:space="preserve">For more information see: </w:t>
      </w:r>
      <w:hyperlink r:id="rId23" w:history="1">
        <w:r w:rsidRPr="00215300">
          <w:rPr>
            <w:rStyle w:val="Hyperlink"/>
            <w:szCs w:val="24"/>
          </w:rPr>
          <w:t>What is a Special Cases Unit Case?</w:t>
        </w:r>
      </w:hyperlink>
      <w:r w:rsidRPr="00215300">
        <w:rPr>
          <w:szCs w:val="24"/>
        </w:rPr>
        <w:t xml:space="preserve">, the </w:t>
      </w:r>
      <w:hyperlink r:id="rId24" w:history="1">
        <w:r w:rsidRPr="00215300">
          <w:rPr>
            <w:rStyle w:val="Hyperlink"/>
            <w:szCs w:val="24"/>
          </w:rPr>
          <w:t>Special Cases Screening Aid</w:t>
        </w:r>
      </w:hyperlink>
      <w:r w:rsidRPr="00215300">
        <w:rPr>
          <w:szCs w:val="24"/>
        </w:rPr>
        <w:t xml:space="preserve"> </w:t>
      </w:r>
      <w:r w:rsidRPr="00215300">
        <w:rPr>
          <w:rStyle w:val="COI-Link"/>
          <w:sz w:val="24"/>
          <w:szCs w:val="24"/>
        </w:rPr>
        <w:t>(</w:t>
      </w:r>
      <w:r w:rsidRPr="00215300">
        <w:rPr>
          <w:szCs w:val="24"/>
        </w:rPr>
        <w:t xml:space="preserve">noting, in particular, </w:t>
      </w:r>
      <w:r>
        <w:rPr>
          <w:szCs w:val="24"/>
        </w:rPr>
        <w:t>the country specific profiles</w:t>
      </w:r>
      <w:r w:rsidRPr="00215300">
        <w:rPr>
          <w:szCs w:val="24"/>
        </w:rPr>
        <w:t xml:space="preserve">); and </w:t>
      </w:r>
      <w:hyperlink r:id="rId25" w:history="1">
        <w:r w:rsidRPr="00215300">
          <w:rPr>
            <w:rStyle w:val="Hyperlink"/>
            <w:szCs w:val="24"/>
          </w:rPr>
          <w:t>Referral of Article 1F Exclusion Cases to Special Cases Unit</w:t>
        </w:r>
      </w:hyperlink>
      <w:r w:rsidRPr="00215300">
        <w:rPr>
          <w:szCs w:val="24"/>
        </w:rPr>
        <w:t>.</w:t>
      </w:r>
    </w:p>
    <w:p w14:paraId="38385859" w14:textId="5F410677" w:rsidR="00EB19ED" w:rsidRPr="00EB19ED" w:rsidRDefault="00EB19ED" w:rsidP="00EB19ED">
      <w:pPr>
        <w:pStyle w:val="ListParagraph"/>
        <w:numPr>
          <w:ilvl w:val="0"/>
          <w:numId w:val="0"/>
        </w:numPr>
        <w:ind w:left="851"/>
        <w:rPr>
          <w:sz w:val="20"/>
          <w:szCs w:val="20"/>
        </w:rPr>
      </w:pPr>
      <w:r w:rsidRPr="00215300">
        <w:rPr>
          <w:b/>
          <w:bCs/>
          <w:color w:val="FF0000"/>
          <w:szCs w:val="24"/>
        </w:rPr>
        <w:lastRenderedPageBreak/>
        <w:t>End of non-disclosable section</w:t>
      </w:r>
    </w:p>
    <w:p w14:paraId="78D225A2" w14:textId="1C29255E" w:rsidR="00233A64" w:rsidRDefault="00000000" w:rsidP="00233A64">
      <w:pPr>
        <w:jc w:val="right"/>
      </w:pPr>
      <w:hyperlink w:anchor="contents" w:history="1">
        <w:r w:rsidR="00233A64" w:rsidRPr="006B4863">
          <w:rPr>
            <w:rStyle w:val="Hyperlink"/>
            <w:szCs w:val="24"/>
          </w:rPr>
          <w:t>Back to Contents</w:t>
        </w:r>
      </w:hyperlink>
    </w:p>
    <w:p w14:paraId="3C1F1E90" w14:textId="09B6DC97" w:rsidR="00233A64" w:rsidRDefault="00233A64" w:rsidP="00233A64">
      <w:pPr>
        <w:pStyle w:val="Heading3"/>
      </w:pPr>
      <w:bookmarkStart w:id="19" w:name="_Toc536000972"/>
      <w:r>
        <w:t>Protection</w:t>
      </w:r>
      <w:bookmarkEnd w:id="19"/>
    </w:p>
    <w:p w14:paraId="6BFC4EF2" w14:textId="55E352DA" w:rsidR="004E4CF8" w:rsidRDefault="004E4CF8" w:rsidP="00233A64">
      <w:pPr>
        <w:pStyle w:val="ListParagraph"/>
      </w:pPr>
      <w:r w:rsidRPr="008D3261">
        <w:t xml:space="preserve">Where the </w:t>
      </w:r>
      <w:r>
        <w:t>person</w:t>
      </w:r>
      <w:r w:rsidRPr="008D3261">
        <w:t>’s fear is of persecution and/or serious harm from non</w:t>
      </w:r>
      <w:r>
        <w:t>-</w:t>
      </w:r>
      <w:r w:rsidRPr="008D3261">
        <w:t>state actors</w:t>
      </w:r>
      <w:r>
        <w:t xml:space="preserve"> and/or rogue state actors</w:t>
      </w:r>
      <w:r w:rsidRPr="008D3261">
        <w:t>, decision makers must assess whether the state can provide effective protection.</w:t>
      </w:r>
    </w:p>
    <w:p w14:paraId="47395144" w14:textId="7C4B2093" w:rsidR="00233A64" w:rsidRDefault="00EC618C" w:rsidP="00097BDE">
      <w:pPr>
        <w:pStyle w:val="ListParagraph"/>
      </w:pPr>
      <w:r>
        <w:t>There is a functioning criminal justice system</w:t>
      </w:r>
      <w:r w:rsidR="00117282">
        <w:t xml:space="preserve"> </w:t>
      </w:r>
      <w:r w:rsidR="00097BDE" w:rsidRPr="00097BDE">
        <w:t>for the detection, prosecution and punishment of acts constituting persecution or serious harm</w:t>
      </w:r>
      <w:r w:rsidR="00117282">
        <w:t>,</w:t>
      </w:r>
      <w:r w:rsidR="00097BDE">
        <w:t xml:space="preserve"> which is generally accessible.</w:t>
      </w:r>
      <w:r>
        <w:t xml:space="preserve"> </w:t>
      </w:r>
      <w:r w:rsidR="00F820B9">
        <w:t xml:space="preserve">Each of </w:t>
      </w:r>
      <w:r w:rsidR="00233A64">
        <w:t>the 29 states and 7 union territories (UTs) have</w:t>
      </w:r>
      <w:r w:rsidR="00233A64" w:rsidRPr="000229E1">
        <w:t xml:space="preserve"> primary responsibility for </w:t>
      </w:r>
      <w:r w:rsidR="00233A64">
        <w:t>crime prevention a</w:t>
      </w:r>
      <w:r w:rsidR="00F036FD">
        <w:t>nd investigation</w:t>
      </w:r>
      <w:r w:rsidR="00233A64">
        <w:t xml:space="preserve"> and </w:t>
      </w:r>
      <w:r w:rsidR="00233A64" w:rsidRPr="000229E1">
        <w:t>main</w:t>
      </w:r>
      <w:r w:rsidR="00233A64">
        <w:t>taining law and order</w:t>
      </w:r>
      <w:r w:rsidR="00517744">
        <w:t xml:space="preserve">; </w:t>
      </w:r>
      <w:r w:rsidR="00F820B9">
        <w:t>e</w:t>
      </w:r>
      <w:r w:rsidR="00233A64">
        <w:t>ach stat</w:t>
      </w:r>
      <w:r w:rsidR="00F820B9">
        <w:t>e and UT</w:t>
      </w:r>
      <w:r w:rsidR="00233A64">
        <w:t xml:space="preserve"> has its own separate police force</w:t>
      </w:r>
      <w:r w:rsidR="00F820B9">
        <w:t xml:space="preserve">. Police effectiveness and conduct varies from state to state, </w:t>
      </w:r>
      <w:r w:rsidR="00097BDE">
        <w:t>undermined</w:t>
      </w:r>
      <w:r w:rsidR="00F820B9">
        <w:t xml:space="preserve"> by </w:t>
      </w:r>
      <w:r w:rsidR="0065348D">
        <w:t xml:space="preserve">inadequate training and equipment, </w:t>
      </w:r>
      <w:r w:rsidR="00F820B9">
        <w:t>limited resources</w:t>
      </w:r>
      <w:r w:rsidR="00097BDE">
        <w:t>,</w:t>
      </w:r>
      <w:r w:rsidR="009D1F2B">
        <w:t xml:space="preserve"> political influence</w:t>
      </w:r>
      <w:r w:rsidR="00097BDE">
        <w:t xml:space="preserve"> and </w:t>
      </w:r>
      <w:r w:rsidR="00F820B9">
        <w:t>corruption</w:t>
      </w:r>
      <w:r w:rsidR="0065348D">
        <w:t xml:space="preserve">. Police investigation is seriously hampered by </w:t>
      </w:r>
      <w:r w:rsidR="006369AA">
        <w:t xml:space="preserve">some </w:t>
      </w:r>
      <w:r w:rsidR="0065348D">
        <w:t>police</w:t>
      </w:r>
      <w:r w:rsidR="006369AA">
        <w:t xml:space="preserve"> officers</w:t>
      </w:r>
      <w:r w:rsidR="0065348D">
        <w:t xml:space="preserve"> refusing to register victim’s complaints, poor quality of investigations, insufficient training and legal knowledge, inadequate and outdated forensic </w:t>
      </w:r>
      <w:r w:rsidR="009E0FE9">
        <w:t>a</w:t>
      </w:r>
      <w:r w:rsidR="0065348D">
        <w:t xml:space="preserve">nd cyber infrastructure, and a lack of public trust. Their investigation may also be affected by bias in relation to class, caste, ethnicity and religion of the victim or offender or in relation to down-playing crimes </w:t>
      </w:r>
      <w:r w:rsidR="006369AA">
        <w:t>in certain areas of the country</w:t>
      </w:r>
      <w:r w:rsidR="00790EBA">
        <w:t xml:space="preserve"> (see </w:t>
      </w:r>
      <w:hyperlink w:anchor="_Security_apparatus" w:history="1">
        <w:r w:rsidR="00790EBA" w:rsidRPr="00790EBA">
          <w:rPr>
            <w:rStyle w:val="Hyperlink"/>
          </w:rPr>
          <w:t>Security apparatus</w:t>
        </w:r>
      </w:hyperlink>
      <w:r w:rsidR="00790EBA">
        <w:t xml:space="preserve"> and Capabilities of the security forces – </w:t>
      </w:r>
      <w:hyperlink w:anchor="_Effectiveness" w:history="1">
        <w:r w:rsidR="00790EBA" w:rsidRPr="00790EBA">
          <w:rPr>
            <w:rStyle w:val="Hyperlink"/>
          </w:rPr>
          <w:t>Effectiveness</w:t>
        </w:r>
      </w:hyperlink>
      <w:r w:rsidR="00790EBA">
        <w:t>)</w:t>
      </w:r>
      <w:r w:rsidR="00F820B9">
        <w:t>.</w:t>
      </w:r>
    </w:p>
    <w:p w14:paraId="42FEE9E4" w14:textId="269E844C" w:rsidR="007A1CE8" w:rsidRDefault="00790EBA" w:rsidP="00790EBA">
      <w:pPr>
        <w:pStyle w:val="ListParagraph"/>
      </w:pPr>
      <w:r>
        <w:t>Human rights abuses committed by the police, including rape and torture, are reported to be widespread</w:t>
      </w:r>
      <w:r w:rsidR="006369AA">
        <w:t xml:space="preserve"> and conducted with impunity</w:t>
      </w:r>
      <w:r w:rsidR="008E0020">
        <w:t xml:space="preserve">. </w:t>
      </w:r>
      <w:r w:rsidR="007A1CE8">
        <w:t xml:space="preserve">Persons from marginalised </w:t>
      </w:r>
      <w:r w:rsidR="009E0FE9">
        <w:t xml:space="preserve">minority </w:t>
      </w:r>
      <w:r w:rsidR="007A1CE8">
        <w:t xml:space="preserve">communities are particularly affected. </w:t>
      </w:r>
      <w:r w:rsidR="008E0020">
        <w:t>Excessive force by security forces in areas of conflict are also reported, including extra-judicial killings, often in the form of ‘fake encounters’</w:t>
      </w:r>
      <w:r w:rsidR="006369AA">
        <w:t>, rape, torture, arbitrary detention, kidnappings and destruction of homes</w:t>
      </w:r>
      <w:r>
        <w:t xml:space="preserve"> (see Capabilities of the security forces – </w:t>
      </w:r>
      <w:hyperlink w:anchor="_Human_rights_abuses" w:history="1">
        <w:r w:rsidRPr="00790EBA">
          <w:rPr>
            <w:rStyle w:val="Hyperlink"/>
          </w:rPr>
          <w:t>Human rights abuses</w:t>
        </w:r>
      </w:hyperlink>
      <w:r>
        <w:t>).</w:t>
      </w:r>
    </w:p>
    <w:p w14:paraId="6D375845" w14:textId="68D7AC49" w:rsidR="00EE487B" w:rsidRDefault="00EE487B" w:rsidP="00EE487B">
      <w:pPr>
        <w:pStyle w:val="ListParagraph"/>
      </w:pPr>
      <w:r w:rsidRPr="00EE487B">
        <w:t>There</w:t>
      </w:r>
      <w:r>
        <w:t xml:space="preserve"> are legal remedies for </w:t>
      </w:r>
      <w:r w:rsidR="00517744">
        <w:t xml:space="preserve">severe </w:t>
      </w:r>
      <w:r w:rsidRPr="00EE487B">
        <w:t>police misconduct</w:t>
      </w:r>
      <w:r w:rsidR="00517744">
        <w:t xml:space="preserve"> and</w:t>
      </w:r>
      <w:r>
        <w:t xml:space="preserve"> corruption</w:t>
      </w:r>
      <w:r w:rsidR="004E4CF8">
        <w:t>,</w:t>
      </w:r>
      <w:r w:rsidR="00517744">
        <w:t xml:space="preserve"> although some victims may be reluctant to report police violations due to fear of retribution. </w:t>
      </w:r>
      <w:r w:rsidR="00BD5EDA">
        <w:t>The National Human Rights Commission had over 4,</w:t>
      </w:r>
      <w:r w:rsidR="004263CE">
        <w:t>5</w:t>
      </w:r>
      <w:r w:rsidR="00BD5EDA">
        <w:t xml:space="preserve">00 </w:t>
      </w:r>
      <w:r w:rsidR="004263CE">
        <w:t>cases, against the police and judiciary, under</w:t>
      </w:r>
      <w:r w:rsidR="00BD5EDA">
        <w:t xml:space="preserve"> consideration in </w:t>
      </w:r>
      <w:r w:rsidR="004263CE">
        <w:t xml:space="preserve">late </w:t>
      </w:r>
      <w:r w:rsidR="00BD5EDA">
        <w:t xml:space="preserve">2018. </w:t>
      </w:r>
      <w:r w:rsidR="00517744">
        <w:t>Central and state governments</w:t>
      </w:r>
      <w:r w:rsidR="00602C6A">
        <w:t>,</w:t>
      </w:r>
      <w:r w:rsidR="00517744">
        <w:t xml:space="preserve"> and armed forces have investigated complaints and punished some violations committed by security </w:t>
      </w:r>
      <w:proofErr w:type="gramStart"/>
      <w:r w:rsidR="00517744">
        <w:t>forces</w:t>
      </w:r>
      <w:proofErr w:type="gramEnd"/>
      <w:r w:rsidR="001C57AA">
        <w:t xml:space="preserve"> but it has also been reported that the government rarely approves the prosecution of security forces members </w:t>
      </w:r>
      <w:r>
        <w:t>(see Capabilities of the security</w:t>
      </w:r>
      <w:r w:rsidR="001C57AA">
        <w:t xml:space="preserve"> forces –</w:t>
      </w:r>
      <w:r>
        <w:t xml:space="preserve"> </w:t>
      </w:r>
      <w:hyperlink w:anchor="_Avenues_of_redress" w:history="1">
        <w:r w:rsidRPr="00EE487B">
          <w:rPr>
            <w:rStyle w:val="Hyperlink"/>
          </w:rPr>
          <w:t>Avenues of redress</w:t>
        </w:r>
      </w:hyperlink>
      <w:r>
        <w:t>)</w:t>
      </w:r>
    </w:p>
    <w:p w14:paraId="6FC77BBC" w14:textId="090980E8" w:rsidR="004E4CF8" w:rsidRDefault="00A22BC7" w:rsidP="00EE487B">
      <w:pPr>
        <w:pStyle w:val="ListParagraph"/>
      </w:pPr>
      <w:r>
        <w:t>Whilst there is a functioning</w:t>
      </w:r>
      <w:r w:rsidR="00521745">
        <w:t xml:space="preserve"> independent</w:t>
      </w:r>
      <w:r>
        <w:t xml:space="preserve"> </w:t>
      </w:r>
      <w:r w:rsidR="00EE487B">
        <w:t xml:space="preserve">judicial system, </w:t>
      </w:r>
      <w:r w:rsidR="00F16D68">
        <w:t xml:space="preserve">public trials, presumption of innocence and free legal counsel, </w:t>
      </w:r>
      <w:r w:rsidR="00EE487B">
        <w:t>t</w:t>
      </w:r>
      <w:r w:rsidR="007A1CE8">
        <w:t>he effectiveness of the judiciary is limited due to severe</w:t>
      </w:r>
      <w:r w:rsidR="00F16D68">
        <w:t xml:space="preserve"> delays and </w:t>
      </w:r>
      <w:r w:rsidR="007A1CE8">
        <w:t>backlogs and under-staffing</w:t>
      </w:r>
      <w:r w:rsidR="00EE487B">
        <w:t xml:space="preserve">, </w:t>
      </w:r>
      <w:r w:rsidR="00EE487B" w:rsidRPr="00EE487B">
        <w:t xml:space="preserve">resulting in people on remand spending long periods in </w:t>
      </w:r>
      <w:r w:rsidR="00EE487B">
        <w:t xml:space="preserve">pre-trial </w:t>
      </w:r>
      <w:r w:rsidR="00EE487B" w:rsidRPr="00EE487B">
        <w:t>detention</w:t>
      </w:r>
      <w:r w:rsidR="00EE487B">
        <w:t>. C</w:t>
      </w:r>
      <w:r w:rsidR="007A1CE8">
        <w:t>orruption within the judiciary</w:t>
      </w:r>
      <w:r w:rsidR="00672D1B">
        <w:t>, particularly at the lower levels,</w:t>
      </w:r>
      <w:r w:rsidR="007A1CE8">
        <w:t xml:space="preserve"> is widespread</w:t>
      </w:r>
      <w:r w:rsidR="006369AA">
        <w:t>.</w:t>
      </w:r>
      <w:r w:rsidR="006369AA" w:rsidRPr="006369AA">
        <w:t xml:space="preserve"> </w:t>
      </w:r>
      <w:r w:rsidR="006369AA">
        <w:t>The current justice system either delays or denies justice in many instances especially against marginalised, poor and vulnerable groups</w:t>
      </w:r>
      <w:r w:rsidR="00517744">
        <w:t xml:space="preserve"> (see </w:t>
      </w:r>
      <w:hyperlink w:anchor="_Rule_of_law" w:history="1">
        <w:r w:rsidR="00517744" w:rsidRPr="00517744">
          <w:rPr>
            <w:rStyle w:val="Hyperlink"/>
          </w:rPr>
          <w:t>Rule of law and the judiciary</w:t>
        </w:r>
      </w:hyperlink>
      <w:r w:rsidR="00517744">
        <w:t>)</w:t>
      </w:r>
      <w:r w:rsidR="007A1CE8">
        <w:t>.</w:t>
      </w:r>
    </w:p>
    <w:p w14:paraId="2B4265F2" w14:textId="34F948E8" w:rsidR="004E4CF8" w:rsidRDefault="006369AA" w:rsidP="00EE487B">
      <w:pPr>
        <w:pStyle w:val="ListParagraph"/>
      </w:pPr>
      <w:r>
        <w:t>Despite some failings, i</w:t>
      </w:r>
      <w:r w:rsidR="004E4CF8" w:rsidRPr="00485E21">
        <w:t xml:space="preserve">n general, the state appears both willing and able to offer effective protection. </w:t>
      </w:r>
      <w:r w:rsidR="001C57AA">
        <w:t xml:space="preserve">Protection may not be available in conflict areas </w:t>
      </w:r>
      <w:r w:rsidR="001C57AA">
        <w:lastRenderedPageBreak/>
        <w:t xml:space="preserve">where armed insurgent or terrorist groups are active, or in cases of gender-based violence (see the </w:t>
      </w:r>
      <w:hyperlink r:id="rId26" w:history="1">
        <w:r w:rsidR="001C57AA" w:rsidRPr="001C57AA">
          <w:rPr>
            <w:rStyle w:val="Hyperlink"/>
          </w:rPr>
          <w:t>Country Policy and Information Note on India: Women fearing gender-based violence</w:t>
        </w:r>
      </w:hyperlink>
      <w:r w:rsidR="001C57AA">
        <w:t xml:space="preserve">). </w:t>
      </w:r>
      <w:r w:rsidR="004E4CF8" w:rsidRPr="00485E21">
        <w:t xml:space="preserve">A person’s reluctance to seek protection does not necessarily mean that effective protection is not available. It should be noted that protection does not </w:t>
      </w:r>
      <w:r>
        <w:t>lead to eliminating</w:t>
      </w:r>
      <w:r w:rsidR="004E4CF8" w:rsidRPr="00485E21">
        <w:t xml:space="preserve"> the risk of discrimination and violence. Decision makers must consider each case on its facts</w:t>
      </w:r>
      <w:r w:rsidR="000F271C">
        <w:t xml:space="preserve"> including any past persecution and past lack of effective protection which may indicate that effective protection wou</w:t>
      </w:r>
      <w:r w:rsidR="0009783C">
        <w:t>l</w:t>
      </w:r>
      <w:r w:rsidR="000F271C">
        <w:t>d not be available in the future</w:t>
      </w:r>
      <w:r w:rsidR="000F271C" w:rsidRPr="00485E21">
        <w:t>.</w:t>
      </w:r>
      <w:r w:rsidR="004E4CF8" w:rsidRPr="00485E21">
        <w:t xml:space="preserve"> The onus is on the person to demonstrate why they would not be able to seek and obtain state protection.</w:t>
      </w:r>
    </w:p>
    <w:p w14:paraId="502D4F9F" w14:textId="0983BB92" w:rsidR="00DA784B" w:rsidRDefault="00DA784B" w:rsidP="00EE487B">
      <w:pPr>
        <w:pStyle w:val="ListParagraph"/>
      </w:pPr>
      <w:r>
        <w:t xml:space="preserve">For further information on effective protection for minority groups, including religious minorities, gay men and lesbians, and women, see the Country Policy Information Notes on </w:t>
      </w:r>
      <w:hyperlink r:id="rId27" w:history="1">
        <w:r w:rsidRPr="0079217F">
          <w:rPr>
            <w:rStyle w:val="Hyperlink"/>
          </w:rPr>
          <w:t>India: Religious minorities</w:t>
        </w:r>
        <w:r>
          <w:rPr>
            <w:rStyle w:val="Hyperlink"/>
            <w:color w:val="auto"/>
            <w:u w:val="none"/>
          </w:rPr>
          <w:t xml:space="preserve">, </w:t>
        </w:r>
        <w:r w:rsidRPr="00FE1B67">
          <w:rPr>
            <w:rStyle w:val="Hyperlink"/>
          </w:rPr>
          <w:t>India: Sexual orientation and gender identity</w:t>
        </w:r>
        <w:r>
          <w:rPr>
            <w:rStyle w:val="Hyperlink"/>
            <w:color w:val="auto"/>
            <w:u w:val="none"/>
          </w:rPr>
          <w:t xml:space="preserve"> </w:t>
        </w:r>
        <w:r w:rsidRPr="00D0176F">
          <w:rPr>
            <w:rStyle w:val="Hyperlink"/>
            <w:color w:val="auto"/>
            <w:u w:val="none"/>
          </w:rPr>
          <w:t xml:space="preserve">and </w:t>
        </w:r>
        <w:r w:rsidRPr="0079217F">
          <w:rPr>
            <w:rStyle w:val="Hyperlink"/>
          </w:rPr>
          <w:t>India: Women fearing gender-based violence</w:t>
        </w:r>
      </w:hyperlink>
      <w:r>
        <w:t>.</w:t>
      </w:r>
    </w:p>
    <w:p w14:paraId="0BBC68D8" w14:textId="28AEB7F3" w:rsidR="00790EBA" w:rsidRPr="00233A64" w:rsidRDefault="004E4CF8" w:rsidP="00EE487B">
      <w:pPr>
        <w:pStyle w:val="ListParagraph"/>
      </w:pPr>
      <w:r w:rsidRPr="005F2FE9">
        <w:t xml:space="preserve">For further guidance on assessing the availability of state protection, see the </w:t>
      </w:r>
      <w:hyperlink r:id="rId28" w:history="1">
        <w:r w:rsidRPr="005F2FE9">
          <w:rPr>
            <w:color w:val="0000FF" w:themeColor="hyperlink"/>
            <w:u w:val="single"/>
          </w:rPr>
          <w:t>Asylum Instruction on Assessing Credibility and Refugee Status</w:t>
        </w:r>
      </w:hyperlink>
      <w:r>
        <w:t>.</w:t>
      </w:r>
      <w:r w:rsidR="007A1CE8">
        <w:t xml:space="preserve"> </w:t>
      </w:r>
      <w:r w:rsidR="00790EBA">
        <w:t xml:space="preserve"> </w:t>
      </w:r>
    </w:p>
    <w:p w14:paraId="0CD151A3" w14:textId="7A58768E" w:rsidR="00A11C1B" w:rsidRDefault="00000000" w:rsidP="00233A64">
      <w:pPr>
        <w:jc w:val="right"/>
        <w:rPr>
          <w:rFonts w:eastAsiaTheme="majorEastAsia" w:cstheme="majorBidi"/>
          <w:bCs/>
          <w:color w:val="7030A0"/>
          <w:sz w:val="52"/>
          <w:szCs w:val="28"/>
        </w:rPr>
      </w:pPr>
      <w:hyperlink w:anchor="contents" w:history="1">
        <w:r w:rsidR="00EA3BC4" w:rsidRPr="006B4863">
          <w:rPr>
            <w:rStyle w:val="Hyperlink"/>
            <w:szCs w:val="24"/>
          </w:rPr>
          <w:t>Back to Contents</w:t>
        </w:r>
      </w:hyperlink>
      <w:bookmarkStart w:id="20" w:name="_Country_information"/>
      <w:bookmarkStart w:id="21" w:name="_Toc500775370"/>
      <w:bookmarkStart w:id="22" w:name="_Toc409598708"/>
      <w:bookmarkEnd w:id="20"/>
    </w:p>
    <w:p w14:paraId="7456BF4D" w14:textId="32F1994B" w:rsidR="00EA3BC4" w:rsidRDefault="00790EBA" w:rsidP="00117282">
      <w:pPr>
        <w:pStyle w:val="Heading1"/>
      </w:pPr>
      <w:bookmarkStart w:id="23" w:name="_Country_information_1"/>
      <w:bookmarkEnd w:id="23"/>
      <w:r>
        <w:br w:type="page"/>
      </w:r>
      <w:bookmarkStart w:id="24" w:name="_Toc536000973"/>
      <w:r w:rsidR="00EA3BC4">
        <w:lastRenderedPageBreak/>
        <w:t>Country information</w:t>
      </w:r>
      <w:bookmarkEnd w:id="21"/>
      <w:bookmarkEnd w:id="24"/>
    </w:p>
    <w:p w14:paraId="18D4DDE7" w14:textId="068AD3DF" w:rsidR="00131BEC" w:rsidRPr="00AF62ED" w:rsidRDefault="009C0997" w:rsidP="00131BEC">
      <w:pPr>
        <w:jc w:val="right"/>
      </w:pPr>
      <w:bookmarkStart w:id="25" w:name="_Toc500775371"/>
      <w:r>
        <w:rPr>
          <w:color w:val="7030A0"/>
        </w:rPr>
        <w:t>Section 3</w:t>
      </w:r>
      <w:r w:rsidR="00131BEC">
        <w:rPr>
          <w:color w:val="7030A0"/>
        </w:rPr>
        <w:t xml:space="preserve"> u</w:t>
      </w:r>
      <w:r w:rsidR="00131BEC" w:rsidRPr="00AF62ED">
        <w:rPr>
          <w:color w:val="7030A0"/>
        </w:rPr>
        <w:t xml:space="preserve">pdated: </w:t>
      </w:r>
      <w:r w:rsidR="001C57AA">
        <w:rPr>
          <w:color w:val="7030A0"/>
        </w:rPr>
        <w:t>1</w:t>
      </w:r>
      <w:r w:rsidR="00F036FD">
        <w:rPr>
          <w:color w:val="7030A0"/>
        </w:rPr>
        <w:t>8</w:t>
      </w:r>
      <w:r w:rsidR="001C57AA">
        <w:rPr>
          <w:color w:val="7030A0"/>
        </w:rPr>
        <w:t xml:space="preserve"> December</w:t>
      </w:r>
      <w:r w:rsidR="00C81744">
        <w:rPr>
          <w:color w:val="7030A0"/>
        </w:rPr>
        <w:t xml:space="preserve"> 2018</w:t>
      </w:r>
    </w:p>
    <w:p w14:paraId="0BA7BAC0" w14:textId="77777777" w:rsidR="007C2761" w:rsidRDefault="007C2761" w:rsidP="007C2761">
      <w:pPr>
        <w:pStyle w:val="Heading2"/>
      </w:pPr>
      <w:bookmarkStart w:id="26" w:name="_Security_apparatus"/>
      <w:bookmarkStart w:id="27" w:name="_Toc536000974"/>
      <w:bookmarkEnd w:id="26"/>
      <w:r w:rsidRPr="007C2761">
        <w:t>Security apparatus</w:t>
      </w:r>
      <w:bookmarkEnd w:id="27"/>
      <w:r w:rsidRPr="007C2761">
        <w:t xml:space="preserve">  </w:t>
      </w:r>
    </w:p>
    <w:p w14:paraId="6E0998F3" w14:textId="0E558247" w:rsidR="000229E1" w:rsidRDefault="00F70DA9" w:rsidP="007C2761">
      <w:pPr>
        <w:pStyle w:val="Heading3"/>
      </w:pPr>
      <w:bookmarkStart w:id="28" w:name="_Toc536000975"/>
      <w:r>
        <w:t>State police forces</w:t>
      </w:r>
      <w:bookmarkEnd w:id="28"/>
    </w:p>
    <w:p w14:paraId="4D669EF9" w14:textId="165BA44E" w:rsidR="00097BDE" w:rsidRDefault="000229E1" w:rsidP="009902AA">
      <w:pPr>
        <w:pStyle w:val="ListParagraph"/>
      </w:pPr>
      <w:r w:rsidRPr="000229E1">
        <w:t>Under the Constitution,</w:t>
      </w:r>
      <w:r>
        <w:t xml:space="preserve"> the 29 states and 7 union territories</w:t>
      </w:r>
      <w:r w:rsidR="00301393">
        <w:t xml:space="preserve"> (UTs)</w:t>
      </w:r>
      <w:r>
        <w:t xml:space="preserve"> have</w:t>
      </w:r>
      <w:r w:rsidRPr="000229E1">
        <w:t xml:space="preserve"> primary responsibility for </w:t>
      </w:r>
      <w:r w:rsidR="00107172">
        <w:t>cri</w:t>
      </w:r>
      <w:r w:rsidR="00F036FD">
        <w:t>me prevention and investigation</w:t>
      </w:r>
      <w:r w:rsidR="00107172">
        <w:t xml:space="preserve"> and </w:t>
      </w:r>
      <w:r w:rsidRPr="000229E1">
        <w:t>main</w:t>
      </w:r>
      <w:r w:rsidR="00107172">
        <w:t>taining law and order</w:t>
      </w:r>
      <w:r w:rsidR="00107172" w:rsidRPr="00984A32">
        <w:rPr>
          <w:rStyle w:val="FootnoteReference"/>
        </w:rPr>
        <w:footnoteReference w:id="2"/>
      </w:r>
      <w:r w:rsidR="00107172">
        <w:t xml:space="preserve"> </w:t>
      </w:r>
      <w:r w:rsidR="00107172">
        <w:rPr>
          <w:rStyle w:val="FootnoteReference"/>
        </w:rPr>
        <w:footnoteReference w:id="3"/>
      </w:r>
      <w:r w:rsidR="00107172">
        <w:t xml:space="preserve">. </w:t>
      </w:r>
      <w:r w:rsidR="00097BDE">
        <w:t>However, t</w:t>
      </w:r>
      <w:r w:rsidR="009902AA" w:rsidRPr="009902AA">
        <w:t>he Ministry of Home Affairs is responsible for the internal security of the country as a whole. It oversees the recruitment and management of the national Indian Police Service</w:t>
      </w:r>
      <w:r w:rsidR="0009783C">
        <w:t xml:space="preserve"> [for senior officers</w:t>
      </w:r>
      <w:r w:rsidR="0009783C">
        <w:rPr>
          <w:rStyle w:val="FootnoteReference"/>
        </w:rPr>
        <w:footnoteReference w:id="4"/>
      </w:r>
      <w:r w:rsidR="0009783C">
        <w:t>]</w:t>
      </w:r>
      <w:r w:rsidR="009902AA" w:rsidRPr="009902AA">
        <w:t xml:space="preserve"> and </w:t>
      </w:r>
      <w:r w:rsidR="0009783C">
        <w:t>c</w:t>
      </w:r>
      <w:r w:rsidR="009902AA" w:rsidRPr="009902AA">
        <w:t xml:space="preserve">entral </w:t>
      </w:r>
      <w:r w:rsidR="0009783C">
        <w:t>p</w:t>
      </w:r>
      <w:r w:rsidR="009902AA" w:rsidRPr="009902AA">
        <w:t xml:space="preserve">olice </w:t>
      </w:r>
      <w:r w:rsidR="0009783C">
        <w:t>o</w:t>
      </w:r>
      <w:r w:rsidR="009902AA" w:rsidRPr="009902AA">
        <w:t>rganisations, coordinates the activities of various state police organisations, and provides financial assistance to state police forces</w:t>
      </w:r>
      <w:r w:rsidR="00587DF9">
        <w:rPr>
          <w:rStyle w:val="FootnoteReference"/>
        </w:rPr>
        <w:footnoteReference w:id="5"/>
      </w:r>
      <w:r w:rsidR="009902AA" w:rsidRPr="009902AA">
        <w:t xml:space="preserve">. </w:t>
      </w:r>
      <w:r w:rsidR="00107172">
        <w:t>E</w:t>
      </w:r>
      <w:r>
        <w:t>ach state and union territory has its own police force</w:t>
      </w:r>
      <w:r w:rsidR="00D1049B">
        <w:rPr>
          <w:rStyle w:val="FootnoteReference"/>
        </w:rPr>
        <w:footnoteReference w:id="6"/>
      </w:r>
      <w:r>
        <w:t xml:space="preserve">. </w:t>
      </w:r>
    </w:p>
    <w:p w14:paraId="2BAAEC51" w14:textId="662CB939" w:rsidR="007C2761" w:rsidRDefault="00C22E34" w:rsidP="000F271C">
      <w:pPr>
        <w:pStyle w:val="ListParagraph"/>
      </w:pPr>
      <w:r>
        <w:t xml:space="preserve">National statistics </w:t>
      </w:r>
      <w:r w:rsidR="00301393">
        <w:t>provided a breakdown of the number of police in each state and UT</w:t>
      </w:r>
      <w:r w:rsidR="008252AD">
        <w:t xml:space="preserve"> in 2014</w:t>
      </w:r>
      <w:r w:rsidR="008252AD">
        <w:rPr>
          <w:rStyle w:val="FootnoteReference"/>
        </w:rPr>
        <w:footnoteReference w:id="7"/>
      </w:r>
      <w:r>
        <w:t>. As of 2016,</w:t>
      </w:r>
      <w:r w:rsidR="008217A9">
        <w:t xml:space="preserve"> the total strength of the police force</w:t>
      </w:r>
      <w:r w:rsidR="00E8206E">
        <w:t xml:space="preserve"> (civil and armed)</w:t>
      </w:r>
      <w:r w:rsidR="00097BDE">
        <w:t xml:space="preserve"> throughout the country</w:t>
      </w:r>
      <w:r w:rsidR="008252AD">
        <w:t xml:space="preserve"> was 1,731,66</w:t>
      </w:r>
      <w:r w:rsidR="00BB1737">
        <w:t xml:space="preserve">6, accounting for </w:t>
      </w:r>
      <w:r w:rsidR="008252AD">
        <w:t>137</w:t>
      </w:r>
      <w:r w:rsidR="00BB1737">
        <w:t xml:space="preserve"> police officers per 1</w:t>
      </w:r>
      <w:r w:rsidR="008252AD">
        <w:t>00</w:t>
      </w:r>
      <w:r w:rsidR="00BB1737">
        <w:t xml:space="preserve">,000 </w:t>
      </w:r>
      <w:r w:rsidR="008252AD">
        <w:t>people</w:t>
      </w:r>
      <w:r w:rsidR="00196F13" w:rsidRPr="00196F13">
        <w:rPr>
          <w:rStyle w:val="FootnoteReference"/>
        </w:rPr>
        <w:t xml:space="preserve"> </w:t>
      </w:r>
      <w:r w:rsidR="00196F13">
        <w:rPr>
          <w:rStyle w:val="FootnoteReference"/>
        </w:rPr>
        <w:footnoteReference w:id="8"/>
      </w:r>
      <w:r w:rsidR="008252AD">
        <w:t xml:space="preserve">. </w:t>
      </w:r>
      <w:r w:rsidR="000F271C">
        <w:t>T</w:t>
      </w:r>
      <w:r w:rsidR="000F271C" w:rsidRPr="000F271C">
        <w:t>he United Nations recommended standard</w:t>
      </w:r>
      <w:r w:rsidR="000F271C">
        <w:t xml:space="preserve"> is 222 police per 100,000 persons</w:t>
      </w:r>
      <w:r w:rsidR="000F271C">
        <w:rPr>
          <w:rStyle w:val="FootnoteReference"/>
        </w:rPr>
        <w:footnoteReference w:id="9"/>
      </w:r>
      <w:r w:rsidR="00196F13">
        <w:t xml:space="preserve">. </w:t>
      </w:r>
      <w:r w:rsidR="008252AD">
        <w:t>The majority of the police force (86%) was at a constabulary level</w:t>
      </w:r>
      <w:r w:rsidR="000F271C">
        <w:t xml:space="preserve">, </w:t>
      </w:r>
      <w:r w:rsidR="000F271C" w:rsidRPr="000F271C">
        <w:t>possibly weakening their incentive to perform well with lack of real prospect of promotion</w:t>
      </w:r>
      <w:r w:rsidR="008252AD">
        <w:rPr>
          <w:rStyle w:val="FootnoteReference"/>
        </w:rPr>
        <w:footnoteReference w:id="10"/>
      </w:r>
      <w:r w:rsidR="008217A9">
        <w:t>.</w:t>
      </w:r>
    </w:p>
    <w:p w14:paraId="40AB7E52" w14:textId="7E5B01A7" w:rsidR="004B576D" w:rsidRDefault="00107172" w:rsidP="008252AD">
      <w:pPr>
        <w:pStyle w:val="ListParagraph"/>
      </w:pPr>
      <w:r>
        <w:t>A 2017 report by the India-based Institute for Policy Research Studies (PRS) stated</w:t>
      </w:r>
      <w:r w:rsidR="00C22E34">
        <w:t xml:space="preserve"> ‘</w:t>
      </w:r>
      <w:r w:rsidR="00C22E34" w:rsidRPr="00C22E34">
        <w:t>The civil police is responsible for day-to-day law and order and crime control</w:t>
      </w:r>
      <w:r w:rsidR="00C22E34">
        <w:t xml:space="preserve">... </w:t>
      </w:r>
      <w:r w:rsidR="008252AD" w:rsidRPr="008252AD">
        <w:t>Every state is divided into various field units for the purpose of effective policing: zones, ranges, districts, sub-divisions or circles, police stations and outposts.</w:t>
      </w:r>
      <w:r w:rsidR="008252AD">
        <w:t>’</w:t>
      </w:r>
      <w:r w:rsidR="008252AD">
        <w:rPr>
          <w:rStyle w:val="FootnoteReference"/>
        </w:rPr>
        <w:footnoteReference w:id="11"/>
      </w:r>
    </w:p>
    <w:p w14:paraId="045B5BA2" w14:textId="55D586EE" w:rsidR="003B068D" w:rsidRDefault="00000000" w:rsidP="003B068D">
      <w:pPr>
        <w:jc w:val="right"/>
      </w:pPr>
      <w:hyperlink w:anchor="contents" w:history="1">
        <w:r w:rsidR="003B068D" w:rsidRPr="006B4863">
          <w:rPr>
            <w:rStyle w:val="Hyperlink"/>
            <w:szCs w:val="24"/>
          </w:rPr>
          <w:t>Back to Contents</w:t>
        </w:r>
      </w:hyperlink>
    </w:p>
    <w:p w14:paraId="5D752460" w14:textId="1D3C512E" w:rsidR="00F70DA9" w:rsidRDefault="00F70DA9" w:rsidP="007C2761">
      <w:pPr>
        <w:pStyle w:val="Heading3"/>
      </w:pPr>
      <w:bookmarkStart w:id="30" w:name="_Toc536000976"/>
      <w:r>
        <w:t>Central police forces</w:t>
      </w:r>
      <w:bookmarkEnd w:id="30"/>
    </w:p>
    <w:p w14:paraId="2E030257" w14:textId="538CBCF5" w:rsidR="00F70DA9" w:rsidRDefault="00771D1E" w:rsidP="00F70DA9">
      <w:pPr>
        <w:pStyle w:val="ListParagraph"/>
      </w:pPr>
      <w:r>
        <w:t>The Ministry of Home Affairs oversees the functioning of India’s central armed police and paramilitary forces</w:t>
      </w:r>
      <w:r w:rsidRPr="00984A32">
        <w:rPr>
          <w:rStyle w:val="FootnoteReference"/>
        </w:rPr>
        <w:footnoteReference w:id="12"/>
      </w:r>
      <w:r>
        <w:t xml:space="preserve">. </w:t>
      </w:r>
      <w:r w:rsidR="00F70DA9">
        <w:t>The PRS report outlined</w:t>
      </w:r>
      <w:r>
        <w:t xml:space="preserve"> India’s border and special police forces, which</w:t>
      </w:r>
      <w:r w:rsidR="001B21B4">
        <w:t>, as of 2016,</w:t>
      </w:r>
      <w:r>
        <w:t xml:space="preserve"> had approximately 9</w:t>
      </w:r>
      <w:r w:rsidR="00CD31C5">
        <w:t>05</w:t>
      </w:r>
      <w:r>
        <w:t>,000 personnel</w:t>
      </w:r>
      <w:r w:rsidR="00F70DA9">
        <w:t>:</w:t>
      </w:r>
    </w:p>
    <w:p w14:paraId="306D3BEF" w14:textId="6C31769E" w:rsidR="00F70DA9" w:rsidRDefault="00F70DA9" w:rsidP="00F70DA9">
      <w:pPr>
        <w:pStyle w:val="ListParagraph"/>
        <w:numPr>
          <w:ilvl w:val="0"/>
          <w:numId w:val="12"/>
        </w:numPr>
      </w:pPr>
      <w:r>
        <w:t xml:space="preserve">Assam Rifles (AR): Guards India’s borders with </w:t>
      </w:r>
      <w:proofErr w:type="gramStart"/>
      <w:r>
        <w:t>Myanmar;</w:t>
      </w:r>
      <w:proofErr w:type="gramEnd"/>
    </w:p>
    <w:p w14:paraId="626DD203" w14:textId="3398508C" w:rsidR="00F70DA9" w:rsidRDefault="00F70DA9" w:rsidP="00F70DA9">
      <w:pPr>
        <w:pStyle w:val="ListParagraph"/>
        <w:numPr>
          <w:ilvl w:val="0"/>
          <w:numId w:val="12"/>
        </w:numPr>
      </w:pPr>
      <w:r>
        <w:t xml:space="preserve">Border Security Force (BSF): Guards India’s borders with Pakistan and </w:t>
      </w:r>
      <w:proofErr w:type="gramStart"/>
      <w:r>
        <w:t>Bangladesh;</w:t>
      </w:r>
      <w:proofErr w:type="gramEnd"/>
      <w:r>
        <w:t xml:space="preserve"> </w:t>
      </w:r>
    </w:p>
    <w:p w14:paraId="42952946" w14:textId="70D8D66F" w:rsidR="00F70DA9" w:rsidRDefault="00F70DA9" w:rsidP="00F70DA9">
      <w:pPr>
        <w:pStyle w:val="ListParagraph"/>
        <w:numPr>
          <w:ilvl w:val="0"/>
          <w:numId w:val="12"/>
        </w:numPr>
      </w:pPr>
      <w:r>
        <w:lastRenderedPageBreak/>
        <w:t xml:space="preserve">Indo Tibetan Border Police Force (ITBP): Guards the border with </w:t>
      </w:r>
      <w:proofErr w:type="gramStart"/>
      <w:r>
        <w:t>China;</w:t>
      </w:r>
      <w:proofErr w:type="gramEnd"/>
    </w:p>
    <w:p w14:paraId="5DE18B7E" w14:textId="667665E1" w:rsidR="00F70DA9" w:rsidRDefault="00F70DA9" w:rsidP="00F70DA9">
      <w:pPr>
        <w:pStyle w:val="ListParagraph"/>
        <w:numPr>
          <w:ilvl w:val="0"/>
          <w:numId w:val="12"/>
        </w:numPr>
      </w:pPr>
      <w:r>
        <w:t xml:space="preserve">Sashastra Seema Bal (SSB): Guards India’s borders with Nepal and </w:t>
      </w:r>
      <w:proofErr w:type="gramStart"/>
      <w:r>
        <w:t>Bhutan;</w:t>
      </w:r>
      <w:proofErr w:type="gramEnd"/>
      <w:r>
        <w:t xml:space="preserve">   </w:t>
      </w:r>
    </w:p>
    <w:p w14:paraId="2C20B071" w14:textId="5BBEE805" w:rsidR="00F70DA9" w:rsidRDefault="00F70DA9" w:rsidP="00F70DA9">
      <w:pPr>
        <w:pStyle w:val="ListParagraph"/>
        <w:numPr>
          <w:ilvl w:val="0"/>
          <w:numId w:val="12"/>
        </w:numPr>
      </w:pPr>
      <w:r>
        <w:t xml:space="preserve">Central Industrial Security Force (CISF): Provides security to critical infrastructure installations, such as airports, atomic power plants, defence production units and oil </w:t>
      </w:r>
      <w:proofErr w:type="gramStart"/>
      <w:r>
        <w:t>fields;</w:t>
      </w:r>
      <w:proofErr w:type="gramEnd"/>
      <w:r>
        <w:t xml:space="preserve">   </w:t>
      </w:r>
    </w:p>
    <w:p w14:paraId="7D1D9D17" w14:textId="68352BCF" w:rsidR="00F70DA9" w:rsidRDefault="00F70DA9" w:rsidP="00F70DA9">
      <w:pPr>
        <w:pStyle w:val="ListParagraph"/>
        <w:numPr>
          <w:ilvl w:val="0"/>
          <w:numId w:val="12"/>
        </w:numPr>
      </w:pPr>
      <w:r>
        <w:t>Central Reserve Police Force (CRPF): Deployed for law and o</w:t>
      </w:r>
      <w:r w:rsidR="001C57AA">
        <w:t xml:space="preserve">rder, </w:t>
      </w:r>
      <w:proofErr w:type="gramStart"/>
      <w:r w:rsidR="001C57AA">
        <w:t>counter-insurgency</w:t>
      </w:r>
      <w:proofErr w:type="gramEnd"/>
      <w:r w:rsidR="001C57AA">
        <w:t>, anti-N</w:t>
      </w:r>
      <w:r>
        <w:t xml:space="preserve">axal and communal violence operations;   </w:t>
      </w:r>
    </w:p>
    <w:p w14:paraId="5841BA04" w14:textId="3A8BEF8C" w:rsidR="00F70DA9" w:rsidRDefault="00F70DA9" w:rsidP="00F70DA9">
      <w:pPr>
        <w:pStyle w:val="ListParagraph"/>
        <w:numPr>
          <w:ilvl w:val="0"/>
          <w:numId w:val="12"/>
        </w:numPr>
      </w:pPr>
      <w:r>
        <w:t xml:space="preserve">National Security Guards (NSG): Specialised in carrying out </w:t>
      </w:r>
      <w:proofErr w:type="gramStart"/>
      <w:r>
        <w:t>counter-terrorism</w:t>
      </w:r>
      <w:proofErr w:type="gramEnd"/>
      <w:r>
        <w:t>, counter-hijacking and hostage-rescue operations. In addition, it provides VIP security and security for important events</w:t>
      </w:r>
      <w:r>
        <w:rPr>
          <w:rStyle w:val="FootnoteReference"/>
        </w:rPr>
        <w:footnoteReference w:id="13"/>
      </w:r>
      <w:r>
        <w:t>.</w:t>
      </w:r>
    </w:p>
    <w:p w14:paraId="2571A47A" w14:textId="287325AD" w:rsidR="003B068D" w:rsidRPr="00F70DA9" w:rsidRDefault="00000000" w:rsidP="003B068D">
      <w:pPr>
        <w:jc w:val="right"/>
      </w:pPr>
      <w:hyperlink w:anchor="contents" w:history="1">
        <w:r w:rsidR="003B068D" w:rsidRPr="006B4863">
          <w:rPr>
            <w:rStyle w:val="Hyperlink"/>
            <w:szCs w:val="24"/>
          </w:rPr>
          <w:t>Back to Contents</w:t>
        </w:r>
      </w:hyperlink>
    </w:p>
    <w:p w14:paraId="10E0142D" w14:textId="77777777" w:rsidR="00694587" w:rsidRDefault="007C2761" w:rsidP="007C2761">
      <w:pPr>
        <w:pStyle w:val="Heading3"/>
      </w:pPr>
      <w:bookmarkStart w:id="31" w:name="_Toc536000977"/>
      <w:r w:rsidRPr="007C2761">
        <w:t>Intelligence agencies</w:t>
      </w:r>
      <w:bookmarkEnd w:id="31"/>
    </w:p>
    <w:p w14:paraId="34D6FEF2" w14:textId="77777777" w:rsidR="00694587" w:rsidRDefault="00694587" w:rsidP="00694587">
      <w:pPr>
        <w:pStyle w:val="ListParagraph"/>
      </w:pPr>
      <w:r>
        <w:t>The central government maintains the country’s intelligence agencies:</w:t>
      </w:r>
    </w:p>
    <w:p w14:paraId="5E2F7803" w14:textId="6BB43E3C" w:rsidR="00694587" w:rsidRDefault="00694587" w:rsidP="00694587">
      <w:pPr>
        <w:pStyle w:val="ListParagraph"/>
        <w:numPr>
          <w:ilvl w:val="0"/>
          <w:numId w:val="13"/>
        </w:numPr>
      </w:pPr>
      <w:r w:rsidRPr="00694587">
        <w:t>Intelligence Bureau (IB): the central intelligence agency for all matters related to internal security, including espi</w:t>
      </w:r>
      <w:r w:rsidR="001C57AA">
        <w:t xml:space="preserve">onage, insurgency and </w:t>
      </w:r>
      <w:proofErr w:type="gramStart"/>
      <w:r w:rsidR="001C57AA">
        <w:t>terrorism;</w:t>
      </w:r>
      <w:proofErr w:type="gramEnd"/>
    </w:p>
    <w:p w14:paraId="36CD4439" w14:textId="6DE91729" w:rsidR="00694587" w:rsidRDefault="00694587" w:rsidP="00694587">
      <w:pPr>
        <w:pStyle w:val="ListParagraph"/>
        <w:numPr>
          <w:ilvl w:val="0"/>
          <w:numId w:val="13"/>
        </w:numPr>
      </w:pPr>
      <w:r w:rsidRPr="00694587">
        <w:t xml:space="preserve">Central Bureau of Investigation (CBI): an investigating agency set up under the Delhi Special Police Establishment Act, 1946. It is responsible for investigating serious crimes having all India or inter-state ramifications, such as those related to corruption, financial scams and serious fraud and organised crime (e.g., black marketing and profiteering in essential commodities). Typically, the CBI takes up an investigation: (i) on the order of the central government with the consent of state government, and (ii) on the order of the </w:t>
      </w:r>
      <w:r w:rsidR="001C57AA">
        <w:t xml:space="preserve">Supreme Court and High </w:t>
      </w:r>
      <w:proofErr w:type="gramStart"/>
      <w:r w:rsidR="001C57AA">
        <w:t>Courts;</w:t>
      </w:r>
      <w:proofErr w:type="gramEnd"/>
    </w:p>
    <w:p w14:paraId="274A092B" w14:textId="00EFA0B2" w:rsidR="003B068D" w:rsidRDefault="00694587" w:rsidP="00694587">
      <w:pPr>
        <w:pStyle w:val="ListParagraph"/>
        <w:numPr>
          <w:ilvl w:val="0"/>
          <w:numId w:val="13"/>
        </w:numPr>
      </w:pPr>
      <w:r w:rsidRPr="00694587">
        <w:t>National Investigatio</w:t>
      </w:r>
      <w:r>
        <w:t xml:space="preserve">n Agency (NIA): </w:t>
      </w:r>
      <w:r w:rsidRPr="00694587">
        <w:t>an investigating agency set up under the National Investigation Agency Act, 2008. It is responsible for investigating offences against the sovereignty, security and integrity of the country punishable under eight specified laws, such as the Unlawful Activities (Prevention) Act, 1967 and the Anti-Hijacking Act, 1982. NIA takes up an investigation on the order of the central government, either on the request of a state government or. on the central government’s own authority</w:t>
      </w:r>
      <w:r>
        <w:rPr>
          <w:rStyle w:val="FootnoteReference"/>
        </w:rPr>
        <w:footnoteReference w:id="14"/>
      </w:r>
      <w:r w:rsidRPr="00694587">
        <w:t>.</w:t>
      </w:r>
    </w:p>
    <w:p w14:paraId="699FBB7D" w14:textId="75D4476B" w:rsidR="007C2761" w:rsidRDefault="00000000" w:rsidP="003B068D">
      <w:pPr>
        <w:jc w:val="right"/>
      </w:pPr>
      <w:hyperlink w:anchor="contents" w:history="1">
        <w:r w:rsidR="003B068D" w:rsidRPr="006B4863">
          <w:rPr>
            <w:rStyle w:val="Hyperlink"/>
            <w:szCs w:val="24"/>
          </w:rPr>
          <w:t>Back to Contents</w:t>
        </w:r>
      </w:hyperlink>
      <w:r w:rsidR="007C2761" w:rsidRPr="007C2761">
        <w:t xml:space="preserve"> </w:t>
      </w:r>
    </w:p>
    <w:p w14:paraId="3D273E19" w14:textId="77777777" w:rsidR="00E13041" w:rsidRDefault="007C2761" w:rsidP="007C2761">
      <w:pPr>
        <w:pStyle w:val="Heading3"/>
      </w:pPr>
      <w:bookmarkStart w:id="32" w:name="_Toc536000978"/>
      <w:r w:rsidRPr="007C2761">
        <w:t>Armed forces</w:t>
      </w:r>
      <w:bookmarkEnd w:id="32"/>
    </w:p>
    <w:p w14:paraId="45D5B130" w14:textId="623BC09B" w:rsidR="005D7CB5" w:rsidRDefault="00F75A44" w:rsidP="00F75A44">
      <w:pPr>
        <w:pStyle w:val="ListParagraph"/>
      </w:pPr>
      <w:r w:rsidRPr="00F75A44">
        <w:t>The Indian Armed Forces</w:t>
      </w:r>
      <w:r w:rsidR="000F271C">
        <w:t xml:space="preserve"> i</w:t>
      </w:r>
      <w:r w:rsidR="0004705F">
        <w:t>s</w:t>
      </w:r>
      <w:r w:rsidRPr="00F75A44">
        <w:t xml:space="preserve"> comprise</w:t>
      </w:r>
      <w:r w:rsidR="0004705F">
        <w:t>d</w:t>
      </w:r>
      <w:r w:rsidRPr="00F75A44">
        <w:t xml:space="preserve"> of –</w:t>
      </w:r>
      <w:r w:rsidR="00117282">
        <w:t xml:space="preserve"> </w:t>
      </w:r>
      <w:r w:rsidR="005D7CB5">
        <w:t xml:space="preserve">the </w:t>
      </w:r>
      <w:r w:rsidR="00EF5E88">
        <w:t>a</w:t>
      </w:r>
      <w:r w:rsidRPr="00F75A44">
        <w:t>rmy,</w:t>
      </w:r>
      <w:r w:rsidR="005D7CB5">
        <w:t xml:space="preserve"> the</w:t>
      </w:r>
      <w:r w:rsidR="00117282">
        <w:t xml:space="preserve"> </w:t>
      </w:r>
      <w:r w:rsidR="00EF5E88">
        <w:t>n</w:t>
      </w:r>
      <w:r w:rsidRPr="00F75A44">
        <w:t xml:space="preserve">avy, and the </w:t>
      </w:r>
      <w:r w:rsidR="00EF5E88">
        <w:t>a</w:t>
      </w:r>
      <w:r w:rsidRPr="00F75A44">
        <w:t xml:space="preserve">ir </w:t>
      </w:r>
      <w:r w:rsidR="00EF5E88">
        <w:t>f</w:t>
      </w:r>
      <w:r w:rsidRPr="00F75A44">
        <w:t>orce</w:t>
      </w:r>
      <w:r>
        <w:rPr>
          <w:rStyle w:val="FootnoteReference"/>
        </w:rPr>
        <w:footnoteReference w:id="15"/>
      </w:r>
      <w:r w:rsidRPr="00F75A44">
        <w:t>.</w:t>
      </w:r>
      <w:r>
        <w:t xml:space="preserve"> </w:t>
      </w:r>
      <w:r w:rsidR="00F00E0D">
        <w:t>According to Global Fire Power’s 2018 report, India</w:t>
      </w:r>
      <w:r w:rsidR="004C145A">
        <w:t>’s total military strength was just over 4.2 million, with over 1.3 million active personnel and over 2.8 million reserves</w:t>
      </w:r>
      <w:r w:rsidR="004C145A">
        <w:rPr>
          <w:rStyle w:val="FootnoteReference"/>
        </w:rPr>
        <w:footnoteReference w:id="16"/>
      </w:r>
      <w:r w:rsidR="004C145A">
        <w:t xml:space="preserve">. </w:t>
      </w:r>
      <w:r w:rsidR="00576092">
        <w:t>IHS Jane’s estimated the armed forces</w:t>
      </w:r>
      <w:r w:rsidR="008D4F4B">
        <w:t>’</w:t>
      </w:r>
      <w:r w:rsidR="00576092">
        <w:t xml:space="preserve"> total strength, as of July 2017, was over 1.4 million, divided into the </w:t>
      </w:r>
      <w:r w:rsidR="00EF5E88">
        <w:t>a</w:t>
      </w:r>
      <w:r w:rsidR="00576092">
        <w:t xml:space="preserve">rmy – </w:t>
      </w:r>
      <w:r w:rsidR="00576092">
        <w:lastRenderedPageBreak/>
        <w:t xml:space="preserve">1,200,250; </w:t>
      </w:r>
      <w:r w:rsidR="008D4F4B">
        <w:t>a</w:t>
      </w:r>
      <w:r w:rsidR="00576092">
        <w:t xml:space="preserve">ir </w:t>
      </w:r>
      <w:r w:rsidR="008D4F4B">
        <w:t>f</w:t>
      </w:r>
      <w:r w:rsidR="00576092">
        <w:t xml:space="preserve">orce – 140,430; and </w:t>
      </w:r>
      <w:r w:rsidR="00EF5E88">
        <w:t>n</w:t>
      </w:r>
      <w:r w:rsidR="00576092">
        <w:t xml:space="preserve">avy – 67,800. Reserves in the army, which included the </w:t>
      </w:r>
      <w:r w:rsidR="00EF5E88">
        <w:t>t</w:t>
      </w:r>
      <w:r w:rsidR="00576092">
        <w:t xml:space="preserve">erritorial </w:t>
      </w:r>
      <w:r w:rsidR="00EF5E88">
        <w:t>a</w:t>
      </w:r>
      <w:r w:rsidR="00576092">
        <w:t>rmy, was estimated at 2 million</w:t>
      </w:r>
      <w:r w:rsidR="00576092">
        <w:rPr>
          <w:rStyle w:val="FootnoteReference"/>
        </w:rPr>
        <w:footnoteReference w:id="17"/>
      </w:r>
      <w:r w:rsidR="00576092">
        <w:t>.</w:t>
      </w:r>
      <w:r w:rsidR="00D01F48">
        <w:t xml:space="preserve"> </w:t>
      </w:r>
    </w:p>
    <w:p w14:paraId="43C1519F" w14:textId="37C619B9" w:rsidR="007C2761" w:rsidRDefault="00D01F48" w:rsidP="00F75A44">
      <w:pPr>
        <w:pStyle w:val="ListParagraph"/>
      </w:pPr>
      <w:r>
        <w:t>India has no compulsory military conscription</w:t>
      </w:r>
      <w:r w:rsidR="000D49EA">
        <w:rPr>
          <w:rStyle w:val="FootnoteReference"/>
        </w:rPr>
        <w:footnoteReference w:id="18"/>
      </w:r>
      <w:r>
        <w:t>.</w:t>
      </w:r>
    </w:p>
    <w:p w14:paraId="4986E27F" w14:textId="475C4179" w:rsidR="00D448D7" w:rsidRDefault="00000000" w:rsidP="00D448D7">
      <w:pPr>
        <w:jc w:val="right"/>
        <w:rPr>
          <w:rStyle w:val="Hyperlink"/>
          <w:szCs w:val="24"/>
        </w:rPr>
      </w:pPr>
      <w:hyperlink w:anchor="contents" w:history="1">
        <w:r w:rsidR="00D448D7" w:rsidRPr="006B4863">
          <w:rPr>
            <w:rStyle w:val="Hyperlink"/>
            <w:szCs w:val="24"/>
          </w:rPr>
          <w:t>Back to Contents</w:t>
        </w:r>
      </w:hyperlink>
    </w:p>
    <w:p w14:paraId="39484B9D" w14:textId="5EC818DA" w:rsidR="00755DE8" w:rsidRPr="003B068D" w:rsidRDefault="009C0997" w:rsidP="00755DE8">
      <w:pPr>
        <w:jc w:val="right"/>
      </w:pPr>
      <w:r>
        <w:rPr>
          <w:color w:val="7030A0"/>
        </w:rPr>
        <w:t>Section 4</w:t>
      </w:r>
      <w:r w:rsidR="00755DE8" w:rsidRPr="003B068D">
        <w:rPr>
          <w:color w:val="7030A0"/>
        </w:rPr>
        <w:t xml:space="preserve"> updated: </w:t>
      </w:r>
      <w:r w:rsidR="001C57AA">
        <w:rPr>
          <w:color w:val="7030A0"/>
        </w:rPr>
        <w:t>1</w:t>
      </w:r>
      <w:r w:rsidR="00F036FD">
        <w:rPr>
          <w:color w:val="7030A0"/>
        </w:rPr>
        <w:t>8</w:t>
      </w:r>
      <w:r w:rsidR="001C57AA">
        <w:rPr>
          <w:color w:val="7030A0"/>
        </w:rPr>
        <w:t xml:space="preserve"> December</w:t>
      </w:r>
      <w:r w:rsidR="00C81744">
        <w:rPr>
          <w:color w:val="7030A0"/>
        </w:rPr>
        <w:t xml:space="preserve"> 2018</w:t>
      </w:r>
    </w:p>
    <w:p w14:paraId="2589A2E0" w14:textId="2E354AEF" w:rsidR="00755DE8" w:rsidRDefault="00755DE8" w:rsidP="00755DE8">
      <w:pPr>
        <w:pStyle w:val="Heading2"/>
      </w:pPr>
      <w:bookmarkStart w:id="33" w:name="_Toc536000979"/>
      <w:r>
        <w:t>Arrest and detention</w:t>
      </w:r>
      <w:bookmarkEnd w:id="33"/>
    </w:p>
    <w:p w14:paraId="609DF4C6" w14:textId="277FB0BA" w:rsidR="000F271C" w:rsidRPr="00C97022" w:rsidRDefault="000F271C" w:rsidP="000F271C">
      <w:pPr>
        <w:pStyle w:val="ListParagraph"/>
        <w:numPr>
          <w:ilvl w:val="0"/>
          <w:numId w:val="0"/>
        </w:numPr>
        <w:ind w:left="851"/>
      </w:pPr>
      <w:r>
        <w:t xml:space="preserve">For information and guidance on prison conditions in India see the </w:t>
      </w:r>
      <w:hyperlink r:id="rId29" w:history="1">
        <w:r w:rsidRPr="000F271C">
          <w:rPr>
            <w:rStyle w:val="Hyperlink"/>
          </w:rPr>
          <w:t>Country Policy and Information Note on India: Prison conditions</w:t>
        </w:r>
      </w:hyperlink>
      <w:r>
        <w:t>.</w:t>
      </w:r>
    </w:p>
    <w:p w14:paraId="2C3A20E0" w14:textId="77777777" w:rsidR="00755DE8" w:rsidRPr="003B3C7E" w:rsidRDefault="00755DE8" w:rsidP="00755DE8">
      <w:pPr>
        <w:pStyle w:val="Heading3"/>
      </w:pPr>
      <w:bookmarkStart w:id="34" w:name="_Legal_rights"/>
      <w:bookmarkStart w:id="35" w:name="_Toc536000980"/>
      <w:bookmarkEnd w:id="34"/>
      <w:r>
        <w:t>Legal rights</w:t>
      </w:r>
      <w:bookmarkEnd w:id="35"/>
    </w:p>
    <w:p w14:paraId="6050E316" w14:textId="16D34DFB" w:rsidR="00755DE8" w:rsidRDefault="00755DE8" w:rsidP="00272AB1">
      <w:pPr>
        <w:pStyle w:val="ListParagraph"/>
      </w:pPr>
      <w:r>
        <w:t>The</w:t>
      </w:r>
      <w:r w:rsidR="00272AB1">
        <w:t xml:space="preserve"> USSD HR Report 2017 noted that </w:t>
      </w:r>
      <w:r>
        <w:t>‘Police may detain an individual without charge for up to 30 days, although an arrested person must be brought before a judge within 24 hours of arrest. Lengthy arbitrary detention remained a significant problem due to overburdened and under resourced court systems and a lack of legal safeguards. Arraignment of detainees must occur within 24 hours unless authorities hold the suspect under a preventive detention law.’</w:t>
      </w:r>
      <w:r w:rsidRPr="00984A32">
        <w:rPr>
          <w:rStyle w:val="FootnoteReference"/>
        </w:rPr>
        <w:footnoteReference w:id="19"/>
      </w:r>
    </w:p>
    <w:p w14:paraId="1A249B56" w14:textId="77777777" w:rsidR="00755DE8" w:rsidRDefault="00755DE8" w:rsidP="00755DE8">
      <w:pPr>
        <w:pStyle w:val="ListParagraph"/>
      </w:pPr>
      <w:r>
        <w:t>The same source noted t</w:t>
      </w:r>
      <w:r w:rsidRPr="005A5553">
        <w:t>he National Security Act allow</w:t>
      </w:r>
      <w:r>
        <w:t>ed</w:t>
      </w:r>
      <w:r w:rsidRPr="005A5553">
        <w:t xml:space="preserve"> police to detain persons considered security risks anywhere in the country, except Jammu and Kashmir, without charge or trial for as long as </w:t>
      </w:r>
      <w:r>
        <w:t>a</w:t>
      </w:r>
      <w:r w:rsidRPr="005A5553">
        <w:t xml:space="preserve"> year. The law allow</w:t>
      </w:r>
      <w:r>
        <w:t>ed</w:t>
      </w:r>
      <w:r w:rsidRPr="005A5553">
        <w:t xml:space="preserve"> family members and lawyers to visit national security detainees and require</w:t>
      </w:r>
      <w:r>
        <w:t>d</w:t>
      </w:r>
      <w:r w:rsidRPr="005A5553">
        <w:t xml:space="preserve"> authorities to inform a detainee of the grounds for detention within </w:t>
      </w:r>
      <w:r>
        <w:t>5</w:t>
      </w:r>
      <w:r w:rsidRPr="005A5553">
        <w:t xml:space="preserve"> days, or 10 to 15 days in exceptional circumstances. Authorities allow</w:t>
      </w:r>
      <w:r>
        <w:t>ed</w:t>
      </w:r>
      <w:r w:rsidRPr="005A5553">
        <w:t xml:space="preserve"> detainees access to a lawyer during interrogation, but police in Jammu and Kashmir allegedly routinely employ</w:t>
      </w:r>
      <w:r>
        <w:t>ed</w:t>
      </w:r>
      <w:r w:rsidRPr="005A5553">
        <w:t xml:space="preserve"> arbitrary detention and den</w:t>
      </w:r>
      <w:r>
        <w:t>ied</w:t>
      </w:r>
      <w:r w:rsidRPr="005A5553">
        <w:t xml:space="preserve"> detainees access to legal representation and medical attention</w:t>
      </w:r>
      <w:r w:rsidRPr="00984A32">
        <w:rPr>
          <w:rStyle w:val="FootnoteReference"/>
        </w:rPr>
        <w:footnoteReference w:id="20"/>
      </w:r>
      <w:r w:rsidRPr="005A5553">
        <w:t>.</w:t>
      </w:r>
    </w:p>
    <w:p w14:paraId="0967EBA4" w14:textId="29E63187" w:rsidR="00755DE8" w:rsidRDefault="00755DE8" w:rsidP="00755DE8">
      <w:pPr>
        <w:pStyle w:val="ListParagraph"/>
      </w:pPr>
      <w:r>
        <w:t>For further information on the legislation relating to arrest and detention, and arrest procedures, see the</w:t>
      </w:r>
      <w:r w:rsidR="007A3BB0">
        <w:t xml:space="preserve"> Immigration and Refugee Board of Canada – </w:t>
      </w:r>
      <w:r>
        <w:t xml:space="preserve"> </w:t>
      </w:r>
      <w:hyperlink r:id="rId30" w:history="1">
        <w:r w:rsidRPr="005E53E0">
          <w:rPr>
            <w:rStyle w:val="Hyperlink"/>
          </w:rPr>
          <w:t>IRB Research Directorate response</w:t>
        </w:r>
      </w:hyperlink>
      <w:r>
        <w:t>, dated May 2018</w:t>
      </w:r>
      <w:r>
        <w:rPr>
          <w:rStyle w:val="FootnoteReference"/>
        </w:rPr>
        <w:footnoteReference w:id="21"/>
      </w:r>
      <w:r>
        <w:t>.</w:t>
      </w:r>
    </w:p>
    <w:p w14:paraId="08F785BF" w14:textId="48557A37" w:rsidR="00CE1AC8" w:rsidRDefault="00CE1AC8" w:rsidP="00CE1AC8">
      <w:pPr>
        <w:pStyle w:val="ListParagraph"/>
      </w:pPr>
      <w:r>
        <w:t xml:space="preserve">The </w:t>
      </w:r>
      <w:r w:rsidR="00AF6F85">
        <w:t>Australian Government’s Department of Foreign Affairs and Trade (DFAT) Country Information Report India</w:t>
      </w:r>
      <w:r>
        <w:t xml:space="preserve"> noted that:</w:t>
      </w:r>
    </w:p>
    <w:p w14:paraId="1AD2A30A" w14:textId="77777777" w:rsidR="00CE1AC8" w:rsidRDefault="00CE1AC8" w:rsidP="00CE1AC8">
      <w:pPr>
        <w:pStyle w:val="ListParagraph"/>
        <w:numPr>
          <w:ilvl w:val="0"/>
          <w:numId w:val="0"/>
        </w:numPr>
        <w:ind w:left="851"/>
      </w:pPr>
      <w:r>
        <w:t>‘</w:t>
      </w:r>
      <w:r w:rsidRPr="00CE1AC8">
        <w:t xml:space="preserve">The Armed Forces Special Powers Act </w:t>
      </w:r>
      <w:r>
        <w:t xml:space="preserve">[AFSPA] </w:t>
      </w:r>
      <w:r w:rsidRPr="00CE1AC8">
        <w:t xml:space="preserve">(1958) remains in effect in Nagaland, Manipur, Assam, and parts of Mizoram. Another version of the law operates in Jammu and Kashmir, the Armed Forces (Jammu and Kashmir) Special Powers Act (1990). The Act allows the central government to designate a state or union territory as a </w:t>
      </w:r>
      <w:r>
        <w:t>“disturbed area”</w:t>
      </w:r>
      <w:r w:rsidRPr="00CE1AC8">
        <w:t xml:space="preserve"> and authorises security forces in the state t</w:t>
      </w:r>
      <w:r>
        <w:t>o use deadly force to “</w:t>
      </w:r>
      <w:r w:rsidRPr="00CE1AC8">
        <w:t>maintain law and order</w:t>
      </w:r>
      <w:r>
        <w:t>” and arrest any person “</w:t>
      </w:r>
      <w:r w:rsidRPr="00CE1AC8">
        <w:t>against w</w:t>
      </w:r>
      <w:r>
        <w:t>hom reasonable suspicion exists”</w:t>
      </w:r>
      <w:r w:rsidRPr="00CE1AC8">
        <w:t xml:space="preserve"> without informing the detainee of the grounds for arrest.</w:t>
      </w:r>
      <w:r>
        <w:t>’</w:t>
      </w:r>
      <w:r>
        <w:rPr>
          <w:rStyle w:val="FootnoteReference"/>
        </w:rPr>
        <w:footnoteReference w:id="22"/>
      </w:r>
    </w:p>
    <w:p w14:paraId="72C7AB4C" w14:textId="55C54AC5" w:rsidR="00755DE8" w:rsidRDefault="00755DE8" w:rsidP="00755DE8">
      <w:pPr>
        <w:pStyle w:val="ListParagraph"/>
      </w:pPr>
      <w:r>
        <w:lastRenderedPageBreak/>
        <w:t>Bertelsmann Stiftung’s BTI 2018 Country Report</w:t>
      </w:r>
      <w:r w:rsidRPr="001135C6">
        <w:t xml:space="preserve"> </w:t>
      </w:r>
      <w:r>
        <w:t xml:space="preserve">noted ‘The </w:t>
      </w:r>
      <w:r w:rsidRPr="001135C6">
        <w:t>AFSPA</w:t>
      </w:r>
      <w:r>
        <w:t xml:space="preserve"> </w:t>
      </w:r>
      <w:r w:rsidRPr="001135C6">
        <w:t>allows for the arrest without a warrant of anybody suspected of having committed an offence and protects soldiers from prosecution, virtually allo</w:t>
      </w:r>
      <w:r>
        <w:t>wing them to act with impunity.’</w:t>
      </w:r>
      <w:r>
        <w:rPr>
          <w:rStyle w:val="FootnoteReference"/>
        </w:rPr>
        <w:footnoteReference w:id="23"/>
      </w:r>
      <w:r w:rsidR="00CE1AC8">
        <w:t xml:space="preserve"> (see also </w:t>
      </w:r>
      <w:hyperlink w:anchor="_Human_rights_abuses" w:history="1">
        <w:r w:rsidR="00CE1AC8" w:rsidRPr="00CE1AC8">
          <w:rPr>
            <w:rStyle w:val="Hyperlink"/>
          </w:rPr>
          <w:t>Human rights abuses</w:t>
        </w:r>
      </w:hyperlink>
      <w:r w:rsidR="00CE1AC8">
        <w:t>).</w:t>
      </w:r>
    </w:p>
    <w:p w14:paraId="71036FB4" w14:textId="77777777" w:rsidR="00755DE8" w:rsidRDefault="00000000" w:rsidP="00755DE8">
      <w:pPr>
        <w:jc w:val="right"/>
      </w:pPr>
      <w:hyperlink w:anchor="contents" w:history="1">
        <w:r w:rsidR="00755DE8" w:rsidRPr="006B4863">
          <w:rPr>
            <w:rStyle w:val="Hyperlink"/>
            <w:szCs w:val="24"/>
          </w:rPr>
          <w:t>Back to Contents</w:t>
        </w:r>
      </w:hyperlink>
    </w:p>
    <w:p w14:paraId="2BE13837" w14:textId="77777777" w:rsidR="00755DE8" w:rsidRDefault="00755DE8" w:rsidP="00755DE8">
      <w:pPr>
        <w:pStyle w:val="Heading3"/>
      </w:pPr>
      <w:bookmarkStart w:id="36" w:name="_First_Information_Reports"/>
      <w:bookmarkStart w:id="37" w:name="_Toc536000981"/>
      <w:bookmarkEnd w:id="36"/>
      <w:r>
        <w:t>First Information Reports (FIRs)</w:t>
      </w:r>
      <w:bookmarkEnd w:id="37"/>
    </w:p>
    <w:p w14:paraId="7A365824" w14:textId="5257C29B" w:rsidR="00755DE8" w:rsidRDefault="00305CB1" w:rsidP="00305CB1">
      <w:pPr>
        <w:pStyle w:val="ListParagraph"/>
      </w:pPr>
      <w:r>
        <w:t>As noted in an IRB Research Directorate response in 2017, a First Information Report (FIR) is ‘</w:t>
      </w:r>
      <w:r w:rsidRPr="00305CB1">
        <w:t>a written document prepared by the police when they receive information about the alleged commission of a cognizable offence. It is a report of the information that first reaches the police about the occurrence of a crime or crimes, and this is why it is called the First Information Report.</w:t>
      </w:r>
      <w:r>
        <w:t>’</w:t>
      </w:r>
      <w:r>
        <w:rPr>
          <w:rStyle w:val="FootnoteReference"/>
        </w:rPr>
        <w:footnoteReference w:id="24"/>
      </w:r>
      <w:r>
        <w:t xml:space="preserve"> </w:t>
      </w:r>
      <w:r w:rsidR="00755DE8">
        <w:t xml:space="preserve">For </w:t>
      </w:r>
      <w:r>
        <w:t xml:space="preserve">further </w:t>
      </w:r>
      <w:r w:rsidR="00755DE8">
        <w:t xml:space="preserve">information on </w:t>
      </w:r>
      <w:r w:rsidR="00755DE8" w:rsidRPr="002863D7">
        <w:t>FIRs, including procedures and time frames followed by police to inform complainants that an investigation will not be conducted</w:t>
      </w:r>
      <w:r w:rsidR="00755DE8">
        <w:t xml:space="preserve">, see the </w:t>
      </w:r>
      <w:hyperlink r:id="rId31" w:history="1">
        <w:r w:rsidR="00755DE8" w:rsidRPr="002863D7">
          <w:rPr>
            <w:rStyle w:val="Hyperlink"/>
          </w:rPr>
          <w:t>IRB Research Directorate response</w:t>
        </w:r>
      </w:hyperlink>
      <w:r w:rsidR="00755DE8">
        <w:t xml:space="preserve">, dated </w:t>
      </w:r>
      <w:r w:rsidR="0030215D">
        <w:t xml:space="preserve">1 </w:t>
      </w:r>
      <w:r w:rsidR="00755DE8">
        <w:t>May 2017</w:t>
      </w:r>
      <w:r w:rsidR="00755DE8">
        <w:rPr>
          <w:rStyle w:val="FootnoteReference"/>
        </w:rPr>
        <w:footnoteReference w:id="25"/>
      </w:r>
      <w:r w:rsidR="0030215D">
        <w:t xml:space="preserve"> and for </w:t>
      </w:r>
      <w:r>
        <w:t>data</w:t>
      </w:r>
      <w:r w:rsidR="0030215D">
        <w:rPr>
          <w:lang w:val="en"/>
        </w:rPr>
        <w:t xml:space="preserve"> included in FIRs, the </w:t>
      </w:r>
      <w:hyperlink r:id="rId32" w:history="1">
        <w:r w:rsidR="0030215D" w:rsidRPr="0030215D">
          <w:rPr>
            <w:rStyle w:val="Hyperlink"/>
            <w:lang w:val="en"/>
          </w:rPr>
          <w:t>IRB Research Directorate response</w:t>
        </w:r>
      </w:hyperlink>
      <w:r w:rsidR="0030215D">
        <w:rPr>
          <w:lang w:val="en"/>
        </w:rPr>
        <w:t>, dated 25 June 2018</w:t>
      </w:r>
      <w:r w:rsidR="0030215D">
        <w:rPr>
          <w:rStyle w:val="FootnoteReference"/>
        </w:rPr>
        <w:footnoteReference w:id="26"/>
      </w:r>
      <w:r w:rsidR="00755DE8">
        <w:t>.</w:t>
      </w:r>
    </w:p>
    <w:p w14:paraId="11E045D5" w14:textId="2FF848D8" w:rsidR="00755DE8" w:rsidRDefault="00000000" w:rsidP="00755DE8">
      <w:pPr>
        <w:jc w:val="right"/>
        <w:rPr>
          <w:rStyle w:val="Hyperlink"/>
          <w:szCs w:val="24"/>
        </w:rPr>
      </w:pPr>
      <w:hyperlink w:anchor="contents" w:history="1">
        <w:r w:rsidR="00755DE8" w:rsidRPr="006B4863">
          <w:rPr>
            <w:rStyle w:val="Hyperlink"/>
            <w:szCs w:val="24"/>
          </w:rPr>
          <w:t>Back to Contents</w:t>
        </w:r>
      </w:hyperlink>
    </w:p>
    <w:p w14:paraId="6A22FF8F" w14:textId="4A72E512" w:rsidR="00755DE8" w:rsidRPr="003B068D" w:rsidRDefault="009C0997" w:rsidP="00755DE8">
      <w:pPr>
        <w:jc w:val="right"/>
      </w:pPr>
      <w:r>
        <w:rPr>
          <w:color w:val="7030A0"/>
        </w:rPr>
        <w:t>Section 5</w:t>
      </w:r>
      <w:r w:rsidR="00755DE8" w:rsidRPr="003B068D">
        <w:rPr>
          <w:color w:val="7030A0"/>
        </w:rPr>
        <w:t xml:space="preserve"> updated: </w:t>
      </w:r>
      <w:r w:rsidR="001C57AA">
        <w:rPr>
          <w:color w:val="7030A0"/>
        </w:rPr>
        <w:t>1</w:t>
      </w:r>
      <w:r w:rsidR="00F036FD">
        <w:rPr>
          <w:color w:val="7030A0"/>
        </w:rPr>
        <w:t>8</w:t>
      </w:r>
      <w:r w:rsidR="001C57AA">
        <w:rPr>
          <w:color w:val="7030A0"/>
        </w:rPr>
        <w:t xml:space="preserve"> December</w:t>
      </w:r>
      <w:r w:rsidR="00C81744">
        <w:rPr>
          <w:color w:val="7030A0"/>
        </w:rPr>
        <w:t xml:space="preserve"> 2018</w:t>
      </w:r>
    </w:p>
    <w:p w14:paraId="17B0C029" w14:textId="13922466" w:rsidR="003B3C7E" w:rsidRDefault="003B3C7E" w:rsidP="003B3C7E">
      <w:pPr>
        <w:pStyle w:val="Heading2"/>
      </w:pPr>
      <w:bookmarkStart w:id="38" w:name="_Toc536000982"/>
      <w:r>
        <w:t>Capabilities of the security forces</w:t>
      </w:r>
      <w:bookmarkEnd w:id="38"/>
    </w:p>
    <w:p w14:paraId="0DF97253" w14:textId="624AF979" w:rsidR="00201789" w:rsidRDefault="00201789" w:rsidP="007C2761">
      <w:pPr>
        <w:pStyle w:val="Heading3"/>
      </w:pPr>
      <w:bookmarkStart w:id="39" w:name="_Toc536000983"/>
      <w:r>
        <w:t>Surveillance</w:t>
      </w:r>
      <w:r w:rsidR="007A3BB0">
        <w:t xml:space="preserve"> and tracking systems</w:t>
      </w:r>
      <w:bookmarkEnd w:id="39"/>
    </w:p>
    <w:p w14:paraId="416FED4B" w14:textId="08CF4AD6" w:rsidR="00EC3A39" w:rsidRDefault="009419D7" w:rsidP="00201789">
      <w:pPr>
        <w:pStyle w:val="ListParagraph"/>
      </w:pPr>
      <w:r>
        <w:t>I</w:t>
      </w:r>
      <w:r w:rsidR="00EC3A39">
        <w:t xml:space="preserve">nformation on </w:t>
      </w:r>
      <w:r w:rsidR="00EC3A39" w:rsidRPr="007A3BB0">
        <w:t xml:space="preserve">surveillance by state authorities; communication between police offices across the country, including use of the Crime and Criminal Tracking Network and Systems (CCTNS); categories of persons that may be included in police databases; tenant verification; and </w:t>
      </w:r>
      <w:bookmarkStart w:id="40" w:name="_Hlk527643615"/>
      <w:r w:rsidR="00EC3A39" w:rsidRPr="007A3BB0">
        <w:t>whether police authorities across India are able to locate an individual</w:t>
      </w:r>
      <w:r w:rsidR="002756F4">
        <w:t xml:space="preserve">, </w:t>
      </w:r>
      <w:r>
        <w:t>was provided by</w:t>
      </w:r>
      <w:r w:rsidR="002756F4">
        <w:t xml:space="preserve"> the </w:t>
      </w:r>
      <w:r w:rsidR="002756F4" w:rsidRPr="009419D7">
        <w:t xml:space="preserve">Immigration and Refugee Board of Canada </w:t>
      </w:r>
      <w:hyperlink r:id="rId33" w:history="1">
        <w:r w:rsidR="002756F4" w:rsidRPr="007A3BB0">
          <w:rPr>
            <w:rStyle w:val="Hyperlink"/>
          </w:rPr>
          <w:t>IRB Research Directorate response</w:t>
        </w:r>
      </w:hyperlink>
      <w:r w:rsidR="002756F4">
        <w:t>, dated June 2018</w:t>
      </w:r>
      <w:r w:rsidR="00EC3A39">
        <w:rPr>
          <w:rStyle w:val="FootnoteReference"/>
        </w:rPr>
        <w:footnoteReference w:id="27"/>
      </w:r>
      <w:r w:rsidR="00EC3A39">
        <w:t>.</w:t>
      </w:r>
      <w:bookmarkEnd w:id="40"/>
    </w:p>
    <w:p w14:paraId="6287FE5C" w14:textId="3E228AC3" w:rsidR="00D448D7" w:rsidRPr="00201789" w:rsidRDefault="00000000" w:rsidP="00D448D7">
      <w:pPr>
        <w:jc w:val="right"/>
      </w:pPr>
      <w:hyperlink w:anchor="contents" w:history="1">
        <w:r w:rsidR="00D448D7" w:rsidRPr="006B4863">
          <w:rPr>
            <w:rStyle w:val="Hyperlink"/>
            <w:szCs w:val="24"/>
          </w:rPr>
          <w:t>Back to Contents</w:t>
        </w:r>
      </w:hyperlink>
    </w:p>
    <w:p w14:paraId="7AEAB5A9" w14:textId="1865A1B6" w:rsidR="001B21B4" w:rsidRDefault="007C2761" w:rsidP="007C2761">
      <w:pPr>
        <w:pStyle w:val="Heading3"/>
      </w:pPr>
      <w:bookmarkStart w:id="41" w:name="_Effectiveness"/>
      <w:bookmarkStart w:id="42" w:name="_Toc536000984"/>
      <w:bookmarkEnd w:id="41"/>
      <w:r w:rsidRPr="007C2761">
        <w:t>Effectiveness</w:t>
      </w:r>
      <w:bookmarkEnd w:id="42"/>
    </w:p>
    <w:p w14:paraId="117255FB" w14:textId="6A593301" w:rsidR="00792337" w:rsidRDefault="00EC3A39" w:rsidP="002C20A7">
      <w:pPr>
        <w:pStyle w:val="ListParagraph"/>
      </w:pPr>
      <w:r>
        <w:t>As noted in the US Department of State’s annual human rights report for 2017 (USSD HR Report 2017)</w:t>
      </w:r>
      <w:r w:rsidR="002D52DE">
        <w:t>, published 20 April 2018</w:t>
      </w:r>
      <w:r>
        <w:t xml:space="preserve">, </w:t>
      </w:r>
      <w:r w:rsidR="008C781E">
        <w:t>‘</w:t>
      </w:r>
      <w:r w:rsidR="008C781E" w:rsidRPr="008C781E">
        <w:t>The effectiveness of law enforcement and security forces varied widely throughout the country.</w:t>
      </w:r>
      <w:r w:rsidR="008C781E">
        <w:t xml:space="preserve"> … </w:t>
      </w:r>
      <w:r w:rsidR="008C781E" w:rsidRPr="008C781E">
        <w:t>Police continued to be overworked, underpaid, and subjected to political pressure, in some cases contributing to corruption.</w:t>
      </w:r>
      <w:r w:rsidR="008C781E">
        <w:t>’</w:t>
      </w:r>
      <w:r w:rsidR="008C781E" w:rsidRPr="00984A32">
        <w:rPr>
          <w:rStyle w:val="FootnoteReference"/>
        </w:rPr>
        <w:footnoteReference w:id="28"/>
      </w:r>
      <w:r w:rsidR="00BB639A">
        <w:t xml:space="preserve"> </w:t>
      </w:r>
      <w:r w:rsidR="00792337">
        <w:t>The same report further noted that ‘</w:t>
      </w:r>
      <w:r w:rsidR="00792337" w:rsidRPr="00E60903">
        <w:rPr>
          <w:lang w:val="en-US"/>
        </w:rPr>
        <w:t xml:space="preserve">NGOs reported that in many instances police refused to register victim’s complaints, termed “first information reports” (FIR), on crimes reported against officers, effectively preventing victims from pursuing </w:t>
      </w:r>
      <w:r w:rsidR="00792337" w:rsidRPr="00E60903">
        <w:rPr>
          <w:lang w:val="en-US"/>
        </w:rPr>
        <w:lastRenderedPageBreak/>
        <w:t>justice. Additionally, NGOs reported that victims were sometimes reluctant to report crimes committed by police due to fear of retribution</w:t>
      </w:r>
      <w:r w:rsidR="00792337">
        <w:rPr>
          <w:lang w:val="en-US"/>
        </w:rPr>
        <w:t>.’</w:t>
      </w:r>
      <w:r w:rsidR="00792337" w:rsidRPr="00984A32">
        <w:rPr>
          <w:rStyle w:val="FootnoteReference"/>
        </w:rPr>
        <w:footnoteReference w:id="29"/>
      </w:r>
    </w:p>
    <w:p w14:paraId="11A960A9" w14:textId="1BA4068D" w:rsidR="000B396A" w:rsidRDefault="00BB639A" w:rsidP="002C20A7">
      <w:pPr>
        <w:pStyle w:val="ListParagraph"/>
      </w:pPr>
      <w:r>
        <w:t xml:space="preserve">The PRS report noted </w:t>
      </w:r>
      <w:r w:rsidR="00D561E9">
        <w:t>‘</w:t>
      </w:r>
      <w:r w:rsidR="00D561E9" w:rsidRPr="00D561E9">
        <w:t>A high percentage of vacancies within the police forces exacerbates an existing problem of overburdened police personnel.</w:t>
      </w:r>
      <w:r w:rsidR="00D561E9">
        <w:t xml:space="preserve"> […] </w:t>
      </w:r>
      <w:r w:rsidR="00D561E9" w:rsidRPr="00D561E9">
        <w:t xml:space="preserve">which negatively affects </w:t>
      </w:r>
      <w:r w:rsidR="00D561E9">
        <w:t>[…]</w:t>
      </w:r>
      <w:r w:rsidR="00D561E9" w:rsidRPr="00D561E9">
        <w:t xml:space="preserve"> efficiency and performance</w:t>
      </w:r>
      <w:r w:rsidR="00D561E9">
        <w:t>.’</w:t>
      </w:r>
      <w:r w:rsidR="00D561E9">
        <w:rPr>
          <w:rStyle w:val="FootnoteReference"/>
        </w:rPr>
        <w:footnoteReference w:id="30"/>
      </w:r>
      <w:r w:rsidR="002C20A7">
        <w:t xml:space="preserve"> </w:t>
      </w:r>
      <w:r w:rsidR="000B396A">
        <w:t>The same report noted that whilst crime per lakh (100,000) population had increased over the last decade (2005-2015), convictions were low, and in 2015 ‘convictions were secured in 47% of the cases registered under the Indian Penal Code’ with one reason put forward as the ‘poor quality of investigations</w:t>
      </w:r>
      <w:r w:rsidR="00750CE6">
        <w:t>.</w:t>
      </w:r>
      <w:r w:rsidR="000B396A">
        <w:t>’</w:t>
      </w:r>
      <w:r w:rsidR="000B396A">
        <w:rPr>
          <w:rStyle w:val="FootnoteReference"/>
        </w:rPr>
        <w:footnoteReference w:id="31"/>
      </w:r>
      <w:r w:rsidR="000B396A">
        <w:t xml:space="preserve"> Moreover, shortages in weaponry, deficiencies in stock of required vehicles and unutilised funds for modernising police infrastructure were noted</w:t>
      </w:r>
      <w:r w:rsidR="000B396A">
        <w:rPr>
          <w:rStyle w:val="FootnoteReference"/>
        </w:rPr>
        <w:footnoteReference w:id="32"/>
      </w:r>
      <w:r w:rsidR="000B396A">
        <w:t>. In addition, the sourc</w:t>
      </w:r>
      <w:r w:rsidR="00F036FD">
        <w:t>e noted that the political exec</w:t>
      </w:r>
      <w:r w:rsidR="000B396A">
        <w:t>u</w:t>
      </w:r>
      <w:r w:rsidR="00F036FD">
        <w:t>ti</w:t>
      </w:r>
      <w:r w:rsidR="000B396A">
        <w:t>ve (</w:t>
      </w:r>
      <w:proofErr w:type="gramStart"/>
      <w:r w:rsidR="000B396A">
        <w:t>i.e.</w:t>
      </w:r>
      <w:proofErr w:type="gramEnd"/>
      <w:r w:rsidR="000B396A">
        <w:t xml:space="preserve"> ministers) have misused their power of ensuring accountability by using ‘police forces for personal and political reasons.’</w:t>
      </w:r>
      <w:r w:rsidR="000B396A">
        <w:rPr>
          <w:rStyle w:val="FootnoteReference"/>
        </w:rPr>
        <w:footnoteReference w:id="33"/>
      </w:r>
    </w:p>
    <w:p w14:paraId="789D236E" w14:textId="283B6FDB" w:rsidR="00750CE6" w:rsidRDefault="00750CE6" w:rsidP="00750CE6">
      <w:pPr>
        <w:pStyle w:val="ListParagraph"/>
      </w:pPr>
      <w:r>
        <w:t>With regards to criminal investigations, the PRS report found that:</w:t>
      </w:r>
    </w:p>
    <w:p w14:paraId="3F653350" w14:textId="2876C614" w:rsidR="00750CE6" w:rsidRDefault="00750CE6" w:rsidP="00750CE6">
      <w:pPr>
        <w:pStyle w:val="ListParagraph"/>
        <w:numPr>
          <w:ilvl w:val="0"/>
          <w:numId w:val="0"/>
        </w:numPr>
        <w:ind w:left="851"/>
      </w:pPr>
      <w:r>
        <w:t>‘</w:t>
      </w:r>
      <w:r w:rsidR="009E0FE9">
        <w:t xml:space="preserve">[…] </w:t>
      </w:r>
      <w:r w:rsidRPr="006A5EB4">
        <w:t>the Law Commission and the Second Administrative Reforms Commission</w:t>
      </w:r>
      <w:r>
        <w:t xml:space="preserve"> </w:t>
      </w:r>
      <w:r w:rsidRPr="006A5EB4">
        <w:t xml:space="preserve">have noted that state police officers often neglect </w:t>
      </w:r>
      <w:r>
        <w:t>[criminal investigations]</w:t>
      </w:r>
      <w:r w:rsidRPr="006A5EB4">
        <w:t xml:space="preserve"> because they are understaffed and</w:t>
      </w:r>
      <w:r>
        <w:t xml:space="preserve"> </w:t>
      </w:r>
      <w:r w:rsidRPr="006A5EB4">
        <w:t>overburdened with various kinds of tasks.</w:t>
      </w:r>
      <w:r>
        <w:t xml:space="preserve"> </w:t>
      </w:r>
      <w:r w:rsidRPr="006A5EB4">
        <w:t>Further, they lack the training and the expertise required to</w:t>
      </w:r>
      <w:r>
        <w:t xml:space="preserve"> </w:t>
      </w:r>
      <w:r w:rsidRPr="006A5EB4">
        <w:t>conduct professional investigations. They also have insufficient legal knowledge (on aspects like</w:t>
      </w:r>
      <w:r>
        <w:t xml:space="preserve"> </w:t>
      </w:r>
      <w:r w:rsidRPr="006A5EB4">
        <w:t>admissibility of evidence) and the forensic and cyber infrastructure available to them is both inadequate</w:t>
      </w:r>
      <w:r>
        <w:t xml:space="preserve"> </w:t>
      </w:r>
      <w:r w:rsidRPr="006A5EB4">
        <w:t>and outdated. In light of this, police forces may use force and torture to secure evidence. Further, while</w:t>
      </w:r>
      <w:r>
        <w:t xml:space="preserve"> </w:t>
      </w:r>
      <w:r w:rsidRPr="006A5EB4">
        <w:t>crime investigations need to be fair and unbiased, in India they may be influenced by political or other</w:t>
      </w:r>
      <w:r>
        <w:t xml:space="preserve"> </w:t>
      </w:r>
      <w:r w:rsidRPr="006A5EB4">
        <w:t>extraneous considerations.</w:t>
      </w:r>
      <w:r>
        <w:t>’</w:t>
      </w:r>
      <w:r>
        <w:rPr>
          <w:rStyle w:val="FootnoteReference"/>
        </w:rPr>
        <w:footnoteReference w:id="34"/>
      </w:r>
      <w:r>
        <w:t xml:space="preserve"> </w:t>
      </w:r>
    </w:p>
    <w:p w14:paraId="286E63BF" w14:textId="77777777" w:rsidR="00750CE6" w:rsidRPr="006A5EB4" w:rsidRDefault="00750CE6" w:rsidP="00750CE6">
      <w:pPr>
        <w:pStyle w:val="ListParagraph"/>
        <w:rPr>
          <w:lang w:val="en-US"/>
        </w:rPr>
      </w:pPr>
      <w:r>
        <w:t xml:space="preserve">The same report further noted with regards to the public’s trust in the police force that ‘the </w:t>
      </w:r>
      <w:r w:rsidRPr="006A5EB4">
        <w:rPr>
          <w:lang w:val="en-US"/>
        </w:rPr>
        <w:t>Second Administrative Reforms Commission has noted that police-public relations is in an unsatisfactory state because people view the police as corrupt, inefficient, politi</w:t>
      </w:r>
      <w:r>
        <w:rPr>
          <w:lang w:val="en-US"/>
        </w:rPr>
        <w:t>cally partisan and unresponsive.’</w:t>
      </w:r>
      <w:r>
        <w:rPr>
          <w:rStyle w:val="FootnoteReference"/>
        </w:rPr>
        <w:footnoteReference w:id="35"/>
      </w:r>
    </w:p>
    <w:p w14:paraId="5AC9404E" w14:textId="5DBC08C5" w:rsidR="00EC3A39" w:rsidRDefault="002C20A7" w:rsidP="002C20A7">
      <w:pPr>
        <w:pStyle w:val="ListParagraph"/>
      </w:pPr>
      <w:r>
        <w:t>Freedom House noted ‘</w:t>
      </w:r>
      <w:r w:rsidR="000A1963">
        <w:t xml:space="preserve">… </w:t>
      </w:r>
      <w:r w:rsidRPr="002C20A7">
        <w:t>citizens often face substantial obstacles, including demands for bribes, and in getting the police to file a First Information Report, which is necessary to trigger an investigation of an alleged crime. Corruption within the police force remains a problem.</w:t>
      </w:r>
      <w:r w:rsidR="000A1963">
        <w:t>’</w:t>
      </w:r>
      <w:r w:rsidR="000A1963">
        <w:rPr>
          <w:rStyle w:val="FootnoteReference"/>
        </w:rPr>
        <w:footnoteReference w:id="36"/>
      </w:r>
    </w:p>
    <w:p w14:paraId="3216D4FE" w14:textId="72283A7E" w:rsidR="002157F9" w:rsidRDefault="002157F9" w:rsidP="002157F9">
      <w:pPr>
        <w:pStyle w:val="ListParagraph"/>
        <w:numPr>
          <w:ilvl w:val="0"/>
          <w:numId w:val="0"/>
        </w:numPr>
        <w:ind w:left="851"/>
      </w:pPr>
      <w:r>
        <w:t xml:space="preserve">See </w:t>
      </w:r>
      <w:hyperlink w:anchor="_First_Information_Reports" w:history="1">
        <w:r w:rsidRPr="007A1CE8">
          <w:rPr>
            <w:rStyle w:val="Hyperlink"/>
          </w:rPr>
          <w:t>First Information Reports (FIRs)</w:t>
        </w:r>
      </w:hyperlink>
      <w:r>
        <w:t>.</w:t>
      </w:r>
    </w:p>
    <w:p w14:paraId="4B739E35" w14:textId="34859509" w:rsidR="001B6A9A" w:rsidRDefault="001B6A9A" w:rsidP="001B6A9A">
      <w:pPr>
        <w:pStyle w:val="ListParagraph"/>
      </w:pPr>
      <w:r>
        <w:t xml:space="preserve">As </w:t>
      </w:r>
      <w:proofErr w:type="gramStart"/>
      <w:r>
        <w:t>noted</w:t>
      </w:r>
      <w:proofErr w:type="gramEnd"/>
      <w:r>
        <w:t xml:space="preserve"> </w:t>
      </w:r>
      <w:r w:rsidR="00AF6F85">
        <w:t>DFAT</w:t>
      </w:r>
      <w:r>
        <w:t xml:space="preserve"> </w:t>
      </w:r>
      <w:r w:rsidR="00AF6F85">
        <w:t>report</w:t>
      </w:r>
      <w:r>
        <w:t xml:space="preserve"> ‘</w:t>
      </w:r>
      <w:r w:rsidRPr="001B6A9A">
        <w:t xml:space="preserve">The processes of recruitment, transfer, promotion and dismissal of police officers are opaque. Police resources, training and staffing are limited in some areas. There are media and civil society allegations that senior officials or political figures shape the conduct of investigations. Some victims of crime allege that people other than political </w:t>
      </w:r>
      <w:r w:rsidRPr="001B6A9A">
        <w:lastRenderedPageBreak/>
        <w:t>figures or senior officials sometimes also attempt to interfere with police investigations.</w:t>
      </w:r>
      <w:r>
        <w:t>’</w:t>
      </w:r>
      <w:r>
        <w:rPr>
          <w:rStyle w:val="FootnoteReference"/>
        </w:rPr>
        <w:footnoteReference w:id="37"/>
      </w:r>
    </w:p>
    <w:p w14:paraId="23D3E8D3" w14:textId="77777777" w:rsidR="001B6A9A" w:rsidRDefault="001B6A9A" w:rsidP="009419D7">
      <w:pPr>
        <w:pStyle w:val="ListParagraph"/>
      </w:pPr>
      <w:r>
        <w:t>The DFAT report added:</w:t>
      </w:r>
    </w:p>
    <w:p w14:paraId="61344BD2" w14:textId="39BE7ADC" w:rsidR="001B6A9A" w:rsidRDefault="001B6A9A" w:rsidP="001B6A9A">
      <w:pPr>
        <w:pStyle w:val="ListParagraph"/>
        <w:numPr>
          <w:ilvl w:val="0"/>
          <w:numId w:val="0"/>
        </w:numPr>
        <w:ind w:left="851"/>
      </w:pPr>
      <w:r>
        <w:t>‘Registration, investigation and prosecution of cases may be affected by bias in relation to the class, caste, ethnicity and religion of a victim or offender. Ethnic and religious minorities complain that police lack sensitivity, suspicions about which sometimes lead to communal violence. Local sources report that police, along with other agencies including the courts, public servants, judiciary and prosecutors, have an inherent bias when dealing with Dalit victims of crime in particular.’</w:t>
      </w:r>
      <w:r>
        <w:rPr>
          <w:rStyle w:val="FootnoteReference"/>
        </w:rPr>
        <w:footnoteReference w:id="38"/>
      </w:r>
    </w:p>
    <w:p w14:paraId="40C037A7" w14:textId="668BBAB2" w:rsidR="00750CE6" w:rsidRDefault="00750CE6" w:rsidP="00750CE6">
      <w:pPr>
        <w:pStyle w:val="ListParagraph"/>
        <w:rPr>
          <w:lang w:val="en-US"/>
        </w:rPr>
      </w:pPr>
      <w:r>
        <w:t xml:space="preserve">Information provided by the </w:t>
      </w:r>
      <w:r w:rsidRPr="009419D7">
        <w:t>Immigration and Refugee Board of Canada</w:t>
      </w:r>
      <w:r>
        <w:t>’s Research Directorate in May 2017 on FIRs noted that ‘</w:t>
      </w:r>
      <w:r w:rsidRPr="00D400D2">
        <w:rPr>
          <w:lang w:val="en-US"/>
        </w:rPr>
        <w:t>In 2014, the </w:t>
      </w:r>
      <w:r w:rsidRPr="00750CE6">
        <w:rPr>
          <w:iCs/>
          <w:lang w:val="en-US"/>
        </w:rPr>
        <w:t>Times of India</w:t>
      </w:r>
      <w:r>
        <w:rPr>
          <w:lang w:val="en-US"/>
        </w:rPr>
        <w:t> reported that “</w:t>
      </w:r>
      <w:r w:rsidRPr="00D400D2">
        <w:rPr>
          <w:lang w:val="en-US"/>
        </w:rPr>
        <w:t>[d]espite warnings from the very top, burking at police stations continue to trouble citizens</w:t>
      </w:r>
      <w:r>
        <w:rPr>
          <w:lang w:val="en-US"/>
        </w:rPr>
        <w:t>”</w:t>
      </w:r>
      <w:r w:rsidRPr="00D400D2">
        <w:rPr>
          <w:lang w:val="en-US"/>
        </w:rPr>
        <w:t xml:space="preserve"> explaining that </w:t>
      </w:r>
      <w:r>
        <w:rPr>
          <w:lang w:val="en-US"/>
        </w:rPr>
        <w:t>“</w:t>
      </w:r>
      <w:r w:rsidRPr="00D400D2">
        <w:rPr>
          <w:lang w:val="en-US"/>
        </w:rPr>
        <w:t>[b]urking is a practice wherein policemen refuse to file complaints, register non-cognizable offences in place of cognizable crimes or suppress complaints to show that the crime rate under their jurisdiction is under cont</w:t>
      </w:r>
      <w:r>
        <w:rPr>
          <w:lang w:val="en-US"/>
        </w:rPr>
        <w:t>rol and also “minimize their work”</w:t>
      </w:r>
      <w:r w:rsidRPr="00D400D2">
        <w:rPr>
          <w:lang w:val="en-US"/>
        </w:rPr>
        <w:t xml:space="preserve"> </w:t>
      </w:r>
      <w:r w:rsidR="002546B7">
        <w:rPr>
          <w:lang w:val="en-US"/>
        </w:rPr>
        <w:t>[…]</w:t>
      </w:r>
      <w:r w:rsidRPr="00D400D2">
        <w:rPr>
          <w:lang w:val="en-US"/>
        </w:rPr>
        <w:t>. CHRI</w:t>
      </w:r>
      <w:r>
        <w:rPr>
          <w:lang w:val="en-US"/>
        </w:rPr>
        <w:t xml:space="preserve"> [Commonwealth human Rights Initiative]</w:t>
      </w:r>
      <w:r w:rsidRPr="00D400D2">
        <w:rPr>
          <w:lang w:val="en-US"/>
        </w:rPr>
        <w:t xml:space="preserve"> notes that there is </w:t>
      </w:r>
      <w:r>
        <w:rPr>
          <w:lang w:val="en-US"/>
        </w:rPr>
        <w:t>“</w:t>
      </w:r>
      <w:r w:rsidRPr="00D400D2">
        <w:rPr>
          <w:lang w:val="en-US"/>
        </w:rPr>
        <w:t>an urgent need for police departments to address the long-standing obstructions and violations by police in registerin</w:t>
      </w:r>
      <w:r>
        <w:rPr>
          <w:lang w:val="en-US"/>
        </w:rPr>
        <w:t>g FIRs</w:t>
      </w:r>
      <w:r w:rsidR="002546B7">
        <w:rPr>
          <w:lang w:val="en-US"/>
        </w:rPr>
        <w:t>”</w:t>
      </w:r>
      <w:r>
        <w:rPr>
          <w:lang w:val="en-US"/>
        </w:rPr>
        <w:t xml:space="preserve"> […] </w:t>
      </w:r>
      <w:r w:rsidRPr="00FD68A5">
        <w:rPr>
          <w:lang w:val="en-US"/>
        </w:rPr>
        <w:t>The </w:t>
      </w:r>
      <w:r w:rsidRPr="002546B7">
        <w:rPr>
          <w:iCs/>
          <w:lang w:val="en-US"/>
        </w:rPr>
        <w:t>Indian Express</w:t>
      </w:r>
      <w:r w:rsidRPr="00FD68A5">
        <w:rPr>
          <w:lang w:val="en-US"/>
        </w:rPr>
        <w:t xml:space="preserve"> similarly reports that </w:t>
      </w:r>
      <w:r w:rsidR="002546B7">
        <w:rPr>
          <w:lang w:val="en-US"/>
        </w:rPr>
        <w:t>“</w:t>
      </w:r>
      <w:r w:rsidRPr="00FD68A5">
        <w:rPr>
          <w:lang w:val="en-US"/>
        </w:rPr>
        <w:t>as soon as [a] crime graph of a particular region, as reflected in data, rises, the minister responsible reprimands the concerned officer. The officer, in turn, tries his best to keep the numbers to the lowest. One of the ways this is allegedly done is by refusing FIRs</w:t>
      </w:r>
      <w:r w:rsidR="002546B7">
        <w:rPr>
          <w:lang w:val="en-US"/>
        </w:rPr>
        <w:t>”</w:t>
      </w:r>
      <w:r w:rsidRPr="00FD68A5">
        <w:rPr>
          <w:lang w:val="en-US"/>
        </w:rPr>
        <w:t xml:space="preserve"> </w:t>
      </w:r>
      <w:r>
        <w:rPr>
          <w:lang w:val="en-US"/>
        </w:rPr>
        <w:t xml:space="preserve">[…] </w:t>
      </w:r>
      <w:r w:rsidRPr="00FD68A5">
        <w:rPr>
          <w:lang w:val="en-US"/>
        </w:rPr>
        <w:t>The </w:t>
      </w:r>
      <w:r w:rsidRPr="002546B7">
        <w:rPr>
          <w:iCs/>
          <w:lang w:val="en-US"/>
        </w:rPr>
        <w:t>Indian Express</w:t>
      </w:r>
      <w:r w:rsidRPr="00FD68A5">
        <w:rPr>
          <w:lang w:val="en-US"/>
        </w:rPr>
        <w:t xml:space="preserve"> cites a presentation at the conference of Director Generals of Police in Gujarat, India in December 2015 by Indian Police Service officer Rajeev Krishna, who </w:t>
      </w:r>
      <w:r w:rsidR="002546B7">
        <w:rPr>
          <w:lang w:val="en-US"/>
        </w:rPr>
        <w:t>“</w:t>
      </w:r>
      <w:r w:rsidRPr="00FD68A5">
        <w:rPr>
          <w:lang w:val="en-US"/>
        </w:rPr>
        <w:t>claims that only 9-21 per cent of all crimes in India get registered by police,</w:t>
      </w:r>
      <w:r w:rsidR="002546B7">
        <w:rPr>
          <w:lang w:val="en-US"/>
        </w:rPr>
        <w:t>”</w:t>
      </w:r>
      <w:r w:rsidRPr="00FD68A5">
        <w:rPr>
          <w:lang w:val="en-US"/>
        </w:rPr>
        <w:t xml:space="preserve"> due to 30 percent of all crimes not being reported and over 50 percent of reported crimes being </w:t>
      </w:r>
      <w:r w:rsidR="002546B7">
        <w:rPr>
          <w:lang w:val="en-US"/>
        </w:rPr>
        <w:t>“</w:t>
      </w:r>
      <w:r w:rsidRPr="00FD68A5">
        <w:rPr>
          <w:lang w:val="en-US"/>
        </w:rPr>
        <w:t>turned away by police</w:t>
      </w:r>
      <w:r w:rsidR="002546B7">
        <w:rPr>
          <w:lang w:val="en-US"/>
        </w:rPr>
        <w:t>” […].</w:t>
      </w:r>
      <w:r>
        <w:rPr>
          <w:lang w:val="en-US"/>
        </w:rPr>
        <w:t>’</w:t>
      </w:r>
      <w:r>
        <w:rPr>
          <w:rStyle w:val="FootnoteReference"/>
        </w:rPr>
        <w:footnoteReference w:id="39"/>
      </w:r>
    </w:p>
    <w:p w14:paraId="2923E446" w14:textId="77ADD05A" w:rsidR="00750CE6" w:rsidRPr="000D38E2" w:rsidRDefault="00750CE6" w:rsidP="00750CE6">
      <w:pPr>
        <w:pStyle w:val="ListParagraph"/>
        <w:rPr>
          <w:lang w:val="en-US"/>
        </w:rPr>
      </w:pPr>
      <w:r>
        <w:t>Amnesty International noted in its annual report covering 2017 that in land confiscation cases involving indigenous people ‘</w:t>
      </w:r>
      <w:r w:rsidRPr="000D38E2">
        <w:rPr>
          <w:lang w:val="en-US"/>
        </w:rPr>
        <w:t>police accepted the complaints but refused to register criminal cases</w:t>
      </w:r>
      <w:r>
        <w:t>.</w:t>
      </w:r>
      <w:r w:rsidR="002546B7">
        <w:t>’</w:t>
      </w:r>
      <w:r>
        <w:rPr>
          <w:rStyle w:val="FootnoteReference"/>
        </w:rPr>
        <w:footnoteReference w:id="40"/>
      </w:r>
    </w:p>
    <w:p w14:paraId="260BD0A5" w14:textId="7EE2474F" w:rsidR="001B6A9A" w:rsidRDefault="001B6A9A" w:rsidP="001B6A9A">
      <w:pPr>
        <w:pStyle w:val="ListParagraph"/>
        <w:numPr>
          <w:ilvl w:val="0"/>
          <w:numId w:val="0"/>
        </w:numPr>
        <w:ind w:left="851"/>
      </w:pPr>
      <w:r>
        <w:t xml:space="preserve">See also </w:t>
      </w:r>
      <w:hyperlink w:anchor="_First_Information_Reports" w:history="1">
        <w:r w:rsidRPr="001B6A9A">
          <w:rPr>
            <w:rStyle w:val="Hyperlink"/>
          </w:rPr>
          <w:t>First Information Reports (FIRS)</w:t>
        </w:r>
      </w:hyperlink>
      <w:r>
        <w:t xml:space="preserve"> and </w:t>
      </w:r>
      <w:hyperlink w:anchor="_Rule_of_law_1" w:history="1">
        <w:r w:rsidRPr="001B6A9A">
          <w:rPr>
            <w:rStyle w:val="Hyperlink"/>
          </w:rPr>
          <w:t>Rule of law and the judiciary</w:t>
        </w:r>
      </w:hyperlink>
      <w:r>
        <w:t>.</w:t>
      </w:r>
    </w:p>
    <w:p w14:paraId="3F0167B3" w14:textId="4DF07DC0" w:rsidR="001B6A9A" w:rsidRDefault="001B6A9A" w:rsidP="001B6A9A">
      <w:pPr>
        <w:pStyle w:val="ListParagraph"/>
      </w:pPr>
      <w:r>
        <w:t xml:space="preserve">For further information on minority groups see the </w:t>
      </w:r>
      <w:hyperlink r:id="rId34" w:history="1">
        <w:r w:rsidRPr="001B6A9A">
          <w:rPr>
            <w:rStyle w:val="Hyperlink"/>
          </w:rPr>
          <w:t>Country Policy Information Note on India: Religious minorities</w:t>
        </w:r>
      </w:hyperlink>
      <w:r>
        <w:t>.</w:t>
      </w:r>
    </w:p>
    <w:p w14:paraId="2BCD64D8" w14:textId="678098D2" w:rsidR="007C2761" w:rsidRDefault="0004705F" w:rsidP="0004705F">
      <w:pPr>
        <w:pStyle w:val="ListParagraph"/>
      </w:pPr>
      <w:r>
        <w:t>Regarding India’s armed forces, IHS Jane’s noted ‘</w:t>
      </w:r>
      <w:r w:rsidRPr="0004705F">
        <w:t>There are serious shortfalls in all the services, by far the most serious being in the army, in which most units are manned to only half their authorised strength.</w:t>
      </w:r>
      <w:r>
        <w:t>’</w:t>
      </w:r>
      <w:r w:rsidR="00472BB1">
        <w:rPr>
          <w:rStyle w:val="FootnoteReference"/>
        </w:rPr>
        <w:footnoteReference w:id="41"/>
      </w:r>
      <w:r>
        <w:t xml:space="preserve"> The same source stated that India’s Army ‘… </w:t>
      </w:r>
      <w:r w:rsidRPr="0004705F">
        <w:t xml:space="preserve">is capable of countering insurgencies in the northwest and northeast of the country, while </w:t>
      </w:r>
      <w:r w:rsidRPr="0004705F">
        <w:lastRenderedPageBreak/>
        <w:t>concurrently continuing to prepare for full-scale conflict on the western and northern frontiers.</w:t>
      </w:r>
      <w:r w:rsidR="00472BB1">
        <w:t>’</w:t>
      </w:r>
      <w:r w:rsidR="00472BB1">
        <w:rPr>
          <w:rStyle w:val="FootnoteReference"/>
        </w:rPr>
        <w:footnoteReference w:id="42"/>
      </w:r>
    </w:p>
    <w:p w14:paraId="4F4B235D" w14:textId="4739B9C5" w:rsidR="00472BB1" w:rsidRDefault="00EC3A39" w:rsidP="00B114E8">
      <w:pPr>
        <w:pStyle w:val="ListParagraph"/>
      </w:pPr>
      <w:r>
        <w:t>The USSD HR Report 2017</w:t>
      </w:r>
      <w:r w:rsidR="00B114E8">
        <w:t xml:space="preserve"> noted </w:t>
      </w:r>
      <w:r w:rsidR="00472BB1">
        <w:t>‘</w:t>
      </w:r>
      <w:r w:rsidR="00472BB1" w:rsidRPr="00472BB1">
        <w:t>The country’s armed forces, the security forces of individual states, and paramilitary forces engaged in armed conflict with insurgent groups in several northeastern states, and with Maoist insurgents in the north, central, and eastern parts of the</w:t>
      </w:r>
      <w:r w:rsidR="00472BB1">
        <w:t xml:space="preserve"> country – </w:t>
      </w:r>
      <w:r w:rsidR="00472BB1" w:rsidRPr="00472BB1">
        <w:t>although the intensity of these conflicts continued to decrease significantly. Army and central security forces remained stationed at conflict areas in the northeast.</w:t>
      </w:r>
      <w:r w:rsidR="00472BB1">
        <w:t>’</w:t>
      </w:r>
      <w:r w:rsidR="00472BB1" w:rsidRPr="00984A32">
        <w:rPr>
          <w:rStyle w:val="FootnoteReference"/>
        </w:rPr>
        <w:footnoteReference w:id="43"/>
      </w:r>
      <w:r w:rsidR="00472BB1">
        <w:t xml:space="preserve"> </w:t>
      </w:r>
    </w:p>
    <w:p w14:paraId="5C20D9AC" w14:textId="5AEA678F" w:rsidR="00D448D7" w:rsidRDefault="00000000" w:rsidP="00D448D7">
      <w:pPr>
        <w:jc w:val="right"/>
      </w:pPr>
      <w:hyperlink w:anchor="contents" w:history="1">
        <w:r w:rsidR="00D448D7" w:rsidRPr="006B4863">
          <w:rPr>
            <w:rStyle w:val="Hyperlink"/>
            <w:szCs w:val="24"/>
          </w:rPr>
          <w:t>Back to Contents</w:t>
        </w:r>
      </w:hyperlink>
    </w:p>
    <w:p w14:paraId="266FD786" w14:textId="7A240971" w:rsidR="00D448D7" w:rsidRDefault="00D448D7" w:rsidP="007C2761">
      <w:pPr>
        <w:pStyle w:val="Heading3"/>
      </w:pPr>
      <w:bookmarkStart w:id="45" w:name="_Human_rights_abuses"/>
      <w:bookmarkStart w:id="46" w:name="_Toc536000985"/>
      <w:bookmarkEnd w:id="45"/>
      <w:r>
        <w:t>Human rights abuses</w:t>
      </w:r>
      <w:bookmarkEnd w:id="46"/>
    </w:p>
    <w:p w14:paraId="27B12383" w14:textId="3BF1F1A9" w:rsidR="006E505A" w:rsidRPr="00AC60B2" w:rsidRDefault="006E505A" w:rsidP="006E505A">
      <w:pPr>
        <w:pStyle w:val="ListParagraph"/>
        <w:rPr>
          <w:lang w:val="en-US"/>
        </w:rPr>
      </w:pPr>
      <w:r>
        <w:t>The PRS report noted ‘</w:t>
      </w:r>
      <w:r w:rsidR="009E0FE9">
        <w:t xml:space="preserve">… </w:t>
      </w:r>
      <w:r w:rsidRPr="00AC60B2">
        <w:rPr>
          <w:lang w:val="en-US"/>
        </w:rPr>
        <w:t>in India, various kinds of complaints are made against the police including complaints of unwarranted arrests, unlawful searches, torture and custodial rapes</w:t>
      </w:r>
      <w:r>
        <w:t>.’</w:t>
      </w:r>
      <w:r>
        <w:rPr>
          <w:rStyle w:val="FootnoteReference"/>
        </w:rPr>
        <w:footnoteReference w:id="44"/>
      </w:r>
    </w:p>
    <w:p w14:paraId="78A47F82" w14:textId="5E129703" w:rsidR="00801ABA" w:rsidRDefault="00801ABA" w:rsidP="00801ABA">
      <w:pPr>
        <w:pStyle w:val="ListParagraph"/>
      </w:pPr>
      <w:r>
        <w:t>According to the BTI 2018 Country Report ‘</w:t>
      </w:r>
      <w:r w:rsidRPr="00801ABA">
        <w:t>All over India, custodial killings and police abuse, including torture and rape during custody, are commonplace. In general, underprivileged groups are particularly affected by the limited enforcement of protection laws and by the extremely slow processes of the judicial system. De facto, disadvantaged social groups do not enjoy equal access to justice.</w:t>
      </w:r>
      <w:r>
        <w:t>’</w:t>
      </w:r>
      <w:r>
        <w:rPr>
          <w:rStyle w:val="FootnoteReference"/>
        </w:rPr>
        <w:footnoteReference w:id="45"/>
      </w:r>
      <w:r w:rsidRPr="00801ABA">
        <w:t xml:space="preserve"> </w:t>
      </w:r>
      <w:r w:rsidR="00A31255">
        <w:t>In 2017, police and security force personnel were accused of the rape of at least 5 indigenous (Adivasi) women and girls, and 2 paramilitary personnel were arrested for the rape and murder of a woman in Mizoram</w:t>
      </w:r>
      <w:r w:rsidR="005844AA">
        <w:rPr>
          <w:rStyle w:val="FootnoteReference"/>
        </w:rPr>
        <w:footnoteReference w:id="46"/>
      </w:r>
      <w:r w:rsidR="00A31255">
        <w:t>.</w:t>
      </w:r>
    </w:p>
    <w:p w14:paraId="247AADCC" w14:textId="58FF12E0" w:rsidR="00F54E37" w:rsidRDefault="000A1963" w:rsidP="006E7CC6">
      <w:pPr>
        <w:pStyle w:val="ListParagraph"/>
      </w:pPr>
      <w:r>
        <w:t xml:space="preserve">According to Freedom House, </w:t>
      </w:r>
      <w:r w:rsidRPr="000A1963">
        <w:t>reports of torture, rape, and abuse by law enforcement and security officials persisted in 2017. Abuses against prisoners, particularly members of the lower castes a</w:t>
      </w:r>
      <w:r w:rsidR="00A140F2">
        <w:t>nd minorities, by prison staff we</w:t>
      </w:r>
      <w:r w:rsidRPr="000A1963">
        <w:t>re common. Official data showed 968 deaths occurring in judicial or police custody between 1 January 2017 and the beginning of August 2017</w:t>
      </w:r>
      <w:r>
        <w:rPr>
          <w:rStyle w:val="FootnoteReference"/>
        </w:rPr>
        <w:footnoteReference w:id="47"/>
      </w:r>
      <w:r w:rsidRPr="000A1963">
        <w:t xml:space="preserve">. </w:t>
      </w:r>
      <w:r w:rsidR="005844AA">
        <w:t xml:space="preserve">Amnesty International reported that of the 968 deaths, 74 occurred in police custody, though </w:t>
      </w:r>
      <w:r w:rsidR="006B46A8">
        <w:t xml:space="preserve">Amnesty International did not record </w:t>
      </w:r>
      <w:r w:rsidR="005844AA">
        <w:t>the nature of the deaths</w:t>
      </w:r>
      <w:r w:rsidR="005844AA">
        <w:rPr>
          <w:rStyle w:val="FootnoteReference"/>
        </w:rPr>
        <w:footnoteReference w:id="48"/>
      </w:r>
      <w:r w:rsidR="005844AA">
        <w:t>.</w:t>
      </w:r>
      <w:r w:rsidRPr="000A1963">
        <w:t xml:space="preserve"> </w:t>
      </w:r>
      <w:r w:rsidR="006E7CC6">
        <w:t xml:space="preserve">In 2016, 92 deaths in police custody were recorded by the National Crime Records Bureau (NCRB), 8 of which were reportedly a result of </w:t>
      </w:r>
      <w:r w:rsidR="006E7CC6" w:rsidRPr="006E7CC6">
        <w:t>injuries sustained due to physical assault by police</w:t>
      </w:r>
      <w:r w:rsidR="006E7CC6">
        <w:rPr>
          <w:rStyle w:val="FootnoteReference"/>
        </w:rPr>
        <w:footnoteReference w:id="49"/>
      </w:r>
      <w:r w:rsidR="006E7CC6">
        <w:t>.</w:t>
      </w:r>
      <w:r w:rsidR="006E7CC6" w:rsidRPr="006E7CC6">
        <w:t xml:space="preserve"> </w:t>
      </w:r>
      <w:r w:rsidR="00281AD5">
        <w:t>The National Human Rights Commission (NHRC) provide</w:t>
      </w:r>
      <w:r w:rsidR="00B2283B">
        <w:t>s</w:t>
      </w:r>
      <w:r w:rsidR="00281AD5">
        <w:t xml:space="preserve"> </w:t>
      </w:r>
      <w:hyperlink r:id="rId35" w:history="1">
        <w:r w:rsidR="00281AD5" w:rsidRPr="008A6635">
          <w:rPr>
            <w:rStyle w:val="Hyperlink"/>
          </w:rPr>
          <w:t>monthly statistics</w:t>
        </w:r>
      </w:hyperlink>
      <w:r w:rsidR="00281AD5">
        <w:t>, including the number of reported deaths in police custody</w:t>
      </w:r>
      <w:r w:rsidR="00281AD5">
        <w:rPr>
          <w:rStyle w:val="FootnoteReference"/>
        </w:rPr>
        <w:footnoteReference w:id="50"/>
      </w:r>
      <w:r w:rsidR="00281AD5">
        <w:t>.</w:t>
      </w:r>
    </w:p>
    <w:p w14:paraId="45BAB979" w14:textId="77777777" w:rsidR="00B2283B" w:rsidRPr="00B2283B" w:rsidRDefault="00A140F2" w:rsidP="00F54E37">
      <w:pPr>
        <w:pStyle w:val="ListParagraph"/>
      </w:pPr>
      <w:r>
        <w:t>A 2016 Human Rights Watch (HRW) report stated that torture wa</w:t>
      </w:r>
      <w:r w:rsidR="000A1963" w:rsidRPr="000A1963">
        <w:t xml:space="preserve">s reported to be frequently used by police to </w:t>
      </w:r>
      <w:r>
        <w:t xml:space="preserve">punish suspects, </w:t>
      </w:r>
      <w:r w:rsidR="000A1963" w:rsidRPr="000A1963">
        <w:t>gather information or coerce confessions</w:t>
      </w:r>
      <w:r w:rsidR="00B2283B">
        <w:t>, which on occasion led to death</w:t>
      </w:r>
      <w:r>
        <w:rPr>
          <w:rStyle w:val="FootnoteReference"/>
        </w:rPr>
        <w:footnoteReference w:id="51"/>
      </w:r>
      <w:r w:rsidR="003172BA">
        <w:t xml:space="preserve">. </w:t>
      </w:r>
      <w:r w:rsidR="00B2283B">
        <w:t xml:space="preserve">HRW noted further </w:t>
      </w:r>
      <w:r w:rsidR="00B2283B">
        <w:lastRenderedPageBreak/>
        <w:t>that ‘it was not aware of a single case in which a police officer was convicted for a custodial death between 2010 and 2015.’</w:t>
      </w:r>
      <w:r w:rsidR="00B2283B">
        <w:rPr>
          <w:rStyle w:val="FootnoteReference"/>
        </w:rPr>
        <w:footnoteReference w:id="52"/>
      </w:r>
      <w:r w:rsidR="00B2283B">
        <w:t xml:space="preserve"> It concluded that ‘</w:t>
      </w:r>
      <w:r w:rsidR="00B2283B" w:rsidRPr="004F6934">
        <w:rPr>
          <w:lang w:val="en-US"/>
        </w:rPr>
        <w:t>the authorities routinely fail to conduct rigorous investigations and prosecute police officials implicated in torture and ill-treatment of arrested persons.</w:t>
      </w:r>
      <w:r w:rsidR="00B2283B">
        <w:rPr>
          <w:lang w:val="en-US"/>
        </w:rPr>
        <w:t>’</w:t>
      </w:r>
      <w:r w:rsidR="00B2283B">
        <w:rPr>
          <w:rStyle w:val="FootnoteReference"/>
        </w:rPr>
        <w:footnoteReference w:id="53"/>
      </w:r>
      <w:r w:rsidR="00B2283B">
        <w:rPr>
          <w:lang w:val="en-US"/>
        </w:rPr>
        <w:t xml:space="preserve"> </w:t>
      </w:r>
    </w:p>
    <w:p w14:paraId="116A319F" w14:textId="3DCB925C" w:rsidR="00F54E37" w:rsidRDefault="00F54E37" w:rsidP="00F54E37">
      <w:pPr>
        <w:pStyle w:val="ListParagraph"/>
      </w:pPr>
      <w:r>
        <w:t>In 2016, the NCRB recorded there were 209 criminal cases registered against police personnel for human rights violations, of which 50</w:t>
      </w:r>
      <w:r w:rsidR="00DA784B">
        <w:t xml:space="preserve"> officials</w:t>
      </w:r>
      <w:r>
        <w:t xml:space="preserve"> were ‘charge-sheeted’. There were no convictions</w:t>
      </w:r>
      <w:r>
        <w:rPr>
          <w:rStyle w:val="FootnoteReference"/>
        </w:rPr>
        <w:footnoteReference w:id="54"/>
      </w:r>
      <w:r>
        <w:t xml:space="preserve">. </w:t>
      </w:r>
    </w:p>
    <w:p w14:paraId="010FBC26" w14:textId="18021F62" w:rsidR="000A1963" w:rsidRDefault="003172BA" w:rsidP="006E7CC6">
      <w:pPr>
        <w:pStyle w:val="ListParagraph"/>
      </w:pPr>
      <w:r>
        <w:t>HRW stated in its World Report 2018, covering 2017 events, that ‘</w:t>
      </w:r>
      <w:r w:rsidRPr="003172BA">
        <w:t>Lack of accountability for past abuses committed by security forces persisted even as there were new allegations of torture and extrajudicial killings, including in the states of Uttar Pradesh, Haryana, Chhattisgarh, and Jammu and Kashmir.</w:t>
      </w:r>
      <w:r>
        <w:t>’</w:t>
      </w:r>
      <w:r>
        <w:rPr>
          <w:rStyle w:val="FootnoteReference"/>
        </w:rPr>
        <w:footnoteReference w:id="55"/>
      </w:r>
      <w:r>
        <w:t xml:space="preserve"> </w:t>
      </w:r>
    </w:p>
    <w:p w14:paraId="1F9C36C0" w14:textId="77777777" w:rsidR="005D2C6A" w:rsidRDefault="000F1226" w:rsidP="000F1226">
      <w:pPr>
        <w:pStyle w:val="ListParagraph"/>
      </w:pPr>
      <w:r>
        <w:t>Freedom House noted ‘</w:t>
      </w:r>
      <w:r w:rsidRPr="000F1226">
        <w:t>Security forces battling regional insurgencies continue to be implicated in extrajudicial killings, rape, torture, arbitrary detention, kidnappings, and destruction of homes.</w:t>
      </w:r>
      <w:r>
        <w:t>’</w:t>
      </w:r>
      <w:r>
        <w:rPr>
          <w:rStyle w:val="FootnoteReference"/>
        </w:rPr>
        <w:footnoteReference w:id="56"/>
      </w:r>
      <w:r>
        <w:t xml:space="preserve"> </w:t>
      </w:r>
    </w:p>
    <w:p w14:paraId="225433EE" w14:textId="6DD9BD0A" w:rsidR="00D448D7" w:rsidRDefault="00D448D7" w:rsidP="000F1226">
      <w:pPr>
        <w:pStyle w:val="ListParagraph"/>
      </w:pPr>
      <w:r>
        <w:t xml:space="preserve">The USSD HR Report 2017 noted, regarding internal </w:t>
      </w:r>
      <w:r w:rsidR="00B2283B">
        <w:t xml:space="preserve">armed </w:t>
      </w:r>
      <w:r>
        <w:t xml:space="preserve">conflicts, </w:t>
      </w:r>
      <w:r w:rsidRPr="00D448D7">
        <w:t xml:space="preserve">with insurgent groups in several northeastern states, and with Maoist insurgents in the north, central, and eastern </w:t>
      </w:r>
      <w:r>
        <w:t>areas</w:t>
      </w:r>
      <w:r w:rsidRPr="00D448D7">
        <w:t xml:space="preserve"> of the country</w:t>
      </w:r>
      <w:r>
        <w:t>:</w:t>
      </w:r>
    </w:p>
    <w:p w14:paraId="538B2FE8" w14:textId="21C17607" w:rsidR="00D448D7" w:rsidRDefault="00D448D7" w:rsidP="00D448D7">
      <w:pPr>
        <w:pStyle w:val="ListParagraph"/>
        <w:numPr>
          <w:ilvl w:val="0"/>
          <w:numId w:val="0"/>
        </w:numPr>
        <w:ind w:left="851"/>
      </w:pPr>
      <w:r>
        <w:t>‘</w:t>
      </w:r>
      <w:r w:rsidRPr="00D448D7">
        <w:t>The use of force by all parties to the conflicts resulted in deaths and injuries to both conflict participants and civilians. There were reports government security forces committed extrajudicial killings, including staging encounter killings to conceal the deaths of captured militants. Human rights groups claimed police refused to release bodies in cases of alleged “encounters.” Authorities did not require the armed forces to report custodial deaths to the NHRC</w:t>
      </w:r>
      <w:r>
        <w:t xml:space="preserve"> [National Human Rights Commission]</w:t>
      </w:r>
      <w:r w:rsidRPr="00D448D7">
        <w:t>.</w:t>
      </w:r>
      <w:r>
        <w:t>’</w:t>
      </w:r>
      <w:r w:rsidRPr="00984A32">
        <w:rPr>
          <w:rStyle w:val="FootnoteReference"/>
        </w:rPr>
        <w:footnoteReference w:id="57"/>
      </w:r>
    </w:p>
    <w:p w14:paraId="0421A262" w14:textId="77777777" w:rsidR="005D2C6A" w:rsidRDefault="005D2C6A" w:rsidP="005D2C6A">
      <w:pPr>
        <w:pStyle w:val="ListParagraph"/>
      </w:pPr>
      <w:r>
        <w:t>The DFAT report noted:</w:t>
      </w:r>
    </w:p>
    <w:p w14:paraId="6122176D" w14:textId="3E3B8E33" w:rsidR="005D2C6A" w:rsidRDefault="005D2C6A" w:rsidP="005D2C6A">
      <w:pPr>
        <w:pStyle w:val="ListParagraph"/>
        <w:numPr>
          <w:ilvl w:val="0"/>
          <w:numId w:val="0"/>
        </w:numPr>
        <w:ind w:left="851"/>
      </w:pPr>
      <w:r w:rsidRPr="005D2C6A">
        <w:t>‘</w:t>
      </w:r>
      <w:r>
        <w:t>“</w:t>
      </w:r>
      <w:r w:rsidRPr="005D2C6A">
        <w:t>Encounter killings</w:t>
      </w:r>
      <w:r>
        <w:t>”</w:t>
      </w:r>
      <w:r w:rsidRPr="005D2C6A">
        <w:t xml:space="preserve"> or </w:t>
      </w:r>
      <w:r>
        <w:t>“</w:t>
      </w:r>
      <w:r w:rsidRPr="005D2C6A">
        <w:t>fake encounters</w:t>
      </w:r>
      <w:r>
        <w:t>”</w:t>
      </w:r>
      <w:r w:rsidRPr="005D2C6A">
        <w:t xml:space="preserve"> are terms used to describe a situation whereby police or security forces kill a suspect in an encounter and then claim self-defence or another explanation. Such killings have occurred in both rural and urban areas. According to government figures, 108 such deaths occurred in 2017. State governments may investigate and have compensated victims’ families. The true extent of such behaviour is difficult to gauge.</w:t>
      </w:r>
      <w:r>
        <w:t>’</w:t>
      </w:r>
      <w:r>
        <w:rPr>
          <w:rStyle w:val="FootnoteReference"/>
        </w:rPr>
        <w:footnoteReference w:id="58"/>
      </w:r>
    </w:p>
    <w:p w14:paraId="2C58BD7E" w14:textId="6827AF13" w:rsidR="005D2C6A" w:rsidRDefault="00ED389D" w:rsidP="00037F46">
      <w:pPr>
        <w:pStyle w:val="ListParagraph"/>
      </w:pPr>
      <w:r>
        <w:t xml:space="preserve">According to data provided by the National Human Rights Commission (NHRC) of India, </w:t>
      </w:r>
      <w:r w:rsidR="00037F46" w:rsidRPr="00037F46">
        <w:t>1,782 cases of fake encounters were registered in India between 2000 and 2017</w:t>
      </w:r>
      <w:r w:rsidR="00037F46">
        <w:t xml:space="preserve">. The state of </w:t>
      </w:r>
      <w:r w:rsidR="00037F46" w:rsidRPr="00037F46">
        <w:t xml:space="preserve">Uttar Pradesh accounted for </w:t>
      </w:r>
      <w:r w:rsidR="00037F46">
        <w:t xml:space="preserve">794 cases (44.55%), followed by </w:t>
      </w:r>
      <w:r w:rsidR="00037F46" w:rsidRPr="00037F46">
        <w:t>Andhra Pradesh, Bihar, Assam, Jharkhand and Manipur</w:t>
      </w:r>
      <w:r w:rsidR="00037F46">
        <w:t>, each state accounting for less than 6% of cases registered</w:t>
      </w:r>
      <w:r w:rsidR="00037F46">
        <w:rPr>
          <w:rStyle w:val="FootnoteReference"/>
        </w:rPr>
        <w:footnoteReference w:id="59"/>
      </w:r>
      <w:r w:rsidR="00037F46">
        <w:t>.</w:t>
      </w:r>
      <w:r w:rsidR="005D2C6A">
        <w:t xml:space="preserve"> </w:t>
      </w:r>
      <w:r w:rsidR="00281AD5">
        <w:t xml:space="preserve">The </w:t>
      </w:r>
      <w:r w:rsidR="00281AD5">
        <w:lastRenderedPageBreak/>
        <w:t>NHRC provide</w:t>
      </w:r>
      <w:r w:rsidR="00B2283B">
        <w:t>s</w:t>
      </w:r>
      <w:r w:rsidR="00281AD5">
        <w:t xml:space="preserve"> </w:t>
      </w:r>
      <w:hyperlink r:id="rId36" w:history="1">
        <w:r w:rsidR="00B2283B" w:rsidRPr="008A6635">
          <w:rPr>
            <w:rStyle w:val="Hyperlink"/>
          </w:rPr>
          <w:t>monthly statistics</w:t>
        </w:r>
      </w:hyperlink>
      <w:r w:rsidR="00281AD5">
        <w:t>, including the number of reported fake encounters</w:t>
      </w:r>
      <w:r w:rsidR="00281AD5">
        <w:rPr>
          <w:rStyle w:val="FootnoteReference"/>
        </w:rPr>
        <w:footnoteReference w:id="60"/>
      </w:r>
      <w:r w:rsidR="00281AD5">
        <w:t>.</w:t>
      </w:r>
    </w:p>
    <w:p w14:paraId="15D9B5B3" w14:textId="0684F42F" w:rsidR="00ED389D" w:rsidRDefault="005D2C6A" w:rsidP="005D2C6A">
      <w:pPr>
        <w:pStyle w:val="ListParagraph"/>
      </w:pPr>
      <w:r>
        <w:t>According to the DFAT report ‘</w:t>
      </w:r>
      <w:r w:rsidRPr="005D2C6A">
        <w:t>Lack of media scrutiny and pressure from security forces in conflict-affected s</w:t>
      </w:r>
      <w:r>
        <w:t>tates suggest the incidence of “encounter killings”</w:t>
      </w:r>
      <w:r w:rsidRPr="005D2C6A">
        <w:t xml:space="preserve"> may be higher than government figures report. Encounter killings are most frequent in areas with active conflicts, such as Naxalite-affected states, Jammu and Kashmir, and north-east India, but can occur elsewhere. The </w:t>
      </w:r>
      <w:proofErr w:type="gramStart"/>
      <w:r w:rsidRPr="005D2C6A">
        <w:t>Uttar Pradesh Chief Minister</w:t>
      </w:r>
      <w:proofErr w:type="gramEnd"/>
      <w:r w:rsidRPr="005D2C6A">
        <w:t xml:space="preserve"> told the state parliament in February 2018 that </w:t>
      </w:r>
      <w:r>
        <w:t>“</w:t>
      </w:r>
      <w:r w:rsidRPr="005D2C6A">
        <w:t>encounter killings would not stop</w:t>
      </w:r>
      <w:r>
        <w:t>” and criticised “</w:t>
      </w:r>
      <w:r w:rsidRPr="005D2C6A">
        <w:t>people …</w:t>
      </w:r>
      <w:r>
        <w:t xml:space="preserve"> showing sympathy for criminals”</w:t>
      </w:r>
      <w:r w:rsidRPr="005D2C6A">
        <w:t>.</w:t>
      </w:r>
      <w:r>
        <w:t>’</w:t>
      </w:r>
      <w:r>
        <w:rPr>
          <w:rStyle w:val="FootnoteReference"/>
        </w:rPr>
        <w:footnoteReference w:id="61"/>
      </w:r>
    </w:p>
    <w:p w14:paraId="76A40D3D" w14:textId="2457B90E" w:rsidR="00B11D21" w:rsidRDefault="00B11D21" w:rsidP="00037F46">
      <w:pPr>
        <w:pStyle w:val="ListParagraph"/>
      </w:pPr>
      <w:r>
        <w:t>Amnesty International reported in its</w:t>
      </w:r>
      <w:r w:rsidR="00A31255">
        <w:t xml:space="preserve"> 2018 annual report on India, relating to 2017 events, that:</w:t>
      </w:r>
    </w:p>
    <w:p w14:paraId="6C68C52F" w14:textId="5567810B" w:rsidR="00A31255" w:rsidRDefault="00A31255" w:rsidP="00A31255">
      <w:pPr>
        <w:pStyle w:val="ListParagraph"/>
        <w:numPr>
          <w:ilvl w:val="0"/>
          <w:numId w:val="0"/>
        </w:numPr>
        <w:ind w:left="851"/>
      </w:pPr>
      <w:r>
        <w:t>‘</w:t>
      </w:r>
      <w:r w:rsidRPr="00A31255">
        <w:t>In April</w:t>
      </w:r>
      <w:r>
        <w:t>,</w:t>
      </w:r>
      <w:r w:rsidRPr="00A31255">
        <w:t xml:space="preserve"> a senior officer of the paramilitary Central Reserve Police Force alleged in writing to his commanding authorities that multiple security agencies had killed two suspected armed group members in an extrajudicial execution in Assam. The officer was transferred. In July, the Supreme Court directed the Central Bureau of Investigation to investigate more than 80 alleged extrajudicial executions by police and security force personnel in Manipur between 1979 and 2012. The court ruled that cases should not go uninvestigated merely because of the passage of time. In June, the Madhya Pradesh police shot dead five farmers who were among protesters in Mandsaur demanding better prices for crops. In August, at least 38 people were killed, some of them by the use of excessive force, when they were fired on by police during protests in Haryana following the conviction for rape of a self-styled “godman”, or guru.</w:t>
      </w:r>
      <w:r>
        <w:t>’</w:t>
      </w:r>
      <w:r>
        <w:rPr>
          <w:rStyle w:val="FootnoteReference"/>
        </w:rPr>
        <w:footnoteReference w:id="62"/>
      </w:r>
    </w:p>
    <w:p w14:paraId="79523220" w14:textId="347D0193" w:rsidR="001135C6" w:rsidRDefault="00CE1AC8" w:rsidP="00CE1AC8">
      <w:pPr>
        <w:pStyle w:val="ListParagraph"/>
      </w:pPr>
      <w:r>
        <w:t>A</w:t>
      </w:r>
      <w:r w:rsidR="001135C6">
        <w:t>ccording to Bertelsmann Stiftung’s BTI 2018 Country Report,</w:t>
      </w:r>
      <w:r>
        <w:t xml:space="preserve"> the A</w:t>
      </w:r>
      <w:r w:rsidR="00294D38">
        <w:t>r</w:t>
      </w:r>
      <w:r>
        <w:t>med Forces Special Powers Act</w:t>
      </w:r>
      <w:r w:rsidR="001135C6" w:rsidRPr="001135C6">
        <w:t xml:space="preserve"> </w:t>
      </w:r>
      <w:r w:rsidR="001135C6">
        <w:t xml:space="preserve">‘… </w:t>
      </w:r>
      <w:r w:rsidR="001135C6" w:rsidRPr="001135C6">
        <w:t>been the object of much controversy in India against the background of repeated abuses by the security forces.</w:t>
      </w:r>
      <w:r w:rsidR="001135C6">
        <w:t>’</w:t>
      </w:r>
      <w:r w:rsidR="001135C6">
        <w:rPr>
          <w:rStyle w:val="FootnoteReference"/>
        </w:rPr>
        <w:footnoteReference w:id="63"/>
      </w:r>
      <w:r>
        <w:t xml:space="preserve"> (see also Arrest and detention – </w:t>
      </w:r>
      <w:hyperlink w:anchor="_Legal_rights" w:history="1">
        <w:r w:rsidRPr="00CE1AC8">
          <w:rPr>
            <w:rStyle w:val="Hyperlink"/>
          </w:rPr>
          <w:t>Legal rights</w:t>
        </w:r>
      </w:hyperlink>
      <w:r>
        <w:t>).</w:t>
      </w:r>
    </w:p>
    <w:p w14:paraId="10322F61" w14:textId="5F920953" w:rsidR="000D49EA" w:rsidRPr="00D448D7" w:rsidRDefault="00000000" w:rsidP="000D49EA">
      <w:pPr>
        <w:jc w:val="right"/>
      </w:pPr>
      <w:hyperlink w:anchor="contents" w:history="1">
        <w:r w:rsidR="000D49EA" w:rsidRPr="006B4863">
          <w:rPr>
            <w:rStyle w:val="Hyperlink"/>
            <w:szCs w:val="24"/>
          </w:rPr>
          <w:t>Back to Contents</w:t>
        </w:r>
      </w:hyperlink>
    </w:p>
    <w:p w14:paraId="21C3EA04" w14:textId="6750EBB8" w:rsidR="008A040C" w:rsidRDefault="007C2761" w:rsidP="007C2761">
      <w:pPr>
        <w:pStyle w:val="Heading3"/>
      </w:pPr>
      <w:bookmarkStart w:id="47" w:name="_Avenues_of_redress"/>
      <w:bookmarkStart w:id="48" w:name="_Toc536000986"/>
      <w:bookmarkEnd w:id="47"/>
      <w:r w:rsidRPr="007C2761">
        <w:t>Avenues of redress</w:t>
      </w:r>
      <w:bookmarkEnd w:id="48"/>
    </w:p>
    <w:p w14:paraId="45DD3DE2" w14:textId="3BA069BF" w:rsidR="00CA2D34" w:rsidRDefault="00CA2D34" w:rsidP="005B25BA">
      <w:pPr>
        <w:pStyle w:val="ListParagraph"/>
      </w:pPr>
      <w:r>
        <w:t>Freedom House noted ‘</w:t>
      </w:r>
      <w:r w:rsidRPr="00CA2D34">
        <w:t>While the criminal procedure code requires that the government approve the prosecution of security forces members, approval is rarely granted, leading to impunity.</w:t>
      </w:r>
      <w:r w:rsidR="005B25BA">
        <w:t>’</w:t>
      </w:r>
      <w:r w:rsidR="005B25BA">
        <w:rPr>
          <w:rStyle w:val="FootnoteReference"/>
        </w:rPr>
        <w:footnoteReference w:id="64"/>
      </w:r>
      <w:r w:rsidR="005B25BA">
        <w:t xml:space="preserve"> </w:t>
      </w:r>
      <w:r w:rsidR="005B25BA" w:rsidRPr="005B25BA">
        <w:t>NGOs report</w:t>
      </w:r>
      <w:r w:rsidR="005B25BA">
        <w:t>ed that victims we</w:t>
      </w:r>
      <w:r w:rsidR="005B25BA" w:rsidRPr="005B25BA">
        <w:t>re sometimes reluctant to report crimes committed by police due to fear of retribution</w:t>
      </w:r>
      <w:r w:rsidR="005B25BA" w:rsidRPr="00984A32">
        <w:rPr>
          <w:rStyle w:val="FootnoteReference"/>
        </w:rPr>
        <w:footnoteReference w:id="65"/>
      </w:r>
      <w:r w:rsidR="005B25BA" w:rsidRPr="005B25BA">
        <w:t>.</w:t>
      </w:r>
    </w:p>
    <w:p w14:paraId="3197B244" w14:textId="77777777" w:rsidR="00B2283B" w:rsidRPr="00B2283B" w:rsidRDefault="008A040C" w:rsidP="008A040C">
      <w:pPr>
        <w:pStyle w:val="ListParagraph"/>
      </w:pPr>
      <w:r>
        <w:t>The PRS report noted ‘</w:t>
      </w:r>
      <w:r w:rsidRPr="008A040C">
        <w:t xml:space="preserve">India has some independent authorities that have the power to examine specific kinds of misconduct. For example, the National or State Human Rights Commission may be approached in case of human rights violations, or the state Lokayukta </w:t>
      </w:r>
      <w:r w:rsidR="004F78CB">
        <w:t xml:space="preserve">[anti-corruption ombudsman] </w:t>
      </w:r>
      <w:r w:rsidRPr="008A040C">
        <w:t xml:space="preserve">may be </w:t>
      </w:r>
      <w:r w:rsidRPr="008A040C">
        <w:lastRenderedPageBreak/>
        <w:t>approached with a complaint of corruption</w:t>
      </w:r>
      <w:r>
        <w:t>.’</w:t>
      </w:r>
      <w:r>
        <w:rPr>
          <w:rStyle w:val="FootnoteReference"/>
        </w:rPr>
        <w:footnoteReference w:id="66"/>
      </w:r>
      <w:r w:rsidR="001A7049">
        <w:t xml:space="preserve"> </w:t>
      </w:r>
      <w:r w:rsidR="00B2283B">
        <w:t>However, the same source noted that ‘</w:t>
      </w:r>
      <w:r w:rsidR="00B2283B" w:rsidRPr="006A5EB4">
        <w:rPr>
          <w:lang w:val="en-US"/>
        </w:rPr>
        <w:t xml:space="preserve">the Second Administrative Reforms Commission has noted the absence of independent oversight authorities that specialise in addressing all kinds of police </w:t>
      </w:r>
      <w:proofErr w:type="gramStart"/>
      <w:r w:rsidR="00B2283B" w:rsidRPr="006A5EB4">
        <w:rPr>
          <w:lang w:val="en-US"/>
        </w:rPr>
        <w:t>misconduct, and</w:t>
      </w:r>
      <w:proofErr w:type="gramEnd"/>
      <w:r w:rsidR="00B2283B" w:rsidRPr="006A5EB4">
        <w:rPr>
          <w:lang w:val="en-US"/>
        </w:rPr>
        <w:t xml:space="preserve"> are easily accessible</w:t>
      </w:r>
      <w:r w:rsidR="00B2283B">
        <w:rPr>
          <w:lang w:val="en-US"/>
        </w:rPr>
        <w:t>.’</w:t>
      </w:r>
      <w:r w:rsidR="00B2283B">
        <w:rPr>
          <w:rStyle w:val="FootnoteReference"/>
        </w:rPr>
        <w:footnoteReference w:id="67"/>
      </w:r>
    </w:p>
    <w:p w14:paraId="546B7BD6" w14:textId="5DF97B08" w:rsidR="008A040C" w:rsidRDefault="001A7049" w:rsidP="008A040C">
      <w:pPr>
        <w:pStyle w:val="ListParagraph"/>
      </w:pPr>
      <w:r>
        <w:t xml:space="preserve">According to Freedom House, there was little indication of the Lokayuktas Act (2014) </w:t>
      </w:r>
      <w:r w:rsidR="00B2283B">
        <w:t>[which c</w:t>
      </w:r>
      <w:r w:rsidR="00B2283B" w:rsidRPr="00973ABB">
        <w:rPr>
          <w:lang w:val="en-US"/>
        </w:rPr>
        <w:t>reates independent government bodies tasked with receiving complaints of corruption against public servants or politicians, investigating claims, and pursuing convictions through the courts</w:t>
      </w:r>
      <w:r w:rsidR="00B2283B">
        <w:rPr>
          <w:lang w:val="en-US"/>
        </w:rPr>
        <w:t>]</w:t>
      </w:r>
      <w:r w:rsidR="00B2283B" w:rsidRPr="00973ABB">
        <w:t xml:space="preserve"> </w:t>
      </w:r>
      <w:r>
        <w:t>being implemented</w:t>
      </w:r>
      <w:r>
        <w:rPr>
          <w:rStyle w:val="FootnoteReference"/>
        </w:rPr>
        <w:footnoteReference w:id="68"/>
      </w:r>
      <w:r>
        <w:t xml:space="preserve">. </w:t>
      </w:r>
    </w:p>
    <w:p w14:paraId="77E20254" w14:textId="4D85FF40" w:rsidR="00DA784B" w:rsidRDefault="00DA784B" w:rsidP="00DA784B">
      <w:pPr>
        <w:pStyle w:val="ListParagraph"/>
      </w:pPr>
      <w:r>
        <w:t>The DFAT report noted ‘</w:t>
      </w:r>
      <w:r w:rsidRPr="00DA784B">
        <w:t>The NHRC</w:t>
      </w:r>
      <w:r>
        <w:t xml:space="preserve"> [National Human Rights Commission]</w:t>
      </w:r>
      <w:r w:rsidRPr="00DA784B">
        <w:t xml:space="preserve"> receives around 100,000 complaints per year. In early 2018, it had over 24,000 matters under consideration. Critics claim the NHRC does not investigate every complaint, and that it suffers from a lack of investigative capacity. The NHRC relies on information provided by India’s states, which withhold it in some cases.</w:t>
      </w:r>
      <w:r>
        <w:t>’</w:t>
      </w:r>
      <w:r>
        <w:rPr>
          <w:rStyle w:val="FootnoteReference"/>
        </w:rPr>
        <w:footnoteReference w:id="69"/>
      </w:r>
      <w:r w:rsidR="004263CE">
        <w:t xml:space="preserve"> As of 15 November 2018, over 4,500 cases pending concerned matters of police and judicial custodial deaths and deaths in police encounters</w:t>
      </w:r>
      <w:r w:rsidR="004263CE">
        <w:rPr>
          <w:rStyle w:val="FootnoteReference"/>
        </w:rPr>
        <w:footnoteReference w:id="70"/>
      </w:r>
      <w:r w:rsidR="004263CE">
        <w:t>.</w:t>
      </w:r>
    </w:p>
    <w:p w14:paraId="352B95DB" w14:textId="5816A5C3" w:rsidR="003B068D" w:rsidRDefault="008A040C" w:rsidP="008A040C">
      <w:pPr>
        <w:pStyle w:val="ListParagraph"/>
      </w:pPr>
      <w:r>
        <w:t xml:space="preserve">Under the Model Police Act </w:t>
      </w:r>
      <w:r w:rsidR="00CD31C5">
        <w:t>and Supreme Court (SC) guidelines of 2006,</w:t>
      </w:r>
      <w:r>
        <w:t xml:space="preserve"> all states and UTs were required to set up state and district</w:t>
      </w:r>
      <w:r w:rsidR="00CD31C5">
        <w:t xml:space="preserve"> </w:t>
      </w:r>
      <w:r>
        <w:t xml:space="preserve">level police complaints authorities. According to the PRS report, not all states or territories had set up </w:t>
      </w:r>
      <w:proofErr w:type="gramStart"/>
      <w:r w:rsidR="00CD31C5">
        <w:t>complaints</w:t>
      </w:r>
      <w:proofErr w:type="gramEnd"/>
      <w:r>
        <w:t xml:space="preserve"> authorities</w:t>
      </w:r>
      <w:r w:rsidR="00CD31C5">
        <w:t xml:space="preserve"> at either state or district level, and/or the authorities were not functioning in accordance with the Act or SC guidelines</w:t>
      </w:r>
      <w:r>
        <w:rPr>
          <w:rStyle w:val="FootnoteReference"/>
        </w:rPr>
        <w:footnoteReference w:id="71"/>
      </w:r>
      <w:r>
        <w:t>.</w:t>
      </w:r>
    </w:p>
    <w:p w14:paraId="73A5BE64" w14:textId="222A7708" w:rsidR="00D448D7" w:rsidRDefault="00D448D7" w:rsidP="007A3BB0">
      <w:pPr>
        <w:pStyle w:val="ListParagraph"/>
      </w:pPr>
      <w:r>
        <w:t>T</w:t>
      </w:r>
      <w:r w:rsidR="007A3BB0">
        <w:t>he USSD HR Report 2017 noted that t</w:t>
      </w:r>
      <w:r w:rsidR="007A3BB0" w:rsidRPr="007A3BB0">
        <w:t>he central and state governments investigated some human rights violations committed by government forces resulting in a few prosec</w:t>
      </w:r>
      <w:r w:rsidR="001C57AA">
        <w:t>u</w:t>
      </w:r>
      <w:r w:rsidR="007A3BB0" w:rsidRPr="007A3BB0">
        <w:t>tions</w:t>
      </w:r>
      <w:r w:rsidR="00F96429" w:rsidRPr="00984A32">
        <w:rPr>
          <w:rStyle w:val="FootnoteReference"/>
        </w:rPr>
        <w:footnoteReference w:id="72"/>
      </w:r>
      <w:r w:rsidR="007A3BB0" w:rsidRPr="007A3BB0">
        <w:t>.</w:t>
      </w:r>
    </w:p>
    <w:p w14:paraId="6A1C0F07" w14:textId="581E526A" w:rsidR="005D2C6A" w:rsidRDefault="005D2C6A" w:rsidP="005D2C6A">
      <w:pPr>
        <w:pStyle w:val="ListParagraph"/>
      </w:pPr>
      <w:r>
        <w:t>According to the DFAT report ‘</w:t>
      </w:r>
      <w:r w:rsidRPr="005D2C6A">
        <w:t xml:space="preserve">Indian law requires all deaths in custody to be investigated by a magistrate not associated with the accused police station or agency. International human rights organisations claim that the law is not consistently applied: deaths may not be reported to the </w:t>
      </w:r>
      <w:proofErr w:type="gramStart"/>
      <w:r w:rsidRPr="005D2C6A">
        <w:t>NHRC</w:t>
      </w:r>
      <w:proofErr w:type="gramEnd"/>
      <w:r w:rsidRPr="005D2C6A">
        <w:t xml:space="preserve"> and police may pressure families not to pursue the matter. Actual numbers of deaths in police custody may be higher than official figures.</w:t>
      </w:r>
      <w:r>
        <w:t>’</w:t>
      </w:r>
      <w:bookmarkStart w:id="49" w:name="_Hlk528057188"/>
      <w:r>
        <w:rPr>
          <w:rStyle w:val="FootnoteReference"/>
        </w:rPr>
        <w:footnoteReference w:id="73"/>
      </w:r>
      <w:bookmarkEnd w:id="49"/>
    </w:p>
    <w:p w14:paraId="1E4C9410" w14:textId="78B3D9B2" w:rsidR="005B173B" w:rsidRDefault="005B173B" w:rsidP="00F90DFB">
      <w:pPr>
        <w:pStyle w:val="ListParagraph"/>
      </w:pPr>
      <w:r>
        <w:t>The USSD HR Report for 2017 noted</w:t>
      </w:r>
      <w:r w:rsidR="00F90DFB">
        <w:t>, ‘</w:t>
      </w:r>
      <w:r w:rsidR="00F90DFB" w:rsidRPr="00F90DFB">
        <w:t>The NHRC recommended the Criminal Investigations Department of the state police investigate all deaths taking place during police pursuits, arrests, or escape attempts. Many states did not follow this nonbinding recommendation and continued to conduct internal reviews at the discretion of senior officers.</w:t>
      </w:r>
      <w:r w:rsidR="00F90DFB">
        <w:t>’</w:t>
      </w:r>
      <w:r w:rsidR="00F90DFB" w:rsidRPr="00984A32">
        <w:rPr>
          <w:rStyle w:val="FootnoteReference"/>
        </w:rPr>
        <w:footnoteReference w:id="74"/>
      </w:r>
    </w:p>
    <w:p w14:paraId="2CA65A81" w14:textId="01065722" w:rsidR="00F90DFB" w:rsidRDefault="00F90DFB" w:rsidP="00F90DFB">
      <w:pPr>
        <w:pStyle w:val="ListParagraph"/>
      </w:pPr>
      <w:r>
        <w:t>The same source also noted, ‘</w:t>
      </w:r>
      <w:r w:rsidRPr="00F90DFB">
        <w:t xml:space="preserve">There were cases of </w:t>
      </w:r>
      <w:r w:rsidR="00F939B4">
        <w:t xml:space="preserve">[police] </w:t>
      </w:r>
      <w:r w:rsidRPr="00F90DFB">
        <w:t xml:space="preserve">officers at all levels acting with impunity, but there were also cases of security officials </w:t>
      </w:r>
      <w:r w:rsidRPr="00F90DFB">
        <w:lastRenderedPageBreak/>
        <w:t>held accountable for illegal actions. Military courts investigated cases of abuse by the armed forces and paramilitary forces. Authorities tried cases against law enforcement officers in public courts but sometimes did not adhere to due process. Authorities sometimes transferred officers after convicting them of a crime.</w:t>
      </w:r>
      <w:r>
        <w:t>’</w:t>
      </w:r>
      <w:r w:rsidRPr="00F90DFB">
        <w:rPr>
          <w:rStyle w:val="FootnoteReference"/>
        </w:rPr>
        <w:t xml:space="preserve"> </w:t>
      </w:r>
      <w:r w:rsidRPr="00984A32">
        <w:rPr>
          <w:rStyle w:val="FootnoteReference"/>
        </w:rPr>
        <w:footnoteReference w:id="75"/>
      </w:r>
    </w:p>
    <w:p w14:paraId="341E6648" w14:textId="77777777" w:rsidR="00294E71" w:rsidRDefault="00000000" w:rsidP="001B6A9A">
      <w:pPr>
        <w:jc w:val="right"/>
      </w:pPr>
      <w:hyperlink w:anchor="contents" w:history="1">
        <w:r w:rsidR="003B068D" w:rsidRPr="006B4863">
          <w:rPr>
            <w:rStyle w:val="Hyperlink"/>
            <w:szCs w:val="24"/>
          </w:rPr>
          <w:t>Back to Contents</w:t>
        </w:r>
      </w:hyperlink>
      <w:r w:rsidR="008A040C">
        <w:t xml:space="preserve">  </w:t>
      </w:r>
      <w:r w:rsidR="007C2761" w:rsidRPr="007C2761">
        <w:t xml:space="preserve"> </w:t>
      </w:r>
      <w:bookmarkStart w:id="50" w:name="_Rule_of_law"/>
      <w:bookmarkEnd w:id="50"/>
    </w:p>
    <w:p w14:paraId="6D9DC580" w14:textId="5EB67C18" w:rsidR="00294E71" w:rsidRPr="00294E71" w:rsidRDefault="009C0997" w:rsidP="00294E71">
      <w:pPr>
        <w:jc w:val="right"/>
      </w:pPr>
      <w:r>
        <w:rPr>
          <w:color w:val="7030A0"/>
        </w:rPr>
        <w:t>Section 6</w:t>
      </w:r>
      <w:r w:rsidR="00C81744" w:rsidRPr="00294E71">
        <w:rPr>
          <w:color w:val="7030A0"/>
        </w:rPr>
        <w:t xml:space="preserve"> updated: </w:t>
      </w:r>
      <w:r w:rsidR="001C57AA">
        <w:rPr>
          <w:color w:val="7030A0"/>
        </w:rPr>
        <w:t>1</w:t>
      </w:r>
      <w:r w:rsidR="00F036FD">
        <w:rPr>
          <w:color w:val="7030A0"/>
        </w:rPr>
        <w:t>8</w:t>
      </w:r>
      <w:r w:rsidR="001C57AA">
        <w:rPr>
          <w:color w:val="7030A0"/>
        </w:rPr>
        <w:t xml:space="preserve"> Decem</w:t>
      </w:r>
      <w:r w:rsidR="00AF6F85">
        <w:rPr>
          <w:color w:val="7030A0"/>
        </w:rPr>
        <w:t>ber</w:t>
      </w:r>
      <w:r w:rsidR="00C81744" w:rsidRPr="00294E71">
        <w:rPr>
          <w:color w:val="7030A0"/>
        </w:rPr>
        <w:t xml:space="preserve"> 2018</w:t>
      </w:r>
      <w:bookmarkStart w:id="51" w:name="_Rule_of_law_1"/>
      <w:bookmarkEnd w:id="51"/>
    </w:p>
    <w:p w14:paraId="72A51777" w14:textId="69DA0FD1" w:rsidR="007C2761" w:rsidRDefault="00201789" w:rsidP="00294E71">
      <w:pPr>
        <w:pStyle w:val="Heading2"/>
        <w:keepNext w:val="0"/>
        <w:keepLines w:val="0"/>
      </w:pPr>
      <w:bookmarkStart w:id="52" w:name="_Toc536000987"/>
      <w:r>
        <w:t>Rule of law and the j</w:t>
      </w:r>
      <w:r w:rsidR="007C2761" w:rsidRPr="007C2761">
        <w:t>udiciary</w:t>
      </w:r>
      <w:bookmarkEnd w:id="52"/>
      <w:r w:rsidR="007C2761" w:rsidRPr="007C2761">
        <w:t xml:space="preserve"> </w:t>
      </w:r>
    </w:p>
    <w:p w14:paraId="3225AC7C" w14:textId="77777777" w:rsidR="00487219" w:rsidRDefault="007C2761" w:rsidP="00294E71">
      <w:pPr>
        <w:pStyle w:val="Heading3"/>
        <w:keepNext w:val="0"/>
        <w:keepLines w:val="0"/>
      </w:pPr>
      <w:bookmarkStart w:id="53" w:name="_Toc536000988"/>
      <w:r w:rsidRPr="007C2761">
        <w:t>Organisation</w:t>
      </w:r>
      <w:bookmarkEnd w:id="53"/>
    </w:p>
    <w:p w14:paraId="7A92E58E" w14:textId="74583525" w:rsidR="006054C9" w:rsidRDefault="0009783C" w:rsidP="0009783C">
      <w:pPr>
        <w:pStyle w:val="ListParagraph"/>
      </w:pPr>
      <w:r>
        <w:t xml:space="preserve">Most states and </w:t>
      </w:r>
      <w:r w:rsidRPr="0009783C">
        <w:t>UTs have separate High Court and subsidiary courts</w:t>
      </w:r>
      <w:r>
        <w:t xml:space="preserve">. </w:t>
      </w:r>
      <w:r w:rsidR="00487219">
        <w:t>For information on</w:t>
      </w:r>
      <w:r w:rsidR="006054C9">
        <w:t>, and the organisation of,</w:t>
      </w:r>
      <w:r w:rsidR="00487219">
        <w:t xml:space="preserve"> Indian courts, see </w:t>
      </w:r>
      <w:r w:rsidR="00F82229">
        <w:t xml:space="preserve">the </w:t>
      </w:r>
      <w:hyperlink r:id="rId37" w:history="1">
        <w:r w:rsidR="00F82229" w:rsidRPr="00F82229">
          <w:rPr>
            <w:rStyle w:val="Hyperlink"/>
          </w:rPr>
          <w:t>Court Website</w:t>
        </w:r>
      </w:hyperlink>
      <w:r w:rsidR="00F82229">
        <w:rPr>
          <w:rStyle w:val="FootnoteReference"/>
        </w:rPr>
        <w:footnoteReference w:id="76"/>
      </w:r>
      <w:r w:rsidR="00F82229">
        <w:t>.</w:t>
      </w:r>
    </w:p>
    <w:p w14:paraId="2954C530" w14:textId="3FA503AC" w:rsidR="007C2761" w:rsidRDefault="00000000" w:rsidP="006054C9">
      <w:pPr>
        <w:jc w:val="right"/>
      </w:pPr>
      <w:hyperlink w:anchor="contents" w:history="1">
        <w:r w:rsidR="006054C9" w:rsidRPr="006B4863">
          <w:rPr>
            <w:rStyle w:val="Hyperlink"/>
            <w:szCs w:val="24"/>
          </w:rPr>
          <w:t>Back to Contents</w:t>
        </w:r>
      </w:hyperlink>
      <w:r w:rsidR="00487219">
        <w:t xml:space="preserve"> </w:t>
      </w:r>
    </w:p>
    <w:p w14:paraId="207CBAA1" w14:textId="77777777" w:rsidR="009F2C49" w:rsidRDefault="007C2761" w:rsidP="007C2761">
      <w:pPr>
        <w:pStyle w:val="Heading3"/>
      </w:pPr>
      <w:bookmarkStart w:id="54" w:name="_Toc536000989"/>
      <w:r>
        <w:t>Fai</w:t>
      </w:r>
      <w:r w:rsidRPr="007C2761">
        <w:t>r trial</w:t>
      </w:r>
      <w:bookmarkEnd w:id="54"/>
    </w:p>
    <w:p w14:paraId="66D6D85C" w14:textId="43F4E99F" w:rsidR="007C2761" w:rsidRDefault="009F2C49" w:rsidP="009F2C49">
      <w:pPr>
        <w:pStyle w:val="ListParagraph"/>
      </w:pPr>
      <w:r>
        <w:t>The USSD HR Report 2017 stated that judicial corruption was wi</w:t>
      </w:r>
      <w:r w:rsidR="00F036FD">
        <w:t>despread</w:t>
      </w:r>
      <w:r>
        <w:t xml:space="preserve"> and added ‘</w:t>
      </w:r>
      <w:r w:rsidRPr="009F2C49">
        <w:t>The judicial system remained seriously overburdened and lacked modern case management systems, often delaying or denying justice</w:t>
      </w:r>
      <w:r>
        <w:t>.’</w:t>
      </w:r>
      <w:bookmarkStart w:id="55" w:name="_Hlk526769409"/>
      <w:r w:rsidR="006054C9" w:rsidRPr="00984A32">
        <w:rPr>
          <w:rStyle w:val="FootnoteReference"/>
        </w:rPr>
        <w:footnoteReference w:id="77"/>
      </w:r>
      <w:bookmarkEnd w:id="55"/>
      <w:r w:rsidR="007C2761" w:rsidRPr="007C2761">
        <w:t xml:space="preserve"> </w:t>
      </w:r>
      <w:r w:rsidR="006054C9">
        <w:t>The same source added:</w:t>
      </w:r>
    </w:p>
    <w:p w14:paraId="570070ED" w14:textId="1646F9F5" w:rsidR="006054C9" w:rsidRDefault="006054C9" w:rsidP="006054C9">
      <w:pPr>
        <w:pStyle w:val="ListParagraph"/>
        <w:numPr>
          <w:ilvl w:val="0"/>
          <w:numId w:val="0"/>
        </w:numPr>
        <w:ind w:left="851"/>
      </w:pPr>
      <w:r>
        <w:t xml:space="preserve">‘The law provides for public trials, except in proceedings that involve official secrets or state security. Defendants enjoy the presumption of innocence, except as described under UAPA </w:t>
      </w:r>
      <w:r w:rsidR="00B2283B">
        <w:t xml:space="preserve">[the Unlawful Activities Prevention Act] </w:t>
      </w:r>
      <w:proofErr w:type="gramStart"/>
      <w:r>
        <w:t>conditions, and</w:t>
      </w:r>
      <w:proofErr w:type="gramEnd"/>
      <w:r>
        <w:t xml:space="preserve"> may choose their counsel. The state provides free legal counsel to defendants who cannot afford it, but circumstances often limited access to competent counsel, and an overburdened justice system resulted in lengthy delays in court cases, with disposition sometimes taking more than a decade. </w:t>
      </w:r>
    </w:p>
    <w:p w14:paraId="15CD39B4" w14:textId="1D75769F" w:rsidR="006054C9" w:rsidRDefault="00FF22AC" w:rsidP="006054C9">
      <w:pPr>
        <w:pStyle w:val="ListParagraph"/>
        <w:numPr>
          <w:ilvl w:val="0"/>
          <w:numId w:val="0"/>
        </w:numPr>
        <w:ind w:left="851"/>
      </w:pPr>
      <w:r>
        <w:t>‘</w:t>
      </w:r>
      <w:r w:rsidR="006054C9">
        <w:t>While defendants have the right to confront accusers and present their own witnesses and evidence, defendants sometimes did not exercise this right due to lack of proper legal representation. Defendants have the right not to testify or confess guilt. Courts must announce sentences publicly, and there are effective channels for appeal at most levels of the judicial system.’</w:t>
      </w:r>
      <w:r w:rsidR="006054C9" w:rsidRPr="00984A32">
        <w:rPr>
          <w:rStyle w:val="FootnoteReference"/>
        </w:rPr>
        <w:footnoteReference w:id="78"/>
      </w:r>
    </w:p>
    <w:p w14:paraId="4A3A0255" w14:textId="2D3F1F28" w:rsidR="00184AA8" w:rsidRDefault="00184AA8" w:rsidP="00184AA8">
      <w:pPr>
        <w:pStyle w:val="ListParagraph"/>
      </w:pPr>
      <w:r>
        <w:t>According to the BTI 2016 Country Report, poorer Indians had</w:t>
      </w:r>
      <w:r w:rsidRPr="00184AA8">
        <w:t xml:space="preserve"> limited access to the courts, while w</w:t>
      </w:r>
      <w:r>
        <w:t>ealthier or influential people we</w:t>
      </w:r>
      <w:r w:rsidRPr="00184AA8">
        <w:t>re able to delay judgments by appeal. As a resul</w:t>
      </w:r>
      <w:r>
        <w:t>t, more privileged individuals we</w:t>
      </w:r>
      <w:r w:rsidRPr="00184AA8">
        <w:t xml:space="preserve">re </w:t>
      </w:r>
      <w:r>
        <w:t>more rarely convicted, and justice wa</w:t>
      </w:r>
      <w:r w:rsidRPr="00184AA8">
        <w:t>s frequently denied to large sections of the population</w:t>
      </w:r>
      <w:r>
        <w:rPr>
          <w:rStyle w:val="FootnoteReference"/>
        </w:rPr>
        <w:footnoteReference w:id="79"/>
      </w:r>
      <w:r w:rsidRPr="00184AA8">
        <w:t xml:space="preserve">. </w:t>
      </w:r>
      <w:r>
        <w:t>Freedom House reported t</w:t>
      </w:r>
      <w:r w:rsidRPr="00184AA8">
        <w:t>he criminal justice system fail</w:t>
      </w:r>
      <w:r>
        <w:t>ed</w:t>
      </w:r>
      <w:r w:rsidRPr="00184AA8">
        <w:t xml:space="preserve"> to provide equal protection to marginalised groups, while in rural areas i</w:t>
      </w:r>
      <w:r>
        <w:t>nformal community councils issued</w:t>
      </w:r>
      <w:r w:rsidRPr="00184AA8">
        <w:t xml:space="preserve"> edicts concerning social customs. </w:t>
      </w:r>
      <w:r>
        <w:t>This sometimes resulted</w:t>
      </w:r>
      <w:r w:rsidRPr="00184AA8">
        <w:t xml:space="preserve"> in violence against persons perceived to have </w:t>
      </w:r>
      <w:r w:rsidRPr="00184AA8">
        <w:lastRenderedPageBreak/>
        <w:t>transgressed social norms, especially women and members of the lower castes</w:t>
      </w:r>
      <w:r>
        <w:rPr>
          <w:rStyle w:val="FootnoteReference"/>
        </w:rPr>
        <w:footnoteReference w:id="80"/>
      </w:r>
      <w:r w:rsidRPr="00184AA8">
        <w:t>.</w:t>
      </w:r>
      <w:r>
        <w:t xml:space="preserve"> </w:t>
      </w:r>
    </w:p>
    <w:p w14:paraId="3C3D619C" w14:textId="7E7199B5" w:rsidR="006054C9" w:rsidRDefault="00000000" w:rsidP="006054C9">
      <w:pPr>
        <w:jc w:val="right"/>
      </w:pPr>
      <w:hyperlink w:anchor="contents" w:history="1">
        <w:r w:rsidR="006054C9" w:rsidRPr="006B4863">
          <w:rPr>
            <w:rStyle w:val="Hyperlink"/>
            <w:szCs w:val="24"/>
          </w:rPr>
          <w:t>Back to Contents</w:t>
        </w:r>
      </w:hyperlink>
    </w:p>
    <w:p w14:paraId="37F19AEC" w14:textId="77777777" w:rsidR="00794EAA" w:rsidRDefault="007C2761" w:rsidP="007C2761">
      <w:pPr>
        <w:pStyle w:val="Heading3"/>
      </w:pPr>
      <w:bookmarkStart w:id="56" w:name="_Toc536000990"/>
      <w:r>
        <w:t>I</w:t>
      </w:r>
      <w:r w:rsidRPr="007C2761">
        <w:t>ndependence</w:t>
      </w:r>
      <w:bookmarkEnd w:id="56"/>
    </w:p>
    <w:p w14:paraId="39AA4AFF" w14:textId="2050419D" w:rsidR="006054C9" w:rsidRDefault="00C82BDB" w:rsidP="00C82BDB">
      <w:pPr>
        <w:pStyle w:val="ListParagraph"/>
      </w:pPr>
      <w:r w:rsidRPr="00C82BDB">
        <w:t>Article 50 of t</w:t>
      </w:r>
      <w:r>
        <w:t>he Constitution of India reads ‘T</w:t>
      </w:r>
      <w:r w:rsidRPr="00C82BDB">
        <w:t>he State shall take steps to separate the judiciary from the executive in t</w:t>
      </w:r>
      <w:r>
        <w:t>he public services of the State.’</w:t>
      </w:r>
      <w:r>
        <w:rPr>
          <w:rStyle w:val="FootnoteReference"/>
        </w:rPr>
        <w:footnoteReference w:id="81"/>
      </w:r>
      <w:r>
        <w:t xml:space="preserve"> The BTI 2018 Country Report noted</w:t>
      </w:r>
      <w:r w:rsidRPr="00C869D7">
        <w:t xml:space="preserve"> </w:t>
      </w:r>
      <w:r>
        <w:t>‘</w:t>
      </w:r>
      <w:r w:rsidRPr="00C869D7">
        <w:t>The Indian judiciary is institutionally differentiated and largely independent from the legislative and executive branches</w:t>
      </w:r>
      <w:r>
        <w:t>.’</w:t>
      </w:r>
      <w:r>
        <w:rPr>
          <w:rStyle w:val="FootnoteReference"/>
        </w:rPr>
        <w:footnoteReference w:id="82"/>
      </w:r>
      <w:r>
        <w:t xml:space="preserve"> </w:t>
      </w:r>
      <w:r w:rsidR="00794EAA">
        <w:t>Freedom House reported in its Freedom in the World 2018 report that ‘</w:t>
      </w:r>
      <w:r w:rsidR="00794EAA" w:rsidRPr="00794EAA">
        <w:t>The judiciary is independent of the executive branch</w:t>
      </w:r>
      <w:r w:rsidR="00B2283B">
        <w:t xml:space="preserve">. </w:t>
      </w:r>
      <w:r w:rsidR="00B2283B" w:rsidRPr="00536EC6">
        <w:rPr>
          <w:lang w:val="en-US"/>
        </w:rPr>
        <w:t xml:space="preserve">However, the lower levels of the judiciary </w:t>
      </w:r>
      <w:proofErr w:type="gramStart"/>
      <w:r w:rsidR="00B2283B" w:rsidRPr="00536EC6">
        <w:rPr>
          <w:lang w:val="en-US"/>
        </w:rPr>
        <w:t>in particular have</w:t>
      </w:r>
      <w:proofErr w:type="gramEnd"/>
      <w:r w:rsidR="00B2283B" w:rsidRPr="00536EC6">
        <w:rPr>
          <w:lang w:val="en-US"/>
        </w:rPr>
        <w:t xml:space="preserve"> been rife with corruption, and most citizens have great difficulty securing justice through the courts</w:t>
      </w:r>
      <w:r w:rsidR="00794EAA" w:rsidRPr="00794EAA">
        <w:t>.</w:t>
      </w:r>
      <w:r w:rsidR="00794EAA">
        <w:t>’</w:t>
      </w:r>
      <w:r w:rsidR="00B1372F">
        <w:rPr>
          <w:rStyle w:val="FootnoteReference"/>
        </w:rPr>
        <w:footnoteReference w:id="83"/>
      </w:r>
    </w:p>
    <w:p w14:paraId="0BF963CC" w14:textId="77777777" w:rsidR="006C3B97" w:rsidRPr="006C3B97" w:rsidRDefault="00B2283B" w:rsidP="00C82BDB">
      <w:pPr>
        <w:pStyle w:val="ListParagraph"/>
      </w:pPr>
      <w:r>
        <w:rPr>
          <w:lang w:val="en-US"/>
        </w:rPr>
        <w:t xml:space="preserve">In May 2017, the Canadian Immigration and Refugee Board’s Research Directorate published a response to an information request on corruption within the Indian judicial system and found corruption at different levels affecting </w:t>
      </w:r>
      <w:r w:rsidR="006C3B97">
        <w:rPr>
          <w:lang w:val="en-US"/>
        </w:rPr>
        <w:t>the effectiveness of the courts</w:t>
      </w:r>
      <w:r>
        <w:rPr>
          <w:rStyle w:val="FootnoteReference"/>
          <w:lang w:val="en-US"/>
        </w:rPr>
        <w:footnoteReference w:id="84"/>
      </w:r>
      <w:r w:rsidR="006C3B97">
        <w:rPr>
          <w:lang w:val="en-US"/>
        </w:rPr>
        <w:t>.</w:t>
      </w:r>
      <w:r>
        <w:rPr>
          <w:lang w:val="en-US"/>
        </w:rPr>
        <w:t xml:space="preserve"> The source reported that</w:t>
      </w:r>
      <w:r w:rsidR="006C3B97">
        <w:rPr>
          <w:lang w:val="en-US"/>
        </w:rPr>
        <w:t>:</w:t>
      </w:r>
    </w:p>
    <w:p w14:paraId="41F1EA3E" w14:textId="79762F9F" w:rsidR="00B2283B" w:rsidRDefault="00B2283B" w:rsidP="006C3B97">
      <w:pPr>
        <w:pStyle w:val="ListParagraph"/>
        <w:numPr>
          <w:ilvl w:val="0"/>
          <w:numId w:val="0"/>
        </w:numPr>
        <w:ind w:left="851"/>
      </w:pPr>
      <w:r>
        <w:rPr>
          <w:lang w:val="en-US"/>
        </w:rPr>
        <w:t>‘</w:t>
      </w:r>
      <w:r w:rsidRPr="008B075F">
        <w:rPr>
          <w:lang w:val="en-US"/>
        </w:rPr>
        <w:t>In an opinion article published in the </w:t>
      </w:r>
      <w:r w:rsidRPr="006C3B97">
        <w:rPr>
          <w:iCs/>
          <w:lang w:val="en-US"/>
        </w:rPr>
        <w:t>Indian Express</w:t>
      </w:r>
      <w:r w:rsidRPr="008B075F">
        <w:rPr>
          <w:lang w:val="en-US"/>
        </w:rPr>
        <w:t xml:space="preserve">, Upendra Baxi, a professor of law at the University of Warwick and the former vice-chancelor of the Universities of South Gujarat and Delhi </w:t>
      </w:r>
      <w:r w:rsidR="006C3B97">
        <w:rPr>
          <w:lang w:val="en-US"/>
        </w:rPr>
        <w:t>[…]</w:t>
      </w:r>
      <w:r w:rsidRPr="008B075F">
        <w:rPr>
          <w:lang w:val="en-US"/>
        </w:rPr>
        <w:t xml:space="preserve">, notes that </w:t>
      </w:r>
      <w:r w:rsidR="006C3B97">
        <w:rPr>
          <w:lang w:val="en-US"/>
        </w:rPr>
        <w:t>“</w:t>
      </w:r>
      <w:r w:rsidRPr="008B075F">
        <w:rPr>
          <w:lang w:val="en-US"/>
        </w:rPr>
        <w:t>[s]everal chief justices of India (CJI), incumbent justices, and superannuated justices have lamented the fact that the widespread systematic governance corruptibility has resulted in discrete acts of judicial corruption</w:t>
      </w:r>
      <w:r w:rsidR="006C3B97">
        <w:rPr>
          <w:lang w:val="en-US"/>
        </w:rPr>
        <w:t>”</w:t>
      </w:r>
      <w:r w:rsidRPr="008B075F">
        <w:rPr>
          <w:lang w:val="en-US"/>
        </w:rPr>
        <w:t xml:space="preserve"> </w:t>
      </w:r>
      <w:r>
        <w:rPr>
          <w:lang w:val="en-US"/>
        </w:rPr>
        <w:t>[…]</w:t>
      </w:r>
      <w:r w:rsidR="006C3B97">
        <w:rPr>
          <w:lang w:val="en-US"/>
        </w:rPr>
        <w:t xml:space="preserve"> </w:t>
      </w:r>
      <w:r w:rsidRPr="008B075F">
        <w:rPr>
          <w:lang w:val="en-US"/>
        </w:rPr>
        <w:t xml:space="preserve">A 2015 BBC article on the link between the slow resolution of cases and corruption states that </w:t>
      </w:r>
      <w:r w:rsidR="006C3B97">
        <w:rPr>
          <w:lang w:val="en-US"/>
        </w:rPr>
        <w:t>“</w:t>
      </w:r>
      <w:r w:rsidRPr="008B075F">
        <w:rPr>
          <w:lang w:val="en-US"/>
        </w:rPr>
        <w:t>[s]nail justice ends up benefitting the rich as witnesses can be intimidated and bought and political pressure and money power can be used to influence and subdue prosecutors and sometimes judges</w:t>
      </w:r>
      <w:r w:rsidR="006C3B97">
        <w:rPr>
          <w:lang w:val="en-US"/>
        </w:rPr>
        <w:t>”</w:t>
      </w:r>
      <w:r w:rsidRPr="008B075F">
        <w:rPr>
          <w:lang w:val="en-US"/>
        </w:rPr>
        <w:t xml:space="preserve"> </w:t>
      </w:r>
      <w:r w:rsidR="006C3B97">
        <w:rPr>
          <w:lang w:val="en-US"/>
        </w:rPr>
        <w:t>[…]</w:t>
      </w:r>
      <w:r w:rsidRPr="008B075F">
        <w:rPr>
          <w:lang w:val="en-US"/>
        </w:rPr>
        <w:t>. An article in the</w:t>
      </w:r>
      <w:r w:rsidRPr="008B075F">
        <w:rPr>
          <w:i/>
          <w:iCs/>
          <w:lang w:val="en-US"/>
        </w:rPr>
        <w:t> </w:t>
      </w:r>
      <w:r w:rsidRPr="006C3B97">
        <w:rPr>
          <w:iCs/>
          <w:lang w:val="en-US"/>
        </w:rPr>
        <w:t>Guardian</w:t>
      </w:r>
      <w:r w:rsidRPr="006C3B97">
        <w:rPr>
          <w:lang w:val="en-US"/>
        </w:rPr>
        <w:t> </w:t>
      </w:r>
      <w:r w:rsidR="006C3B97">
        <w:rPr>
          <w:lang w:val="en-US"/>
        </w:rPr>
        <w:t>notes that “</w:t>
      </w:r>
      <w:r w:rsidRPr="008B075F">
        <w:rPr>
          <w:lang w:val="en-US"/>
        </w:rPr>
        <w:t>[i]n the absence of speedy justice, vigilantism thrives. … Corruption too, is endemic. People would rather bribe a police officer or a judge than go throug</w:t>
      </w:r>
      <w:r w:rsidR="006C3B97">
        <w:rPr>
          <w:lang w:val="en-US"/>
        </w:rPr>
        <w:t>h the lengthy hassle of a trial”</w:t>
      </w:r>
      <w:r w:rsidRPr="008B075F">
        <w:rPr>
          <w:lang w:val="en-US"/>
        </w:rPr>
        <w:t xml:space="preserve"> </w:t>
      </w:r>
      <w:r w:rsidR="006C3B97">
        <w:rPr>
          <w:lang w:val="en-US"/>
        </w:rPr>
        <w:t>[…]</w:t>
      </w:r>
      <w:r>
        <w:rPr>
          <w:lang w:val="en-US"/>
        </w:rPr>
        <w:t>.’</w:t>
      </w:r>
      <w:r>
        <w:rPr>
          <w:rStyle w:val="FootnoteReference"/>
          <w:lang w:val="en-US"/>
        </w:rPr>
        <w:footnoteReference w:id="85"/>
      </w:r>
    </w:p>
    <w:p w14:paraId="46422739" w14:textId="31C38D84" w:rsidR="007C2761" w:rsidRDefault="00000000" w:rsidP="006054C9">
      <w:pPr>
        <w:jc w:val="right"/>
      </w:pPr>
      <w:hyperlink w:anchor="contents" w:history="1">
        <w:r w:rsidR="006054C9" w:rsidRPr="006B4863">
          <w:rPr>
            <w:rStyle w:val="Hyperlink"/>
            <w:szCs w:val="24"/>
          </w:rPr>
          <w:t>Back to Contents</w:t>
        </w:r>
      </w:hyperlink>
      <w:r w:rsidR="007C2761" w:rsidRPr="007C2761">
        <w:t xml:space="preserve"> </w:t>
      </w:r>
    </w:p>
    <w:p w14:paraId="3A91506B" w14:textId="4436CA7F" w:rsidR="0086390D" w:rsidRDefault="0086390D" w:rsidP="007C2761">
      <w:pPr>
        <w:pStyle w:val="Heading3"/>
      </w:pPr>
      <w:bookmarkStart w:id="57" w:name="_Toc536000991"/>
      <w:r>
        <w:t>Effectiveness</w:t>
      </w:r>
      <w:bookmarkEnd w:id="57"/>
    </w:p>
    <w:p w14:paraId="53F02E7C" w14:textId="5FD608AD" w:rsidR="004C40BF" w:rsidRDefault="004C40BF" w:rsidP="004C40BF">
      <w:pPr>
        <w:pStyle w:val="ListParagraph"/>
      </w:pPr>
      <w:bookmarkStart w:id="58" w:name="_Hlk525822824"/>
      <w:r>
        <w:t>Bertelsmann Stiftung’s BTI 2018 Country Report</w:t>
      </w:r>
      <w:bookmarkEnd w:id="58"/>
      <w:r>
        <w:t xml:space="preserve"> noted:</w:t>
      </w:r>
    </w:p>
    <w:p w14:paraId="050342EE" w14:textId="1C59F742" w:rsidR="004C40BF" w:rsidRDefault="004C40BF" w:rsidP="004C40BF">
      <w:pPr>
        <w:pStyle w:val="ListParagraph"/>
        <w:numPr>
          <w:ilvl w:val="0"/>
          <w:numId w:val="0"/>
        </w:numPr>
        <w:ind w:left="851"/>
      </w:pPr>
      <w:r>
        <w:t>‘</w:t>
      </w:r>
      <w:r w:rsidRPr="004C40BF">
        <w:t>The main problem of the Indian judiciary is its limited functional operability, which is mainly due to understaffing</w:t>
      </w:r>
      <w:r>
        <w:t xml:space="preserve">… [which] leads to massive delays in the hearing of cases (the backlog currently amounts to over four million cases in the high courts and 25 million cases in subordinate courts; in the Supreme Court, over 60,000 cases are pending) and to extremely long periods of </w:t>
      </w:r>
      <w:r>
        <w:lastRenderedPageBreak/>
        <w:t>detention when awaiting trial. Over two thirds of India’s prisoners are awaiting trial, and prisons are hopelessly overcrowded…’</w:t>
      </w:r>
      <w:r>
        <w:rPr>
          <w:rStyle w:val="FootnoteReference"/>
        </w:rPr>
        <w:footnoteReference w:id="86"/>
      </w:r>
    </w:p>
    <w:p w14:paraId="25015D56" w14:textId="3008F11D" w:rsidR="006C3B97" w:rsidRPr="00536EC6" w:rsidRDefault="00515FAA" w:rsidP="006C3B97">
      <w:pPr>
        <w:pStyle w:val="ListParagraph"/>
        <w:rPr>
          <w:lang w:val="en-US"/>
        </w:rPr>
      </w:pPr>
      <w:r>
        <w:t>Freedom House reported that t</w:t>
      </w:r>
      <w:r w:rsidRPr="00870925">
        <w:t xml:space="preserve">he lower levels of the judiciary </w:t>
      </w:r>
      <w:r>
        <w:t>we</w:t>
      </w:r>
      <w:r w:rsidRPr="00870925">
        <w:t>re rife with co</w:t>
      </w:r>
      <w:r w:rsidR="00534FA1">
        <w:t>rruption</w:t>
      </w:r>
      <w:r>
        <w:t xml:space="preserve"> and most citizens had</w:t>
      </w:r>
      <w:r w:rsidRPr="00870925">
        <w:t xml:space="preserve"> great difficulty securing justice through the courts</w:t>
      </w:r>
      <w:r w:rsidR="001A41FF">
        <w:rPr>
          <w:rStyle w:val="FootnoteReference"/>
        </w:rPr>
        <w:footnoteReference w:id="87"/>
      </w:r>
      <w:r>
        <w:t xml:space="preserve">. </w:t>
      </w:r>
      <w:r w:rsidR="006C3B97">
        <w:t>The same source further noted that ‘</w:t>
      </w:r>
      <w:r w:rsidR="006C3B97" w:rsidRPr="00536EC6">
        <w:rPr>
          <w:lang w:val="en-US"/>
        </w:rPr>
        <w:t>The system is severely backlogged and understaffed, leading to lengthy pretrial detention for a large number of suspects, many of whom remain in jail longer than the duration of any sentence they might receive if convicte</w:t>
      </w:r>
      <w:r w:rsidR="006C3B97">
        <w:rPr>
          <w:lang w:val="en-US"/>
        </w:rPr>
        <w:t>d.</w:t>
      </w:r>
      <w:r w:rsidR="006C3B97">
        <w:rPr>
          <w:rStyle w:val="FootnoteReference"/>
        </w:rPr>
        <w:footnoteReference w:id="88"/>
      </w:r>
    </w:p>
    <w:p w14:paraId="40666929" w14:textId="1A0F399A" w:rsidR="006C3B97" w:rsidRPr="008B075F" w:rsidRDefault="006C3B97" w:rsidP="006C3B97">
      <w:pPr>
        <w:pStyle w:val="ListParagraph"/>
        <w:rPr>
          <w:lang w:val="en-US"/>
        </w:rPr>
      </w:pPr>
      <w:r>
        <w:rPr>
          <w:lang w:val="en-US"/>
        </w:rPr>
        <w:t>The IRB’s Research Directorate May 2017 response to an information request on corruption within the Indian judicial system found staffing shortages, case backlogs, and corruption at different levels affecting the effectiveness of the courts.</w:t>
      </w:r>
      <w:r>
        <w:rPr>
          <w:rStyle w:val="FootnoteReference"/>
          <w:lang w:val="en-US"/>
        </w:rPr>
        <w:footnoteReference w:id="89"/>
      </w:r>
    </w:p>
    <w:p w14:paraId="7E134938" w14:textId="4A2E9950" w:rsidR="001A41FF" w:rsidRDefault="006C3B97" w:rsidP="001A41FF">
      <w:pPr>
        <w:pStyle w:val="ListParagraph"/>
      </w:pPr>
      <w:r>
        <w:t>T</w:t>
      </w:r>
      <w:r w:rsidR="001A41FF">
        <w:t>he IRB’s Research Directorate</w:t>
      </w:r>
      <w:r>
        <w:t xml:space="preserve"> added</w:t>
      </w:r>
      <w:r w:rsidR="001A41FF">
        <w:t>:</w:t>
      </w:r>
    </w:p>
    <w:p w14:paraId="094938A6" w14:textId="3B4E5067" w:rsidR="001A41FF" w:rsidRDefault="001A41FF" w:rsidP="001A41FF">
      <w:pPr>
        <w:pStyle w:val="ListParagraph"/>
        <w:numPr>
          <w:ilvl w:val="0"/>
          <w:numId w:val="0"/>
        </w:numPr>
        <w:ind w:left="851"/>
      </w:pPr>
      <w:r>
        <w:t>‘</w:t>
      </w:r>
      <w:r w:rsidRPr="001A41FF">
        <w:t>The Indian Express quotes retired C</w:t>
      </w:r>
      <w:r>
        <w:t>JI V.N. Khare as claiming that “</w:t>
      </w:r>
      <w:r w:rsidRPr="001A41FF">
        <w:t>corrupti</w:t>
      </w:r>
      <w:r>
        <w:t>on in lower courts is no secret”</w:t>
      </w:r>
      <w:r w:rsidRPr="001A41FF">
        <w:t xml:space="preserve"> </w:t>
      </w:r>
      <w:r w:rsidR="006C3B97">
        <w:t>[…]</w:t>
      </w:r>
      <w:r w:rsidRPr="001A41FF">
        <w:t xml:space="preserve">. GAN Business Anti-Corruption Portal, a portal by GAN Integrity, which provides anti-corruption compliance resources and country risk profiles for businesses and is funded in part by the European Union European Commission's Prevention of and Fight against Crime Programme </w:t>
      </w:r>
      <w:r>
        <w:t>…, reports that in India, “</w:t>
      </w:r>
      <w:r w:rsidRPr="001A41FF">
        <w:t>[t]here is a high risk of corruption when dealing with India's judiciary, especially at the lower court levels. Bribes and irregular payments are often exchanged in return for favorable c</w:t>
      </w:r>
      <w:r>
        <w:t>ourt decisions”.’</w:t>
      </w:r>
      <w:r w:rsidR="000C418A">
        <w:rPr>
          <w:rStyle w:val="FootnoteReference"/>
        </w:rPr>
        <w:footnoteReference w:id="90"/>
      </w:r>
    </w:p>
    <w:p w14:paraId="3CEE933D" w14:textId="649334CA" w:rsidR="00515FAA" w:rsidRDefault="00515FAA" w:rsidP="00515FAA">
      <w:pPr>
        <w:pStyle w:val="ListParagraph"/>
      </w:pPr>
      <w:r>
        <w:t>Due to severe backlogs and understaffing, many pre-trial detainees remain</w:t>
      </w:r>
      <w:r w:rsidR="00294E71">
        <w:t>ed</w:t>
      </w:r>
      <w:r>
        <w:t xml:space="preserve"> incarcerated longer than the duration of any sentence they might receive</w:t>
      </w:r>
      <w:r w:rsidR="006C3B97">
        <w:t>, reported Freedom House</w:t>
      </w:r>
      <w:r>
        <w:rPr>
          <w:rStyle w:val="FootnoteReference"/>
        </w:rPr>
        <w:footnoteReference w:id="91"/>
      </w:r>
      <w:r>
        <w:t>. The report of the Special Rapporteur on adequate housing noted in January 2017 that ‘…</w:t>
      </w:r>
      <w:r w:rsidRPr="00515FAA">
        <w:t xml:space="preserve"> a substantial backlog of pending cases within the judicial system has rendered access to justice for the poor a continuing challenge.</w:t>
      </w:r>
      <w:r>
        <w:t>’</w:t>
      </w:r>
      <w:r>
        <w:rPr>
          <w:rStyle w:val="FootnoteReference"/>
        </w:rPr>
        <w:footnoteReference w:id="92"/>
      </w:r>
    </w:p>
    <w:p w14:paraId="426F52C1" w14:textId="700FC044" w:rsidR="001E0728" w:rsidRDefault="001E0728" w:rsidP="002B4D69">
      <w:pPr>
        <w:pStyle w:val="ListParagraph"/>
      </w:pPr>
      <w:r>
        <w:t xml:space="preserve">The PRS </w:t>
      </w:r>
      <w:r w:rsidR="002B4D69">
        <w:t>report noted ‘</w:t>
      </w:r>
      <w:r w:rsidR="002B4D69" w:rsidRPr="002B4D69">
        <w:t xml:space="preserve">In India, crime rate has increased by 28% over the last decade, and the nature of crimes is also becoming more complex (e.g., with emergence of various kinds of cybercrimes and economic fraud). </w:t>
      </w:r>
      <w:r w:rsidR="002B4D69">
        <w:t>C</w:t>
      </w:r>
      <w:r w:rsidR="002B4D69" w:rsidRPr="002B4D69">
        <w:t>onviction rates (convictions secured per 100 cases) however have been fairly low. In 2015, the conviction rate for crimes recorded under the Indian Penal Code, 1860 was 47%. The Law Commission has observed that one of the reasons behind this is the poor quality of investigations.</w:t>
      </w:r>
      <w:r w:rsidR="002B4D69">
        <w:t>’</w:t>
      </w:r>
      <w:r w:rsidR="002B4D69">
        <w:rPr>
          <w:rStyle w:val="FootnoteReference"/>
        </w:rPr>
        <w:footnoteReference w:id="93"/>
      </w:r>
    </w:p>
    <w:p w14:paraId="3204909B" w14:textId="2CFAB7D7" w:rsidR="00831D4E" w:rsidRPr="004C40BF" w:rsidRDefault="00000000" w:rsidP="00831D4E">
      <w:pPr>
        <w:jc w:val="right"/>
      </w:pPr>
      <w:hyperlink w:anchor="contents" w:history="1">
        <w:r w:rsidR="00831D4E" w:rsidRPr="006B4863">
          <w:rPr>
            <w:rStyle w:val="Hyperlink"/>
            <w:szCs w:val="24"/>
          </w:rPr>
          <w:t>Back to Contents</w:t>
        </w:r>
      </w:hyperlink>
    </w:p>
    <w:p w14:paraId="2B4D69B8" w14:textId="77777777" w:rsidR="00E439BA" w:rsidRDefault="007C2761" w:rsidP="007C2761">
      <w:pPr>
        <w:pStyle w:val="Heading3"/>
      </w:pPr>
      <w:bookmarkStart w:id="59" w:name="_Toc536000992"/>
      <w:r w:rsidRPr="007C2761">
        <w:lastRenderedPageBreak/>
        <w:t>Juvenile justice</w:t>
      </w:r>
      <w:bookmarkEnd w:id="59"/>
    </w:p>
    <w:p w14:paraId="3A379312" w14:textId="23022B17" w:rsidR="009934DE" w:rsidRDefault="00557078" w:rsidP="00901E77">
      <w:pPr>
        <w:pStyle w:val="ListParagraph"/>
      </w:pPr>
      <w:r>
        <w:t xml:space="preserve">A </w:t>
      </w:r>
      <w:r w:rsidR="008F5C26">
        <w:t>statement</w:t>
      </w:r>
      <w:r>
        <w:t xml:space="preserve"> by the Ministry of Women and Child Development (MWCD), dated February 2018, noted:</w:t>
      </w:r>
    </w:p>
    <w:p w14:paraId="58237605" w14:textId="0BD1093A" w:rsidR="00557078" w:rsidRDefault="00557078" w:rsidP="00557078">
      <w:pPr>
        <w:pStyle w:val="ListParagraph"/>
        <w:numPr>
          <w:ilvl w:val="0"/>
          <w:numId w:val="0"/>
        </w:numPr>
        <w:ind w:left="851"/>
      </w:pPr>
      <w:r>
        <w:t>‘</w:t>
      </w:r>
      <w:r w:rsidRPr="00557078">
        <w:t xml:space="preserve">There are 701 Juvenile Justice Boards (JJBs) in the country which are supported under the Integrated Child Protection Scheme (ICPS) of the Ministry of Women and Child Development. The primary responsibility of setting up the JJBs vests with the State Governments/UT Administrations concerned. Section 4 (1) of the Juvenile Justice (Care and Protection of Children) Act, 2015, provides that the State Government shall constitute for every district one or more JJBs for exercising the powers and discharging its functions relating to children in conflict with law and this is an </w:t>
      </w:r>
      <w:proofErr w:type="gramStart"/>
      <w:r w:rsidRPr="00557078">
        <w:t>on going</w:t>
      </w:r>
      <w:proofErr w:type="gramEnd"/>
      <w:r w:rsidRPr="00557078">
        <w:t xml:space="preserve"> process.</w:t>
      </w:r>
      <w:r>
        <w:t>’</w:t>
      </w:r>
      <w:r>
        <w:rPr>
          <w:rStyle w:val="FootnoteReference"/>
        </w:rPr>
        <w:footnoteReference w:id="94"/>
      </w:r>
    </w:p>
    <w:p w14:paraId="417602BE" w14:textId="16C10296" w:rsidR="007C2761" w:rsidRDefault="00901E77" w:rsidP="00901E77">
      <w:pPr>
        <w:pStyle w:val="ListParagraph"/>
      </w:pPr>
      <w:r>
        <w:t xml:space="preserve">In May 2017, </w:t>
      </w:r>
      <w:r w:rsidR="00E439BA">
        <w:t>Human Rights Watch</w:t>
      </w:r>
      <w:r>
        <w:t xml:space="preserve"> (HRW)</w:t>
      </w:r>
      <w:r w:rsidR="00E439BA">
        <w:t xml:space="preserve"> noted in its submission to the Universal Periodic Review (UPR)</w:t>
      </w:r>
      <w:r w:rsidR="007C2761" w:rsidRPr="007C2761">
        <w:t xml:space="preserve"> </w:t>
      </w:r>
      <w:r>
        <w:t>of India that ‘</w:t>
      </w:r>
      <w:r w:rsidRPr="00901E77">
        <w:t xml:space="preserve">The government </w:t>
      </w:r>
      <w:r>
        <w:t>[…]</w:t>
      </w:r>
      <w:r w:rsidRPr="00901E77">
        <w:t xml:space="preserve"> passed amendments to the Juvenile Justice Act to permit prosecution of 16 and 17-year-olds as adults when charged with serious crimes such as rape and murder, despite concern that this violates India's commitments to child rights protections.</w:t>
      </w:r>
      <w:r>
        <w:t>’</w:t>
      </w:r>
      <w:r>
        <w:rPr>
          <w:rStyle w:val="FootnoteReference"/>
        </w:rPr>
        <w:footnoteReference w:id="95"/>
      </w:r>
    </w:p>
    <w:p w14:paraId="7EAAE0B5" w14:textId="7E5D2336" w:rsidR="002E7383" w:rsidRDefault="00CA617F" w:rsidP="00CA617F">
      <w:pPr>
        <w:pStyle w:val="ListParagraph"/>
      </w:pPr>
      <w:r w:rsidRPr="00CA617F">
        <w:t>Legal Bites</w:t>
      </w:r>
      <w:r>
        <w:t>,</w:t>
      </w:r>
      <w:r w:rsidRPr="00CA617F">
        <w:t xml:space="preserve"> a one-stop knowledge portal and a community of information for all Law students, professionals and Law institutes</w:t>
      </w:r>
      <w:r>
        <w:t xml:space="preserve">, provided an overview of the </w:t>
      </w:r>
      <w:hyperlink r:id="rId38" w:history="1">
        <w:r w:rsidRPr="002E7383">
          <w:rPr>
            <w:rStyle w:val="Hyperlink"/>
          </w:rPr>
          <w:t>Juvenile Justice Act 2015</w:t>
        </w:r>
      </w:hyperlink>
      <w:r w:rsidR="002E7383">
        <w:t>, and its potential challenges</w:t>
      </w:r>
      <w:r w:rsidR="002E7383">
        <w:rPr>
          <w:rStyle w:val="FootnoteReference"/>
        </w:rPr>
        <w:footnoteReference w:id="96"/>
      </w:r>
      <w:r w:rsidR="002E7383">
        <w:t>.</w:t>
      </w:r>
    </w:p>
    <w:p w14:paraId="058CE6EC" w14:textId="7C7B6A86" w:rsidR="00CA617F" w:rsidRDefault="00000000" w:rsidP="002E7383">
      <w:pPr>
        <w:jc w:val="right"/>
      </w:pPr>
      <w:hyperlink w:anchor="contents" w:history="1">
        <w:r w:rsidR="002E7383" w:rsidRPr="006B4863">
          <w:rPr>
            <w:rStyle w:val="Hyperlink"/>
            <w:szCs w:val="24"/>
          </w:rPr>
          <w:t>Back to Contents</w:t>
        </w:r>
      </w:hyperlink>
      <w:r w:rsidR="002E7383">
        <w:t xml:space="preserve"> </w:t>
      </w:r>
    </w:p>
    <w:p w14:paraId="74E830DD" w14:textId="7BBD6849" w:rsidR="002E7383" w:rsidRDefault="00E7123A" w:rsidP="007C2761">
      <w:pPr>
        <w:pStyle w:val="Heading3"/>
      </w:pPr>
      <w:bookmarkStart w:id="60" w:name="_Toc536000993"/>
      <w:r>
        <w:t>Alternative dispute resolution</w:t>
      </w:r>
      <w:bookmarkEnd w:id="60"/>
    </w:p>
    <w:p w14:paraId="21C48E14" w14:textId="0862F526" w:rsidR="00E7123A" w:rsidRDefault="00E7123A" w:rsidP="00E7123A">
      <w:pPr>
        <w:pStyle w:val="ListParagraph"/>
      </w:pPr>
      <w:r w:rsidRPr="00E7123A">
        <w:t>Lok Adalats</w:t>
      </w:r>
      <w:r w:rsidR="00BE3423">
        <w:t>, meaning people’s courts,</w:t>
      </w:r>
      <w:r w:rsidRPr="00E7123A">
        <w:t xml:space="preserve"> provide a means of dispute resolution, through arbitration, for parties who cannot afford to, or do not wish to, pursue a case</w:t>
      </w:r>
      <w:r w:rsidR="00BE3423">
        <w:t xml:space="preserve">, usually civil or family </w:t>
      </w:r>
      <w:r w:rsidR="00FB2D03">
        <w:t>matters</w:t>
      </w:r>
      <w:r w:rsidR="00BE3423">
        <w:t>,</w:t>
      </w:r>
      <w:r w:rsidRPr="00E7123A">
        <w:t xml:space="preserve"> through the civil courts. India has a long tradition of such conciliation being practiced in society at grass roots level, particularly in village ‘panchayat’</w:t>
      </w:r>
      <w:r w:rsidR="00BE3423">
        <w:rPr>
          <w:rStyle w:val="FootnoteReference"/>
        </w:rPr>
        <w:footnoteReference w:id="97"/>
      </w:r>
      <w:r w:rsidR="00BE3423">
        <w:t xml:space="preserve"> </w:t>
      </w:r>
      <w:r w:rsidR="00BE3423">
        <w:rPr>
          <w:rStyle w:val="FootnoteReference"/>
        </w:rPr>
        <w:footnoteReference w:id="98"/>
      </w:r>
      <w:r w:rsidRPr="00E7123A">
        <w:t>. A Lok Adalat is presided over by a sitting or retired judicial officer as the chairman, with two other members, usually a lawyer and a social worker. Both commercial and non-commercial cases may be heard. One important condition is that both parties in dispute should agree for settlement through Lok Adalat and abide by its decision. Justice is dispensed summarily ‘without too much emphasis on legal technicalities.</w:t>
      </w:r>
      <w:r w:rsidR="003A6CB3">
        <w:t>’</w:t>
      </w:r>
      <w:r>
        <w:rPr>
          <w:rStyle w:val="FootnoteReference"/>
        </w:rPr>
        <w:footnoteReference w:id="99"/>
      </w:r>
    </w:p>
    <w:p w14:paraId="17131648" w14:textId="54BC2D30" w:rsidR="00E7123A" w:rsidRDefault="00E7123A" w:rsidP="00E7123A">
      <w:pPr>
        <w:pStyle w:val="ListParagraph"/>
      </w:pPr>
      <w:r w:rsidRPr="00E7123A">
        <w:t>The Legal Services Authorities Act, 1987 (Section 21) provides that ‘1. Every award of Lok Adalat shall be deemed as decree of Civil Court; 2. Every award made by the Lok Adalat shall be final and binding on all the parties to the dispute; 3. No appeal shall lie from the award of the Lok Adalat.’</w:t>
      </w:r>
      <w:r>
        <w:rPr>
          <w:rStyle w:val="FootnoteReference"/>
        </w:rPr>
        <w:footnoteReference w:id="100"/>
      </w:r>
    </w:p>
    <w:p w14:paraId="23617EF9" w14:textId="0C42C6E2" w:rsidR="00E7123A" w:rsidRDefault="00E7123A" w:rsidP="00E7123A">
      <w:pPr>
        <w:pStyle w:val="ListParagraph"/>
      </w:pPr>
      <w:r w:rsidRPr="00E7123A">
        <w:t xml:space="preserve">Criticisms of the Lok Adalat process have included the fact that the protective provisions of the Code of Civil Procedure and the Indian Evidence </w:t>
      </w:r>
      <w:r w:rsidRPr="00E7123A">
        <w:lastRenderedPageBreak/>
        <w:t>Act do not apply; and that there is no avenue of appeal to a higher court (though disputes are ordinarily settled on consent of the parties)</w:t>
      </w:r>
      <w:r w:rsidR="003A6CB3">
        <w:rPr>
          <w:rStyle w:val="FootnoteReference"/>
        </w:rPr>
        <w:footnoteReference w:id="101"/>
      </w:r>
      <w:r w:rsidR="003A6CB3">
        <w:t>.</w:t>
      </w:r>
    </w:p>
    <w:p w14:paraId="067DC214" w14:textId="77777777" w:rsidR="003A6CB3" w:rsidRDefault="00DE4902" w:rsidP="00E7123A">
      <w:pPr>
        <w:pStyle w:val="ListParagraph"/>
      </w:pPr>
      <w:r>
        <w:t>In 2012, India Today stated ‘</w:t>
      </w:r>
      <w:r w:rsidRPr="00DE4902">
        <w:t>Khap panchayat is the union of a few villages, mainly in north India though it exists in similar forms in the rest of the country.</w:t>
      </w:r>
      <w:r>
        <w:t>’</w:t>
      </w:r>
      <w:r>
        <w:rPr>
          <w:rStyle w:val="FootnoteReference"/>
        </w:rPr>
        <w:footnoteReference w:id="102"/>
      </w:r>
      <w:r>
        <w:t xml:space="preserve"> </w:t>
      </w:r>
      <w:r w:rsidR="002058F4">
        <w:t>The Times of India noted</w:t>
      </w:r>
      <w:r>
        <w:t xml:space="preserve"> in March 2018,</w:t>
      </w:r>
      <w:r w:rsidR="002058F4">
        <w:t xml:space="preserve"> ‘“Khap” panchayats are caste or community groups, present largely in rural areas of north India which at times act as quasi-judicial bodies and pronounce harsh punishments based on age-old customs. Several cases of women and men falling victim to “khap” diktats have been reported over the years, particularly in states like Haryana, Utter Pradesh and Rajasthan.’</w:t>
      </w:r>
      <w:r w:rsidR="002058F4">
        <w:rPr>
          <w:rStyle w:val="FootnoteReference"/>
        </w:rPr>
        <w:footnoteReference w:id="103"/>
      </w:r>
      <w:r w:rsidR="00B3088A">
        <w:t xml:space="preserve"> In March 2018 the Supreme Court of India ruled it unlawful</w:t>
      </w:r>
      <w:r w:rsidR="00B3088A" w:rsidRPr="00B3088A">
        <w:t xml:space="preserve"> for khap panchayats to </w:t>
      </w:r>
      <w:r w:rsidR="00B7698E">
        <w:t xml:space="preserve">restrict a </w:t>
      </w:r>
      <w:r w:rsidR="00B3088A" w:rsidRPr="00B3088A">
        <w:t xml:space="preserve"> marriage between </w:t>
      </w:r>
      <w:r w:rsidR="00B3088A">
        <w:t>2</w:t>
      </w:r>
      <w:r w:rsidR="00B3088A" w:rsidRPr="00B3088A">
        <w:t xml:space="preserve"> consenting adults</w:t>
      </w:r>
      <w:r w:rsidR="00B3088A">
        <w:t xml:space="preserve"> and, until a law was in place, provided guidelines ‘… to check </w:t>
      </w:r>
      <w:r w:rsidR="00B3088A" w:rsidRPr="00B3088A">
        <w:t>unlawful interference in the lives of inter-faith and inter-caste couples</w:t>
      </w:r>
      <w:r w:rsidR="00B3088A">
        <w:t xml:space="preserve"> by khap panchayats</w:t>
      </w:r>
      <w:r w:rsidR="00B7698E">
        <w:t>.’</w:t>
      </w:r>
      <w:r w:rsidR="00B3088A">
        <w:rPr>
          <w:rStyle w:val="FootnoteReference"/>
        </w:rPr>
        <w:footnoteReference w:id="104"/>
      </w:r>
      <w:r w:rsidR="00B3088A">
        <w:t xml:space="preserve"> </w:t>
      </w:r>
      <w:r w:rsidR="00B3088A">
        <w:rPr>
          <w:rStyle w:val="FootnoteReference"/>
        </w:rPr>
        <w:footnoteReference w:id="105"/>
      </w:r>
    </w:p>
    <w:p w14:paraId="1A82EF43" w14:textId="3F61F41C" w:rsidR="00B15666" w:rsidRPr="00B15666" w:rsidRDefault="00B3088A" w:rsidP="003A6CB3">
      <w:pPr>
        <w:jc w:val="right"/>
      </w:pPr>
      <w:r>
        <w:t xml:space="preserve"> </w:t>
      </w:r>
      <w:hyperlink w:anchor="contents" w:history="1">
        <w:r w:rsidR="003A6CB3" w:rsidRPr="006B4863">
          <w:rPr>
            <w:rStyle w:val="Hyperlink"/>
            <w:szCs w:val="24"/>
          </w:rPr>
          <w:t>Back to Contents</w:t>
        </w:r>
      </w:hyperlink>
    </w:p>
    <w:p w14:paraId="77B335E4" w14:textId="21857585" w:rsidR="00EA3BC4" w:rsidRDefault="007C2761" w:rsidP="007C2761">
      <w:pPr>
        <w:pStyle w:val="Heading3"/>
      </w:pPr>
      <w:bookmarkStart w:id="61" w:name="_Toc536000994"/>
      <w:r w:rsidRPr="007C2761">
        <w:t xml:space="preserve">Legal </w:t>
      </w:r>
      <w:r w:rsidR="001E2C83">
        <w:t>a</w:t>
      </w:r>
      <w:r w:rsidRPr="007C2761">
        <w:t>id</w:t>
      </w:r>
      <w:bookmarkEnd w:id="61"/>
      <w:r w:rsidRPr="007C2761">
        <w:t xml:space="preserve"> </w:t>
      </w:r>
      <w:bookmarkEnd w:id="25"/>
    </w:p>
    <w:p w14:paraId="69195F7F" w14:textId="4C9112DC" w:rsidR="001D27DA" w:rsidRDefault="006A444C" w:rsidP="00F820B9">
      <w:pPr>
        <w:pStyle w:val="ListParagraph"/>
      </w:pPr>
      <w:r>
        <w:t xml:space="preserve">Article 39A of the Constitution provides for </w:t>
      </w:r>
      <w:r w:rsidR="008408CE">
        <w:t>equal justice and free legal aid</w:t>
      </w:r>
      <w:r w:rsidR="008408CE">
        <w:rPr>
          <w:rStyle w:val="FootnoteReference"/>
        </w:rPr>
        <w:footnoteReference w:id="106"/>
      </w:r>
      <w:r w:rsidR="008408CE">
        <w:t>.</w:t>
      </w:r>
      <w:r w:rsidR="001D27DA">
        <w:t xml:space="preserve"> </w:t>
      </w:r>
      <w:r w:rsidR="00A668B0">
        <w:t xml:space="preserve">In addition to constitutional rights, </w:t>
      </w:r>
      <w:r w:rsidR="001D27DA">
        <w:t>a March 2018 article in Live Law by lawyer, Richa Kachhwaha,</w:t>
      </w:r>
      <w:r w:rsidR="00A668B0">
        <w:t xml:space="preserve"> noted:</w:t>
      </w:r>
      <w:r w:rsidR="001D27DA">
        <w:t xml:space="preserve"> </w:t>
      </w:r>
    </w:p>
    <w:p w14:paraId="52E83BF1" w14:textId="27E5B2C9" w:rsidR="00A668B0" w:rsidRDefault="00A668B0" w:rsidP="00A668B0">
      <w:pPr>
        <w:pStyle w:val="ListParagraph"/>
        <w:numPr>
          <w:ilvl w:val="0"/>
          <w:numId w:val="0"/>
        </w:numPr>
        <w:ind w:left="851"/>
      </w:pPr>
      <w:r>
        <w:t>‘</w:t>
      </w:r>
      <w:r w:rsidR="008B4A35">
        <w:t>The Legal Services Authorities Act 1987 was enacted which allowed any person to seek legal aid under the Act to defend or file a case and if belonging to any of the specified category, viz., member of Scheduled Caste or Scheduled Tribe;</w:t>
      </w:r>
      <w:r>
        <w:t xml:space="preserve"> or poor (with an annual income of not more than Rs.50000/- for cases in the Supreme Court and Rs.25000/- in other courts); or a victim of human trafficking or a beggar; or a woman or child; or if the individual suffers from any disability; or a victim of mass disaster, ethnic violence, caste atrocity, flood, drought, earthquake, industrial disaster; or an industrial workman; or in custody, including protective custody; or facing a charge which might result in imprisonment. [...] In addition, legal aid may also be granted in cases of public importance and special cases considered deserving of legal aid/services.’</w:t>
      </w:r>
      <w:r>
        <w:rPr>
          <w:rStyle w:val="FootnoteReference"/>
        </w:rPr>
        <w:footnoteReference w:id="107"/>
      </w:r>
    </w:p>
    <w:p w14:paraId="3250724E" w14:textId="1BBEB96A" w:rsidR="00A668B0" w:rsidRDefault="00A668B0" w:rsidP="00A668B0">
      <w:pPr>
        <w:pStyle w:val="ListParagraph"/>
      </w:pPr>
      <w:r>
        <w:t>However, according to Kachhwaha, ‘In practice, […] the number of individual lawyers and social/legal organizations engaged in delivering [legal aid] services efficiently is low and still heavily reliant on the PIL [Public Interest Litigation] mechanism.’</w:t>
      </w:r>
      <w:r>
        <w:rPr>
          <w:rStyle w:val="FootnoteReference"/>
        </w:rPr>
        <w:footnoteReference w:id="108"/>
      </w:r>
    </w:p>
    <w:p w14:paraId="7EDBD6AB" w14:textId="3DB9A244" w:rsidR="00294E71" w:rsidRDefault="00294E71" w:rsidP="00294E71">
      <w:pPr>
        <w:pStyle w:val="ListParagraph"/>
      </w:pPr>
      <w:r>
        <w:t>The DFAT report noted ‘</w:t>
      </w:r>
      <w:r w:rsidR="006557A1">
        <w:t xml:space="preserve">… </w:t>
      </w:r>
      <w:r w:rsidRPr="00294E71">
        <w:t xml:space="preserve">defendants are assigned state-appointed lawyers. The quality and consistency of representation by state lawyers </w:t>
      </w:r>
      <w:r w:rsidRPr="00294E71">
        <w:lastRenderedPageBreak/>
        <w:t xml:space="preserve">varies. The standard of defence from a state-appointed lawyer would not compare to a </w:t>
      </w:r>
      <w:proofErr w:type="gramStart"/>
      <w:r w:rsidRPr="00294E71">
        <w:t>highly-paid</w:t>
      </w:r>
      <w:proofErr w:type="gramEnd"/>
      <w:r w:rsidRPr="00294E71">
        <w:t xml:space="preserve"> private lawyer.</w:t>
      </w:r>
      <w:r w:rsidR="006557A1">
        <w:t>’</w:t>
      </w:r>
      <w:r w:rsidR="006557A1">
        <w:rPr>
          <w:rStyle w:val="FootnoteReference"/>
        </w:rPr>
        <w:footnoteReference w:id="109"/>
      </w:r>
    </w:p>
    <w:p w14:paraId="02607896" w14:textId="77777777" w:rsidR="006557A1" w:rsidRDefault="00515FAA" w:rsidP="00515FAA">
      <w:pPr>
        <w:pStyle w:val="ListParagraph"/>
      </w:pPr>
      <w:r>
        <w:t xml:space="preserve">The report of the Special Rapporteur on adequate housing noted ‘… </w:t>
      </w:r>
      <w:r w:rsidRPr="00515FAA">
        <w:t>the legal aid system for those living in poverty is only marginally effective, limiting access to courts to the availability of public interest representation by civil society.</w:t>
      </w:r>
      <w:r>
        <w:t>’</w:t>
      </w:r>
      <w:r>
        <w:rPr>
          <w:rStyle w:val="FootnoteReference"/>
        </w:rPr>
        <w:footnoteReference w:id="110"/>
      </w:r>
    </w:p>
    <w:p w14:paraId="364FFA4C" w14:textId="249FCDB9" w:rsidR="00515FAA" w:rsidRDefault="00272AB1" w:rsidP="00272AB1">
      <w:pPr>
        <w:pStyle w:val="ListParagraph"/>
      </w:pPr>
      <w:r>
        <w:t xml:space="preserve">The DFAT report noted </w:t>
      </w:r>
      <w:r w:rsidR="006557A1">
        <w:t>‘</w:t>
      </w:r>
      <w:r w:rsidR="006557A1" w:rsidRPr="006557A1">
        <w:t>In April 2017, the Ministry of Law and Justice launched an alternative to improve legal assistance for disadvantaged citizens. This included expanding pro-bono legal services to improve access to higher quality legal advice. The ministry partnered with the Ministry of Electronics and Information T</w:t>
      </w:r>
      <w:r w:rsidR="006557A1">
        <w:t>echnology to launch a pilot of “</w:t>
      </w:r>
      <w:r w:rsidR="006557A1" w:rsidRPr="006557A1">
        <w:t>tele-law</w:t>
      </w:r>
      <w:r w:rsidR="006557A1">
        <w:t>”</w:t>
      </w:r>
      <w:r w:rsidR="006557A1" w:rsidRPr="006557A1">
        <w:t xml:space="preserve"> services, which provide legal services through common service centres in remote rural areas.</w:t>
      </w:r>
      <w:r w:rsidR="006557A1">
        <w:t>’</w:t>
      </w:r>
      <w:r w:rsidR="006557A1">
        <w:rPr>
          <w:rStyle w:val="FootnoteReference"/>
        </w:rPr>
        <w:footnoteReference w:id="111"/>
      </w:r>
      <w:r w:rsidR="006557A1" w:rsidRPr="006557A1">
        <w:t xml:space="preserve"> </w:t>
      </w:r>
      <w:r w:rsidR="00515FAA" w:rsidRPr="00515FAA">
        <w:t xml:space="preserve"> </w:t>
      </w:r>
    </w:p>
    <w:p w14:paraId="0D717F94" w14:textId="4CCA7A2A" w:rsidR="001D27DA" w:rsidRDefault="00757CA3" w:rsidP="008B4A35">
      <w:pPr>
        <w:pStyle w:val="ListParagraph"/>
      </w:pPr>
      <w:r>
        <w:t>Further information on legal aid</w:t>
      </w:r>
      <w:r w:rsidR="006C3B97" w:rsidRPr="006C3B97">
        <w:t xml:space="preserve"> </w:t>
      </w:r>
      <w:r w:rsidR="006C3B97">
        <w:t>in criminal cases for persons in custody</w:t>
      </w:r>
      <w:r>
        <w:t xml:space="preserve"> in India can be found in the </w:t>
      </w:r>
      <w:r w:rsidR="00E25E73">
        <w:t xml:space="preserve">September 2018 </w:t>
      </w:r>
      <w:r>
        <w:t xml:space="preserve">report </w:t>
      </w:r>
      <w:r w:rsidR="00E25E73">
        <w:t>‘</w:t>
      </w:r>
      <w:hyperlink r:id="rId39" w:history="1">
        <w:r w:rsidRPr="00E25E73">
          <w:rPr>
            <w:rStyle w:val="Hyperlink"/>
          </w:rPr>
          <w:t>Hope behind Bars</w:t>
        </w:r>
      </w:hyperlink>
      <w:r w:rsidR="00E25E73">
        <w:t>’</w:t>
      </w:r>
      <w:r>
        <w:t xml:space="preserve">, by the </w:t>
      </w:r>
      <w:r w:rsidR="00E25E73">
        <w:t>Commonwealth Human Rights Initiative (CHRI)</w:t>
      </w:r>
      <w:r w:rsidR="00E25E73">
        <w:rPr>
          <w:rStyle w:val="FootnoteReference"/>
        </w:rPr>
        <w:footnoteReference w:id="112"/>
      </w:r>
      <w:r w:rsidR="00E25E73">
        <w:t xml:space="preserve">. </w:t>
      </w:r>
    </w:p>
    <w:p w14:paraId="1CBBB6EA" w14:textId="77777777" w:rsidR="00EA3BC4" w:rsidRDefault="00000000"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66D82DC" w14:textId="77777777" w:rsidR="00EA3BC4" w:rsidRDefault="00EA3BC4" w:rsidP="00EA3BC4">
      <w:pPr>
        <w:pStyle w:val="Heading1"/>
      </w:pPr>
    </w:p>
    <w:p w14:paraId="2241F43C" w14:textId="77777777" w:rsidR="00EA3BC4" w:rsidRDefault="00EA3BC4" w:rsidP="00EA3BC4">
      <w:pPr>
        <w:spacing w:after="200" w:line="276" w:lineRule="auto"/>
        <w:rPr>
          <w:rFonts w:eastAsiaTheme="majorEastAsia" w:cstheme="majorBidi"/>
          <w:bCs/>
          <w:color w:val="7030A0"/>
          <w:sz w:val="52"/>
          <w:szCs w:val="28"/>
        </w:rPr>
      </w:pPr>
      <w:r>
        <w:br w:type="page"/>
      </w:r>
    </w:p>
    <w:p w14:paraId="5743721E" w14:textId="77777777" w:rsidR="00EA3BC4" w:rsidRDefault="00EA3BC4" w:rsidP="00EA3BC4">
      <w:pPr>
        <w:pStyle w:val="Heading1"/>
      </w:pPr>
      <w:bookmarkStart w:id="62" w:name="_Version_control_and"/>
      <w:bookmarkStart w:id="63" w:name="_Terms_of_Reference"/>
      <w:bookmarkStart w:id="64" w:name="_Toc536000995"/>
      <w:bookmarkEnd w:id="22"/>
      <w:bookmarkEnd w:id="62"/>
      <w:bookmarkEnd w:id="63"/>
      <w:r>
        <w:lastRenderedPageBreak/>
        <w:t>Terms of Reference</w:t>
      </w:r>
      <w:bookmarkEnd w:id="64"/>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2B933409" w14:textId="7808A3E4" w:rsidR="00EA3BC4" w:rsidRPr="002B4822" w:rsidRDefault="00E25E73" w:rsidP="00EA3BC4">
      <w:pPr>
        <w:pStyle w:val="ListParagraph"/>
        <w:numPr>
          <w:ilvl w:val="0"/>
          <w:numId w:val="8"/>
        </w:numPr>
      </w:pPr>
      <w:r>
        <w:t>Security apparatus, including police, armed forces and intelligence services</w:t>
      </w:r>
    </w:p>
    <w:p w14:paraId="1642378D" w14:textId="3F4497FC" w:rsidR="00EA3BC4" w:rsidRPr="002B4822" w:rsidRDefault="00E25E73" w:rsidP="00EA3BC4">
      <w:pPr>
        <w:pStyle w:val="ListParagraph"/>
        <w:numPr>
          <w:ilvl w:val="0"/>
          <w:numId w:val="8"/>
        </w:numPr>
      </w:pPr>
      <w:r>
        <w:t>Security forces capabilities</w:t>
      </w:r>
    </w:p>
    <w:p w14:paraId="62620D9C" w14:textId="5B9489E9" w:rsidR="00EA3BC4" w:rsidRPr="002B4822" w:rsidRDefault="00E25E73" w:rsidP="00EA3BC4">
      <w:pPr>
        <w:pStyle w:val="ListParagraph"/>
        <w:numPr>
          <w:ilvl w:val="1"/>
          <w:numId w:val="8"/>
        </w:numPr>
      </w:pPr>
      <w:r>
        <w:t>Surveillance</w:t>
      </w:r>
    </w:p>
    <w:p w14:paraId="66B10AE3" w14:textId="54588849" w:rsidR="00EA3BC4" w:rsidRDefault="00E25E73" w:rsidP="00EA3BC4">
      <w:pPr>
        <w:pStyle w:val="ListParagraph"/>
        <w:numPr>
          <w:ilvl w:val="1"/>
          <w:numId w:val="8"/>
        </w:numPr>
      </w:pPr>
      <w:r>
        <w:t>Effectiveness</w:t>
      </w:r>
    </w:p>
    <w:p w14:paraId="63712F82" w14:textId="03BA2BD6" w:rsidR="00E25E73" w:rsidRDefault="00E25E73" w:rsidP="00EA3BC4">
      <w:pPr>
        <w:pStyle w:val="ListParagraph"/>
        <w:numPr>
          <w:ilvl w:val="1"/>
          <w:numId w:val="8"/>
        </w:numPr>
      </w:pPr>
      <w:r>
        <w:t>Human rights abuses</w:t>
      </w:r>
    </w:p>
    <w:p w14:paraId="18305EFA" w14:textId="76A55B0E" w:rsidR="00E25E73" w:rsidRDefault="00E25E73" w:rsidP="00EA3BC4">
      <w:pPr>
        <w:pStyle w:val="ListParagraph"/>
        <w:numPr>
          <w:ilvl w:val="1"/>
          <w:numId w:val="8"/>
        </w:numPr>
      </w:pPr>
      <w:r>
        <w:t>Avenues of redress</w:t>
      </w:r>
    </w:p>
    <w:p w14:paraId="4CACA375" w14:textId="0634140D" w:rsidR="00E25E73" w:rsidRPr="002B4822" w:rsidRDefault="00E25E73" w:rsidP="00E25E73">
      <w:pPr>
        <w:pStyle w:val="ListParagraph"/>
        <w:numPr>
          <w:ilvl w:val="0"/>
          <w:numId w:val="8"/>
        </w:numPr>
      </w:pPr>
      <w:r>
        <w:t>Arrest and detention</w:t>
      </w:r>
    </w:p>
    <w:p w14:paraId="40A31D6D" w14:textId="1BA7C446" w:rsidR="00E25E73" w:rsidRDefault="00E25E73" w:rsidP="00EA3BC4">
      <w:pPr>
        <w:pStyle w:val="ListParagraph"/>
        <w:numPr>
          <w:ilvl w:val="1"/>
          <w:numId w:val="8"/>
        </w:numPr>
      </w:pPr>
      <w:r>
        <w:t>Legal rights</w:t>
      </w:r>
    </w:p>
    <w:p w14:paraId="0E21756E" w14:textId="3FE69D57" w:rsidR="00E25E73" w:rsidRDefault="00E25E73" w:rsidP="00EA3BC4">
      <w:pPr>
        <w:pStyle w:val="ListParagraph"/>
        <w:numPr>
          <w:ilvl w:val="1"/>
          <w:numId w:val="8"/>
        </w:numPr>
      </w:pPr>
      <w:r>
        <w:t>First Information Reports</w:t>
      </w:r>
    </w:p>
    <w:p w14:paraId="5963036B" w14:textId="6F9E755A" w:rsidR="00E25E73" w:rsidRPr="002B4822" w:rsidRDefault="00E25E73" w:rsidP="00E25E73">
      <w:pPr>
        <w:pStyle w:val="ListParagraph"/>
        <w:numPr>
          <w:ilvl w:val="0"/>
          <w:numId w:val="8"/>
        </w:numPr>
      </w:pPr>
      <w:r>
        <w:t>Rule of law and the judiciary</w:t>
      </w:r>
    </w:p>
    <w:p w14:paraId="748C642C" w14:textId="1AEF6AC2" w:rsidR="00E25E73" w:rsidRDefault="00E25E73" w:rsidP="00E25E73">
      <w:pPr>
        <w:pStyle w:val="ListParagraph"/>
        <w:numPr>
          <w:ilvl w:val="1"/>
          <w:numId w:val="8"/>
        </w:numPr>
      </w:pPr>
      <w:r>
        <w:t>Organisation</w:t>
      </w:r>
    </w:p>
    <w:p w14:paraId="48EBF15B" w14:textId="16645254" w:rsidR="00E25E73" w:rsidRDefault="00E25E73" w:rsidP="00E25E73">
      <w:pPr>
        <w:pStyle w:val="ListParagraph"/>
        <w:numPr>
          <w:ilvl w:val="1"/>
          <w:numId w:val="8"/>
        </w:numPr>
      </w:pPr>
      <w:r>
        <w:t>Fair trial</w:t>
      </w:r>
    </w:p>
    <w:p w14:paraId="1E971630" w14:textId="42CDAA07" w:rsidR="00E25E73" w:rsidRDefault="00E25E73" w:rsidP="00E25E73">
      <w:pPr>
        <w:pStyle w:val="ListParagraph"/>
        <w:numPr>
          <w:ilvl w:val="1"/>
          <w:numId w:val="8"/>
        </w:numPr>
      </w:pPr>
      <w:r>
        <w:t>Independence</w:t>
      </w:r>
    </w:p>
    <w:p w14:paraId="253AF905" w14:textId="2A07185B" w:rsidR="00E25E73" w:rsidRDefault="00E25E73" w:rsidP="00E25E73">
      <w:pPr>
        <w:pStyle w:val="ListParagraph"/>
        <w:numPr>
          <w:ilvl w:val="1"/>
          <w:numId w:val="8"/>
        </w:numPr>
      </w:pPr>
      <w:r>
        <w:t>Effectiveness</w:t>
      </w:r>
    </w:p>
    <w:p w14:paraId="626FF687" w14:textId="76089B16" w:rsidR="00E25E73" w:rsidRDefault="00E25E73" w:rsidP="00E25E73">
      <w:pPr>
        <w:pStyle w:val="ListParagraph"/>
        <w:numPr>
          <w:ilvl w:val="1"/>
          <w:numId w:val="8"/>
        </w:numPr>
      </w:pPr>
      <w:r>
        <w:t>Juvenile justice</w:t>
      </w:r>
    </w:p>
    <w:p w14:paraId="7C517E58" w14:textId="677C0EA4" w:rsidR="00E25E73" w:rsidRDefault="00E25E73" w:rsidP="00E25E73">
      <w:pPr>
        <w:pStyle w:val="ListParagraph"/>
        <w:numPr>
          <w:ilvl w:val="1"/>
          <w:numId w:val="8"/>
        </w:numPr>
      </w:pPr>
      <w:r>
        <w:t>Alternative dispute resolution</w:t>
      </w:r>
    </w:p>
    <w:p w14:paraId="5D68E5FC" w14:textId="5587768C" w:rsidR="00E25E73" w:rsidRDefault="00E25E73" w:rsidP="00E25E73">
      <w:pPr>
        <w:pStyle w:val="ListParagraph"/>
        <w:numPr>
          <w:ilvl w:val="1"/>
          <w:numId w:val="8"/>
        </w:numPr>
      </w:pPr>
      <w:r>
        <w:t>Legal Aid</w:t>
      </w:r>
    </w:p>
    <w:p w14:paraId="30FB91EA" w14:textId="77777777" w:rsidR="00EA3BC4" w:rsidRDefault="00000000"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65" w:name="_Bibliography"/>
      <w:bookmarkStart w:id="66" w:name="_Toc536000996"/>
      <w:bookmarkEnd w:id="65"/>
      <w:r>
        <w:lastRenderedPageBreak/>
        <w:t>Bibliography</w:t>
      </w:r>
      <w:bookmarkEnd w:id="66"/>
    </w:p>
    <w:p w14:paraId="64AD242A" w14:textId="251DA41C" w:rsidR="00EA3BC4" w:rsidRDefault="00EA3BC4" w:rsidP="00EA3BC4">
      <w:pPr>
        <w:pStyle w:val="Heading2"/>
        <w:numPr>
          <w:ilvl w:val="0"/>
          <w:numId w:val="0"/>
        </w:numPr>
        <w:ind w:left="851" w:hanging="851"/>
      </w:pPr>
      <w:bookmarkStart w:id="67" w:name="_Toc536000997"/>
      <w:r>
        <w:t>Sources cited</w:t>
      </w:r>
      <w:bookmarkEnd w:id="67"/>
      <w:r>
        <w:t xml:space="preserve"> </w:t>
      </w:r>
    </w:p>
    <w:p w14:paraId="62536115" w14:textId="054AD849" w:rsidR="003F5CB2" w:rsidRDefault="003F5CB2" w:rsidP="003F5CB2">
      <w:pPr>
        <w:rPr>
          <w:rStyle w:val="FootnoteTextChar"/>
          <w:sz w:val="24"/>
          <w:szCs w:val="19"/>
        </w:rPr>
      </w:pPr>
      <w:r>
        <w:rPr>
          <w:rStyle w:val="FootnoteTextChar"/>
          <w:sz w:val="24"/>
          <w:szCs w:val="19"/>
        </w:rPr>
        <w:t>Australian Government, Department of Foreign Affairs and Trade (DFAT), ‘Count</w:t>
      </w:r>
      <w:r w:rsidR="00AF6F85">
        <w:rPr>
          <w:rStyle w:val="FootnoteTextChar"/>
          <w:sz w:val="24"/>
          <w:szCs w:val="19"/>
        </w:rPr>
        <w:t>ry Information Report India</w:t>
      </w:r>
      <w:r>
        <w:rPr>
          <w:rStyle w:val="FootnoteTextChar"/>
          <w:sz w:val="24"/>
          <w:szCs w:val="19"/>
        </w:rPr>
        <w:t xml:space="preserve">’, 17 October 2018, </w:t>
      </w:r>
      <w:hyperlink r:id="rId40" w:history="1">
        <w:r w:rsidRPr="000C1A52">
          <w:rPr>
            <w:rStyle w:val="Hyperlink"/>
            <w:szCs w:val="19"/>
          </w:rPr>
          <w:t>https://dfat.gov.au/about-us/publications/Documents/country-information-report-india.pdf</w:t>
        </w:r>
      </w:hyperlink>
      <w:r>
        <w:rPr>
          <w:rStyle w:val="FootnoteTextChar"/>
          <w:sz w:val="24"/>
          <w:szCs w:val="19"/>
        </w:rPr>
        <w:t>. Last accessed: 19 October 2018</w:t>
      </w:r>
    </w:p>
    <w:p w14:paraId="6BB9745D" w14:textId="40D7E25F" w:rsidR="005844AA" w:rsidRDefault="005844AA" w:rsidP="00A16771">
      <w:pPr>
        <w:rPr>
          <w:rStyle w:val="FootnoteTextChar"/>
          <w:sz w:val="24"/>
          <w:szCs w:val="19"/>
        </w:rPr>
      </w:pPr>
      <w:r>
        <w:rPr>
          <w:rStyle w:val="FootnoteTextChar"/>
          <w:sz w:val="24"/>
          <w:szCs w:val="19"/>
        </w:rPr>
        <w:t xml:space="preserve">Amnesty International, ‘Annual Report 2017/2018 – India’, 22 February 2018, </w:t>
      </w:r>
      <w:hyperlink r:id="rId41" w:history="1">
        <w:r w:rsidRPr="003701EE">
          <w:rPr>
            <w:rStyle w:val="Hyperlink"/>
            <w:szCs w:val="19"/>
          </w:rPr>
          <w:t>https://www.amnesty.org/en/countries/asia-and-the-pacific/india/report-india/</w:t>
        </w:r>
      </w:hyperlink>
      <w:r>
        <w:rPr>
          <w:rStyle w:val="FootnoteTextChar"/>
          <w:sz w:val="24"/>
          <w:szCs w:val="19"/>
        </w:rPr>
        <w:t>. Last accessed: 12 October 2018</w:t>
      </w:r>
    </w:p>
    <w:p w14:paraId="25AE364F" w14:textId="7F39E956" w:rsidR="004C40BF" w:rsidRDefault="004C40BF" w:rsidP="00A16771">
      <w:pPr>
        <w:rPr>
          <w:rStyle w:val="FootnoteTextChar"/>
          <w:sz w:val="24"/>
          <w:szCs w:val="19"/>
        </w:rPr>
      </w:pPr>
      <w:r w:rsidRPr="004C40BF">
        <w:rPr>
          <w:rStyle w:val="FootnoteTextChar"/>
          <w:sz w:val="24"/>
          <w:szCs w:val="19"/>
        </w:rPr>
        <w:t>Bertelsmann Stiftung, ‘BTI 2018 Country Report — India</w:t>
      </w:r>
      <w:r>
        <w:rPr>
          <w:rStyle w:val="FootnoteTextChar"/>
          <w:sz w:val="24"/>
          <w:szCs w:val="19"/>
        </w:rPr>
        <w:t>’,</w:t>
      </w:r>
      <w:r w:rsidRPr="004C40BF">
        <w:rPr>
          <w:rStyle w:val="FootnoteTextChar"/>
          <w:sz w:val="24"/>
          <w:szCs w:val="19"/>
        </w:rPr>
        <w:t xml:space="preserve"> 23 March 2018</w:t>
      </w:r>
      <w:r>
        <w:rPr>
          <w:rStyle w:val="FootnoteTextChar"/>
          <w:sz w:val="24"/>
          <w:szCs w:val="19"/>
        </w:rPr>
        <w:t xml:space="preserve">, </w:t>
      </w:r>
      <w:hyperlink r:id="rId42" w:history="1">
        <w:r w:rsidRPr="003529F2">
          <w:rPr>
            <w:rStyle w:val="Hyperlink"/>
            <w:szCs w:val="19"/>
          </w:rPr>
          <w:t>https://www.bti-project.org/fileadmin/files/BTI/Downloads/Reports/2018/pdf/BTI_2018_India.pdf</w:t>
        </w:r>
      </w:hyperlink>
      <w:r>
        <w:rPr>
          <w:rStyle w:val="FootnoteTextChar"/>
          <w:sz w:val="24"/>
          <w:szCs w:val="19"/>
        </w:rPr>
        <w:t>. Last accessed: 27 September 2018</w:t>
      </w:r>
    </w:p>
    <w:p w14:paraId="7CE51787" w14:textId="0ACAEB36" w:rsidR="000D49EA" w:rsidRDefault="000D49EA" w:rsidP="00A16771">
      <w:pPr>
        <w:rPr>
          <w:rStyle w:val="FootnoteTextChar"/>
          <w:sz w:val="24"/>
          <w:szCs w:val="19"/>
        </w:rPr>
      </w:pPr>
      <w:r>
        <w:rPr>
          <w:rStyle w:val="FootnoteTextChar"/>
          <w:sz w:val="24"/>
          <w:szCs w:val="19"/>
        </w:rPr>
        <w:t xml:space="preserve">Child Soldiers International, ‘OPAC status – India’, 2017, </w:t>
      </w:r>
      <w:hyperlink r:id="rId43" w:history="1">
        <w:r w:rsidRPr="003529F2">
          <w:rPr>
            <w:rStyle w:val="Hyperlink"/>
            <w:szCs w:val="19"/>
          </w:rPr>
          <w:t>https://childsoldiersworldindex.org/opac-status</w:t>
        </w:r>
      </w:hyperlink>
      <w:r>
        <w:rPr>
          <w:rStyle w:val="FootnoteTextChar"/>
          <w:sz w:val="24"/>
          <w:szCs w:val="19"/>
        </w:rPr>
        <w:t>. Last accessed: 27 September 2018</w:t>
      </w:r>
    </w:p>
    <w:p w14:paraId="58D10AA9" w14:textId="47A36EB4" w:rsidR="00E25E73" w:rsidRDefault="00E25E73" w:rsidP="00A16771">
      <w:pPr>
        <w:rPr>
          <w:rStyle w:val="FootnoteTextChar"/>
          <w:sz w:val="24"/>
          <w:szCs w:val="19"/>
        </w:rPr>
      </w:pPr>
      <w:r>
        <w:rPr>
          <w:rStyle w:val="FootnoteTextChar"/>
          <w:sz w:val="24"/>
          <w:szCs w:val="19"/>
        </w:rPr>
        <w:t>Commonwealth Human Rig</w:t>
      </w:r>
      <w:r w:rsidR="00281AD5">
        <w:rPr>
          <w:rStyle w:val="FootnoteTextChar"/>
          <w:sz w:val="24"/>
          <w:szCs w:val="19"/>
        </w:rPr>
        <w:t>ht</w:t>
      </w:r>
      <w:r>
        <w:rPr>
          <w:rStyle w:val="FootnoteTextChar"/>
          <w:sz w:val="24"/>
          <w:szCs w:val="19"/>
        </w:rPr>
        <w:t xml:space="preserve">s Initiative (CHRI), ‘Hope behind bars’, 18 September 2018, </w:t>
      </w:r>
      <w:hyperlink r:id="rId44" w:history="1">
        <w:r w:rsidRPr="001E5703">
          <w:rPr>
            <w:rStyle w:val="Hyperlink"/>
            <w:szCs w:val="19"/>
          </w:rPr>
          <w:t>http://www.humanrightsinitiative.org/publication/hope-behind-bars-status-report-on-legal-aid-for-persons-in-custody</w:t>
        </w:r>
      </w:hyperlink>
      <w:r>
        <w:rPr>
          <w:rStyle w:val="FootnoteTextChar"/>
          <w:sz w:val="24"/>
          <w:szCs w:val="19"/>
        </w:rPr>
        <w:t>. Last accessed: 15 October 2018</w:t>
      </w:r>
    </w:p>
    <w:p w14:paraId="1874087C" w14:textId="15682E9D" w:rsidR="00C82BDB" w:rsidRDefault="00C82BDB" w:rsidP="00A16771">
      <w:pPr>
        <w:rPr>
          <w:rStyle w:val="FootnoteTextChar"/>
          <w:sz w:val="24"/>
          <w:szCs w:val="19"/>
        </w:rPr>
      </w:pPr>
      <w:r>
        <w:rPr>
          <w:rStyle w:val="FootnoteTextChar"/>
          <w:sz w:val="24"/>
          <w:szCs w:val="19"/>
        </w:rPr>
        <w:t xml:space="preserve">Constitution of India, </w:t>
      </w:r>
      <w:hyperlink r:id="rId45" w:history="1">
        <w:r w:rsidRPr="00627D6F">
          <w:rPr>
            <w:rStyle w:val="Hyperlink"/>
            <w:szCs w:val="19"/>
          </w:rPr>
          <w:t>https://www.india.gov.in/my-government/constitution-india/constitution-india-full-text</w:t>
        </w:r>
      </w:hyperlink>
      <w:r>
        <w:rPr>
          <w:rStyle w:val="FootnoteTextChar"/>
          <w:sz w:val="24"/>
          <w:szCs w:val="19"/>
        </w:rPr>
        <w:t>. Last accessed: 8 October 2018</w:t>
      </w:r>
    </w:p>
    <w:p w14:paraId="5CCFE777" w14:textId="0467AD67" w:rsidR="00F82229" w:rsidRDefault="00F82229" w:rsidP="00A16771">
      <w:pPr>
        <w:rPr>
          <w:rStyle w:val="FootnoteTextChar"/>
          <w:sz w:val="24"/>
          <w:szCs w:val="19"/>
        </w:rPr>
      </w:pPr>
      <w:r>
        <w:rPr>
          <w:rStyle w:val="FootnoteTextChar"/>
          <w:sz w:val="24"/>
          <w:szCs w:val="19"/>
        </w:rPr>
        <w:t xml:space="preserve">Court Websites, ‘Indian Courts’, n.d., </w:t>
      </w:r>
      <w:hyperlink r:id="rId46" w:history="1">
        <w:r w:rsidRPr="00627D6F">
          <w:rPr>
            <w:rStyle w:val="Hyperlink"/>
            <w:szCs w:val="19"/>
          </w:rPr>
          <w:t>http://indiancourts.nic.in/sitesmain.htm</w:t>
        </w:r>
      </w:hyperlink>
      <w:r>
        <w:rPr>
          <w:rStyle w:val="FootnoteTextChar"/>
          <w:sz w:val="24"/>
          <w:szCs w:val="19"/>
        </w:rPr>
        <w:t>. Last accessed: 8 October 2018</w:t>
      </w:r>
    </w:p>
    <w:p w14:paraId="37596E15" w14:textId="74A9DFFA" w:rsidR="00037F46" w:rsidRDefault="00037F46" w:rsidP="00A16771">
      <w:pPr>
        <w:rPr>
          <w:rStyle w:val="FootnoteTextChar"/>
          <w:sz w:val="24"/>
          <w:szCs w:val="19"/>
        </w:rPr>
      </w:pPr>
      <w:r>
        <w:rPr>
          <w:rStyle w:val="FootnoteTextChar"/>
          <w:sz w:val="24"/>
          <w:szCs w:val="19"/>
        </w:rPr>
        <w:t>First Post, ‘</w:t>
      </w:r>
      <w:r w:rsidRPr="00037F46">
        <w:rPr>
          <w:rStyle w:val="FootnoteTextChar"/>
          <w:sz w:val="24"/>
          <w:szCs w:val="19"/>
        </w:rPr>
        <w:t>NHRC registered 1,782 fake encounter cases between 2000-2017; Uttar Pradesh alone accounts for 44.55%</w:t>
      </w:r>
      <w:r>
        <w:rPr>
          <w:rStyle w:val="FootnoteTextChar"/>
          <w:sz w:val="24"/>
          <w:szCs w:val="19"/>
        </w:rPr>
        <w:t xml:space="preserve">’, 2 February 2018, </w:t>
      </w:r>
      <w:hyperlink r:id="rId47" w:history="1">
        <w:r w:rsidRPr="0005481C">
          <w:rPr>
            <w:rStyle w:val="Hyperlink"/>
            <w:szCs w:val="19"/>
          </w:rPr>
          <w:t>https://www.firstpost.com/india/nhrc-registered-1782-fake-encounter-cases-between-2000-2017-uttar-pradesh-alone-accounts-for-44-55-4332125.html</w:t>
        </w:r>
      </w:hyperlink>
      <w:r>
        <w:rPr>
          <w:rStyle w:val="FootnoteTextChar"/>
          <w:sz w:val="24"/>
          <w:szCs w:val="19"/>
        </w:rPr>
        <w:t>. Last accessed: 9 October 2018</w:t>
      </w:r>
    </w:p>
    <w:p w14:paraId="0AE127D2" w14:textId="2D311C5B" w:rsidR="00B1372F" w:rsidRDefault="00B1372F" w:rsidP="00A16771">
      <w:pPr>
        <w:rPr>
          <w:rStyle w:val="FootnoteTextChar"/>
          <w:sz w:val="24"/>
          <w:szCs w:val="19"/>
        </w:rPr>
      </w:pPr>
      <w:r w:rsidRPr="00B1372F">
        <w:rPr>
          <w:rStyle w:val="FootnoteTextChar"/>
          <w:sz w:val="24"/>
          <w:szCs w:val="19"/>
        </w:rPr>
        <w:t xml:space="preserve">Freedom House, Freedom in the World 2018 - India, 1 March 2018, available at: </w:t>
      </w:r>
      <w:hyperlink r:id="rId48" w:history="1">
        <w:r w:rsidR="0069134B" w:rsidRPr="00D32DCC">
          <w:rPr>
            <w:rStyle w:val="Hyperlink"/>
          </w:rPr>
          <w:t>https://freedomhouse.org/report/freedom-world/2018/india</w:t>
        </w:r>
      </w:hyperlink>
      <w:r w:rsidR="0069134B">
        <w:t xml:space="preserve">. </w:t>
      </w:r>
      <w:r>
        <w:rPr>
          <w:rStyle w:val="FootnoteTextChar"/>
          <w:sz w:val="24"/>
          <w:szCs w:val="19"/>
        </w:rPr>
        <w:t xml:space="preserve">Last </w:t>
      </w:r>
      <w:r w:rsidRPr="00B1372F">
        <w:rPr>
          <w:rStyle w:val="FootnoteTextChar"/>
          <w:sz w:val="24"/>
          <w:szCs w:val="19"/>
        </w:rPr>
        <w:t>accessed</w:t>
      </w:r>
      <w:r>
        <w:rPr>
          <w:rStyle w:val="FootnoteTextChar"/>
          <w:sz w:val="24"/>
          <w:szCs w:val="19"/>
        </w:rPr>
        <w:t>:</w:t>
      </w:r>
      <w:r w:rsidRPr="00B1372F">
        <w:rPr>
          <w:rStyle w:val="FootnoteTextChar"/>
          <w:sz w:val="24"/>
          <w:szCs w:val="19"/>
        </w:rPr>
        <w:t xml:space="preserve"> 27 Septe</w:t>
      </w:r>
      <w:r>
        <w:rPr>
          <w:rStyle w:val="FootnoteTextChar"/>
          <w:sz w:val="24"/>
          <w:szCs w:val="19"/>
        </w:rPr>
        <w:t>mber 2018</w:t>
      </w:r>
    </w:p>
    <w:p w14:paraId="238323D2" w14:textId="4D888EF5" w:rsidR="004C145A" w:rsidRDefault="004C145A" w:rsidP="00A16771">
      <w:pPr>
        <w:rPr>
          <w:rStyle w:val="FootnoteTextChar"/>
          <w:sz w:val="24"/>
          <w:szCs w:val="19"/>
        </w:rPr>
      </w:pPr>
      <w:r w:rsidRPr="004C145A">
        <w:rPr>
          <w:rStyle w:val="FootnoteTextChar"/>
          <w:sz w:val="24"/>
          <w:szCs w:val="19"/>
        </w:rPr>
        <w:t>Global Fire Power, ‘India Military Strength’, 2018</w:t>
      </w:r>
      <w:r>
        <w:rPr>
          <w:rStyle w:val="FootnoteTextChar"/>
          <w:sz w:val="24"/>
          <w:szCs w:val="19"/>
        </w:rPr>
        <w:t xml:space="preserve">, </w:t>
      </w:r>
      <w:hyperlink r:id="rId49" w:anchor="powerindex" w:history="1">
        <w:r w:rsidRPr="003529F2">
          <w:rPr>
            <w:rStyle w:val="Hyperlink"/>
            <w:szCs w:val="19"/>
          </w:rPr>
          <w:t>https://www.globalfirepower.com/country-military-strength-detail.asp?country_id=india#powerindex</w:t>
        </w:r>
      </w:hyperlink>
      <w:r>
        <w:rPr>
          <w:rStyle w:val="FootnoteTextChar"/>
          <w:sz w:val="24"/>
          <w:szCs w:val="19"/>
        </w:rPr>
        <w:t>. Last accessed: 27 September 2018</w:t>
      </w:r>
    </w:p>
    <w:p w14:paraId="409491C9" w14:textId="3475BA91" w:rsidR="00BB1737" w:rsidRDefault="00D1049B" w:rsidP="00A16771">
      <w:pPr>
        <w:rPr>
          <w:rStyle w:val="FootnoteTextChar"/>
          <w:sz w:val="24"/>
          <w:szCs w:val="19"/>
        </w:rPr>
      </w:pPr>
      <w:r>
        <w:rPr>
          <w:rStyle w:val="FootnoteTextChar"/>
          <w:sz w:val="24"/>
          <w:szCs w:val="19"/>
        </w:rPr>
        <w:t xml:space="preserve">Government of India, </w:t>
      </w:r>
    </w:p>
    <w:p w14:paraId="2705DB5F" w14:textId="5D795A54" w:rsidR="00D1049B" w:rsidRDefault="00D1049B" w:rsidP="00BB1737">
      <w:pPr>
        <w:ind w:left="720"/>
        <w:rPr>
          <w:rStyle w:val="FootnoteTextChar"/>
          <w:sz w:val="24"/>
          <w:szCs w:val="19"/>
        </w:rPr>
      </w:pPr>
      <w:r>
        <w:rPr>
          <w:rStyle w:val="FootnoteTextChar"/>
          <w:sz w:val="24"/>
          <w:szCs w:val="19"/>
        </w:rPr>
        <w:t xml:space="preserve">Ministry of Home Affairs (MHA), ‘State and UTS Police’, n.d., </w:t>
      </w:r>
      <w:hyperlink r:id="rId50" w:history="1">
        <w:r w:rsidRPr="00630D8C">
          <w:rPr>
            <w:rStyle w:val="Hyperlink"/>
            <w:szCs w:val="19"/>
          </w:rPr>
          <w:t>https://mha.gov.in/about-us/state-and-uts-police</w:t>
        </w:r>
      </w:hyperlink>
      <w:r>
        <w:rPr>
          <w:rStyle w:val="FootnoteTextChar"/>
          <w:sz w:val="24"/>
          <w:szCs w:val="19"/>
        </w:rPr>
        <w:t>. Last accessed: 26 September 2018</w:t>
      </w:r>
    </w:p>
    <w:p w14:paraId="0140ABB4" w14:textId="78571694" w:rsidR="00CA617F" w:rsidRDefault="00BB1737" w:rsidP="00BB1737">
      <w:pPr>
        <w:ind w:left="720"/>
        <w:rPr>
          <w:rStyle w:val="FootnoteTextChar"/>
          <w:sz w:val="24"/>
          <w:szCs w:val="19"/>
        </w:rPr>
      </w:pPr>
      <w:r>
        <w:rPr>
          <w:rStyle w:val="FootnoteTextChar"/>
          <w:sz w:val="24"/>
          <w:szCs w:val="19"/>
        </w:rPr>
        <w:t>Ministry of Statistics and Programme Implementation (MOSPI), ‘</w:t>
      </w:r>
      <w:r w:rsidRPr="00BB1737">
        <w:rPr>
          <w:rStyle w:val="FootnoteTextChar"/>
          <w:sz w:val="24"/>
          <w:szCs w:val="19"/>
        </w:rPr>
        <w:t>Number Of Cognizable Crime Under IPC And Strength Of Police Force</w:t>
      </w:r>
      <w:r>
        <w:rPr>
          <w:rStyle w:val="FootnoteTextChar"/>
          <w:sz w:val="24"/>
          <w:szCs w:val="19"/>
        </w:rPr>
        <w:t xml:space="preserve">’, 6 September 2016, </w:t>
      </w:r>
      <w:hyperlink r:id="rId51" w:history="1">
        <w:r w:rsidRPr="00630D8C">
          <w:rPr>
            <w:rStyle w:val="Hyperlink"/>
            <w:szCs w:val="19"/>
          </w:rPr>
          <w:t>http://mospi.nic.in/sites/default/files/statistical_year_book_india_2015/Table-37.15_3.xls?download=1</w:t>
        </w:r>
      </w:hyperlink>
      <w:r>
        <w:rPr>
          <w:rStyle w:val="FootnoteTextChar"/>
          <w:sz w:val="24"/>
          <w:szCs w:val="19"/>
        </w:rPr>
        <w:t>. Last accessed: 26 September 2018</w:t>
      </w:r>
    </w:p>
    <w:p w14:paraId="5BB7B063" w14:textId="77777777" w:rsidR="00F54E37" w:rsidRDefault="00CA617F" w:rsidP="00BB1737">
      <w:pPr>
        <w:ind w:left="720"/>
        <w:rPr>
          <w:rStyle w:val="FootnoteTextChar"/>
          <w:sz w:val="24"/>
          <w:szCs w:val="19"/>
        </w:rPr>
      </w:pPr>
      <w:r>
        <w:rPr>
          <w:rStyle w:val="FootnoteTextChar"/>
          <w:sz w:val="24"/>
          <w:szCs w:val="19"/>
        </w:rPr>
        <w:lastRenderedPageBreak/>
        <w:t>Ministry of Women and Child Development, ‘</w:t>
      </w:r>
      <w:r w:rsidRPr="00CA617F">
        <w:rPr>
          <w:rStyle w:val="FootnoteTextChar"/>
          <w:sz w:val="24"/>
          <w:szCs w:val="19"/>
        </w:rPr>
        <w:t>701 Juvenile Justice Boards (JJBs) Established in the country</w:t>
      </w:r>
      <w:r>
        <w:rPr>
          <w:rStyle w:val="FootnoteTextChar"/>
          <w:sz w:val="24"/>
          <w:szCs w:val="19"/>
        </w:rPr>
        <w:t xml:space="preserve">’, 9 February 2018, </w:t>
      </w:r>
      <w:hyperlink r:id="rId52" w:history="1">
        <w:r w:rsidRPr="003701EE">
          <w:rPr>
            <w:rStyle w:val="Hyperlink"/>
            <w:szCs w:val="19"/>
          </w:rPr>
          <w:t>http://www.pib.nic.in/Pressreleaseshare.aspx?PRID=1520104</w:t>
        </w:r>
      </w:hyperlink>
      <w:r>
        <w:rPr>
          <w:rStyle w:val="FootnoteTextChar"/>
          <w:sz w:val="24"/>
          <w:szCs w:val="19"/>
        </w:rPr>
        <w:t>. Last accessed: 12 October 2018</w:t>
      </w:r>
    </w:p>
    <w:p w14:paraId="138B3670" w14:textId="7B5CBEE4" w:rsidR="00BB1737" w:rsidRDefault="00F54E37" w:rsidP="00BB1737">
      <w:pPr>
        <w:ind w:left="720"/>
        <w:rPr>
          <w:rStyle w:val="FootnoteTextChar"/>
          <w:sz w:val="24"/>
          <w:szCs w:val="19"/>
        </w:rPr>
      </w:pPr>
      <w:r>
        <w:rPr>
          <w:rStyle w:val="FootnoteTextChar"/>
          <w:sz w:val="24"/>
          <w:szCs w:val="19"/>
        </w:rPr>
        <w:t xml:space="preserve">National Crime Records Bureau (NRCB), ‘Crime in India 2016 – Full publication’, 30 November 2017, </w:t>
      </w:r>
      <w:hyperlink r:id="rId53" w:history="1">
        <w:r w:rsidRPr="00D32DCC">
          <w:rPr>
            <w:rStyle w:val="Hyperlink"/>
            <w:szCs w:val="19"/>
          </w:rPr>
          <w:t>http://ncrb.gov.in/</w:t>
        </w:r>
      </w:hyperlink>
      <w:r>
        <w:rPr>
          <w:rStyle w:val="FootnoteTextChar"/>
          <w:sz w:val="24"/>
          <w:szCs w:val="19"/>
        </w:rPr>
        <w:t>. Last accessed: 16 October 2018</w:t>
      </w:r>
      <w:r w:rsidR="00BB1737">
        <w:rPr>
          <w:rStyle w:val="FootnoteTextChar"/>
          <w:sz w:val="24"/>
          <w:szCs w:val="19"/>
        </w:rPr>
        <w:t xml:space="preserve"> </w:t>
      </w:r>
    </w:p>
    <w:p w14:paraId="1BEF577F" w14:textId="4C70FA45" w:rsidR="00B3088A" w:rsidRDefault="00B3088A" w:rsidP="00201789">
      <w:r>
        <w:t>Hindustan Times, ‘</w:t>
      </w:r>
      <w:r w:rsidRPr="00B3088A">
        <w:t>‘Khap panchayat’ interference in marriage of two consenting adults absolutely illegal, rules SC</w:t>
      </w:r>
      <w:r>
        <w:t xml:space="preserve">’, 28 March 2018, </w:t>
      </w:r>
      <w:hyperlink r:id="rId54" w:history="1">
        <w:r w:rsidRPr="003701EE">
          <w:rPr>
            <w:rStyle w:val="Hyperlink"/>
          </w:rPr>
          <w:t>https://www.hindustantimes.com/india-news/khaps-interference-in-the-marriage-of-two-consulting-adults-absolutely-illegal-rules-sc/story-5EP7eiujAmgPOcfBPTqdRM.html</w:t>
        </w:r>
      </w:hyperlink>
      <w:r>
        <w:t>. Last accessed: 12 October 2018</w:t>
      </w:r>
    </w:p>
    <w:p w14:paraId="4E5A1948" w14:textId="27168BA9" w:rsidR="00901E77" w:rsidRDefault="00A140F2" w:rsidP="00201789">
      <w:r>
        <w:t xml:space="preserve">Human Rights Watch (HRW), </w:t>
      </w:r>
    </w:p>
    <w:p w14:paraId="66056C4C" w14:textId="7188B04D" w:rsidR="00A140F2" w:rsidRDefault="00A140F2" w:rsidP="00901E77">
      <w:pPr>
        <w:ind w:left="720"/>
      </w:pPr>
      <w:r>
        <w:t xml:space="preserve">‘“Bound by Brotherhood”: India’s failure to end killings in police custody’, 19 December 2016, </w:t>
      </w:r>
      <w:hyperlink r:id="rId55" w:history="1">
        <w:r w:rsidRPr="00985ECD">
          <w:rPr>
            <w:rStyle w:val="Hyperlink"/>
          </w:rPr>
          <w:t>https://www.hrw.org/report/2016/12/19/bound-brotherhood/indias-failure-end-killings-police-custody</w:t>
        </w:r>
      </w:hyperlink>
      <w:r>
        <w:t>. Last accessed: 8 October 2018</w:t>
      </w:r>
    </w:p>
    <w:p w14:paraId="23E06F50" w14:textId="60078C09" w:rsidR="00901E77" w:rsidRDefault="00901E77" w:rsidP="00901E77">
      <w:pPr>
        <w:ind w:left="720"/>
      </w:pPr>
      <w:r>
        <w:t>‘</w:t>
      </w:r>
      <w:r w:rsidRPr="00901E77">
        <w:t>Submission from Human Rights Watch for the Universal Periodic Review of India</w:t>
      </w:r>
      <w:r>
        <w:t>’</w:t>
      </w:r>
      <w:r w:rsidRPr="00901E77">
        <w:t xml:space="preserve">, 1 May 2017, available at: </w:t>
      </w:r>
      <w:hyperlink r:id="rId56" w:history="1">
        <w:r w:rsidRPr="0005481C">
          <w:rPr>
            <w:rStyle w:val="Hyperlink"/>
          </w:rPr>
          <w:t>http://www.refworld.org/docid/59098cbd4.html</w:t>
        </w:r>
      </w:hyperlink>
      <w:r>
        <w:t>. Last accessed 9 October 2018</w:t>
      </w:r>
    </w:p>
    <w:p w14:paraId="6F0EA112" w14:textId="691C7E51" w:rsidR="003172BA" w:rsidRDefault="003172BA" w:rsidP="003172BA">
      <w:pPr>
        <w:ind w:left="720"/>
      </w:pPr>
      <w:r>
        <w:t xml:space="preserve">‘World Report 2018 – India’, 18 January 2018, </w:t>
      </w:r>
      <w:hyperlink r:id="rId57" w:history="1">
        <w:r w:rsidRPr="003701EE">
          <w:rPr>
            <w:rStyle w:val="Hyperlink"/>
          </w:rPr>
          <w:t>https://www.hrw.org/world-report/2018/country-chapters/india</w:t>
        </w:r>
      </w:hyperlink>
      <w:r>
        <w:t>. Last accessed: 12 October 2018</w:t>
      </w:r>
    </w:p>
    <w:p w14:paraId="37976CE3" w14:textId="3D119171" w:rsidR="00472BB1" w:rsidRDefault="00576092" w:rsidP="00201789">
      <w:r>
        <w:t xml:space="preserve">IHS Jane’s, </w:t>
      </w:r>
      <w:r w:rsidRPr="00576092">
        <w:t xml:space="preserve">Sentinel Security Assessment </w:t>
      </w:r>
      <w:r>
        <w:t>–</w:t>
      </w:r>
      <w:r w:rsidRPr="00576092">
        <w:t xml:space="preserve"> South Asia</w:t>
      </w:r>
      <w:r>
        <w:t>,</w:t>
      </w:r>
      <w:r w:rsidRPr="00576092">
        <w:t xml:space="preserve"> </w:t>
      </w:r>
    </w:p>
    <w:p w14:paraId="3C9E2A22" w14:textId="6216B63B" w:rsidR="00576092" w:rsidRDefault="00576092" w:rsidP="00472BB1">
      <w:pPr>
        <w:ind w:left="720"/>
      </w:pPr>
      <w:r>
        <w:t>‘India – Armed Forces’, 17 September 2018, subscription only. Last accessed: 27 Septem</w:t>
      </w:r>
      <w:r w:rsidR="00534FA1">
        <w:t>b</w:t>
      </w:r>
      <w:r>
        <w:t>er 2018</w:t>
      </w:r>
    </w:p>
    <w:p w14:paraId="46E2DE0C" w14:textId="44ADA395" w:rsidR="00472BB1" w:rsidRDefault="00472BB1" w:rsidP="00472BB1">
      <w:pPr>
        <w:ind w:left="720"/>
      </w:pPr>
      <w:r>
        <w:t>‘India – Army’, 17 September 2018, subscription only. Last accessed: 27 September 2018</w:t>
      </w:r>
    </w:p>
    <w:p w14:paraId="0BE19194" w14:textId="410D7715" w:rsidR="00201789" w:rsidRDefault="00201789" w:rsidP="00201789">
      <w:r w:rsidRPr="00201789">
        <w:t xml:space="preserve">Immigration and Refugee Board of Canada, </w:t>
      </w:r>
    </w:p>
    <w:p w14:paraId="292AED78" w14:textId="28CEF0EF" w:rsidR="00201789" w:rsidRDefault="00201789" w:rsidP="00201789">
      <w:pPr>
        <w:ind w:left="720"/>
      </w:pPr>
      <w:r>
        <w:t>‘</w:t>
      </w:r>
      <w:r w:rsidRPr="00201789">
        <w:t>India: Extrajudicial detention, including instances of torture by authorities; state response and recourse available to victims; documents issued to persons detained or interrogated by police (2016-April 2018),  IND106099.E</w:t>
      </w:r>
      <w:r>
        <w:t>’,</w:t>
      </w:r>
      <w:r w:rsidRPr="00201789">
        <w:t xml:space="preserve"> 24 May 2018, available at: </w:t>
      </w:r>
      <w:hyperlink r:id="rId58" w:history="1">
        <w:r w:rsidR="005E53E0" w:rsidRPr="005E7377">
          <w:rPr>
            <w:rStyle w:val="Hyperlink"/>
          </w:rPr>
          <w:t>https://irb-cisr.gc.ca/en/country-information/rir/Pages/index.aspx?doc=457485&amp;pls=1</w:t>
        </w:r>
      </w:hyperlink>
      <w:r w:rsidR="005E53E0">
        <w:t xml:space="preserve">. </w:t>
      </w:r>
      <w:r w:rsidR="002863D7">
        <w:rPr>
          <w:rStyle w:val="Hyperlink"/>
          <w:color w:val="auto"/>
          <w:u w:val="none"/>
        </w:rPr>
        <w:t>Last accessed: 8 October 2018</w:t>
      </w:r>
      <w:r>
        <w:t xml:space="preserve"> </w:t>
      </w:r>
      <w:r w:rsidRPr="00201789">
        <w:t> </w:t>
      </w:r>
    </w:p>
    <w:p w14:paraId="29DFCEB0" w14:textId="6AE2C053" w:rsidR="002863D7" w:rsidRDefault="002863D7" w:rsidP="002863D7">
      <w:pPr>
        <w:ind w:left="720"/>
      </w:pPr>
      <w:r>
        <w:t xml:space="preserve">‘India: </w:t>
      </w:r>
      <w:r w:rsidRPr="002863D7">
        <w:t>First Information Reports (FIRs), including procedures and time frames followed by police to inform complainants that an investigation will not be conducted (2015-May 2017)</w:t>
      </w:r>
      <w:r>
        <w:t xml:space="preserve">, IND105779.E’, 1 May 2017, </w:t>
      </w:r>
      <w:hyperlink r:id="rId59" w:history="1">
        <w:r w:rsidRPr="00627D6F">
          <w:rPr>
            <w:rStyle w:val="Hyperlink"/>
          </w:rPr>
          <w:t>https://www.irb-cisr.gc.ca/en/country-information/rir/Pages/index.aspx?doc=457018&amp;pls=1</w:t>
        </w:r>
      </w:hyperlink>
      <w:r>
        <w:t>. L</w:t>
      </w:r>
      <w:r>
        <w:rPr>
          <w:rStyle w:val="Hyperlink"/>
          <w:color w:val="auto"/>
          <w:u w:val="none"/>
        </w:rPr>
        <w:t>ast accessed: 8 October 2018</w:t>
      </w:r>
      <w:r>
        <w:t xml:space="preserve"> </w:t>
      </w:r>
      <w:r w:rsidRPr="00201789">
        <w:t> </w:t>
      </w:r>
    </w:p>
    <w:p w14:paraId="50E1F858" w14:textId="3588660B" w:rsidR="000C418A" w:rsidRDefault="000C418A" w:rsidP="002863D7">
      <w:pPr>
        <w:ind w:left="720"/>
      </w:pPr>
      <w:r>
        <w:t>‘</w:t>
      </w:r>
      <w:r w:rsidRPr="000C418A">
        <w:t>India: Independence of and corruption within the judicial system, including the scale of corruption at different levels (2015-May 2017)</w:t>
      </w:r>
      <w:r>
        <w:t xml:space="preserve">, IND105781.E’, 5 May 2017, </w:t>
      </w:r>
      <w:hyperlink r:id="rId60" w:history="1">
        <w:r w:rsidRPr="005E7377">
          <w:rPr>
            <w:rStyle w:val="Hyperlink"/>
          </w:rPr>
          <w:t>https://irb-cisr.gc.ca/en/country-information/rir/Pages/index.aspx?doc=457023</w:t>
        </w:r>
      </w:hyperlink>
      <w:r>
        <w:t>. Last accessed: 23 October 2018</w:t>
      </w:r>
    </w:p>
    <w:p w14:paraId="17F9281E" w14:textId="1E557E7B" w:rsidR="002863D7" w:rsidRDefault="00201789" w:rsidP="002863D7">
      <w:pPr>
        <w:ind w:left="720"/>
      </w:pPr>
      <w:r>
        <w:lastRenderedPageBreak/>
        <w:t>‘</w:t>
      </w:r>
      <w:r w:rsidRPr="00201789">
        <w:t>India: Surveillance by state authorities; communication between police offices across the country, including use of the Crime and Criminal Tracking Network and Systems (CCTNS); categories of persons that may be included in police databases; tenant verification; whether police authorities across India are able to locate an individual (2016-May 2018)</w:t>
      </w:r>
      <w:r>
        <w:t>, IND106120.E’, 25 June 2018,</w:t>
      </w:r>
      <w:r w:rsidRPr="00201789">
        <w:t xml:space="preserve"> available at: </w:t>
      </w:r>
      <w:hyperlink r:id="rId61" w:history="1">
        <w:r w:rsidR="005E53E0" w:rsidRPr="005E7377">
          <w:rPr>
            <w:rStyle w:val="Hyperlink"/>
          </w:rPr>
          <w:t>https://irb-cisr.gc.ca/en/country-information/rir/Pages/index.aspx?doc=457520&amp;pls=1</w:t>
        </w:r>
      </w:hyperlink>
      <w:r w:rsidR="002863D7">
        <w:rPr>
          <w:rStyle w:val="Hyperlink"/>
          <w:color w:val="auto"/>
          <w:u w:val="none"/>
        </w:rPr>
        <w:t>. Last accessed: 8 October 2018</w:t>
      </w:r>
      <w:r w:rsidR="002863D7">
        <w:t xml:space="preserve"> </w:t>
      </w:r>
      <w:r w:rsidR="002863D7" w:rsidRPr="00201789">
        <w:t> </w:t>
      </w:r>
    </w:p>
    <w:p w14:paraId="42225E20" w14:textId="30FCB6EC" w:rsidR="00DE4902" w:rsidRDefault="00DE4902" w:rsidP="00A16771">
      <w:pPr>
        <w:rPr>
          <w:rStyle w:val="FootnoteTextChar"/>
          <w:sz w:val="24"/>
          <w:szCs w:val="19"/>
        </w:rPr>
      </w:pPr>
      <w:r w:rsidRPr="00DE4902">
        <w:rPr>
          <w:rStyle w:val="FootnoteTextChar"/>
          <w:sz w:val="24"/>
          <w:szCs w:val="19"/>
        </w:rPr>
        <w:t>India Today, ‘What is a khap panchayat?’, 11 October 2012</w:t>
      </w:r>
      <w:r>
        <w:rPr>
          <w:rStyle w:val="FootnoteTextChar"/>
          <w:sz w:val="24"/>
          <w:szCs w:val="19"/>
        </w:rPr>
        <w:t xml:space="preserve">, </w:t>
      </w:r>
      <w:hyperlink r:id="rId62" w:history="1">
        <w:r w:rsidRPr="003701EE">
          <w:rPr>
            <w:rStyle w:val="Hyperlink"/>
            <w:szCs w:val="19"/>
          </w:rPr>
          <w:t>https://www.indiatoday.in/india/north/story/what-is-khap-panchayat-118365-2012-10-11</w:t>
        </w:r>
      </w:hyperlink>
      <w:r>
        <w:rPr>
          <w:rStyle w:val="FootnoteTextChar"/>
          <w:sz w:val="24"/>
          <w:szCs w:val="19"/>
        </w:rPr>
        <w:t>. Last accessed: 12 October 2018</w:t>
      </w:r>
    </w:p>
    <w:p w14:paraId="75A2C6D0" w14:textId="0318F991" w:rsidR="0009783C" w:rsidRDefault="0009783C" w:rsidP="00A16771">
      <w:pPr>
        <w:rPr>
          <w:rStyle w:val="FootnoteTextChar"/>
          <w:sz w:val="24"/>
          <w:szCs w:val="19"/>
        </w:rPr>
      </w:pPr>
      <w:r>
        <w:rPr>
          <w:rStyle w:val="FootnoteTextChar"/>
          <w:sz w:val="24"/>
          <w:szCs w:val="19"/>
        </w:rPr>
        <w:t xml:space="preserve">Indian Police Service, ‘About us’, n.d., </w:t>
      </w:r>
      <w:hyperlink r:id="rId63" w:history="1">
        <w:r w:rsidRPr="00F6311D">
          <w:rPr>
            <w:rStyle w:val="Hyperlink"/>
            <w:szCs w:val="19"/>
          </w:rPr>
          <w:t>https://www.cipsa.in/page/about-us</w:t>
        </w:r>
      </w:hyperlink>
      <w:r>
        <w:rPr>
          <w:rStyle w:val="FootnoteTextChar"/>
          <w:sz w:val="24"/>
          <w:szCs w:val="19"/>
        </w:rPr>
        <w:t>. Last accessed: 18 December 2018</w:t>
      </w:r>
    </w:p>
    <w:p w14:paraId="2FDD9EA9" w14:textId="13B3D944" w:rsidR="00C22E34" w:rsidRDefault="00C22E34" w:rsidP="00A16771">
      <w:pPr>
        <w:rPr>
          <w:rStyle w:val="FootnoteTextChar"/>
          <w:sz w:val="24"/>
          <w:szCs w:val="19"/>
        </w:rPr>
      </w:pPr>
      <w:r>
        <w:rPr>
          <w:rStyle w:val="FootnoteTextChar"/>
          <w:sz w:val="24"/>
          <w:szCs w:val="19"/>
        </w:rPr>
        <w:t xml:space="preserve">Institute for Policy Research Studies (PRS), ‘Police Reform in India’, June 2017, </w:t>
      </w:r>
      <w:hyperlink r:id="rId64" w:history="1">
        <w:r w:rsidR="001A57D9" w:rsidRPr="00C45444">
          <w:rPr>
            <w:rStyle w:val="Hyperlink"/>
          </w:rPr>
          <w:t>https://www.prsindia.org/sites/default/files/parliament_or_policy_pdfs/Police%20Reforms%20in%20India.pdf</w:t>
        </w:r>
      </w:hyperlink>
      <w:r w:rsidR="001A57D9">
        <w:t xml:space="preserve">. </w:t>
      </w:r>
      <w:r>
        <w:rPr>
          <w:rStyle w:val="FootnoteTextChar"/>
          <w:sz w:val="24"/>
          <w:szCs w:val="19"/>
        </w:rPr>
        <w:t>Last accessed: 26 September 2018</w:t>
      </w:r>
    </w:p>
    <w:p w14:paraId="2B57221B" w14:textId="1BD84071" w:rsidR="00F75A44" w:rsidRDefault="00F75A44" w:rsidP="00A16771">
      <w:pPr>
        <w:rPr>
          <w:rStyle w:val="FootnoteTextChar"/>
          <w:sz w:val="24"/>
          <w:szCs w:val="19"/>
        </w:rPr>
      </w:pPr>
      <w:r w:rsidRPr="00F75A44">
        <w:rPr>
          <w:rStyle w:val="FootnoteTextChar"/>
          <w:sz w:val="24"/>
          <w:szCs w:val="19"/>
        </w:rPr>
        <w:t>Know India, ‘Indian Armed Forces’, n.d.,</w:t>
      </w:r>
      <w:r>
        <w:rPr>
          <w:rStyle w:val="FootnoteTextChar"/>
          <w:sz w:val="24"/>
          <w:szCs w:val="19"/>
        </w:rPr>
        <w:t xml:space="preserve"> </w:t>
      </w:r>
      <w:hyperlink r:id="rId65" w:history="1">
        <w:r w:rsidRPr="003529F2">
          <w:rPr>
            <w:rStyle w:val="Hyperlink"/>
            <w:szCs w:val="19"/>
          </w:rPr>
          <w:t>http://knowindia.gov.in/my-india-my-pride/indian-armed-forces.php</w:t>
        </w:r>
      </w:hyperlink>
      <w:r>
        <w:rPr>
          <w:rStyle w:val="FootnoteTextChar"/>
          <w:sz w:val="24"/>
          <w:szCs w:val="19"/>
        </w:rPr>
        <w:t>. Last accessed: 27 September 2018</w:t>
      </w:r>
    </w:p>
    <w:p w14:paraId="164074E3" w14:textId="71B411DF" w:rsidR="00BE3423" w:rsidRDefault="00BE3423" w:rsidP="00A16771">
      <w:pPr>
        <w:rPr>
          <w:rStyle w:val="FootnoteTextChar"/>
          <w:sz w:val="24"/>
          <w:szCs w:val="19"/>
        </w:rPr>
      </w:pPr>
      <w:r>
        <w:rPr>
          <w:rStyle w:val="FootnoteTextChar"/>
          <w:sz w:val="24"/>
          <w:szCs w:val="19"/>
        </w:rPr>
        <w:t xml:space="preserve">Law Rato, ‘Lok Adalats in India’, 5 November 2018, </w:t>
      </w:r>
      <w:hyperlink r:id="rId66" w:history="1">
        <w:r w:rsidRPr="00F6311D">
          <w:rPr>
            <w:rStyle w:val="Hyperlink"/>
            <w:szCs w:val="19"/>
          </w:rPr>
          <w:t>https://lawrato.com/indian-kanoon/civil-law/lok-adalats-in-india-641</w:t>
        </w:r>
      </w:hyperlink>
      <w:r>
        <w:rPr>
          <w:rStyle w:val="FootnoteTextChar"/>
          <w:sz w:val="24"/>
          <w:szCs w:val="19"/>
        </w:rPr>
        <w:t xml:space="preserve">. Last accessed: </w:t>
      </w:r>
      <w:r w:rsidR="00F036FD">
        <w:rPr>
          <w:rStyle w:val="FootnoteTextChar"/>
          <w:sz w:val="24"/>
          <w:szCs w:val="19"/>
        </w:rPr>
        <w:t>18 December 2018</w:t>
      </w:r>
    </w:p>
    <w:p w14:paraId="4E677874" w14:textId="0B88B2CF" w:rsidR="002E7383" w:rsidRDefault="002E7383" w:rsidP="00A16771">
      <w:pPr>
        <w:rPr>
          <w:rStyle w:val="FootnoteTextChar"/>
          <w:sz w:val="24"/>
          <w:szCs w:val="19"/>
        </w:rPr>
      </w:pPr>
      <w:r>
        <w:rPr>
          <w:rStyle w:val="FootnoteTextChar"/>
          <w:sz w:val="24"/>
          <w:szCs w:val="19"/>
        </w:rPr>
        <w:t>Legal Bites, ‘</w:t>
      </w:r>
      <w:r w:rsidRPr="002E7383">
        <w:rPr>
          <w:rStyle w:val="FootnoteTextChar"/>
          <w:sz w:val="24"/>
          <w:szCs w:val="19"/>
        </w:rPr>
        <w:t>Juvenile Justice Act – An Overview and New Challenges to it</w:t>
      </w:r>
      <w:r>
        <w:rPr>
          <w:rStyle w:val="FootnoteTextChar"/>
          <w:sz w:val="24"/>
          <w:szCs w:val="19"/>
        </w:rPr>
        <w:t xml:space="preserve">’, 26 January 2018, </w:t>
      </w:r>
      <w:hyperlink r:id="rId67" w:history="1">
        <w:r w:rsidRPr="003701EE">
          <w:rPr>
            <w:rStyle w:val="Hyperlink"/>
            <w:szCs w:val="19"/>
          </w:rPr>
          <w:t>https://www.legalbites.in/juvenile-justice-act-an-overview-and-new-challenges-to-it/</w:t>
        </w:r>
      </w:hyperlink>
      <w:r>
        <w:rPr>
          <w:rStyle w:val="FootnoteTextChar"/>
          <w:sz w:val="24"/>
          <w:szCs w:val="19"/>
        </w:rPr>
        <w:t>. Last accessed: 12 October 2018</w:t>
      </w:r>
    </w:p>
    <w:p w14:paraId="167E1282" w14:textId="03201741" w:rsidR="003A6CB3" w:rsidRDefault="003A6CB3" w:rsidP="002058F4">
      <w:pPr>
        <w:rPr>
          <w:rStyle w:val="FootnoteTextChar"/>
          <w:sz w:val="24"/>
          <w:szCs w:val="19"/>
        </w:rPr>
      </w:pPr>
      <w:r>
        <w:rPr>
          <w:rStyle w:val="FootnoteTextChar"/>
          <w:sz w:val="24"/>
          <w:szCs w:val="19"/>
        </w:rPr>
        <w:t xml:space="preserve">Legal Services India, </w:t>
      </w:r>
    </w:p>
    <w:p w14:paraId="470B2380" w14:textId="0B06B530" w:rsidR="003A6CB3" w:rsidRDefault="003A6CB3" w:rsidP="003A6CB3">
      <w:pPr>
        <w:ind w:left="720"/>
        <w:rPr>
          <w:rStyle w:val="FootnoteTextChar"/>
          <w:sz w:val="24"/>
          <w:szCs w:val="19"/>
        </w:rPr>
      </w:pPr>
      <w:r>
        <w:rPr>
          <w:rStyle w:val="FootnoteTextChar"/>
          <w:sz w:val="24"/>
          <w:szCs w:val="19"/>
        </w:rPr>
        <w:t>‘</w:t>
      </w:r>
      <w:r w:rsidRPr="003A6CB3">
        <w:rPr>
          <w:rStyle w:val="FootnoteTextChar"/>
          <w:sz w:val="24"/>
          <w:szCs w:val="19"/>
        </w:rPr>
        <w:t>An Introduction to the Legal Services Authorities Act, 1987</w:t>
      </w:r>
      <w:r>
        <w:rPr>
          <w:rStyle w:val="FootnoteTextChar"/>
          <w:sz w:val="24"/>
          <w:szCs w:val="19"/>
        </w:rPr>
        <w:t xml:space="preserve">’, n.d., </w:t>
      </w:r>
      <w:hyperlink r:id="rId68" w:history="1">
        <w:r w:rsidRPr="003701EE">
          <w:rPr>
            <w:rStyle w:val="Hyperlink"/>
            <w:szCs w:val="19"/>
          </w:rPr>
          <w:t>http://www.legalserviceindia.com/articles/legaut.htm</w:t>
        </w:r>
      </w:hyperlink>
      <w:r>
        <w:rPr>
          <w:rStyle w:val="FootnoteTextChar"/>
          <w:sz w:val="24"/>
          <w:szCs w:val="19"/>
        </w:rPr>
        <w:t>. Last accessed: 12 October 2018</w:t>
      </w:r>
    </w:p>
    <w:p w14:paraId="0128BC49" w14:textId="239C032F" w:rsidR="003A6CB3" w:rsidRDefault="003A6CB3" w:rsidP="003A6CB3">
      <w:pPr>
        <w:ind w:left="720"/>
        <w:rPr>
          <w:rStyle w:val="FootnoteTextChar"/>
          <w:sz w:val="24"/>
          <w:szCs w:val="19"/>
        </w:rPr>
      </w:pPr>
      <w:r>
        <w:rPr>
          <w:rStyle w:val="FootnoteTextChar"/>
          <w:sz w:val="24"/>
          <w:szCs w:val="19"/>
        </w:rPr>
        <w:t>‘</w:t>
      </w:r>
      <w:r w:rsidRPr="003A6CB3">
        <w:rPr>
          <w:rStyle w:val="FootnoteTextChar"/>
          <w:sz w:val="24"/>
          <w:szCs w:val="19"/>
        </w:rPr>
        <w:t xml:space="preserve">Lok Adalats And Permanent Lok Adalats: </w:t>
      </w:r>
      <w:proofErr w:type="gramStart"/>
      <w:r w:rsidRPr="003A6CB3">
        <w:rPr>
          <w:rStyle w:val="FootnoteTextChar"/>
          <w:sz w:val="24"/>
          <w:szCs w:val="19"/>
        </w:rPr>
        <w:t>A  Scope</w:t>
      </w:r>
      <w:proofErr w:type="gramEnd"/>
      <w:r w:rsidRPr="003A6CB3">
        <w:rPr>
          <w:rStyle w:val="FootnoteTextChar"/>
          <w:sz w:val="24"/>
          <w:szCs w:val="19"/>
        </w:rPr>
        <w:t xml:space="preserve"> For Judicial Review?’</w:t>
      </w:r>
      <w:r>
        <w:rPr>
          <w:rStyle w:val="FootnoteTextChar"/>
          <w:sz w:val="24"/>
          <w:szCs w:val="19"/>
        </w:rPr>
        <w:t xml:space="preserve">, n.d., </w:t>
      </w:r>
      <w:hyperlink r:id="rId69" w:history="1">
        <w:r w:rsidRPr="003701EE">
          <w:rPr>
            <w:rStyle w:val="Hyperlink"/>
            <w:szCs w:val="19"/>
          </w:rPr>
          <w:t>http://www.legalserviceindia.com/articles/lok_a.htm</w:t>
        </w:r>
      </w:hyperlink>
      <w:r>
        <w:rPr>
          <w:rStyle w:val="FootnoteTextChar"/>
          <w:sz w:val="24"/>
          <w:szCs w:val="19"/>
        </w:rPr>
        <w:t>. Last accessed: 12 October 2018</w:t>
      </w:r>
    </w:p>
    <w:p w14:paraId="199284DE" w14:textId="102B2BD9" w:rsidR="00A668B0" w:rsidRDefault="00A668B0" w:rsidP="002058F4">
      <w:pPr>
        <w:rPr>
          <w:rStyle w:val="FootnoteTextChar"/>
          <w:sz w:val="24"/>
          <w:szCs w:val="19"/>
        </w:rPr>
      </w:pPr>
      <w:r w:rsidRPr="00A668B0">
        <w:rPr>
          <w:rStyle w:val="FootnoteTextChar"/>
          <w:sz w:val="24"/>
          <w:szCs w:val="19"/>
        </w:rPr>
        <w:t xml:space="preserve">Live Law, ‘Access To Legal Aid In </w:t>
      </w:r>
      <w:proofErr w:type="gramStart"/>
      <w:r w:rsidRPr="00A668B0">
        <w:rPr>
          <w:rStyle w:val="FootnoteTextChar"/>
          <w:sz w:val="24"/>
          <w:szCs w:val="19"/>
        </w:rPr>
        <w:t>India :</w:t>
      </w:r>
      <w:proofErr w:type="gramEnd"/>
      <w:r w:rsidRPr="00A668B0">
        <w:rPr>
          <w:rStyle w:val="FootnoteTextChar"/>
          <w:sz w:val="24"/>
          <w:szCs w:val="19"/>
        </w:rPr>
        <w:t xml:space="preserve"> An Unfulfilled Promise?’, 15 March 2018,</w:t>
      </w:r>
      <w:r>
        <w:rPr>
          <w:rStyle w:val="FootnoteTextChar"/>
          <w:sz w:val="24"/>
          <w:szCs w:val="19"/>
        </w:rPr>
        <w:t xml:space="preserve"> </w:t>
      </w:r>
      <w:hyperlink r:id="rId70" w:history="1">
        <w:r w:rsidRPr="001E5703">
          <w:rPr>
            <w:rStyle w:val="Hyperlink"/>
            <w:szCs w:val="19"/>
          </w:rPr>
          <w:t>https://www.livelaw.in/access-legal-aid-india-unfulfilled-promise/</w:t>
        </w:r>
      </w:hyperlink>
      <w:r>
        <w:rPr>
          <w:rStyle w:val="FootnoteTextChar"/>
          <w:sz w:val="24"/>
          <w:szCs w:val="19"/>
        </w:rPr>
        <w:t>. Last accessed: 15 October 2018</w:t>
      </w:r>
    </w:p>
    <w:p w14:paraId="525614F6" w14:textId="77777777" w:rsidR="004263CE" w:rsidRDefault="00281AD5" w:rsidP="002058F4">
      <w:pPr>
        <w:rPr>
          <w:rStyle w:val="FootnoteTextChar"/>
          <w:sz w:val="24"/>
          <w:szCs w:val="19"/>
        </w:rPr>
      </w:pPr>
      <w:r>
        <w:rPr>
          <w:rStyle w:val="FootnoteTextChar"/>
          <w:sz w:val="24"/>
          <w:szCs w:val="19"/>
        </w:rPr>
        <w:t xml:space="preserve">National Human Rights Commission (NHRC), </w:t>
      </w:r>
    </w:p>
    <w:p w14:paraId="7A1B43C5" w14:textId="32B0AD3F" w:rsidR="004263CE" w:rsidRDefault="004263CE" w:rsidP="004263CE">
      <w:pPr>
        <w:ind w:left="720"/>
        <w:rPr>
          <w:rStyle w:val="FootnoteTextChar"/>
          <w:sz w:val="24"/>
          <w:szCs w:val="19"/>
        </w:rPr>
      </w:pPr>
      <w:r>
        <w:rPr>
          <w:rStyle w:val="FootnoteTextChar"/>
          <w:sz w:val="24"/>
          <w:szCs w:val="19"/>
        </w:rPr>
        <w:t>‘Monthly Salient Statistics of Cases Registered / Disposed by NHRC d</w:t>
      </w:r>
      <w:r w:rsidRPr="004263CE">
        <w:rPr>
          <w:rStyle w:val="FootnoteTextChar"/>
          <w:sz w:val="24"/>
          <w:szCs w:val="19"/>
        </w:rPr>
        <w:t>uring October 2018</w:t>
      </w:r>
      <w:r>
        <w:rPr>
          <w:rStyle w:val="FootnoteTextChar"/>
          <w:sz w:val="24"/>
          <w:szCs w:val="19"/>
        </w:rPr>
        <w:t xml:space="preserve">’, as of 15 November 2018, </w:t>
      </w:r>
      <w:hyperlink r:id="rId71" w:history="1">
        <w:r w:rsidRPr="00AC75AD">
          <w:rPr>
            <w:rStyle w:val="Hyperlink"/>
            <w:szCs w:val="19"/>
          </w:rPr>
          <w:t>http://nhrc.nic.in/sites/default/files/Monthly_Salient_Statistics_2018_10.pdf</w:t>
        </w:r>
      </w:hyperlink>
      <w:r>
        <w:rPr>
          <w:rStyle w:val="FootnoteTextChar"/>
          <w:sz w:val="24"/>
          <w:szCs w:val="19"/>
        </w:rPr>
        <w:t>. Last accessed: 30 November 2018</w:t>
      </w:r>
    </w:p>
    <w:p w14:paraId="39281278" w14:textId="4B6EF0DE" w:rsidR="00281AD5" w:rsidRDefault="00281AD5" w:rsidP="004263CE">
      <w:pPr>
        <w:ind w:left="720"/>
        <w:rPr>
          <w:rStyle w:val="FootnoteTextChar"/>
          <w:sz w:val="24"/>
          <w:szCs w:val="19"/>
        </w:rPr>
      </w:pPr>
      <w:r>
        <w:rPr>
          <w:rStyle w:val="FootnoteTextChar"/>
          <w:sz w:val="24"/>
          <w:szCs w:val="19"/>
        </w:rPr>
        <w:t xml:space="preserve">‘Monthly statistics’, </w:t>
      </w:r>
      <w:hyperlink r:id="rId72" w:history="1">
        <w:r w:rsidRPr="005E7377">
          <w:rPr>
            <w:rStyle w:val="Hyperlink"/>
            <w:szCs w:val="19"/>
          </w:rPr>
          <w:t>http://nhrc.nic.in/complaints/Monthly%20Statistics</w:t>
        </w:r>
      </w:hyperlink>
      <w:r>
        <w:rPr>
          <w:rStyle w:val="FootnoteTextChar"/>
          <w:sz w:val="24"/>
          <w:szCs w:val="19"/>
        </w:rPr>
        <w:t>. Last accessed: 23 October 2018</w:t>
      </w:r>
    </w:p>
    <w:p w14:paraId="593E5637" w14:textId="1E3A2EF4" w:rsidR="00B3088A" w:rsidRDefault="00B3088A" w:rsidP="002058F4">
      <w:pPr>
        <w:rPr>
          <w:rStyle w:val="FootnoteTextChar"/>
          <w:sz w:val="24"/>
          <w:szCs w:val="19"/>
        </w:rPr>
      </w:pPr>
      <w:r>
        <w:rPr>
          <w:rStyle w:val="FootnoteTextChar"/>
          <w:sz w:val="24"/>
          <w:szCs w:val="19"/>
        </w:rPr>
        <w:t xml:space="preserve">NDTV, ‘Khap </w:t>
      </w:r>
      <w:r w:rsidRPr="00B3088A">
        <w:rPr>
          <w:rStyle w:val="FootnoteTextChar"/>
          <w:sz w:val="24"/>
          <w:szCs w:val="19"/>
        </w:rPr>
        <w:t>Panchayat Verdict: A Look At Supreme Court Guidelines To Prevent Honour Killing</w:t>
      </w:r>
      <w:r>
        <w:rPr>
          <w:rStyle w:val="FootnoteTextChar"/>
          <w:sz w:val="24"/>
          <w:szCs w:val="19"/>
        </w:rPr>
        <w:t xml:space="preserve">’, 27 March 2018, </w:t>
      </w:r>
      <w:hyperlink r:id="rId73" w:history="1">
        <w:r w:rsidRPr="003701EE">
          <w:rPr>
            <w:rStyle w:val="Hyperlink"/>
            <w:szCs w:val="19"/>
          </w:rPr>
          <w:t>https://www.ndtv.com/india-news/khap-panchayat-verdict-a-look-at-supreme-court-guidelines-to-prevent-honour-killing-1829395</w:t>
        </w:r>
      </w:hyperlink>
      <w:r>
        <w:rPr>
          <w:rStyle w:val="FootnoteTextChar"/>
          <w:sz w:val="24"/>
          <w:szCs w:val="19"/>
        </w:rPr>
        <w:t>. Last accessed: 12 October 2018</w:t>
      </w:r>
    </w:p>
    <w:p w14:paraId="20904AAE" w14:textId="253E11D1" w:rsidR="002058F4" w:rsidRPr="002058F4" w:rsidRDefault="002058F4" w:rsidP="002058F4">
      <w:pPr>
        <w:rPr>
          <w:rStyle w:val="FootnoteTextChar"/>
          <w:sz w:val="24"/>
          <w:szCs w:val="19"/>
        </w:rPr>
      </w:pPr>
      <w:r>
        <w:rPr>
          <w:rStyle w:val="FootnoteTextChar"/>
          <w:sz w:val="24"/>
          <w:szCs w:val="19"/>
        </w:rPr>
        <w:lastRenderedPageBreak/>
        <w:t>The Times of India, ‘</w:t>
      </w:r>
      <w:r w:rsidRPr="002058F4">
        <w:rPr>
          <w:rStyle w:val="FootnoteTextChar"/>
          <w:sz w:val="24"/>
          <w:szCs w:val="19"/>
        </w:rPr>
        <w:t>khap panchayats to stall marriage between consenting adults</w:t>
      </w:r>
      <w:r>
        <w:rPr>
          <w:rStyle w:val="FootnoteTextChar"/>
          <w:sz w:val="24"/>
          <w:szCs w:val="19"/>
        </w:rPr>
        <w:t xml:space="preserve">’, 27 March 2018, </w:t>
      </w:r>
      <w:hyperlink r:id="rId74" w:history="1">
        <w:r w:rsidRPr="003701EE">
          <w:rPr>
            <w:rStyle w:val="Hyperlink"/>
            <w:szCs w:val="19"/>
          </w:rPr>
          <w:t>https://timesofindia.indiatimes.com/india/supreme-court-declares-it-illegal-for-khap-panchayats-to-stall-marriage-between-consenting-adults/articleshow/63476839.cms</w:t>
        </w:r>
      </w:hyperlink>
      <w:r>
        <w:rPr>
          <w:rStyle w:val="FootnoteTextChar"/>
          <w:sz w:val="24"/>
          <w:szCs w:val="19"/>
        </w:rPr>
        <w:t xml:space="preserve">. Last accessed: 12 October 2018 </w:t>
      </w:r>
      <w:r w:rsidRPr="002058F4">
        <w:rPr>
          <w:rStyle w:val="FootnoteTextChar"/>
          <w:sz w:val="24"/>
          <w:szCs w:val="19"/>
        </w:rPr>
        <w:t xml:space="preserve"> </w:t>
      </w:r>
    </w:p>
    <w:p w14:paraId="44689ECF" w14:textId="7CA14ABB" w:rsidR="00515FAA" w:rsidRDefault="00515FAA" w:rsidP="00A16771">
      <w:pPr>
        <w:rPr>
          <w:rStyle w:val="FootnoteTextChar"/>
          <w:sz w:val="24"/>
          <w:szCs w:val="19"/>
        </w:rPr>
      </w:pPr>
      <w:r w:rsidRPr="00C8334E">
        <w:rPr>
          <w:rStyle w:val="FootnoteTextChar"/>
          <w:sz w:val="24"/>
          <w:szCs w:val="19"/>
        </w:rPr>
        <w:t>U</w:t>
      </w:r>
      <w:r>
        <w:rPr>
          <w:rStyle w:val="FootnoteTextChar"/>
          <w:sz w:val="24"/>
          <w:szCs w:val="19"/>
        </w:rPr>
        <w:t xml:space="preserve">nited </w:t>
      </w:r>
      <w:r w:rsidRPr="00C8334E">
        <w:rPr>
          <w:rStyle w:val="FootnoteTextChar"/>
          <w:sz w:val="24"/>
          <w:szCs w:val="19"/>
        </w:rPr>
        <w:t>N</w:t>
      </w:r>
      <w:r>
        <w:rPr>
          <w:rStyle w:val="FootnoteTextChar"/>
          <w:sz w:val="24"/>
          <w:szCs w:val="19"/>
        </w:rPr>
        <w:t>ations</w:t>
      </w:r>
      <w:r w:rsidRPr="00C8334E">
        <w:rPr>
          <w:rStyle w:val="FootnoteTextChar"/>
          <w:sz w:val="24"/>
          <w:szCs w:val="19"/>
        </w:rPr>
        <w:t xml:space="preserve"> Human Rights Council</w:t>
      </w:r>
      <w:r>
        <w:rPr>
          <w:rStyle w:val="FootnoteTextChar"/>
          <w:sz w:val="24"/>
          <w:szCs w:val="19"/>
        </w:rPr>
        <w:t xml:space="preserve"> (UN HRC)</w:t>
      </w:r>
      <w:r w:rsidRPr="00C8334E">
        <w:rPr>
          <w:rStyle w:val="FootnoteTextChar"/>
          <w:sz w:val="24"/>
          <w:szCs w:val="19"/>
        </w:rPr>
        <w:t xml:space="preserve">, </w:t>
      </w:r>
      <w:r>
        <w:rPr>
          <w:rStyle w:val="FootnoteTextChar"/>
          <w:sz w:val="24"/>
          <w:szCs w:val="19"/>
        </w:rPr>
        <w:t>‘</w:t>
      </w:r>
      <w:r w:rsidRPr="00C8334E">
        <w:rPr>
          <w:rStyle w:val="FootnoteTextChar"/>
          <w:sz w:val="24"/>
          <w:szCs w:val="19"/>
        </w:rPr>
        <w:t>Report of the Special Rapporteur on adequate housing as a component of the right to an adequate standard of living, and on the right to non-discrimination in this context, on her mission to India</w:t>
      </w:r>
      <w:r>
        <w:rPr>
          <w:rStyle w:val="FootnoteTextChar"/>
          <w:sz w:val="24"/>
          <w:szCs w:val="19"/>
        </w:rPr>
        <w:t>’</w:t>
      </w:r>
      <w:r w:rsidRPr="00C8334E">
        <w:rPr>
          <w:rStyle w:val="FootnoteTextChar"/>
          <w:sz w:val="24"/>
          <w:szCs w:val="19"/>
        </w:rPr>
        <w:t xml:space="preserve">, 10 January 2017, A/HRC/34/51/Add.1, available at: </w:t>
      </w:r>
      <w:hyperlink r:id="rId75" w:history="1">
        <w:r w:rsidRPr="008032D2">
          <w:rPr>
            <w:rStyle w:val="Hyperlink"/>
            <w:szCs w:val="19"/>
          </w:rPr>
          <w:t>http://www.refworld.org/docid/58ada34a4.html</w:t>
        </w:r>
      </w:hyperlink>
      <w:r>
        <w:rPr>
          <w:rStyle w:val="FootnoteTextChar"/>
          <w:sz w:val="24"/>
          <w:szCs w:val="19"/>
        </w:rPr>
        <w:t xml:space="preserve">. Last </w:t>
      </w:r>
      <w:r w:rsidRPr="00C8334E">
        <w:rPr>
          <w:rStyle w:val="FootnoteTextChar"/>
          <w:sz w:val="24"/>
          <w:szCs w:val="19"/>
        </w:rPr>
        <w:t>accessed</w:t>
      </w:r>
      <w:r>
        <w:rPr>
          <w:rStyle w:val="FootnoteTextChar"/>
          <w:sz w:val="24"/>
          <w:szCs w:val="19"/>
        </w:rPr>
        <w:t>:</w:t>
      </w:r>
      <w:r w:rsidRPr="00C8334E">
        <w:rPr>
          <w:rStyle w:val="FootnoteTextChar"/>
          <w:sz w:val="24"/>
          <w:szCs w:val="19"/>
        </w:rPr>
        <w:t xml:space="preserve"> 17 October </w:t>
      </w:r>
      <w:r>
        <w:rPr>
          <w:rStyle w:val="FootnoteTextChar"/>
          <w:sz w:val="24"/>
          <w:szCs w:val="19"/>
        </w:rPr>
        <w:t>2018</w:t>
      </w:r>
    </w:p>
    <w:p w14:paraId="61515019" w14:textId="76D0D42C" w:rsidR="00EA3BC4" w:rsidRPr="002B4822" w:rsidRDefault="00A16771" w:rsidP="00A16771">
      <w:pPr>
        <w:rPr>
          <w:rStyle w:val="FootnoteTextChar"/>
          <w:sz w:val="24"/>
          <w:szCs w:val="19"/>
          <w:highlight w:val="yellow"/>
        </w:rPr>
      </w:pPr>
      <w:r>
        <w:rPr>
          <w:rStyle w:val="FootnoteTextChar"/>
          <w:sz w:val="24"/>
          <w:szCs w:val="19"/>
        </w:rPr>
        <w:t xml:space="preserve">United States Department of State (USSD), ‘Country Report on Human Rights Practices for 2017 – India’, 20 April 2018, </w:t>
      </w:r>
      <w:hyperlink r:id="rId76" w:history="1">
        <w:r w:rsidRPr="007E040E">
          <w:rPr>
            <w:rStyle w:val="Hyperlink"/>
            <w:szCs w:val="19"/>
          </w:rPr>
          <w:t>http://www.state.gov/j/drl/rls/hrrpt/humanrightsreport/index.htm?year=2017&amp;dlid=277281</w:t>
        </w:r>
      </w:hyperlink>
      <w:r>
        <w:rPr>
          <w:rStyle w:val="FootnoteTextChar"/>
          <w:sz w:val="24"/>
          <w:szCs w:val="19"/>
        </w:rPr>
        <w:t>. Last accessed: 26 September 2018</w:t>
      </w:r>
    </w:p>
    <w:p w14:paraId="7784F2D9" w14:textId="77777777" w:rsidR="00EA3BC4" w:rsidRDefault="00000000"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68" w:name="_Toc536000998"/>
      <w:r>
        <w:t xml:space="preserve">Sources </w:t>
      </w:r>
      <w:r w:rsidR="002E30F7">
        <w:t xml:space="preserve">consulted </w:t>
      </w:r>
      <w:r>
        <w:t>but not cited</w:t>
      </w:r>
      <w:bookmarkEnd w:id="68"/>
    </w:p>
    <w:p w14:paraId="67670DD0" w14:textId="5A1C2A0B" w:rsidR="000C418A" w:rsidRDefault="000C418A" w:rsidP="00055AD5">
      <w:pPr>
        <w:rPr>
          <w:rStyle w:val="FootnoteTextChar"/>
          <w:sz w:val="24"/>
          <w:szCs w:val="19"/>
        </w:rPr>
      </w:pPr>
      <w:r>
        <w:rPr>
          <w:rStyle w:val="FootnoteTextChar"/>
          <w:sz w:val="24"/>
          <w:szCs w:val="19"/>
        </w:rPr>
        <w:t>Amnesty International, ‘</w:t>
      </w:r>
      <w:r w:rsidRPr="000C418A">
        <w:rPr>
          <w:rStyle w:val="FootnoteTextChar"/>
          <w:sz w:val="24"/>
          <w:szCs w:val="19"/>
        </w:rPr>
        <w:t>Justice Under Trial: A Study of Pre-Trial Detention in India</w:t>
      </w:r>
      <w:r>
        <w:rPr>
          <w:rStyle w:val="FootnoteTextChar"/>
          <w:sz w:val="24"/>
          <w:szCs w:val="19"/>
        </w:rPr>
        <w:t xml:space="preserve">’, </w:t>
      </w:r>
      <w:r w:rsidR="00534537">
        <w:rPr>
          <w:rStyle w:val="FootnoteTextChar"/>
          <w:sz w:val="24"/>
          <w:szCs w:val="19"/>
        </w:rPr>
        <w:t xml:space="preserve">2017, </w:t>
      </w:r>
      <w:hyperlink r:id="rId77" w:history="1">
        <w:r w:rsidR="00534537" w:rsidRPr="005E7377">
          <w:rPr>
            <w:rStyle w:val="Hyperlink"/>
            <w:szCs w:val="19"/>
          </w:rPr>
          <w:t>https://www.amnesty.nl/content/uploads/2017/07/UT_Final.pdf?x65762</w:t>
        </w:r>
      </w:hyperlink>
      <w:r w:rsidR="00534537">
        <w:rPr>
          <w:rStyle w:val="FootnoteTextChar"/>
          <w:sz w:val="24"/>
          <w:szCs w:val="19"/>
        </w:rPr>
        <w:t>. Last accessed: 23 October 2018</w:t>
      </w:r>
    </w:p>
    <w:p w14:paraId="07BE32F7" w14:textId="302D47E4" w:rsidR="00DF068B" w:rsidRDefault="00DF068B" w:rsidP="00055AD5">
      <w:pPr>
        <w:rPr>
          <w:rStyle w:val="FootnoteTextChar"/>
          <w:sz w:val="24"/>
          <w:szCs w:val="19"/>
        </w:rPr>
      </w:pPr>
      <w:r>
        <w:rPr>
          <w:rStyle w:val="FootnoteTextChar"/>
          <w:sz w:val="24"/>
          <w:szCs w:val="19"/>
        </w:rPr>
        <w:t xml:space="preserve">Commonwealth Human Rights Initiative (CHRI), ‘Police Organisation in India’, 25 December 2015, </w:t>
      </w:r>
      <w:hyperlink r:id="rId78" w:history="1">
        <w:r w:rsidRPr="005E7377">
          <w:rPr>
            <w:rStyle w:val="Hyperlink"/>
            <w:szCs w:val="19"/>
          </w:rPr>
          <w:t>http://www.humanrightsinitiative.org/download/1456400058Final%20Police%20Org%20in%20India%202016.pdf</w:t>
        </w:r>
      </w:hyperlink>
      <w:r>
        <w:rPr>
          <w:rStyle w:val="FootnoteTextChar"/>
          <w:sz w:val="24"/>
          <w:szCs w:val="19"/>
        </w:rPr>
        <w:t>. Last accessed: 23 October 2018</w:t>
      </w:r>
    </w:p>
    <w:p w14:paraId="3979AF95" w14:textId="417384E6" w:rsidR="00FC2BB5" w:rsidRDefault="00FC2BB5" w:rsidP="00055AD5">
      <w:pPr>
        <w:rPr>
          <w:rStyle w:val="FootnoteTextChar"/>
          <w:sz w:val="24"/>
          <w:szCs w:val="19"/>
        </w:rPr>
      </w:pPr>
      <w:r>
        <w:rPr>
          <w:rStyle w:val="FootnoteTextChar"/>
          <w:sz w:val="24"/>
          <w:szCs w:val="19"/>
        </w:rPr>
        <w:t>IDFC Institute, ‘</w:t>
      </w:r>
      <w:r w:rsidRPr="00FC2BB5">
        <w:rPr>
          <w:rStyle w:val="FootnoteTextChar"/>
          <w:sz w:val="24"/>
          <w:szCs w:val="19"/>
        </w:rPr>
        <w:t>Safety Trends and Reporting of Crime (SATARC)</w:t>
      </w:r>
      <w:r>
        <w:rPr>
          <w:rStyle w:val="FootnoteTextChar"/>
          <w:sz w:val="24"/>
          <w:szCs w:val="19"/>
        </w:rPr>
        <w:t xml:space="preserve">’, 20 April 2017, </w:t>
      </w:r>
      <w:hyperlink r:id="rId79" w:history="1">
        <w:r w:rsidRPr="005E7377">
          <w:rPr>
            <w:rStyle w:val="Hyperlink"/>
            <w:szCs w:val="19"/>
          </w:rPr>
          <w:t>http://www.idfcinstitute.org/knowledge/publications/reports/safety-trends-and-reporting-of-crime-satarc/</w:t>
        </w:r>
      </w:hyperlink>
      <w:r>
        <w:rPr>
          <w:rStyle w:val="FootnoteTextChar"/>
          <w:sz w:val="24"/>
          <w:szCs w:val="19"/>
        </w:rPr>
        <w:t>. Last accessed: 23 October 2018</w:t>
      </w:r>
    </w:p>
    <w:p w14:paraId="1C3EA5FC" w14:textId="79652CEE" w:rsidR="00EA3BC4" w:rsidRDefault="00DA784B" w:rsidP="00055AD5">
      <w:pPr>
        <w:rPr>
          <w:rStyle w:val="FootnoteTextChar"/>
          <w:sz w:val="24"/>
          <w:szCs w:val="19"/>
        </w:rPr>
      </w:pPr>
      <w:r>
        <w:rPr>
          <w:rStyle w:val="FootnoteTextChar"/>
          <w:sz w:val="24"/>
          <w:szCs w:val="19"/>
        </w:rPr>
        <w:t xml:space="preserve">United Nations </w:t>
      </w:r>
      <w:r w:rsidR="008508D8">
        <w:rPr>
          <w:rStyle w:val="FootnoteTextChar"/>
          <w:sz w:val="24"/>
          <w:szCs w:val="19"/>
        </w:rPr>
        <w:t xml:space="preserve">Human Rights Council, </w:t>
      </w:r>
      <w:r w:rsidR="00055AD5">
        <w:rPr>
          <w:rStyle w:val="FootnoteTextChar"/>
          <w:sz w:val="24"/>
          <w:szCs w:val="19"/>
        </w:rPr>
        <w:t>‘</w:t>
      </w:r>
      <w:r w:rsidR="00055AD5" w:rsidRPr="00055AD5">
        <w:rPr>
          <w:rStyle w:val="FootnoteTextChar"/>
          <w:sz w:val="24"/>
          <w:szCs w:val="19"/>
        </w:rPr>
        <w:t>Report of the Special Rapporteur on extrajudicial, summary or arbitrary executions, Christof Heyns</w:t>
      </w:r>
      <w:r w:rsidR="00055AD5">
        <w:rPr>
          <w:rStyle w:val="FootnoteTextChar"/>
          <w:sz w:val="24"/>
          <w:szCs w:val="19"/>
        </w:rPr>
        <w:t xml:space="preserve">’, Addendum; </w:t>
      </w:r>
      <w:r w:rsidR="00055AD5" w:rsidRPr="00055AD5">
        <w:rPr>
          <w:rStyle w:val="FootnoteTextChar"/>
          <w:sz w:val="24"/>
          <w:szCs w:val="19"/>
        </w:rPr>
        <w:t>Follow-up to country recommendations: India</w:t>
      </w:r>
      <w:r w:rsidR="00055AD5">
        <w:rPr>
          <w:rStyle w:val="FootnoteTextChar"/>
          <w:sz w:val="24"/>
          <w:szCs w:val="19"/>
        </w:rPr>
        <w:t xml:space="preserve">, 6 May 2015, </w:t>
      </w:r>
      <w:hyperlink r:id="rId80" w:history="1">
        <w:r w:rsidR="00055AD5" w:rsidRPr="005E7377">
          <w:rPr>
            <w:rStyle w:val="Hyperlink"/>
            <w:szCs w:val="19"/>
          </w:rPr>
          <w:t>https://www.ecoi.net/en/file/local/1293699/1930_1435907086_g1508934.pdf</w:t>
        </w:r>
      </w:hyperlink>
      <w:r w:rsidR="00055AD5">
        <w:rPr>
          <w:rStyle w:val="FootnoteTextChar"/>
          <w:sz w:val="24"/>
          <w:szCs w:val="19"/>
        </w:rPr>
        <w:t>. Last accessed: 23 October 2018</w:t>
      </w:r>
    </w:p>
    <w:p w14:paraId="2A72882B" w14:textId="77777777" w:rsidR="00EA3BC4" w:rsidRDefault="00000000"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69" w:name="_Toc536000999"/>
      <w:r>
        <w:lastRenderedPageBreak/>
        <w:t>Version control</w:t>
      </w:r>
      <w:bookmarkEnd w:id="69"/>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3C0F80DA" w:rsidR="00EA3BC4" w:rsidRDefault="00EA3BC4" w:rsidP="00EA3BC4">
      <w:pPr>
        <w:numPr>
          <w:ilvl w:val="0"/>
          <w:numId w:val="1"/>
        </w:numPr>
        <w:tabs>
          <w:tab w:val="clear" w:pos="567"/>
          <w:tab w:val="num" w:pos="283"/>
        </w:tabs>
        <w:spacing w:after="0"/>
        <w:ind w:left="283"/>
      </w:pPr>
      <w:r>
        <w:t xml:space="preserve">version </w:t>
      </w:r>
      <w:r w:rsidR="004262EF">
        <w:rPr>
          <w:b/>
        </w:rPr>
        <w:t>1.0</w:t>
      </w:r>
    </w:p>
    <w:p w14:paraId="65B437C7" w14:textId="6D03DD1C" w:rsidR="00EA3BC4" w:rsidRPr="00506884" w:rsidRDefault="00EA3BC4" w:rsidP="00EA3BC4">
      <w:pPr>
        <w:numPr>
          <w:ilvl w:val="0"/>
          <w:numId w:val="1"/>
        </w:numPr>
        <w:tabs>
          <w:tab w:val="clear" w:pos="567"/>
          <w:tab w:val="num" w:pos="283"/>
        </w:tabs>
        <w:spacing w:after="0"/>
        <w:ind w:left="283"/>
      </w:pPr>
      <w:r>
        <w:t xml:space="preserve">valid from </w:t>
      </w:r>
      <w:r w:rsidR="004262EF">
        <w:rPr>
          <w:b/>
        </w:rPr>
        <w:t>23 January 2019</w:t>
      </w:r>
    </w:p>
    <w:p w14:paraId="48465D8D" w14:textId="4979C530" w:rsidR="00506884" w:rsidRDefault="00506884" w:rsidP="00506884">
      <w:pPr>
        <w:spacing w:after="0"/>
      </w:pPr>
    </w:p>
    <w:p w14:paraId="7190C4D9" w14:textId="77777777" w:rsidR="00506884" w:rsidRDefault="00506884" w:rsidP="00506884">
      <w:pPr>
        <w:spacing w:after="0"/>
        <w:ind w:left="851" w:hanging="851"/>
        <w:rPr>
          <w:b/>
          <w:color w:val="FF0000"/>
        </w:rPr>
      </w:pPr>
      <w:r>
        <w:rPr>
          <w:b/>
          <w:color w:val="FF0000"/>
        </w:rPr>
        <w:t>OFFICIAL-SENSITIVE – Do not print or disclose the contents of this section</w:t>
      </w:r>
    </w:p>
    <w:p w14:paraId="59DCBA15" w14:textId="77777777" w:rsidR="00506884" w:rsidRDefault="00506884" w:rsidP="00506884">
      <w:pPr>
        <w:numPr>
          <w:ilvl w:val="0"/>
          <w:numId w:val="15"/>
        </w:numPr>
        <w:spacing w:after="0"/>
        <w:ind w:left="312"/>
      </w:pPr>
      <w:r>
        <w:t xml:space="preserve">this version approved by </w:t>
      </w:r>
      <w:r>
        <w:rPr>
          <w:b/>
        </w:rPr>
        <w:t>Jennifer Bradley, Deputy Director for CPIT</w:t>
      </w:r>
    </w:p>
    <w:p w14:paraId="03DB9E36" w14:textId="77777777" w:rsidR="00506884" w:rsidRDefault="00506884" w:rsidP="00506884">
      <w:pPr>
        <w:numPr>
          <w:ilvl w:val="0"/>
          <w:numId w:val="15"/>
        </w:numPr>
        <w:spacing w:after="0"/>
        <w:ind w:left="312"/>
      </w:pPr>
      <w:r>
        <w:t xml:space="preserve">approved on: </w:t>
      </w:r>
      <w:r>
        <w:rPr>
          <w:b/>
        </w:rPr>
        <w:t>22 January 2019</w:t>
      </w:r>
    </w:p>
    <w:p w14:paraId="1B512448" w14:textId="77777777" w:rsidR="00506884" w:rsidRDefault="00506884" w:rsidP="00506884">
      <w:pPr>
        <w:spacing w:after="0"/>
        <w:rPr>
          <w:b/>
          <w:color w:val="FF0000"/>
        </w:rPr>
      </w:pPr>
      <w:r>
        <w:rPr>
          <w:b/>
          <w:color w:val="FF0000"/>
        </w:rPr>
        <w:t>End of non-disclosable section</w:t>
      </w:r>
    </w:p>
    <w:p w14:paraId="5F8E9322" w14:textId="77777777" w:rsidR="00506884" w:rsidRPr="004262EF" w:rsidRDefault="00506884" w:rsidP="00506884">
      <w:pPr>
        <w:spacing w:after="0"/>
      </w:pPr>
    </w:p>
    <w:p w14:paraId="5BB17415" w14:textId="77777777" w:rsidR="004262EF" w:rsidRPr="00EB680B" w:rsidRDefault="004262EF" w:rsidP="004262EF">
      <w:pPr>
        <w:spacing w:after="0"/>
        <w:ind w:left="283"/>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1D946BA" w14:textId="77777777" w:rsidR="004262EF" w:rsidRDefault="004262EF" w:rsidP="004262EF">
      <w:r>
        <w:t>First version in stand-alone CPIN format.</w:t>
      </w:r>
    </w:p>
    <w:p w14:paraId="1098BE0D" w14:textId="77777777" w:rsidR="00EA3BC4" w:rsidRPr="00402729" w:rsidRDefault="00000000"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81"/>
      <w:headerReference w:type="default" r:id="rId82"/>
      <w:footerReference w:type="even" r:id="rId83"/>
      <w:footerReference w:type="default" r:id="rId84"/>
      <w:headerReference w:type="first" r:id="rId85"/>
      <w:footerReference w:type="first" r:id="rId8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30BF" w14:textId="77777777" w:rsidR="00D36A56" w:rsidRDefault="00D36A56" w:rsidP="00943D7D">
      <w:r>
        <w:separator/>
      </w:r>
    </w:p>
    <w:p w14:paraId="70F4D30B" w14:textId="77777777" w:rsidR="00D36A56" w:rsidRDefault="00D36A56"/>
  </w:endnote>
  <w:endnote w:type="continuationSeparator" w:id="0">
    <w:p w14:paraId="792B0DEC" w14:textId="77777777" w:rsidR="00D36A56" w:rsidRDefault="00D36A56" w:rsidP="00943D7D">
      <w:r>
        <w:continuationSeparator/>
      </w:r>
    </w:p>
    <w:p w14:paraId="03C21D89" w14:textId="77777777" w:rsidR="00D36A56" w:rsidRDefault="00D3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ADB" w14:textId="77777777" w:rsidR="00A10798" w:rsidRDefault="00A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6ACF01EB" w14:textId="77777777" w:rsidR="003E4754" w:rsidRDefault="0000000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2CAFA8E" w:rsidR="003E4754" w:rsidRDefault="003E4754"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11</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15</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3E4754" w:rsidRDefault="003E4754">
    <w:pPr>
      <w:pStyle w:val="Footer"/>
      <w:jc w:val="center"/>
    </w:pPr>
  </w:p>
  <w:p w14:paraId="6ACF0202" w14:textId="77777777" w:rsidR="003E4754" w:rsidRDefault="003E4754">
    <w:pPr>
      <w:pStyle w:val="Footer"/>
    </w:pPr>
  </w:p>
  <w:p w14:paraId="6ACF0203" w14:textId="77777777" w:rsidR="003E4754" w:rsidRDefault="003E4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CCE8" w14:textId="77777777" w:rsidR="00D36A56" w:rsidRPr="00975E6F" w:rsidRDefault="00D36A56" w:rsidP="00D90E99">
      <w:pPr>
        <w:widowControl w:val="0"/>
        <w:spacing w:after="0"/>
        <w:rPr>
          <w:sz w:val="19"/>
          <w:szCs w:val="19"/>
        </w:rPr>
      </w:pPr>
      <w:r w:rsidRPr="00975E6F">
        <w:rPr>
          <w:sz w:val="19"/>
          <w:szCs w:val="19"/>
        </w:rPr>
        <w:separator/>
      </w:r>
    </w:p>
  </w:footnote>
  <w:footnote w:type="continuationSeparator" w:id="0">
    <w:p w14:paraId="2899D832" w14:textId="77777777" w:rsidR="00D36A56" w:rsidRPr="00975E6F" w:rsidRDefault="00D36A56" w:rsidP="00975E6F">
      <w:pPr>
        <w:widowControl w:val="0"/>
        <w:spacing w:after="0"/>
        <w:rPr>
          <w:sz w:val="19"/>
          <w:szCs w:val="19"/>
        </w:rPr>
      </w:pPr>
      <w:r w:rsidRPr="00975E6F">
        <w:rPr>
          <w:sz w:val="19"/>
          <w:szCs w:val="19"/>
        </w:rPr>
        <w:continuationSeparator/>
      </w:r>
    </w:p>
  </w:footnote>
  <w:footnote w:type="continuationNotice" w:id="1">
    <w:p w14:paraId="11D51E48" w14:textId="77777777" w:rsidR="00D36A56" w:rsidRDefault="00D36A56">
      <w:pPr>
        <w:spacing w:after="0"/>
      </w:pPr>
    </w:p>
  </w:footnote>
  <w:footnote w:id="2">
    <w:p w14:paraId="5DC46631" w14:textId="77777777" w:rsidR="003E4754" w:rsidRDefault="003E4754" w:rsidP="00107172">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1d), 20 April 2018, </w:t>
      </w:r>
      <w:hyperlink r:id="rId1" w:history="1">
        <w:r w:rsidRPr="00C319AB">
          <w:rPr>
            <w:rStyle w:val="Hyperlink"/>
          </w:rPr>
          <w:t>url</w:t>
        </w:r>
      </w:hyperlink>
      <w:r>
        <w:t>.</w:t>
      </w:r>
      <w:r w:rsidRPr="00FD6E52">
        <w:t xml:space="preserve"> </w:t>
      </w:r>
    </w:p>
  </w:footnote>
  <w:footnote w:id="3">
    <w:p w14:paraId="26423EE7" w14:textId="5640A931" w:rsidR="003E4754" w:rsidRDefault="003E4754">
      <w:pPr>
        <w:pStyle w:val="FootnoteText"/>
      </w:pPr>
      <w:r>
        <w:rPr>
          <w:rStyle w:val="FootnoteReference"/>
        </w:rPr>
        <w:footnoteRef/>
      </w:r>
      <w:r>
        <w:t xml:space="preserve"> PRS, ‘Police Reform in India’, (page 2), June 2017, </w:t>
      </w:r>
      <w:bookmarkStart w:id="29" w:name="_Hlk532477293"/>
      <w:r>
        <w:fldChar w:fldCharType="begin"/>
      </w:r>
      <w:r>
        <w:instrText xml:space="preserve"> HYPERLINK "https://www.prsindia.org/sites/default/files/parliament_or_policy_pdfs/Police%20Reforms%20in%20India.pdf" </w:instrText>
      </w:r>
      <w:r>
        <w:fldChar w:fldCharType="separate"/>
      </w:r>
      <w:r w:rsidRPr="001A57D9">
        <w:rPr>
          <w:rStyle w:val="Hyperlink"/>
        </w:rPr>
        <w:t>url</w:t>
      </w:r>
      <w:r>
        <w:fldChar w:fldCharType="end"/>
      </w:r>
      <w:bookmarkEnd w:id="29"/>
      <w:r>
        <w:t xml:space="preserve">. </w:t>
      </w:r>
    </w:p>
  </w:footnote>
  <w:footnote w:id="4">
    <w:p w14:paraId="1C28824B" w14:textId="79C19D13" w:rsidR="003E4754" w:rsidRDefault="003E4754">
      <w:pPr>
        <w:pStyle w:val="FootnoteText"/>
      </w:pPr>
      <w:r>
        <w:rPr>
          <w:rStyle w:val="FootnoteReference"/>
        </w:rPr>
        <w:footnoteRef/>
      </w:r>
      <w:r>
        <w:t xml:space="preserve"> Indian Police Service, ‘About us’, n.d., </w:t>
      </w:r>
      <w:hyperlink r:id="rId2" w:history="1">
        <w:r w:rsidRPr="0009783C">
          <w:rPr>
            <w:rStyle w:val="Hyperlink"/>
          </w:rPr>
          <w:t>url</w:t>
        </w:r>
      </w:hyperlink>
      <w:r>
        <w:t xml:space="preserve">. </w:t>
      </w:r>
    </w:p>
  </w:footnote>
  <w:footnote w:id="5">
    <w:p w14:paraId="711F7331" w14:textId="408F7DCD" w:rsidR="003E4754" w:rsidRDefault="003E4754" w:rsidP="00587DF9">
      <w:pPr>
        <w:pStyle w:val="FootnoteText"/>
      </w:pPr>
      <w:r>
        <w:rPr>
          <w:rStyle w:val="FootnoteReference"/>
        </w:rPr>
        <w:footnoteRef/>
      </w:r>
      <w:r>
        <w:t xml:space="preserve"> DFAT, ‘Country Information Report India’, (paragraph 5.1), 17 October 2018, </w:t>
      </w:r>
      <w:hyperlink r:id="rId3" w:history="1">
        <w:r w:rsidRPr="00706C25">
          <w:rPr>
            <w:rStyle w:val="Hyperlink"/>
          </w:rPr>
          <w:t>url</w:t>
        </w:r>
      </w:hyperlink>
      <w:r>
        <w:t>.</w:t>
      </w:r>
    </w:p>
  </w:footnote>
  <w:footnote w:id="6">
    <w:p w14:paraId="412D2B0F" w14:textId="78C3C52C" w:rsidR="003E4754" w:rsidRDefault="003E4754">
      <w:pPr>
        <w:pStyle w:val="FootnoteText"/>
      </w:pPr>
      <w:r>
        <w:rPr>
          <w:rStyle w:val="FootnoteReference"/>
        </w:rPr>
        <w:footnoteRef/>
      </w:r>
      <w:r>
        <w:t xml:space="preserve"> MHA, ‘State and UTS Police’, n.d., </w:t>
      </w:r>
      <w:hyperlink r:id="rId4" w:history="1">
        <w:r w:rsidRPr="00D1049B">
          <w:rPr>
            <w:rStyle w:val="Hyperlink"/>
          </w:rPr>
          <w:t>url</w:t>
        </w:r>
      </w:hyperlink>
      <w:r>
        <w:t xml:space="preserve">. </w:t>
      </w:r>
    </w:p>
  </w:footnote>
  <w:footnote w:id="7">
    <w:p w14:paraId="351E6B54" w14:textId="77777777" w:rsidR="003E4754" w:rsidRDefault="003E4754" w:rsidP="008252AD">
      <w:pPr>
        <w:pStyle w:val="FootnoteText"/>
      </w:pPr>
      <w:r>
        <w:rPr>
          <w:rStyle w:val="FootnoteReference"/>
        </w:rPr>
        <w:footnoteRef/>
      </w:r>
      <w:r>
        <w:t xml:space="preserve"> MOSPI, ‘</w:t>
      </w:r>
      <w:r w:rsidRPr="008217A9">
        <w:t>Strength Of Police Force</w:t>
      </w:r>
      <w:r>
        <w:t xml:space="preserve">’, 6 September 2016, </w:t>
      </w:r>
      <w:hyperlink r:id="rId5" w:history="1">
        <w:r w:rsidRPr="00BB1737">
          <w:rPr>
            <w:rStyle w:val="Hyperlink"/>
          </w:rPr>
          <w:t>url</w:t>
        </w:r>
      </w:hyperlink>
      <w:r>
        <w:t xml:space="preserve">. </w:t>
      </w:r>
    </w:p>
  </w:footnote>
  <w:footnote w:id="8">
    <w:p w14:paraId="00874D94" w14:textId="4962C4C4" w:rsidR="003E4754" w:rsidRDefault="003E4754" w:rsidP="00196F13">
      <w:pPr>
        <w:pStyle w:val="FootnoteText"/>
      </w:pPr>
      <w:r>
        <w:rPr>
          <w:rStyle w:val="FootnoteReference"/>
        </w:rPr>
        <w:footnoteRef/>
      </w:r>
      <w:r>
        <w:t xml:space="preserve"> PRS, ‘Police Reform in India’, (page 1), June 2017, </w:t>
      </w:r>
      <w:hyperlink r:id="rId6" w:history="1">
        <w:r w:rsidRPr="001A57D9">
          <w:rPr>
            <w:rStyle w:val="Hyperlink"/>
          </w:rPr>
          <w:t>url</w:t>
        </w:r>
      </w:hyperlink>
      <w:r>
        <w:t xml:space="preserve">. </w:t>
      </w:r>
    </w:p>
  </w:footnote>
  <w:footnote w:id="9">
    <w:p w14:paraId="5481BF65" w14:textId="18F8DF5A" w:rsidR="003E4754" w:rsidRDefault="003E4754" w:rsidP="000F271C">
      <w:pPr>
        <w:pStyle w:val="FootnoteText"/>
      </w:pPr>
      <w:r>
        <w:rPr>
          <w:rStyle w:val="FootnoteReference"/>
        </w:rPr>
        <w:footnoteRef/>
      </w:r>
      <w:r>
        <w:t xml:space="preserve"> PRS, ‘Police Reform in India’, (page 1), June 2017, </w:t>
      </w:r>
      <w:hyperlink r:id="rId7" w:history="1">
        <w:r w:rsidRPr="001A57D9">
          <w:rPr>
            <w:rStyle w:val="Hyperlink"/>
          </w:rPr>
          <w:t>url</w:t>
        </w:r>
      </w:hyperlink>
      <w:r>
        <w:t xml:space="preserve">. </w:t>
      </w:r>
    </w:p>
  </w:footnote>
  <w:footnote w:id="10">
    <w:p w14:paraId="3B4A9737" w14:textId="05E6E779" w:rsidR="003E4754" w:rsidRDefault="003E4754" w:rsidP="008252AD">
      <w:pPr>
        <w:pStyle w:val="FootnoteText"/>
      </w:pPr>
      <w:r>
        <w:rPr>
          <w:rStyle w:val="FootnoteReference"/>
        </w:rPr>
        <w:footnoteRef/>
      </w:r>
      <w:r>
        <w:t xml:space="preserve"> PRS, ‘Police Reform in India’, (page 1), June 2017, </w:t>
      </w:r>
      <w:hyperlink r:id="rId8" w:history="1">
        <w:r w:rsidRPr="001A57D9">
          <w:rPr>
            <w:rStyle w:val="Hyperlink"/>
          </w:rPr>
          <w:t>url</w:t>
        </w:r>
      </w:hyperlink>
      <w:r>
        <w:t xml:space="preserve">. </w:t>
      </w:r>
    </w:p>
  </w:footnote>
  <w:footnote w:id="11">
    <w:p w14:paraId="6AE0270B" w14:textId="7CD0B37A" w:rsidR="003E4754" w:rsidRDefault="003E4754" w:rsidP="008252AD">
      <w:pPr>
        <w:pStyle w:val="FootnoteText"/>
      </w:pPr>
      <w:r>
        <w:rPr>
          <w:rStyle w:val="FootnoteReference"/>
        </w:rPr>
        <w:footnoteRef/>
      </w:r>
      <w:r>
        <w:t xml:space="preserve"> PRS, ‘Police Reform in India’, (page 3), June 2017, </w:t>
      </w:r>
      <w:hyperlink r:id="rId9" w:history="1">
        <w:r w:rsidRPr="001A57D9">
          <w:rPr>
            <w:rStyle w:val="Hyperlink"/>
          </w:rPr>
          <w:t>url</w:t>
        </w:r>
      </w:hyperlink>
      <w:r>
        <w:t xml:space="preserve">. </w:t>
      </w:r>
    </w:p>
  </w:footnote>
  <w:footnote w:id="12">
    <w:p w14:paraId="6079895E" w14:textId="77777777" w:rsidR="003E4754" w:rsidRDefault="003E4754" w:rsidP="00771D1E">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1d), 20 April 2018, </w:t>
      </w:r>
      <w:hyperlink r:id="rId10" w:history="1">
        <w:r w:rsidRPr="00C319AB">
          <w:rPr>
            <w:rStyle w:val="Hyperlink"/>
          </w:rPr>
          <w:t>url</w:t>
        </w:r>
      </w:hyperlink>
      <w:r>
        <w:t>.</w:t>
      </w:r>
      <w:r w:rsidRPr="00FD6E52">
        <w:t xml:space="preserve"> </w:t>
      </w:r>
    </w:p>
  </w:footnote>
  <w:footnote w:id="13">
    <w:p w14:paraId="37B74C9C" w14:textId="38A7F6A8" w:rsidR="003E4754" w:rsidRDefault="003E4754" w:rsidP="00F70DA9">
      <w:pPr>
        <w:pStyle w:val="FootnoteText"/>
      </w:pPr>
      <w:r>
        <w:rPr>
          <w:rStyle w:val="FootnoteReference"/>
        </w:rPr>
        <w:footnoteRef/>
      </w:r>
      <w:r>
        <w:t xml:space="preserve"> PRS, ‘Police Reform in India’, (pages 6 and 10), June 2017, </w:t>
      </w:r>
      <w:hyperlink r:id="rId11" w:history="1">
        <w:r w:rsidRPr="001A57D9">
          <w:rPr>
            <w:rStyle w:val="Hyperlink"/>
          </w:rPr>
          <w:t>url</w:t>
        </w:r>
      </w:hyperlink>
      <w:r>
        <w:t xml:space="preserve">. </w:t>
      </w:r>
    </w:p>
  </w:footnote>
  <w:footnote w:id="14">
    <w:p w14:paraId="40916445" w14:textId="242012C7" w:rsidR="003E4754" w:rsidRDefault="003E4754" w:rsidP="00694587">
      <w:pPr>
        <w:pStyle w:val="FootnoteText"/>
      </w:pPr>
      <w:r>
        <w:rPr>
          <w:rStyle w:val="FootnoteReference"/>
        </w:rPr>
        <w:footnoteRef/>
      </w:r>
      <w:r>
        <w:t xml:space="preserve"> PRS, ‘Police Reform in India’, (page 7), June 2017, </w:t>
      </w:r>
      <w:hyperlink r:id="rId12" w:history="1">
        <w:r w:rsidRPr="001A57D9">
          <w:rPr>
            <w:rStyle w:val="Hyperlink"/>
          </w:rPr>
          <w:t>url</w:t>
        </w:r>
      </w:hyperlink>
      <w:r>
        <w:t xml:space="preserve">. </w:t>
      </w:r>
    </w:p>
  </w:footnote>
  <w:footnote w:id="15">
    <w:p w14:paraId="720FF7C6" w14:textId="33E9F71D" w:rsidR="003E4754" w:rsidRDefault="003E4754">
      <w:pPr>
        <w:pStyle w:val="FootnoteText"/>
      </w:pPr>
      <w:r>
        <w:rPr>
          <w:rStyle w:val="FootnoteReference"/>
        </w:rPr>
        <w:footnoteRef/>
      </w:r>
      <w:r>
        <w:t xml:space="preserve"> Know India, ‘Indian Armed Forces’, n.d., </w:t>
      </w:r>
      <w:hyperlink r:id="rId13" w:history="1">
        <w:r w:rsidRPr="00F75A44">
          <w:rPr>
            <w:rStyle w:val="Hyperlink"/>
          </w:rPr>
          <w:t>url</w:t>
        </w:r>
      </w:hyperlink>
      <w:r>
        <w:t xml:space="preserve">. </w:t>
      </w:r>
    </w:p>
  </w:footnote>
  <w:footnote w:id="16">
    <w:p w14:paraId="438CBC11" w14:textId="086CF333" w:rsidR="003E4754" w:rsidRDefault="003E4754">
      <w:pPr>
        <w:pStyle w:val="FootnoteText"/>
      </w:pPr>
      <w:r>
        <w:rPr>
          <w:rStyle w:val="FootnoteReference"/>
        </w:rPr>
        <w:footnoteRef/>
      </w:r>
      <w:r>
        <w:t xml:space="preserve"> Global Fire Power, ‘India Military Strength’, 2018, </w:t>
      </w:r>
      <w:hyperlink r:id="rId14" w:anchor="powerindex" w:history="1">
        <w:r w:rsidRPr="004C145A">
          <w:rPr>
            <w:rStyle w:val="Hyperlink"/>
          </w:rPr>
          <w:t>url</w:t>
        </w:r>
      </w:hyperlink>
      <w:r>
        <w:t xml:space="preserve">. </w:t>
      </w:r>
    </w:p>
  </w:footnote>
  <w:footnote w:id="17">
    <w:p w14:paraId="40DD033A" w14:textId="02F65A03" w:rsidR="003E4754" w:rsidRDefault="003E4754">
      <w:pPr>
        <w:pStyle w:val="FootnoteText"/>
      </w:pPr>
      <w:r>
        <w:rPr>
          <w:rStyle w:val="FootnoteReference"/>
        </w:rPr>
        <w:footnoteRef/>
      </w:r>
      <w:r>
        <w:t xml:space="preserve"> IHS Jane’s, ‘Armed Forces’, 17 September 2018, subscription only.</w:t>
      </w:r>
    </w:p>
  </w:footnote>
  <w:footnote w:id="18">
    <w:p w14:paraId="788E36AA" w14:textId="48ED7F5F" w:rsidR="003E4754" w:rsidRDefault="003E4754">
      <w:pPr>
        <w:pStyle w:val="FootnoteText"/>
      </w:pPr>
      <w:r>
        <w:rPr>
          <w:rStyle w:val="FootnoteReference"/>
        </w:rPr>
        <w:footnoteRef/>
      </w:r>
      <w:r>
        <w:t xml:space="preserve"> Child Soldiers, ‘OPAC status – India’, 2017, </w:t>
      </w:r>
      <w:hyperlink r:id="rId15" w:history="1">
        <w:r w:rsidRPr="000D49EA">
          <w:rPr>
            <w:rStyle w:val="Hyperlink"/>
          </w:rPr>
          <w:t>url</w:t>
        </w:r>
      </w:hyperlink>
      <w:r>
        <w:t xml:space="preserve">. </w:t>
      </w:r>
    </w:p>
  </w:footnote>
  <w:footnote w:id="19">
    <w:p w14:paraId="63E3AD74" w14:textId="77777777" w:rsidR="003E4754" w:rsidRDefault="003E4754" w:rsidP="00755DE8">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1d), 20 April 2018, </w:t>
      </w:r>
      <w:hyperlink r:id="rId16" w:history="1">
        <w:r w:rsidRPr="00C319AB">
          <w:rPr>
            <w:rStyle w:val="Hyperlink"/>
          </w:rPr>
          <w:t>url</w:t>
        </w:r>
      </w:hyperlink>
      <w:r>
        <w:t>.</w:t>
      </w:r>
      <w:r w:rsidRPr="00FD6E52">
        <w:t xml:space="preserve"> </w:t>
      </w:r>
    </w:p>
  </w:footnote>
  <w:footnote w:id="20">
    <w:p w14:paraId="30823A5F" w14:textId="77777777" w:rsidR="003E4754" w:rsidRDefault="003E4754" w:rsidP="00755DE8">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1d), 20 April 2018, </w:t>
      </w:r>
      <w:hyperlink r:id="rId17" w:history="1">
        <w:r w:rsidRPr="00C319AB">
          <w:rPr>
            <w:rStyle w:val="Hyperlink"/>
          </w:rPr>
          <w:t>url</w:t>
        </w:r>
      </w:hyperlink>
      <w:r>
        <w:t>.</w:t>
      </w:r>
      <w:r w:rsidRPr="00FD6E52">
        <w:t xml:space="preserve"> </w:t>
      </w:r>
    </w:p>
  </w:footnote>
  <w:footnote w:id="21">
    <w:p w14:paraId="0F061253" w14:textId="31E74D2E" w:rsidR="003E4754" w:rsidRDefault="003E4754" w:rsidP="00755DE8">
      <w:pPr>
        <w:pStyle w:val="FootnoteText"/>
      </w:pPr>
      <w:r>
        <w:rPr>
          <w:rStyle w:val="FootnoteReference"/>
        </w:rPr>
        <w:footnoteRef/>
      </w:r>
      <w:r>
        <w:t xml:space="preserve"> IRB, ‘India: Extrajudicial detention’, 24 May 2018, </w:t>
      </w:r>
      <w:hyperlink r:id="rId18" w:history="1">
        <w:r w:rsidRPr="005E53E0">
          <w:rPr>
            <w:rStyle w:val="Hyperlink"/>
          </w:rPr>
          <w:t>url</w:t>
        </w:r>
      </w:hyperlink>
      <w:r>
        <w:t xml:space="preserve">. </w:t>
      </w:r>
    </w:p>
  </w:footnote>
  <w:footnote w:id="22">
    <w:p w14:paraId="1DC58862" w14:textId="0085E03A" w:rsidR="003E4754" w:rsidRDefault="003E4754" w:rsidP="00CE1AC8">
      <w:pPr>
        <w:pStyle w:val="FootnoteText"/>
      </w:pPr>
      <w:r>
        <w:rPr>
          <w:rStyle w:val="FootnoteReference"/>
        </w:rPr>
        <w:footnoteRef/>
      </w:r>
      <w:r>
        <w:t xml:space="preserve"> DFAT, ‘Country Information Report India’, (paragraph 4.5), 17 October 2018, </w:t>
      </w:r>
      <w:hyperlink r:id="rId19" w:history="1">
        <w:r w:rsidRPr="00706C25">
          <w:rPr>
            <w:rStyle w:val="Hyperlink"/>
          </w:rPr>
          <w:t>url</w:t>
        </w:r>
      </w:hyperlink>
      <w:r>
        <w:t>.</w:t>
      </w:r>
    </w:p>
  </w:footnote>
  <w:footnote w:id="23">
    <w:p w14:paraId="76F9BC63" w14:textId="77777777" w:rsidR="003E4754" w:rsidRDefault="003E4754" w:rsidP="00755DE8">
      <w:pPr>
        <w:pStyle w:val="FootnoteText"/>
      </w:pPr>
      <w:r>
        <w:rPr>
          <w:rStyle w:val="FootnoteReference"/>
        </w:rPr>
        <w:footnoteRef/>
      </w:r>
      <w:r>
        <w:t xml:space="preserve"> </w:t>
      </w:r>
      <w:r w:rsidRPr="004C40BF">
        <w:t xml:space="preserve">Bertelsmann Stiftung, </w:t>
      </w:r>
      <w:r>
        <w:t xml:space="preserve">‘BTI 2018 Country Report – </w:t>
      </w:r>
      <w:r w:rsidRPr="004C40BF">
        <w:t>India</w:t>
      </w:r>
      <w:r>
        <w:t xml:space="preserve">’, (page 11), 23 March 2018, </w:t>
      </w:r>
      <w:hyperlink r:id="rId20" w:history="1">
        <w:r w:rsidRPr="004C40BF">
          <w:rPr>
            <w:rStyle w:val="Hyperlink"/>
          </w:rPr>
          <w:t>url</w:t>
        </w:r>
      </w:hyperlink>
      <w:r>
        <w:t xml:space="preserve">. </w:t>
      </w:r>
    </w:p>
  </w:footnote>
  <w:footnote w:id="24">
    <w:p w14:paraId="0FDFE36A" w14:textId="77777777" w:rsidR="003E4754" w:rsidRDefault="003E4754" w:rsidP="00305CB1">
      <w:pPr>
        <w:pStyle w:val="FootnoteText"/>
      </w:pPr>
      <w:r>
        <w:rPr>
          <w:rStyle w:val="FootnoteReference"/>
        </w:rPr>
        <w:footnoteRef/>
      </w:r>
      <w:r>
        <w:t xml:space="preserve"> IRB, ‘India: First Information Reports (FIRs)’, 1 May 2017, </w:t>
      </w:r>
      <w:hyperlink r:id="rId21" w:history="1">
        <w:r w:rsidRPr="002863D7">
          <w:rPr>
            <w:rStyle w:val="Hyperlink"/>
          </w:rPr>
          <w:t>url</w:t>
        </w:r>
      </w:hyperlink>
      <w:r>
        <w:t xml:space="preserve">. </w:t>
      </w:r>
    </w:p>
  </w:footnote>
  <w:footnote w:id="25">
    <w:p w14:paraId="65BD11AE" w14:textId="77777777" w:rsidR="003E4754" w:rsidRDefault="003E4754" w:rsidP="00755DE8">
      <w:pPr>
        <w:pStyle w:val="FootnoteText"/>
      </w:pPr>
      <w:r>
        <w:rPr>
          <w:rStyle w:val="FootnoteReference"/>
        </w:rPr>
        <w:footnoteRef/>
      </w:r>
      <w:r>
        <w:t xml:space="preserve"> IRB, ‘India: First Information Reports (FIRs)’, 1 May 2017, </w:t>
      </w:r>
      <w:hyperlink r:id="rId22" w:history="1">
        <w:r w:rsidRPr="002863D7">
          <w:rPr>
            <w:rStyle w:val="Hyperlink"/>
          </w:rPr>
          <w:t>url</w:t>
        </w:r>
      </w:hyperlink>
      <w:r>
        <w:t xml:space="preserve">. </w:t>
      </w:r>
    </w:p>
  </w:footnote>
  <w:footnote w:id="26">
    <w:p w14:paraId="58C24B73" w14:textId="0FFE9389" w:rsidR="003E4754" w:rsidRDefault="003E4754" w:rsidP="0030215D">
      <w:pPr>
        <w:pStyle w:val="FootnoteText"/>
      </w:pPr>
      <w:r>
        <w:rPr>
          <w:rStyle w:val="FootnoteReference"/>
        </w:rPr>
        <w:footnoteRef/>
      </w:r>
      <w:r>
        <w:t xml:space="preserve"> IRB, ‘India: Surveillance by state authorities’, 25 June 2018, </w:t>
      </w:r>
      <w:hyperlink r:id="rId23" w:history="1">
        <w:r w:rsidRPr="0030215D">
          <w:rPr>
            <w:rStyle w:val="Hyperlink"/>
          </w:rPr>
          <w:t>url</w:t>
        </w:r>
      </w:hyperlink>
      <w:r>
        <w:t xml:space="preserve">. </w:t>
      </w:r>
    </w:p>
  </w:footnote>
  <w:footnote w:id="27">
    <w:p w14:paraId="6FDEF52B" w14:textId="791B4703" w:rsidR="003E4754" w:rsidRDefault="003E4754">
      <w:pPr>
        <w:pStyle w:val="FootnoteText"/>
      </w:pPr>
      <w:r>
        <w:rPr>
          <w:rStyle w:val="FootnoteReference"/>
        </w:rPr>
        <w:footnoteRef/>
      </w:r>
      <w:r>
        <w:t xml:space="preserve"> IRB, ‘India: Surveillance by state authorities’, 25 June 2018, </w:t>
      </w:r>
      <w:hyperlink r:id="rId24" w:history="1">
        <w:r w:rsidRPr="005E53E0">
          <w:rPr>
            <w:rStyle w:val="Hyperlink"/>
          </w:rPr>
          <w:t>url</w:t>
        </w:r>
      </w:hyperlink>
      <w:r>
        <w:t xml:space="preserve">. </w:t>
      </w:r>
    </w:p>
  </w:footnote>
  <w:footnote w:id="28">
    <w:p w14:paraId="66C672EA" w14:textId="6E0AF193" w:rsidR="003E4754" w:rsidRDefault="003E4754" w:rsidP="008C781E">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1d), 20 April 2018, </w:t>
      </w:r>
      <w:hyperlink r:id="rId25" w:history="1">
        <w:r w:rsidRPr="00C319AB">
          <w:rPr>
            <w:rStyle w:val="Hyperlink"/>
          </w:rPr>
          <w:t>url</w:t>
        </w:r>
      </w:hyperlink>
      <w:r>
        <w:t>.</w:t>
      </w:r>
      <w:r w:rsidRPr="00FD6E52">
        <w:t xml:space="preserve"> </w:t>
      </w:r>
    </w:p>
  </w:footnote>
  <w:footnote w:id="29">
    <w:p w14:paraId="7B06AFBC" w14:textId="77777777" w:rsidR="003E4754" w:rsidRDefault="003E4754" w:rsidP="00792337">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1d), 20 April 2018, </w:t>
      </w:r>
      <w:hyperlink r:id="rId26" w:history="1">
        <w:r w:rsidRPr="00C319AB">
          <w:rPr>
            <w:rStyle w:val="Hyperlink"/>
          </w:rPr>
          <w:t>url</w:t>
        </w:r>
      </w:hyperlink>
      <w:r>
        <w:t>.</w:t>
      </w:r>
      <w:r w:rsidRPr="00FD6E52">
        <w:t xml:space="preserve"> </w:t>
      </w:r>
    </w:p>
  </w:footnote>
  <w:footnote w:id="30">
    <w:p w14:paraId="4014C984" w14:textId="269AC863" w:rsidR="003E4754" w:rsidRDefault="003E4754" w:rsidP="00D561E9">
      <w:pPr>
        <w:pStyle w:val="FootnoteText"/>
      </w:pPr>
      <w:r>
        <w:rPr>
          <w:rStyle w:val="FootnoteReference"/>
        </w:rPr>
        <w:footnoteRef/>
      </w:r>
      <w:r>
        <w:t xml:space="preserve"> PRS, ‘Police Reform in India’, (page 10), June 2017, </w:t>
      </w:r>
      <w:bookmarkStart w:id="43" w:name="_Hlk532478468"/>
      <w:r>
        <w:fldChar w:fldCharType="begin"/>
      </w:r>
      <w:r>
        <w:instrText xml:space="preserve"> HYPERLINK "https://www.prsindia.org/sites/default/files/parliament_or_policy_pdfs/Police%20Reforms%20in%20India.pdf" </w:instrText>
      </w:r>
      <w:r>
        <w:fldChar w:fldCharType="separate"/>
      </w:r>
      <w:r w:rsidRPr="001A57D9">
        <w:rPr>
          <w:rStyle w:val="Hyperlink"/>
        </w:rPr>
        <w:t>url</w:t>
      </w:r>
      <w:r>
        <w:fldChar w:fldCharType="end"/>
      </w:r>
      <w:bookmarkEnd w:id="43"/>
      <w:r>
        <w:t xml:space="preserve">. </w:t>
      </w:r>
    </w:p>
  </w:footnote>
  <w:footnote w:id="31">
    <w:p w14:paraId="26BECAAF" w14:textId="78FD0A34" w:rsidR="003E4754" w:rsidRDefault="003E4754" w:rsidP="000B396A">
      <w:pPr>
        <w:pStyle w:val="FootnoteText"/>
      </w:pPr>
      <w:r>
        <w:rPr>
          <w:rStyle w:val="FootnoteReference"/>
        </w:rPr>
        <w:footnoteRef/>
      </w:r>
      <w:r>
        <w:t xml:space="preserve"> PRS, ‘Police Reform in India’, (page 1), June 2017, </w:t>
      </w:r>
      <w:hyperlink r:id="rId27" w:history="1">
        <w:r w:rsidRPr="001A57D9">
          <w:rPr>
            <w:rStyle w:val="Hyperlink"/>
          </w:rPr>
          <w:t>url</w:t>
        </w:r>
      </w:hyperlink>
      <w:r>
        <w:t xml:space="preserve">. </w:t>
      </w:r>
    </w:p>
  </w:footnote>
  <w:footnote w:id="32">
    <w:p w14:paraId="007274F8" w14:textId="01F820E1" w:rsidR="003E4754" w:rsidRDefault="003E4754" w:rsidP="000B396A">
      <w:pPr>
        <w:pStyle w:val="FootnoteText"/>
      </w:pPr>
      <w:r>
        <w:rPr>
          <w:rStyle w:val="FootnoteReference"/>
        </w:rPr>
        <w:footnoteRef/>
      </w:r>
      <w:r>
        <w:t xml:space="preserve"> PRS, ‘Police Reform in India’, (page 1), June 2017, </w:t>
      </w:r>
      <w:hyperlink r:id="rId28" w:history="1">
        <w:r w:rsidRPr="001A57D9">
          <w:rPr>
            <w:rStyle w:val="Hyperlink"/>
          </w:rPr>
          <w:t>url</w:t>
        </w:r>
      </w:hyperlink>
      <w:r>
        <w:t xml:space="preserve">. </w:t>
      </w:r>
    </w:p>
  </w:footnote>
  <w:footnote w:id="33">
    <w:p w14:paraId="41FDF5F5" w14:textId="7C8C9466" w:rsidR="003E4754" w:rsidRDefault="003E4754" w:rsidP="000B396A">
      <w:pPr>
        <w:pStyle w:val="FootnoteText"/>
      </w:pPr>
      <w:r>
        <w:rPr>
          <w:rStyle w:val="FootnoteReference"/>
        </w:rPr>
        <w:footnoteRef/>
      </w:r>
      <w:r>
        <w:t xml:space="preserve"> PRS, ‘Police Reform in India’, (page 1), June 2017, </w:t>
      </w:r>
      <w:hyperlink r:id="rId29" w:history="1">
        <w:r w:rsidRPr="001A57D9">
          <w:rPr>
            <w:rStyle w:val="Hyperlink"/>
          </w:rPr>
          <w:t>url</w:t>
        </w:r>
      </w:hyperlink>
      <w:r>
        <w:t xml:space="preserve">. </w:t>
      </w:r>
    </w:p>
  </w:footnote>
  <w:footnote w:id="34">
    <w:p w14:paraId="2DF56E81" w14:textId="25957D36" w:rsidR="003E4754" w:rsidRDefault="003E4754" w:rsidP="00750CE6">
      <w:pPr>
        <w:pStyle w:val="FootnoteText"/>
      </w:pPr>
      <w:r>
        <w:rPr>
          <w:rStyle w:val="FootnoteReference"/>
        </w:rPr>
        <w:footnoteRef/>
      </w:r>
      <w:r>
        <w:t xml:space="preserve"> PRS, ‘Police Reform in India’, (page 11), June 2017, </w:t>
      </w:r>
      <w:hyperlink r:id="rId30" w:history="1">
        <w:r w:rsidRPr="001A57D9">
          <w:rPr>
            <w:rStyle w:val="Hyperlink"/>
          </w:rPr>
          <w:t>url</w:t>
        </w:r>
      </w:hyperlink>
      <w:r>
        <w:t xml:space="preserve">. </w:t>
      </w:r>
    </w:p>
  </w:footnote>
  <w:footnote w:id="35">
    <w:p w14:paraId="3B9D15B8" w14:textId="2B906112" w:rsidR="003E4754" w:rsidRDefault="003E4754" w:rsidP="00750CE6">
      <w:pPr>
        <w:pStyle w:val="FootnoteText"/>
      </w:pPr>
      <w:r>
        <w:rPr>
          <w:rStyle w:val="FootnoteReference"/>
        </w:rPr>
        <w:footnoteRef/>
      </w:r>
      <w:r>
        <w:t xml:space="preserve"> PRS, ‘Police Reform in India’, (page 13), June 2017, </w:t>
      </w:r>
      <w:hyperlink r:id="rId31" w:history="1">
        <w:r w:rsidRPr="001A57D9">
          <w:rPr>
            <w:rStyle w:val="Hyperlink"/>
          </w:rPr>
          <w:t>url</w:t>
        </w:r>
      </w:hyperlink>
      <w:r>
        <w:t xml:space="preserve">. </w:t>
      </w:r>
    </w:p>
  </w:footnote>
  <w:footnote w:id="36">
    <w:p w14:paraId="3647A799" w14:textId="6718D525" w:rsidR="003E4754" w:rsidRDefault="003E4754" w:rsidP="000A1963">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(F2),</w:t>
      </w:r>
      <w:r w:rsidRPr="00B1372F">
        <w:t xml:space="preserve"> 1 March 2018, </w:t>
      </w:r>
      <w:bookmarkStart w:id="44" w:name="_Hlk527461627"/>
      <w:r>
        <w:fldChar w:fldCharType="begin"/>
      </w:r>
      <w:r>
        <w:instrText xml:space="preserve"> HYPERLINK "https://freedomhouse.org/report/freedom-world/2018/india" </w:instrText>
      </w:r>
      <w:r>
        <w:fldChar w:fldCharType="separate"/>
      </w:r>
      <w:r w:rsidRPr="0069134B">
        <w:rPr>
          <w:rStyle w:val="Hyperlink"/>
        </w:rPr>
        <w:t>url</w:t>
      </w:r>
      <w:r>
        <w:fldChar w:fldCharType="end"/>
      </w:r>
      <w:bookmarkEnd w:id="44"/>
      <w:r>
        <w:t xml:space="preserve">. </w:t>
      </w:r>
    </w:p>
  </w:footnote>
  <w:footnote w:id="37">
    <w:p w14:paraId="0E279FCC" w14:textId="760969E4" w:rsidR="003E4754" w:rsidRDefault="003E4754" w:rsidP="001B6A9A">
      <w:pPr>
        <w:pStyle w:val="FootnoteText"/>
      </w:pPr>
      <w:r>
        <w:rPr>
          <w:rStyle w:val="FootnoteReference"/>
        </w:rPr>
        <w:footnoteRef/>
      </w:r>
      <w:r>
        <w:t xml:space="preserve"> DFAT, ‘Country Information Report India’, (paragraph 5.4), 17 October 2018, </w:t>
      </w:r>
      <w:hyperlink r:id="rId32" w:history="1">
        <w:r w:rsidRPr="00706C25">
          <w:rPr>
            <w:rStyle w:val="Hyperlink"/>
          </w:rPr>
          <w:t>url</w:t>
        </w:r>
      </w:hyperlink>
      <w:r>
        <w:t>.</w:t>
      </w:r>
    </w:p>
  </w:footnote>
  <w:footnote w:id="38">
    <w:p w14:paraId="18F533BF" w14:textId="5AE368ED" w:rsidR="003E4754" w:rsidRDefault="003E4754" w:rsidP="001B6A9A">
      <w:pPr>
        <w:pStyle w:val="FootnoteText"/>
      </w:pPr>
      <w:r>
        <w:rPr>
          <w:rStyle w:val="FootnoteReference"/>
        </w:rPr>
        <w:footnoteRef/>
      </w:r>
      <w:r>
        <w:t xml:space="preserve"> DFAT, ‘Country Information Report India’, (paragraph 5.5), 17 October 2018, </w:t>
      </w:r>
      <w:hyperlink r:id="rId33" w:history="1">
        <w:r w:rsidRPr="00706C25">
          <w:rPr>
            <w:rStyle w:val="Hyperlink"/>
          </w:rPr>
          <w:t>url</w:t>
        </w:r>
      </w:hyperlink>
      <w:r>
        <w:t>.</w:t>
      </w:r>
    </w:p>
  </w:footnote>
  <w:footnote w:id="39">
    <w:p w14:paraId="60F92CC4" w14:textId="77777777" w:rsidR="003E4754" w:rsidRDefault="003E4754" w:rsidP="00750CE6">
      <w:pPr>
        <w:pStyle w:val="FootnoteText"/>
      </w:pPr>
      <w:r>
        <w:rPr>
          <w:rStyle w:val="FootnoteReference"/>
        </w:rPr>
        <w:footnoteRef/>
      </w:r>
      <w:r>
        <w:t xml:space="preserve"> IRB, ‘India: First Information Reports (FIRs)’, 1 May 2017, </w:t>
      </w:r>
      <w:hyperlink r:id="rId34" w:history="1">
        <w:r w:rsidRPr="002863D7">
          <w:rPr>
            <w:rStyle w:val="Hyperlink"/>
          </w:rPr>
          <w:t>url</w:t>
        </w:r>
      </w:hyperlink>
      <w:r>
        <w:t xml:space="preserve">. </w:t>
      </w:r>
    </w:p>
  </w:footnote>
  <w:footnote w:id="40">
    <w:p w14:paraId="52374527" w14:textId="77777777" w:rsidR="003E4754" w:rsidRPr="000D38E2" w:rsidRDefault="003E4754" w:rsidP="002546B7">
      <w:pPr>
        <w:pStyle w:val="FootnoteText"/>
        <w:rPr>
          <w:lang w:val="en-US"/>
        </w:rPr>
      </w:pPr>
      <w:r>
        <w:rPr>
          <w:rStyle w:val="FootnoteReference"/>
        </w:rPr>
        <w:footnoteRef/>
      </w:r>
      <w:r>
        <w:t xml:space="preserve"> Amnesty International, ‘Annual Report 2018’, (</w:t>
      </w:r>
      <w:r w:rsidRPr="000D38E2">
        <w:rPr>
          <w:lang w:val="en-US"/>
        </w:rPr>
        <w:t>Indigenous Peoples’ rights</w:t>
      </w:r>
      <w:r>
        <w:t xml:space="preserve">), 22 February 2018, </w:t>
      </w:r>
      <w:hyperlink r:id="rId35" w:history="1">
        <w:r w:rsidRPr="005844AA">
          <w:rPr>
            <w:rStyle w:val="Hyperlink"/>
          </w:rPr>
          <w:t>url</w:t>
        </w:r>
      </w:hyperlink>
      <w:r>
        <w:t>.</w:t>
      </w:r>
    </w:p>
  </w:footnote>
  <w:footnote w:id="41">
    <w:p w14:paraId="64779033" w14:textId="76ABF1AE" w:rsidR="003E4754" w:rsidRDefault="003E4754" w:rsidP="00472BB1">
      <w:pPr>
        <w:pStyle w:val="FootnoteText"/>
      </w:pPr>
      <w:r>
        <w:rPr>
          <w:rStyle w:val="FootnoteReference"/>
        </w:rPr>
        <w:footnoteRef/>
      </w:r>
      <w:r>
        <w:t xml:space="preserve"> IHS Jane’s, ‘India – Armed Forces’, 17 September 2018, subscription only.</w:t>
      </w:r>
    </w:p>
  </w:footnote>
  <w:footnote w:id="42">
    <w:p w14:paraId="183B0BC6" w14:textId="2B6FF18D" w:rsidR="003E4754" w:rsidRDefault="003E4754">
      <w:pPr>
        <w:pStyle w:val="FootnoteText"/>
      </w:pPr>
      <w:r>
        <w:rPr>
          <w:rStyle w:val="FootnoteReference"/>
        </w:rPr>
        <w:footnoteRef/>
      </w:r>
      <w:r>
        <w:t xml:space="preserve"> IHS Jane’s, ‘India – Army’, 17 September 2018, subscription only.</w:t>
      </w:r>
    </w:p>
  </w:footnote>
  <w:footnote w:id="43">
    <w:p w14:paraId="6CF8F453" w14:textId="5AF55C0B" w:rsidR="003E4754" w:rsidRDefault="003E4754" w:rsidP="00472BB1">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1g), 20 April 2018, </w:t>
      </w:r>
      <w:hyperlink r:id="rId36" w:history="1">
        <w:r w:rsidRPr="00C319AB">
          <w:rPr>
            <w:rStyle w:val="Hyperlink"/>
          </w:rPr>
          <w:t>url</w:t>
        </w:r>
      </w:hyperlink>
      <w:r>
        <w:t>.</w:t>
      </w:r>
      <w:r w:rsidRPr="00FD6E52">
        <w:t xml:space="preserve"> </w:t>
      </w:r>
    </w:p>
  </w:footnote>
  <w:footnote w:id="44">
    <w:p w14:paraId="51AC31AE" w14:textId="77777777" w:rsidR="003E4754" w:rsidRDefault="003E4754" w:rsidP="006E505A">
      <w:pPr>
        <w:pStyle w:val="FootnoteText"/>
      </w:pPr>
      <w:r>
        <w:rPr>
          <w:rStyle w:val="FootnoteReference"/>
        </w:rPr>
        <w:footnoteRef/>
      </w:r>
      <w:r>
        <w:t xml:space="preserve"> PRS, ‘Police Reform in India’, (page 8), June 2017, </w:t>
      </w:r>
      <w:hyperlink r:id="rId37" w:history="1">
        <w:r w:rsidRPr="00C22E34">
          <w:rPr>
            <w:rStyle w:val="Hyperlink"/>
          </w:rPr>
          <w:t>url</w:t>
        </w:r>
      </w:hyperlink>
      <w:r>
        <w:t xml:space="preserve">. </w:t>
      </w:r>
    </w:p>
  </w:footnote>
  <w:footnote w:id="45">
    <w:p w14:paraId="2A6EE4F5" w14:textId="3CE40A6A" w:rsidR="003E4754" w:rsidRDefault="003E4754" w:rsidP="00801ABA">
      <w:pPr>
        <w:pStyle w:val="FootnoteText"/>
      </w:pPr>
      <w:r>
        <w:rPr>
          <w:rStyle w:val="FootnoteReference"/>
        </w:rPr>
        <w:footnoteRef/>
      </w:r>
      <w:r>
        <w:t xml:space="preserve"> </w:t>
      </w:r>
      <w:r w:rsidRPr="004C40BF">
        <w:t xml:space="preserve">Bertelsmann Stiftung, </w:t>
      </w:r>
      <w:r>
        <w:t xml:space="preserve">‘BTI 2018 Country Report – </w:t>
      </w:r>
      <w:r w:rsidRPr="004C40BF">
        <w:t>India</w:t>
      </w:r>
      <w:r>
        <w:t xml:space="preserve">’, (pages 11-12), 23 March 2018, </w:t>
      </w:r>
      <w:hyperlink r:id="rId38" w:history="1">
        <w:r w:rsidRPr="004C40BF">
          <w:rPr>
            <w:rStyle w:val="Hyperlink"/>
          </w:rPr>
          <w:t>url</w:t>
        </w:r>
      </w:hyperlink>
      <w:r>
        <w:t xml:space="preserve">. </w:t>
      </w:r>
    </w:p>
  </w:footnote>
  <w:footnote w:id="46">
    <w:p w14:paraId="0DF4B113" w14:textId="77777777" w:rsidR="003E4754" w:rsidRDefault="003E4754" w:rsidP="005844AA">
      <w:pPr>
        <w:pStyle w:val="FootnoteText"/>
      </w:pPr>
      <w:r>
        <w:rPr>
          <w:rStyle w:val="FootnoteReference"/>
        </w:rPr>
        <w:footnoteRef/>
      </w:r>
      <w:r>
        <w:t xml:space="preserve"> Amnesty International, ‘Annual Report 2018’, (Police and security forces), 22 February 2018, </w:t>
      </w:r>
      <w:hyperlink r:id="rId39" w:history="1">
        <w:r w:rsidRPr="005844AA">
          <w:rPr>
            <w:rStyle w:val="Hyperlink"/>
          </w:rPr>
          <w:t>url</w:t>
        </w:r>
      </w:hyperlink>
      <w:r>
        <w:t>.</w:t>
      </w:r>
    </w:p>
  </w:footnote>
  <w:footnote w:id="47">
    <w:p w14:paraId="4350BA6F" w14:textId="40B4A80A" w:rsidR="003E4754" w:rsidRDefault="003E4754" w:rsidP="000A1963">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(F3),</w:t>
      </w:r>
      <w:r w:rsidRPr="00B1372F">
        <w:t xml:space="preserve"> 1 March 2018, </w:t>
      </w:r>
      <w:hyperlink r:id="rId40" w:history="1">
        <w:r w:rsidRPr="0069134B">
          <w:rPr>
            <w:rStyle w:val="Hyperlink"/>
          </w:rPr>
          <w:t>url</w:t>
        </w:r>
      </w:hyperlink>
      <w:r>
        <w:t xml:space="preserve">. </w:t>
      </w:r>
    </w:p>
  </w:footnote>
  <w:footnote w:id="48">
    <w:p w14:paraId="3A29D261" w14:textId="4325B07E" w:rsidR="003E4754" w:rsidRDefault="003E4754" w:rsidP="005844AA">
      <w:pPr>
        <w:pStyle w:val="FootnoteText"/>
      </w:pPr>
      <w:r>
        <w:rPr>
          <w:rStyle w:val="FootnoteReference"/>
        </w:rPr>
        <w:footnoteRef/>
      </w:r>
      <w:r>
        <w:t xml:space="preserve"> Amnesty International, ‘Annual Report 2018’, (Torture), 22 February 2018, </w:t>
      </w:r>
      <w:hyperlink r:id="rId41" w:history="1">
        <w:r w:rsidRPr="005844AA">
          <w:rPr>
            <w:rStyle w:val="Hyperlink"/>
          </w:rPr>
          <w:t>url</w:t>
        </w:r>
      </w:hyperlink>
      <w:r>
        <w:t>.</w:t>
      </w:r>
    </w:p>
  </w:footnote>
  <w:footnote w:id="49">
    <w:p w14:paraId="2DBB701E" w14:textId="7E7562AA" w:rsidR="003E4754" w:rsidRDefault="003E4754">
      <w:pPr>
        <w:pStyle w:val="FootnoteText"/>
      </w:pPr>
      <w:r>
        <w:rPr>
          <w:rStyle w:val="FootnoteReference"/>
        </w:rPr>
        <w:footnoteRef/>
      </w:r>
      <w:r>
        <w:t xml:space="preserve"> NCRB, ‘Crime in India 2016’, (page 532), 30 November 2017, </w:t>
      </w:r>
      <w:hyperlink r:id="rId42" w:history="1">
        <w:r w:rsidRPr="00F54E37">
          <w:rPr>
            <w:rStyle w:val="Hyperlink"/>
          </w:rPr>
          <w:t>url</w:t>
        </w:r>
      </w:hyperlink>
      <w:r>
        <w:t>.</w:t>
      </w:r>
    </w:p>
  </w:footnote>
  <w:footnote w:id="50">
    <w:p w14:paraId="7916F21B" w14:textId="77777777" w:rsidR="003E4754" w:rsidRDefault="003E4754" w:rsidP="00281AD5">
      <w:pPr>
        <w:pStyle w:val="FootnoteText"/>
      </w:pPr>
      <w:r>
        <w:rPr>
          <w:rStyle w:val="FootnoteReference"/>
        </w:rPr>
        <w:footnoteRef/>
      </w:r>
      <w:r>
        <w:t xml:space="preserve"> NHRC, ‘Monthly statistics’, </w:t>
      </w:r>
      <w:hyperlink r:id="rId43" w:history="1">
        <w:r w:rsidRPr="00281AD5">
          <w:rPr>
            <w:rStyle w:val="Hyperlink"/>
          </w:rPr>
          <w:t>url</w:t>
        </w:r>
      </w:hyperlink>
      <w:r>
        <w:t xml:space="preserve">. </w:t>
      </w:r>
    </w:p>
  </w:footnote>
  <w:footnote w:id="51">
    <w:p w14:paraId="38E1C647" w14:textId="5140C6A5" w:rsidR="003E4754" w:rsidRDefault="003E4754">
      <w:pPr>
        <w:pStyle w:val="FootnoteText"/>
      </w:pPr>
      <w:r>
        <w:rPr>
          <w:rStyle w:val="FootnoteReference"/>
        </w:rPr>
        <w:footnoteRef/>
      </w:r>
      <w:r>
        <w:t xml:space="preserve"> HRW, ‘Bound by Brotherhood’, (Summary), 19 December 2016, </w:t>
      </w:r>
      <w:hyperlink r:id="rId44" w:history="1">
        <w:r w:rsidRPr="00A140F2">
          <w:rPr>
            <w:rStyle w:val="Hyperlink"/>
          </w:rPr>
          <w:t>url</w:t>
        </w:r>
      </w:hyperlink>
      <w:r>
        <w:t>.</w:t>
      </w:r>
    </w:p>
  </w:footnote>
  <w:footnote w:id="52">
    <w:p w14:paraId="04958A4F" w14:textId="77777777" w:rsidR="003E4754" w:rsidRDefault="003E4754" w:rsidP="00B2283B">
      <w:pPr>
        <w:pStyle w:val="FootnoteText"/>
      </w:pPr>
      <w:r>
        <w:rPr>
          <w:rStyle w:val="FootnoteReference"/>
        </w:rPr>
        <w:footnoteRef/>
      </w:r>
      <w:r>
        <w:t xml:space="preserve"> HRW, ‘Bound by Brotherhood’, (Summary), 19 December 2016, </w:t>
      </w:r>
      <w:hyperlink r:id="rId45" w:history="1">
        <w:r w:rsidRPr="00A140F2">
          <w:rPr>
            <w:rStyle w:val="Hyperlink"/>
          </w:rPr>
          <w:t>url</w:t>
        </w:r>
      </w:hyperlink>
      <w:r>
        <w:t>.</w:t>
      </w:r>
    </w:p>
  </w:footnote>
  <w:footnote w:id="53">
    <w:p w14:paraId="77E7AF8B" w14:textId="77777777" w:rsidR="003E4754" w:rsidRDefault="003E4754" w:rsidP="00B2283B">
      <w:pPr>
        <w:pStyle w:val="FootnoteText"/>
      </w:pPr>
      <w:r>
        <w:rPr>
          <w:rStyle w:val="FootnoteReference"/>
        </w:rPr>
        <w:footnoteRef/>
      </w:r>
      <w:r>
        <w:t xml:space="preserve"> HRW, ‘Bound by Brotherhood’, (Summary), 19 December 2016, </w:t>
      </w:r>
      <w:hyperlink r:id="rId46" w:history="1">
        <w:r w:rsidRPr="00A140F2">
          <w:rPr>
            <w:rStyle w:val="Hyperlink"/>
          </w:rPr>
          <w:t>url</w:t>
        </w:r>
      </w:hyperlink>
      <w:r>
        <w:t>.</w:t>
      </w:r>
    </w:p>
  </w:footnote>
  <w:footnote w:id="54">
    <w:p w14:paraId="31FE5151" w14:textId="01DAE452" w:rsidR="003E4754" w:rsidRDefault="003E4754" w:rsidP="00F54E37">
      <w:pPr>
        <w:pStyle w:val="FootnoteText"/>
      </w:pPr>
      <w:r>
        <w:rPr>
          <w:rStyle w:val="FootnoteReference"/>
        </w:rPr>
        <w:footnoteRef/>
      </w:r>
      <w:r>
        <w:t xml:space="preserve"> NCRB, ‘Crime in India 2016’ (page 536), 30 November 2017, </w:t>
      </w:r>
      <w:hyperlink r:id="rId47" w:history="1">
        <w:r w:rsidRPr="00F54E37">
          <w:rPr>
            <w:rStyle w:val="Hyperlink"/>
          </w:rPr>
          <w:t>url</w:t>
        </w:r>
      </w:hyperlink>
      <w:r>
        <w:t xml:space="preserve">. </w:t>
      </w:r>
    </w:p>
  </w:footnote>
  <w:footnote w:id="55">
    <w:p w14:paraId="3E6DD339" w14:textId="1CB70861" w:rsidR="003E4754" w:rsidRDefault="003E4754">
      <w:pPr>
        <w:pStyle w:val="FootnoteText"/>
      </w:pPr>
      <w:r>
        <w:rPr>
          <w:rStyle w:val="FootnoteReference"/>
        </w:rPr>
        <w:footnoteRef/>
      </w:r>
      <w:r>
        <w:t xml:space="preserve"> HRW, ‘World Report 2018’, 18 January 2018, </w:t>
      </w:r>
      <w:hyperlink r:id="rId48" w:history="1">
        <w:r w:rsidRPr="003172BA">
          <w:rPr>
            <w:rStyle w:val="Hyperlink"/>
          </w:rPr>
          <w:t>url</w:t>
        </w:r>
      </w:hyperlink>
      <w:r>
        <w:t xml:space="preserve">. </w:t>
      </w:r>
    </w:p>
  </w:footnote>
  <w:footnote w:id="56">
    <w:p w14:paraId="5D661124" w14:textId="166E1081" w:rsidR="003E4754" w:rsidRDefault="003E4754" w:rsidP="000F1226">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(F3),</w:t>
      </w:r>
      <w:r w:rsidRPr="00B1372F">
        <w:t xml:space="preserve"> 1 March 2018, </w:t>
      </w:r>
      <w:hyperlink r:id="rId49" w:history="1">
        <w:r w:rsidRPr="0069134B">
          <w:rPr>
            <w:rStyle w:val="Hyperlink"/>
          </w:rPr>
          <w:t>url</w:t>
        </w:r>
      </w:hyperlink>
      <w:r>
        <w:t xml:space="preserve">. </w:t>
      </w:r>
    </w:p>
  </w:footnote>
  <w:footnote w:id="57">
    <w:p w14:paraId="46C51380" w14:textId="77777777" w:rsidR="003E4754" w:rsidRDefault="003E4754" w:rsidP="00D448D7">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1g), 20 April 2018, </w:t>
      </w:r>
      <w:hyperlink r:id="rId50" w:history="1">
        <w:r w:rsidRPr="00C319AB">
          <w:rPr>
            <w:rStyle w:val="Hyperlink"/>
          </w:rPr>
          <w:t>url</w:t>
        </w:r>
      </w:hyperlink>
      <w:r>
        <w:t>.</w:t>
      </w:r>
      <w:r w:rsidRPr="00FD6E52">
        <w:t xml:space="preserve"> </w:t>
      </w:r>
    </w:p>
  </w:footnote>
  <w:footnote w:id="58">
    <w:p w14:paraId="4694274C" w14:textId="0C8480FB" w:rsidR="003E4754" w:rsidRDefault="003E4754" w:rsidP="005D2C6A">
      <w:pPr>
        <w:pStyle w:val="FootnoteText"/>
      </w:pPr>
      <w:r>
        <w:rPr>
          <w:rStyle w:val="FootnoteReference"/>
        </w:rPr>
        <w:footnoteRef/>
      </w:r>
      <w:r>
        <w:t xml:space="preserve"> DFAT, ‘Country Information Report India’, (paragraph 4.2), 17 October 2018, </w:t>
      </w:r>
      <w:hyperlink r:id="rId51" w:history="1">
        <w:r w:rsidRPr="00706C25">
          <w:rPr>
            <w:rStyle w:val="Hyperlink"/>
          </w:rPr>
          <w:t>url</w:t>
        </w:r>
      </w:hyperlink>
      <w:r>
        <w:t>.</w:t>
      </w:r>
    </w:p>
  </w:footnote>
  <w:footnote w:id="59">
    <w:p w14:paraId="7BF8F69F" w14:textId="0FEA504D" w:rsidR="003E4754" w:rsidRDefault="003E4754">
      <w:pPr>
        <w:pStyle w:val="FootnoteText"/>
      </w:pPr>
      <w:r>
        <w:rPr>
          <w:rStyle w:val="FootnoteReference"/>
        </w:rPr>
        <w:footnoteRef/>
      </w:r>
      <w:r>
        <w:t xml:space="preserve"> First Post, ‘</w:t>
      </w:r>
      <w:r w:rsidRPr="00037F46">
        <w:t>NHRC registered 1,782 fake encounter cases</w:t>
      </w:r>
      <w:r>
        <w:t xml:space="preserve">’, 2 February 2018, </w:t>
      </w:r>
      <w:hyperlink r:id="rId52" w:history="1">
        <w:r w:rsidRPr="00037F46">
          <w:rPr>
            <w:rStyle w:val="Hyperlink"/>
          </w:rPr>
          <w:t>url</w:t>
        </w:r>
      </w:hyperlink>
      <w:r>
        <w:t>.</w:t>
      </w:r>
    </w:p>
  </w:footnote>
  <w:footnote w:id="60">
    <w:p w14:paraId="488C9C3D" w14:textId="439D556B" w:rsidR="003E4754" w:rsidRDefault="003E4754">
      <w:pPr>
        <w:pStyle w:val="FootnoteText"/>
      </w:pPr>
      <w:r>
        <w:rPr>
          <w:rStyle w:val="FootnoteReference"/>
        </w:rPr>
        <w:footnoteRef/>
      </w:r>
      <w:r>
        <w:t xml:space="preserve"> NHRC, ‘Monthly statistics’, </w:t>
      </w:r>
      <w:hyperlink r:id="rId53" w:history="1">
        <w:r w:rsidRPr="00281AD5">
          <w:rPr>
            <w:rStyle w:val="Hyperlink"/>
          </w:rPr>
          <w:t>url</w:t>
        </w:r>
      </w:hyperlink>
      <w:r>
        <w:t xml:space="preserve">. </w:t>
      </w:r>
    </w:p>
  </w:footnote>
  <w:footnote w:id="61">
    <w:p w14:paraId="4D3E83E5" w14:textId="148AE910" w:rsidR="003E4754" w:rsidRDefault="003E4754" w:rsidP="005D2C6A">
      <w:pPr>
        <w:pStyle w:val="FootnoteText"/>
      </w:pPr>
      <w:r>
        <w:rPr>
          <w:rStyle w:val="FootnoteReference"/>
        </w:rPr>
        <w:footnoteRef/>
      </w:r>
      <w:r>
        <w:t xml:space="preserve"> DFAT, ‘Country Information Report India’, (paragraphs 4.2-4.3), 17 October 2018, </w:t>
      </w:r>
      <w:hyperlink r:id="rId54" w:history="1">
        <w:r w:rsidRPr="00706C25">
          <w:rPr>
            <w:rStyle w:val="Hyperlink"/>
          </w:rPr>
          <w:t>url</w:t>
        </w:r>
      </w:hyperlink>
      <w:r>
        <w:t>.</w:t>
      </w:r>
    </w:p>
  </w:footnote>
  <w:footnote w:id="62">
    <w:p w14:paraId="7ECE6DD7" w14:textId="4D890049" w:rsidR="003E4754" w:rsidRDefault="003E4754">
      <w:pPr>
        <w:pStyle w:val="FootnoteText"/>
      </w:pPr>
      <w:r>
        <w:rPr>
          <w:rStyle w:val="FootnoteReference"/>
        </w:rPr>
        <w:footnoteRef/>
      </w:r>
      <w:r>
        <w:t xml:space="preserve"> Amnesty International, ‘Annual Report 2018’, (Police and security forces), 22 February 2018, </w:t>
      </w:r>
      <w:hyperlink r:id="rId55" w:history="1">
        <w:r w:rsidRPr="005844AA">
          <w:rPr>
            <w:rStyle w:val="Hyperlink"/>
          </w:rPr>
          <w:t>url</w:t>
        </w:r>
      </w:hyperlink>
      <w:r>
        <w:t>.</w:t>
      </w:r>
    </w:p>
  </w:footnote>
  <w:footnote w:id="63">
    <w:p w14:paraId="2CE214B9" w14:textId="3E35708D" w:rsidR="003E4754" w:rsidRDefault="003E4754" w:rsidP="001135C6">
      <w:pPr>
        <w:pStyle w:val="FootnoteText"/>
      </w:pPr>
      <w:r>
        <w:rPr>
          <w:rStyle w:val="FootnoteReference"/>
        </w:rPr>
        <w:footnoteRef/>
      </w:r>
      <w:r>
        <w:t xml:space="preserve"> </w:t>
      </w:r>
      <w:r w:rsidRPr="004C40BF">
        <w:t xml:space="preserve">Bertelsmann Stiftung, </w:t>
      </w:r>
      <w:r>
        <w:t xml:space="preserve">‘BTI 2018 Country Report – </w:t>
      </w:r>
      <w:r w:rsidRPr="004C40BF">
        <w:t>India</w:t>
      </w:r>
      <w:r>
        <w:t xml:space="preserve">’, (page 11), 23 March 2018, </w:t>
      </w:r>
      <w:hyperlink r:id="rId56" w:history="1">
        <w:r w:rsidRPr="004C40BF">
          <w:rPr>
            <w:rStyle w:val="Hyperlink"/>
          </w:rPr>
          <w:t>url</w:t>
        </w:r>
      </w:hyperlink>
      <w:r>
        <w:t xml:space="preserve">. </w:t>
      </w:r>
    </w:p>
  </w:footnote>
  <w:footnote w:id="64">
    <w:p w14:paraId="58A81A32" w14:textId="047ADB0A" w:rsidR="003E4754" w:rsidRDefault="003E4754" w:rsidP="005B25BA">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(F3),</w:t>
      </w:r>
      <w:r w:rsidRPr="00B1372F">
        <w:t xml:space="preserve"> 1 March 2018, </w:t>
      </w:r>
      <w:hyperlink r:id="rId57" w:history="1">
        <w:r w:rsidRPr="0069134B">
          <w:rPr>
            <w:rStyle w:val="Hyperlink"/>
          </w:rPr>
          <w:t>url</w:t>
        </w:r>
      </w:hyperlink>
      <w:r>
        <w:t xml:space="preserve">. </w:t>
      </w:r>
    </w:p>
  </w:footnote>
  <w:footnote w:id="65">
    <w:p w14:paraId="1405A51F" w14:textId="6F217563" w:rsidR="003E4754" w:rsidRDefault="003E4754" w:rsidP="005B25BA">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1d), 20 April 2018, </w:t>
      </w:r>
      <w:hyperlink r:id="rId58" w:history="1">
        <w:r w:rsidRPr="00C319AB">
          <w:rPr>
            <w:rStyle w:val="Hyperlink"/>
          </w:rPr>
          <w:t>url</w:t>
        </w:r>
      </w:hyperlink>
      <w:r>
        <w:t>.</w:t>
      </w:r>
      <w:r w:rsidRPr="00FD6E52">
        <w:t xml:space="preserve"> </w:t>
      </w:r>
    </w:p>
  </w:footnote>
  <w:footnote w:id="66">
    <w:p w14:paraId="228E07A9" w14:textId="58DFBF7F" w:rsidR="003E4754" w:rsidRDefault="003E4754" w:rsidP="008A040C">
      <w:pPr>
        <w:pStyle w:val="FootnoteText"/>
      </w:pPr>
      <w:r>
        <w:rPr>
          <w:rStyle w:val="FootnoteReference"/>
        </w:rPr>
        <w:footnoteRef/>
      </w:r>
      <w:r>
        <w:t xml:space="preserve"> PRS, ‘Police Reform in India’, (page 9), June 2017, </w:t>
      </w:r>
      <w:hyperlink r:id="rId59" w:history="1">
        <w:r w:rsidRPr="001A57D9">
          <w:rPr>
            <w:rStyle w:val="Hyperlink"/>
          </w:rPr>
          <w:t>url</w:t>
        </w:r>
      </w:hyperlink>
      <w:r>
        <w:t xml:space="preserve">. </w:t>
      </w:r>
    </w:p>
  </w:footnote>
  <w:footnote w:id="67">
    <w:p w14:paraId="6595FEEE" w14:textId="77777777" w:rsidR="003E4754" w:rsidRDefault="003E4754" w:rsidP="00B2283B">
      <w:pPr>
        <w:pStyle w:val="FootnoteText"/>
      </w:pPr>
      <w:r>
        <w:rPr>
          <w:rStyle w:val="FootnoteReference"/>
        </w:rPr>
        <w:footnoteRef/>
      </w:r>
      <w:r>
        <w:t xml:space="preserve"> PRS, ‘Police Reform in India’, (page 9), June 2017, </w:t>
      </w:r>
      <w:hyperlink r:id="rId60" w:history="1">
        <w:r w:rsidRPr="00C22E34">
          <w:rPr>
            <w:rStyle w:val="Hyperlink"/>
          </w:rPr>
          <w:t>url</w:t>
        </w:r>
      </w:hyperlink>
      <w:r>
        <w:t xml:space="preserve">. </w:t>
      </w:r>
    </w:p>
  </w:footnote>
  <w:footnote w:id="68">
    <w:p w14:paraId="2D7F0B69" w14:textId="2A6EA123" w:rsidR="003E4754" w:rsidRDefault="003E4754" w:rsidP="001A7049">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(C2),</w:t>
      </w:r>
      <w:r w:rsidRPr="00B1372F">
        <w:t xml:space="preserve"> 1 March 2018, </w:t>
      </w:r>
      <w:hyperlink r:id="rId61" w:history="1">
        <w:r w:rsidRPr="0069134B">
          <w:rPr>
            <w:rStyle w:val="Hyperlink"/>
          </w:rPr>
          <w:t>url</w:t>
        </w:r>
      </w:hyperlink>
      <w:r>
        <w:t xml:space="preserve">. </w:t>
      </w:r>
    </w:p>
  </w:footnote>
  <w:footnote w:id="69">
    <w:p w14:paraId="3208C6B5" w14:textId="1C8E8EAB" w:rsidR="003E4754" w:rsidRDefault="003E4754" w:rsidP="00DA784B">
      <w:pPr>
        <w:pStyle w:val="FootnoteText"/>
      </w:pPr>
      <w:r>
        <w:rPr>
          <w:rStyle w:val="FootnoteReference"/>
        </w:rPr>
        <w:footnoteRef/>
      </w:r>
      <w:r>
        <w:t xml:space="preserve"> DFAT, ‘Country Information Report India’, (paragraph 2.34), 17 October 2018, </w:t>
      </w:r>
      <w:hyperlink r:id="rId62" w:history="1">
        <w:r w:rsidRPr="00706C25">
          <w:rPr>
            <w:rStyle w:val="Hyperlink"/>
          </w:rPr>
          <w:t>url</w:t>
        </w:r>
      </w:hyperlink>
      <w:r>
        <w:t>.</w:t>
      </w:r>
    </w:p>
  </w:footnote>
  <w:footnote w:id="70">
    <w:p w14:paraId="3D409536" w14:textId="62FDAA2E" w:rsidR="003E4754" w:rsidRDefault="003E4754">
      <w:pPr>
        <w:pStyle w:val="FootnoteText"/>
      </w:pPr>
      <w:r>
        <w:rPr>
          <w:rStyle w:val="FootnoteReference"/>
        </w:rPr>
        <w:footnoteRef/>
      </w:r>
      <w:r>
        <w:t xml:space="preserve"> NHRC, ‘Monthly Salient Statistics’, as of 15 November 2018, </w:t>
      </w:r>
      <w:hyperlink r:id="rId63" w:history="1">
        <w:r w:rsidRPr="004263CE">
          <w:rPr>
            <w:rStyle w:val="Hyperlink"/>
          </w:rPr>
          <w:t>url</w:t>
        </w:r>
      </w:hyperlink>
      <w:r>
        <w:t xml:space="preserve">. </w:t>
      </w:r>
    </w:p>
  </w:footnote>
  <w:footnote w:id="71">
    <w:p w14:paraId="23AF045B" w14:textId="2AD9F11D" w:rsidR="003E4754" w:rsidRDefault="003E4754" w:rsidP="008A040C">
      <w:pPr>
        <w:pStyle w:val="FootnoteText"/>
      </w:pPr>
      <w:r>
        <w:rPr>
          <w:rStyle w:val="FootnoteReference"/>
        </w:rPr>
        <w:footnoteRef/>
      </w:r>
      <w:r>
        <w:t xml:space="preserve"> PRS, ‘Police Reform in India’, (page 9), June 2017, </w:t>
      </w:r>
      <w:hyperlink r:id="rId64" w:history="1">
        <w:r w:rsidRPr="001A57D9">
          <w:rPr>
            <w:rStyle w:val="Hyperlink"/>
          </w:rPr>
          <w:t>url</w:t>
        </w:r>
      </w:hyperlink>
      <w:r>
        <w:t xml:space="preserve">. </w:t>
      </w:r>
    </w:p>
  </w:footnote>
  <w:footnote w:id="72">
    <w:p w14:paraId="6CAC26DD" w14:textId="77777777" w:rsidR="003E4754" w:rsidRDefault="003E4754" w:rsidP="00F96429">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1g), 20 April 2018, </w:t>
      </w:r>
      <w:hyperlink r:id="rId65" w:history="1">
        <w:r w:rsidRPr="00C319AB">
          <w:rPr>
            <w:rStyle w:val="Hyperlink"/>
          </w:rPr>
          <w:t>url</w:t>
        </w:r>
      </w:hyperlink>
      <w:r>
        <w:t>.</w:t>
      </w:r>
      <w:r w:rsidRPr="00FD6E52">
        <w:t xml:space="preserve"> </w:t>
      </w:r>
    </w:p>
  </w:footnote>
  <w:footnote w:id="73">
    <w:p w14:paraId="4DD0885B" w14:textId="2D0D1927" w:rsidR="003E4754" w:rsidRDefault="003E4754" w:rsidP="005D2C6A">
      <w:pPr>
        <w:pStyle w:val="FootnoteText"/>
      </w:pPr>
      <w:r>
        <w:rPr>
          <w:rStyle w:val="FootnoteReference"/>
        </w:rPr>
        <w:footnoteRef/>
      </w:r>
      <w:r>
        <w:t xml:space="preserve"> DFAT, ‘Country Information Report India’, (paragraph 4.8), 17 October 2018, </w:t>
      </w:r>
      <w:hyperlink r:id="rId66" w:history="1">
        <w:r w:rsidRPr="00706C25">
          <w:rPr>
            <w:rStyle w:val="Hyperlink"/>
          </w:rPr>
          <w:t>url</w:t>
        </w:r>
      </w:hyperlink>
      <w:r>
        <w:t>.</w:t>
      </w:r>
    </w:p>
  </w:footnote>
  <w:footnote w:id="74">
    <w:p w14:paraId="63E38E48" w14:textId="77777777" w:rsidR="003E4754" w:rsidRDefault="003E4754" w:rsidP="00F90DFB">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1g), 20 April 2018, </w:t>
      </w:r>
      <w:hyperlink r:id="rId67" w:history="1">
        <w:r w:rsidRPr="00C319AB">
          <w:rPr>
            <w:rStyle w:val="Hyperlink"/>
          </w:rPr>
          <w:t>url</w:t>
        </w:r>
      </w:hyperlink>
      <w:r>
        <w:t>.</w:t>
      </w:r>
      <w:r w:rsidRPr="00FD6E52">
        <w:t xml:space="preserve"> </w:t>
      </w:r>
    </w:p>
  </w:footnote>
  <w:footnote w:id="75">
    <w:p w14:paraId="3948CB0F" w14:textId="7BE896D4" w:rsidR="003E4754" w:rsidRDefault="003E4754" w:rsidP="00F90DFB">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1d), 20 April 2018, </w:t>
      </w:r>
      <w:hyperlink r:id="rId68" w:history="1">
        <w:r w:rsidRPr="00C319AB">
          <w:rPr>
            <w:rStyle w:val="Hyperlink"/>
          </w:rPr>
          <w:t>url</w:t>
        </w:r>
      </w:hyperlink>
      <w:r>
        <w:t>.</w:t>
      </w:r>
      <w:r w:rsidRPr="00FD6E52">
        <w:t xml:space="preserve"> </w:t>
      </w:r>
    </w:p>
  </w:footnote>
  <w:footnote w:id="76">
    <w:p w14:paraId="5BCDFBD3" w14:textId="2642EF0C" w:rsidR="003E4754" w:rsidRDefault="003E4754">
      <w:pPr>
        <w:pStyle w:val="FootnoteText"/>
      </w:pPr>
      <w:r>
        <w:rPr>
          <w:rStyle w:val="FootnoteReference"/>
        </w:rPr>
        <w:footnoteRef/>
      </w:r>
      <w:r>
        <w:t xml:space="preserve"> Court Websites, ‘Indian Courts’, n.d., </w:t>
      </w:r>
      <w:hyperlink r:id="rId69" w:history="1">
        <w:r w:rsidRPr="00F82229">
          <w:rPr>
            <w:rStyle w:val="Hyperlink"/>
          </w:rPr>
          <w:t>url</w:t>
        </w:r>
      </w:hyperlink>
      <w:r>
        <w:t>.</w:t>
      </w:r>
    </w:p>
  </w:footnote>
  <w:footnote w:id="77">
    <w:p w14:paraId="4C41810D" w14:textId="306A9245" w:rsidR="003E4754" w:rsidRDefault="003E4754" w:rsidP="006054C9">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1e), 20 April 2018, </w:t>
      </w:r>
      <w:hyperlink r:id="rId70" w:history="1">
        <w:r w:rsidRPr="00C319AB">
          <w:rPr>
            <w:rStyle w:val="Hyperlink"/>
          </w:rPr>
          <w:t>url</w:t>
        </w:r>
      </w:hyperlink>
      <w:r>
        <w:t>.</w:t>
      </w:r>
      <w:r w:rsidRPr="00FD6E52">
        <w:t xml:space="preserve"> </w:t>
      </w:r>
    </w:p>
  </w:footnote>
  <w:footnote w:id="78">
    <w:p w14:paraId="49B81D89" w14:textId="77777777" w:rsidR="003E4754" w:rsidRDefault="003E4754" w:rsidP="006054C9">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1e), 20 April 2018, </w:t>
      </w:r>
      <w:hyperlink r:id="rId71" w:history="1">
        <w:r w:rsidRPr="00C319AB">
          <w:rPr>
            <w:rStyle w:val="Hyperlink"/>
          </w:rPr>
          <w:t>url</w:t>
        </w:r>
      </w:hyperlink>
      <w:r>
        <w:t>.</w:t>
      </w:r>
      <w:r w:rsidRPr="00FD6E52">
        <w:t xml:space="preserve"> </w:t>
      </w:r>
    </w:p>
  </w:footnote>
  <w:footnote w:id="79">
    <w:p w14:paraId="03953BC7" w14:textId="580B98CC" w:rsidR="003E4754" w:rsidRDefault="003E4754" w:rsidP="00184AA8">
      <w:pPr>
        <w:pStyle w:val="FootnoteText"/>
      </w:pPr>
      <w:r>
        <w:rPr>
          <w:rStyle w:val="FootnoteReference"/>
        </w:rPr>
        <w:footnoteRef/>
      </w:r>
      <w:r>
        <w:t xml:space="preserve"> </w:t>
      </w:r>
      <w:r w:rsidRPr="004C40BF">
        <w:t xml:space="preserve">Bertelsmann Stiftung, </w:t>
      </w:r>
      <w:r>
        <w:t xml:space="preserve">‘BTI 2016 Country Report – </w:t>
      </w:r>
      <w:r w:rsidRPr="004C40BF">
        <w:t>India</w:t>
      </w:r>
      <w:r>
        <w:t xml:space="preserve">’, (page 9), 29 February 2016, </w:t>
      </w:r>
      <w:hyperlink r:id="rId72" w:history="1">
        <w:r w:rsidRPr="00184AA8">
          <w:rPr>
            <w:rStyle w:val="Hyperlink"/>
          </w:rPr>
          <w:t>url</w:t>
        </w:r>
      </w:hyperlink>
      <w:r>
        <w:t xml:space="preserve">. </w:t>
      </w:r>
    </w:p>
  </w:footnote>
  <w:footnote w:id="80">
    <w:p w14:paraId="54EC3910" w14:textId="01B4FDE7" w:rsidR="003E4754" w:rsidRDefault="003E4754" w:rsidP="00184AA8">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(F4),</w:t>
      </w:r>
      <w:r w:rsidRPr="00B1372F">
        <w:t xml:space="preserve"> 1 March 2018, </w:t>
      </w:r>
      <w:hyperlink r:id="rId73" w:history="1">
        <w:r w:rsidRPr="0069134B">
          <w:rPr>
            <w:rStyle w:val="Hyperlink"/>
          </w:rPr>
          <w:t>url</w:t>
        </w:r>
      </w:hyperlink>
      <w:r>
        <w:t xml:space="preserve">. </w:t>
      </w:r>
    </w:p>
  </w:footnote>
  <w:footnote w:id="81">
    <w:p w14:paraId="62A31E70" w14:textId="169F9D71" w:rsidR="003E4754" w:rsidRDefault="003E4754">
      <w:pPr>
        <w:pStyle w:val="FootnoteText"/>
      </w:pPr>
      <w:r>
        <w:rPr>
          <w:rStyle w:val="FootnoteReference"/>
        </w:rPr>
        <w:footnoteRef/>
      </w:r>
      <w:r>
        <w:t xml:space="preserve"> Constitution of India, </w:t>
      </w:r>
      <w:hyperlink r:id="rId74" w:history="1">
        <w:r w:rsidRPr="00C82BDB">
          <w:rPr>
            <w:rStyle w:val="Hyperlink"/>
          </w:rPr>
          <w:t>url</w:t>
        </w:r>
      </w:hyperlink>
      <w:r>
        <w:t>.</w:t>
      </w:r>
    </w:p>
  </w:footnote>
  <w:footnote w:id="82">
    <w:p w14:paraId="05473743" w14:textId="77777777" w:rsidR="003E4754" w:rsidRDefault="003E4754" w:rsidP="00C82BDB">
      <w:pPr>
        <w:pStyle w:val="FootnoteText"/>
      </w:pPr>
      <w:r>
        <w:rPr>
          <w:rStyle w:val="FootnoteReference"/>
        </w:rPr>
        <w:footnoteRef/>
      </w:r>
      <w:r>
        <w:t xml:space="preserve"> </w:t>
      </w:r>
      <w:r w:rsidRPr="004C40BF">
        <w:t xml:space="preserve">Bertelsmann Stiftung, </w:t>
      </w:r>
      <w:r>
        <w:t xml:space="preserve">‘BTI 2018 Country Report – </w:t>
      </w:r>
      <w:r w:rsidRPr="004C40BF">
        <w:t>India</w:t>
      </w:r>
      <w:r>
        <w:t xml:space="preserve">’, (page 10), 23 March 2018, </w:t>
      </w:r>
      <w:hyperlink r:id="rId75" w:history="1">
        <w:r w:rsidRPr="004C40BF">
          <w:rPr>
            <w:rStyle w:val="Hyperlink"/>
          </w:rPr>
          <w:t>url</w:t>
        </w:r>
      </w:hyperlink>
      <w:r>
        <w:t xml:space="preserve">. </w:t>
      </w:r>
    </w:p>
  </w:footnote>
  <w:footnote w:id="83">
    <w:p w14:paraId="649541CA" w14:textId="6B3758AC" w:rsidR="003E4754" w:rsidRDefault="003E4754">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(F1),</w:t>
      </w:r>
      <w:r w:rsidRPr="00B1372F">
        <w:t xml:space="preserve"> 1 March 2018, </w:t>
      </w:r>
      <w:hyperlink r:id="rId76" w:history="1">
        <w:r w:rsidRPr="0069134B">
          <w:rPr>
            <w:rStyle w:val="Hyperlink"/>
          </w:rPr>
          <w:t>url</w:t>
        </w:r>
      </w:hyperlink>
      <w:r>
        <w:t xml:space="preserve">. </w:t>
      </w:r>
    </w:p>
  </w:footnote>
  <w:footnote w:id="84">
    <w:p w14:paraId="3352E265" w14:textId="77777777" w:rsidR="003E4754" w:rsidRPr="008B075F" w:rsidRDefault="003E4754" w:rsidP="00B2283B">
      <w:pPr>
        <w:pStyle w:val="FootnoteText"/>
        <w:rPr>
          <w:lang w:val="en-US"/>
        </w:rPr>
      </w:pPr>
      <w:r>
        <w:rPr>
          <w:rStyle w:val="FootnoteReference"/>
        </w:rPr>
        <w:footnoteRef/>
      </w:r>
      <w:r>
        <w:t xml:space="preserve"> IRB, ‘India: </w:t>
      </w:r>
      <w:r w:rsidRPr="000C418A">
        <w:t>Independence of and corruption within the judicial system</w:t>
      </w:r>
      <w:r>
        <w:t xml:space="preserve">’, 5 May 2017, </w:t>
      </w:r>
      <w:hyperlink r:id="rId77" w:history="1">
        <w:r w:rsidRPr="000C418A">
          <w:rPr>
            <w:rStyle w:val="Hyperlink"/>
          </w:rPr>
          <w:t>url</w:t>
        </w:r>
      </w:hyperlink>
    </w:p>
  </w:footnote>
  <w:footnote w:id="85">
    <w:p w14:paraId="0DC41BEE" w14:textId="77777777" w:rsidR="003E4754" w:rsidRPr="008B075F" w:rsidRDefault="003E4754" w:rsidP="00B2283B">
      <w:pPr>
        <w:pStyle w:val="FootnoteText"/>
        <w:rPr>
          <w:lang w:val="en-US"/>
        </w:rPr>
      </w:pPr>
      <w:r>
        <w:rPr>
          <w:rStyle w:val="FootnoteReference"/>
        </w:rPr>
        <w:footnoteRef/>
      </w:r>
      <w:r>
        <w:t xml:space="preserve"> IRB, ‘India: </w:t>
      </w:r>
      <w:r w:rsidRPr="000C418A">
        <w:t>Independence of and corruption within the judicial system</w:t>
      </w:r>
      <w:r>
        <w:t xml:space="preserve">’, 5 May 2017, </w:t>
      </w:r>
      <w:hyperlink r:id="rId78" w:history="1">
        <w:r w:rsidRPr="000C418A">
          <w:rPr>
            <w:rStyle w:val="Hyperlink"/>
          </w:rPr>
          <w:t>url</w:t>
        </w:r>
      </w:hyperlink>
    </w:p>
  </w:footnote>
  <w:footnote w:id="86">
    <w:p w14:paraId="4B415200" w14:textId="1799A306" w:rsidR="003E4754" w:rsidRDefault="003E4754">
      <w:pPr>
        <w:pStyle w:val="FootnoteText"/>
      </w:pPr>
      <w:r>
        <w:rPr>
          <w:rStyle w:val="FootnoteReference"/>
        </w:rPr>
        <w:footnoteRef/>
      </w:r>
      <w:r>
        <w:t xml:space="preserve"> </w:t>
      </w:r>
      <w:r w:rsidRPr="004C40BF">
        <w:t xml:space="preserve">Bertelsmann Stiftung, </w:t>
      </w:r>
      <w:r>
        <w:t xml:space="preserve">‘BTI 2018 Country Report – </w:t>
      </w:r>
      <w:r w:rsidRPr="004C40BF">
        <w:t>India</w:t>
      </w:r>
      <w:r>
        <w:t xml:space="preserve">’, (page 11), 23 March 2018, </w:t>
      </w:r>
      <w:hyperlink r:id="rId79" w:history="1">
        <w:r w:rsidRPr="004C40BF">
          <w:rPr>
            <w:rStyle w:val="Hyperlink"/>
          </w:rPr>
          <w:t>url</w:t>
        </w:r>
      </w:hyperlink>
      <w:r>
        <w:t xml:space="preserve">. </w:t>
      </w:r>
    </w:p>
  </w:footnote>
  <w:footnote w:id="87">
    <w:p w14:paraId="77579F0E" w14:textId="77777777" w:rsidR="003E4754" w:rsidRDefault="003E4754" w:rsidP="001A41FF">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(F1),</w:t>
      </w:r>
      <w:r w:rsidRPr="00B1372F">
        <w:t xml:space="preserve"> 1 March 2018, </w:t>
      </w:r>
      <w:hyperlink r:id="rId80" w:history="1">
        <w:r w:rsidRPr="0069134B">
          <w:rPr>
            <w:rStyle w:val="Hyperlink"/>
          </w:rPr>
          <w:t>url</w:t>
        </w:r>
      </w:hyperlink>
      <w:r>
        <w:t xml:space="preserve">. </w:t>
      </w:r>
    </w:p>
  </w:footnote>
  <w:footnote w:id="88">
    <w:p w14:paraId="33DD1739" w14:textId="77777777" w:rsidR="003E4754" w:rsidRDefault="003E4754" w:rsidP="006C3B97">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(F1),</w:t>
      </w:r>
      <w:r w:rsidRPr="00B1372F">
        <w:t xml:space="preserve"> 1 March 2018, </w:t>
      </w:r>
      <w:hyperlink r:id="rId81" w:history="1">
        <w:r w:rsidRPr="0069134B">
          <w:rPr>
            <w:rStyle w:val="Hyperlink"/>
          </w:rPr>
          <w:t>url</w:t>
        </w:r>
      </w:hyperlink>
      <w:r>
        <w:t xml:space="preserve">. </w:t>
      </w:r>
    </w:p>
  </w:footnote>
  <w:footnote w:id="89">
    <w:p w14:paraId="43D0AA91" w14:textId="77777777" w:rsidR="003E4754" w:rsidRPr="008B075F" w:rsidRDefault="003E4754" w:rsidP="006C3B97">
      <w:pPr>
        <w:pStyle w:val="FootnoteText"/>
        <w:rPr>
          <w:lang w:val="en-US"/>
        </w:rPr>
      </w:pPr>
      <w:r>
        <w:rPr>
          <w:rStyle w:val="FootnoteReference"/>
        </w:rPr>
        <w:footnoteRef/>
      </w:r>
      <w:r>
        <w:t xml:space="preserve"> IRB, ‘India: </w:t>
      </w:r>
      <w:r w:rsidRPr="000C418A">
        <w:t>Independence of and corruption within the judicial system</w:t>
      </w:r>
      <w:r>
        <w:t xml:space="preserve">’, 5 May 2017, </w:t>
      </w:r>
      <w:hyperlink r:id="rId82" w:history="1">
        <w:r w:rsidRPr="000C418A">
          <w:rPr>
            <w:rStyle w:val="Hyperlink"/>
          </w:rPr>
          <w:t>url</w:t>
        </w:r>
      </w:hyperlink>
    </w:p>
  </w:footnote>
  <w:footnote w:id="90">
    <w:p w14:paraId="308CEA82" w14:textId="0B282664" w:rsidR="003E4754" w:rsidRDefault="003E4754">
      <w:pPr>
        <w:pStyle w:val="FootnoteText"/>
      </w:pPr>
      <w:r>
        <w:rPr>
          <w:rStyle w:val="FootnoteReference"/>
        </w:rPr>
        <w:footnoteRef/>
      </w:r>
      <w:r>
        <w:t xml:space="preserve"> IRB, ‘India: </w:t>
      </w:r>
      <w:r w:rsidRPr="000C418A">
        <w:t>Independence of and corruption within the judicial system</w:t>
      </w:r>
      <w:r>
        <w:t xml:space="preserve">’, 5 May 2017, </w:t>
      </w:r>
      <w:hyperlink r:id="rId83" w:history="1">
        <w:r w:rsidRPr="000C418A">
          <w:rPr>
            <w:rStyle w:val="Hyperlink"/>
          </w:rPr>
          <w:t>url</w:t>
        </w:r>
      </w:hyperlink>
      <w:r>
        <w:t>.</w:t>
      </w:r>
    </w:p>
  </w:footnote>
  <w:footnote w:id="91">
    <w:p w14:paraId="27935EEF" w14:textId="77777777" w:rsidR="003E4754" w:rsidRDefault="003E4754" w:rsidP="00515FAA">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(F1),</w:t>
      </w:r>
      <w:r w:rsidRPr="00B1372F">
        <w:t xml:space="preserve"> 1 March 2018, </w:t>
      </w:r>
      <w:hyperlink r:id="rId84" w:history="1">
        <w:r w:rsidRPr="0069134B">
          <w:rPr>
            <w:rStyle w:val="Hyperlink"/>
          </w:rPr>
          <w:t>url</w:t>
        </w:r>
      </w:hyperlink>
      <w:r>
        <w:t xml:space="preserve">. </w:t>
      </w:r>
    </w:p>
  </w:footnote>
  <w:footnote w:id="92">
    <w:p w14:paraId="5BADAD25" w14:textId="77777777" w:rsidR="003E4754" w:rsidRDefault="003E4754" w:rsidP="00515FAA">
      <w:pPr>
        <w:pStyle w:val="FootnoteText"/>
      </w:pPr>
      <w:r>
        <w:rPr>
          <w:rStyle w:val="FootnoteReference"/>
        </w:rPr>
        <w:footnoteRef/>
      </w:r>
      <w:r>
        <w:t xml:space="preserve"> HRC, ‘Special Rapporteur on adequate housing’, (paragraph 74), 10 January 2017, </w:t>
      </w:r>
      <w:hyperlink r:id="rId85" w:history="1">
        <w:r w:rsidRPr="004A6E74">
          <w:rPr>
            <w:rStyle w:val="Hyperlink"/>
          </w:rPr>
          <w:t>url</w:t>
        </w:r>
      </w:hyperlink>
      <w:r>
        <w:t xml:space="preserve">. </w:t>
      </w:r>
    </w:p>
  </w:footnote>
  <w:footnote w:id="93">
    <w:p w14:paraId="59DCD4DD" w14:textId="56257653" w:rsidR="003E4754" w:rsidRDefault="003E4754" w:rsidP="002B4D69">
      <w:pPr>
        <w:pStyle w:val="FootnoteText"/>
      </w:pPr>
      <w:r>
        <w:rPr>
          <w:rStyle w:val="FootnoteReference"/>
        </w:rPr>
        <w:footnoteRef/>
      </w:r>
      <w:r>
        <w:t xml:space="preserve"> PRS, ‘Police Reform in India’, (page 11), June 2017, </w:t>
      </w:r>
      <w:hyperlink r:id="rId86" w:history="1">
        <w:r w:rsidRPr="001A57D9">
          <w:rPr>
            <w:rStyle w:val="Hyperlink"/>
          </w:rPr>
          <w:t>url</w:t>
        </w:r>
      </w:hyperlink>
      <w:r>
        <w:t xml:space="preserve">. </w:t>
      </w:r>
    </w:p>
  </w:footnote>
  <w:footnote w:id="94">
    <w:p w14:paraId="6D5BA01A" w14:textId="3E7D4303" w:rsidR="003E4754" w:rsidRDefault="003E4754">
      <w:pPr>
        <w:pStyle w:val="FootnoteText"/>
      </w:pPr>
      <w:r>
        <w:rPr>
          <w:rStyle w:val="FootnoteReference"/>
        </w:rPr>
        <w:footnoteRef/>
      </w:r>
      <w:r>
        <w:t xml:space="preserve"> MWCD, ‘</w:t>
      </w:r>
      <w:r w:rsidRPr="00557078">
        <w:t>701 Juvenile Justice Boards (JJBs) Established in the country</w:t>
      </w:r>
      <w:r>
        <w:t xml:space="preserve">’, 9 February 2018, </w:t>
      </w:r>
      <w:hyperlink r:id="rId87" w:history="1">
        <w:r w:rsidRPr="00557078">
          <w:rPr>
            <w:rStyle w:val="Hyperlink"/>
          </w:rPr>
          <w:t>url</w:t>
        </w:r>
      </w:hyperlink>
      <w:r>
        <w:t xml:space="preserve">. </w:t>
      </w:r>
    </w:p>
  </w:footnote>
  <w:footnote w:id="95">
    <w:p w14:paraId="2D406135" w14:textId="6649CA2A" w:rsidR="003E4754" w:rsidRDefault="003E4754">
      <w:pPr>
        <w:pStyle w:val="FootnoteText"/>
      </w:pPr>
      <w:r>
        <w:rPr>
          <w:rStyle w:val="FootnoteReference"/>
        </w:rPr>
        <w:footnoteRef/>
      </w:r>
      <w:r>
        <w:t xml:space="preserve"> HRW, ‘</w:t>
      </w:r>
      <w:r w:rsidRPr="00901E77">
        <w:t xml:space="preserve">Submission from </w:t>
      </w:r>
      <w:r>
        <w:t>HRW for the UPR</w:t>
      </w:r>
      <w:r w:rsidRPr="00901E77">
        <w:t xml:space="preserve"> of India</w:t>
      </w:r>
      <w:r>
        <w:t>’</w:t>
      </w:r>
      <w:r w:rsidRPr="00901E77">
        <w:t>, 1 May 2017,</w:t>
      </w:r>
      <w:r>
        <w:t xml:space="preserve"> </w:t>
      </w:r>
      <w:hyperlink r:id="rId88" w:history="1">
        <w:r w:rsidRPr="00901E77">
          <w:rPr>
            <w:rStyle w:val="Hyperlink"/>
          </w:rPr>
          <w:t>url</w:t>
        </w:r>
      </w:hyperlink>
      <w:r>
        <w:t xml:space="preserve">. </w:t>
      </w:r>
    </w:p>
  </w:footnote>
  <w:footnote w:id="96">
    <w:p w14:paraId="12831723" w14:textId="651D4C11" w:rsidR="003E4754" w:rsidRDefault="003E4754">
      <w:pPr>
        <w:pStyle w:val="FootnoteText"/>
      </w:pPr>
      <w:r>
        <w:rPr>
          <w:rStyle w:val="FootnoteReference"/>
        </w:rPr>
        <w:footnoteRef/>
      </w:r>
      <w:r>
        <w:t xml:space="preserve"> Legal Bites, ‘Juvenile Justice Act’, 26 January 2018, </w:t>
      </w:r>
      <w:hyperlink r:id="rId89" w:history="1">
        <w:r w:rsidRPr="002E7383">
          <w:rPr>
            <w:rStyle w:val="Hyperlink"/>
          </w:rPr>
          <w:t>url</w:t>
        </w:r>
      </w:hyperlink>
      <w:r>
        <w:t xml:space="preserve">. </w:t>
      </w:r>
    </w:p>
  </w:footnote>
  <w:footnote w:id="97">
    <w:p w14:paraId="7706CE60" w14:textId="77777777" w:rsidR="003E4754" w:rsidRDefault="003E4754" w:rsidP="00BE3423">
      <w:pPr>
        <w:pStyle w:val="FootnoteText"/>
      </w:pPr>
      <w:r>
        <w:rPr>
          <w:rStyle w:val="FootnoteReference"/>
        </w:rPr>
        <w:footnoteRef/>
      </w:r>
      <w:r>
        <w:t xml:space="preserve"> </w:t>
      </w:r>
      <w:r w:rsidRPr="00E7123A">
        <w:t>Legal Service India</w:t>
      </w:r>
      <w:r>
        <w:t xml:space="preserve">, </w:t>
      </w:r>
      <w:r w:rsidRPr="00E7123A">
        <w:t>‘Lok Adalats And Permanent Lok Adalats’</w:t>
      </w:r>
      <w:r>
        <w:t xml:space="preserve">, n.d., </w:t>
      </w:r>
      <w:hyperlink r:id="rId90" w:history="1">
        <w:r w:rsidRPr="00E7123A">
          <w:rPr>
            <w:rStyle w:val="Hyperlink"/>
          </w:rPr>
          <w:t>url</w:t>
        </w:r>
      </w:hyperlink>
      <w:r>
        <w:t xml:space="preserve">.  </w:t>
      </w:r>
    </w:p>
  </w:footnote>
  <w:footnote w:id="98">
    <w:p w14:paraId="10AE3953" w14:textId="309627FC" w:rsidR="003E4754" w:rsidRDefault="003E4754">
      <w:pPr>
        <w:pStyle w:val="FootnoteText"/>
      </w:pPr>
      <w:r>
        <w:rPr>
          <w:rStyle w:val="FootnoteReference"/>
        </w:rPr>
        <w:footnoteRef/>
      </w:r>
      <w:r>
        <w:t xml:space="preserve"> Law Rato, ‘</w:t>
      </w:r>
      <w:r w:rsidRPr="00BE3423">
        <w:t>Lok Adalats in India</w:t>
      </w:r>
      <w:r>
        <w:t xml:space="preserve">’, 5 November 2018, </w:t>
      </w:r>
      <w:hyperlink r:id="rId91" w:history="1">
        <w:r w:rsidRPr="00BE3423">
          <w:rPr>
            <w:rStyle w:val="Hyperlink"/>
          </w:rPr>
          <w:t>url</w:t>
        </w:r>
      </w:hyperlink>
      <w:r>
        <w:t>.</w:t>
      </w:r>
    </w:p>
  </w:footnote>
  <w:footnote w:id="99">
    <w:p w14:paraId="41A6A515" w14:textId="776CC9FD" w:rsidR="003E4754" w:rsidRDefault="003E4754">
      <w:pPr>
        <w:pStyle w:val="FootnoteText"/>
      </w:pPr>
      <w:r>
        <w:rPr>
          <w:rStyle w:val="FootnoteReference"/>
        </w:rPr>
        <w:footnoteRef/>
      </w:r>
      <w:r>
        <w:t xml:space="preserve"> </w:t>
      </w:r>
      <w:r w:rsidRPr="00E7123A">
        <w:t>Legal Service India</w:t>
      </w:r>
      <w:r>
        <w:t xml:space="preserve">, </w:t>
      </w:r>
      <w:r w:rsidRPr="00E7123A">
        <w:t>‘Lok Adalats And Permanent Lok Adalats’</w:t>
      </w:r>
      <w:r>
        <w:t xml:space="preserve">, n.d., </w:t>
      </w:r>
      <w:hyperlink r:id="rId92" w:history="1">
        <w:r w:rsidRPr="00E7123A">
          <w:rPr>
            <w:rStyle w:val="Hyperlink"/>
          </w:rPr>
          <w:t>url</w:t>
        </w:r>
      </w:hyperlink>
      <w:r>
        <w:t xml:space="preserve">.  </w:t>
      </w:r>
    </w:p>
  </w:footnote>
  <w:footnote w:id="100">
    <w:p w14:paraId="521E7A9B" w14:textId="5637654D" w:rsidR="003E4754" w:rsidRDefault="003E4754">
      <w:pPr>
        <w:pStyle w:val="FootnoteText"/>
      </w:pPr>
      <w:r>
        <w:rPr>
          <w:rStyle w:val="FootnoteReference"/>
        </w:rPr>
        <w:footnoteRef/>
      </w:r>
      <w:r>
        <w:t xml:space="preserve"> </w:t>
      </w:r>
      <w:r w:rsidRPr="00E7123A">
        <w:t>Legal Service India</w:t>
      </w:r>
      <w:r>
        <w:t>,</w:t>
      </w:r>
      <w:r w:rsidRPr="00E7123A">
        <w:t xml:space="preserve"> </w:t>
      </w:r>
      <w:r>
        <w:t>‘</w:t>
      </w:r>
      <w:r w:rsidRPr="00E7123A">
        <w:t>An Introduction to the Legal Services Authorities Act</w:t>
      </w:r>
      <w:r>
        <w:t xml:space="preserve">’, n.d., </w:t>
      </w:r>
      <w:hyperlink r:id="rId93" w:history="1">
        <w:r w:rsidRPr="003A6CB3">
          <w:rPr>
            <w:rStyle w:val="Hyperlink"/>
          </w:rPr>
          <w:t>url</w:t>
        </w:r>
      </w:hyperlink>
      <w:r>
        <w:t xml:space="preserve">. </w:t>
      </w:r>
      <w:r w:rsidRPr="00E7123A">
        <w:t xml:space="preserve"> </w:t>
      </w:r>
    </w:p>
  </w:footnote>
  <w:footnote w:id="101">
    <w:p w14:paraId="1CFBF559" w14:textId="77777777" w:rsidR="003E4754" w:rsidRDefault="003E4754" w:rsidP="003A6CB3">
      <w:pPr>
        <w:pStyle w:val="FootnoteText"/>
      </w:pPr>
      <w:r>
        <w:rPr>
          <w:rStyle w:val="FootnoteReference"/>
        </w:rPr>
        <w:footnoteRef/>
      </w:r>
      <w:r>
        <w:t xml:space="preserve"> </w:t>
      </w:r>
      <w:r w:rsidRPr="00E7123A">
        <w:t>Legal Service India</w:t>
      </w:r>
      <w:r>
        <w:t xml:space="preserve">, </w:t>
      </w:r>
      <w:r w:rsidRPr="00E7123A">
        <w:t>‘Lok Adalats And Permanent Lok Adalats’</w:t>
      </w:r>
      <w:r>
        <w:t xml:space="preserve">, n.d., </w:t>
      </w:r>
      <w:hyperlink r:id="rId94" w:history="1">
        <w:r w:rsidRPr="00E7123A">
          <w:rPr>
            <w:rStyle w:val="Hyperlink"/>
          </w:rPr>
          <w:t>url</w:t>
        </w:r>
      </w:hyperlink>
      <w:r>
        <w:t xml:space="preserve">.  </w:t>
      </w:r>
    </w:p>
  </w:footnote>
  <w:footnote w:id="102">
    <w:p w14:paraId="06B65AF2" w14:textId="5EBF0F37" w:rsidR="003E4754" w:rsidRDefault="003E4754">
      <w:pPr>
        <w:pStyle w:val="FootnoteText"/>
      </w:pPr>
      <w:r>
        <w:rPr>
          <w:rStyle w:val="FootnoteReference"/>
        </w:rPr>
        <w:footnoteRef/>
      </w:r>
      <w:r>
        <w:t xml:space="preserve"> India Today, ‘What is a khap panchayat?’, 11 October 2012, </w:t>
      </w:r>
      <w:hyperlink r:id="rId95" w:history="1">
        <w:r w:rsidRPr="00DE4902">
          <w:rPr>
            <w:rStyle w:val="Hyperlink"/>
          </w:rPr>
          <w:t>url</w:t>
        </w:r>
      </w:hyperlink>
      <w:r>
        <w:t xml:space="preserve">. </w:t>
      </w:r>
    </w:p>
  </w:footnote>
  <w:footnote w:id="103">
    <w:p w14:paraId="686B983A" w14:textId="20858D9D" w:rsidR="003E4754" w:rsidRDefault="003E4754">
      <w:pPr>
        <w:pStyle w:val="FootnoteText"/>
      </w:pPr>
      <w:r>
        <w:rPr>
          <w:rStyle w:val="FootnoteReference"/>
        </w:rPr>
        <w:footnoteRef/>
      </w:r>
      <w:r>
        <w:t xml:space="preserve"> The Times of India, ‘Khap panchayats to stall marriage’, 27 March 2018, </w:t>
      </w:r>
      <w:hyperlink r:id="rId96" w:history="1">
        <w:r w:rsidRPr="002058F4">
          <w:rPr>
            <w:rStyle w:val="Hyperlink"/>
          </w:rPr>
          <w:t>url</w:t>
        </w:r>
      </w:hyperlink>
      <w:r>
        <w:t xml:space="preserve">. </w:t>
      </w:r>
    </w:p>
  </w:footnote>
  <w:footnote w:id="104">
    <w:p w14:paraId="742662BA" w14:textId="7B52C1D1" w:rsidR="003E4754" w:rsidRDefault="003E4754">
      <w:pPr>
        <w:pStyle w:val="FootnoteText"/>
      </w:pPr>
      <w:r>
        <w:rPr>
          <w:rStyle w:val="FootnoteReference"/>
        </w:rPr>
        <w:footnoteRef/>
      </w:r>
      <w:r>
        <w:t xml:space="preserve"> Hindustan Times, ‘</w:t>
      </w:r>
      <w:r w:rsidRPr="00B3088A">
        <w:t>‘Khap panchayat’ interference</w:t>
      </w:r>
      <w:r>
        <w:t xml:space="preserve">’, 28 March 2018, </w:t>
      </w:r>
      <w:hyperlink r:id="rId97" w:history="1">
        <w:r w:rsidRPr="00B3088A">
          <w:rPr>
            <w:rStyle w:val="Hyperlink"/>
          </w:rPr>
          <w:t>url</w:t>
        </w:r>
      </w:hyperlink>
      <w:r>
        <w:t xml:space="preserve">. </w:t>
      </w:r>
    </w:p>
  </w:footnote>
  <w:footnote w:id="105">
    <w:p w14:paraId="71CA617F" w14:textId="334E2D94" w:rsidR="003E4754" w:rsidRDefault="003E4754">
      <w:pPr>
        <w:pStyle w:val="FootnoteText"/>
      </w:pPr>
      <w:r>
        <w:rPr>
          <w:rStyle w:val="FootnoteReference"/>
        </w:rPr>
        <w:footnoteRef/>
      </w:r>
      <w:r>
        <w:t xml:space="preserve"> NDTV, ‘</w:t>
      </w:r>
      <w:r w:rsidRPr="00B7698E">
        <w:t>Khap Panchayat Verdi</w:t>
      </w:r>
      <w:r>
        <w:t xml:space="preserve">ct’, 27 March 2018, </w:t>
      </w:r>
      <w:hyperlink r:id="rId98" w:history="1">
        <w:r w:rsidRPr="00B7698E">
          <w:rPr>
            <w:rStyle w:val="Hyperlink"/>
          </w:rPr>
          <w:t>url</w:t>
        </w:r>
      </w:hyperlink>
      <w:r>
        <w:t xml:space="preserve">. </w:t>
      </w:r>
    </w:p>
  </w:footnote>
  <w:footnote w:id="106">
    <w:p w14:paraId="506B8ECC" w14:textId="77777777" w:rsidR="003E4754" w:rsidRDefault="003E4754" w:rsidP="008408CE">
      <w:pPr>
        <w:pStyle w:val="FootnoteText"/>
      </w:pPr>
      <w:r>
        <w:rPr>
          <w:rStyle w:val="FootnoteReference"/>
        </w:rPr>
        <w:footnoteRef/>
      </w:r>
      <w:r>
        <w:t xml:space="preserve"> Constitution of India, </w:t>
      </w:r>
      <w:hyperlink r:id="rId99" w:history="1">
        <w:r w:rsidRPr="00C82BDB">
          <w:rPr>
            <w:rStyle w:val="Hyperlink"/>
          </w:rPr>
          <w:t>url</w:t>
        </w:r>
      </w:hyperlink>
      <w:r>
        <w:t>.</w:t>
      </w:r>
    </w:p>
  </w:footnote>
  <w:footnote w:id="107">
    <w:p w14:paraId="3208A40F" w14:textId="7196014C" w:rsidR="003E4754" w:rsidRDefault="003E4754" w:rsidP="00A668B0">
      <w:pPr>
        <w:pStyle w:val="FootnoteText"/>
      </w:pPr>
      <w:r>
        <w:rPr>
          <w:rStyle w:val="FootnoteReference"/>
        </w:rPr>
        <w:footnoteRef/>
      </w:r>
      <w:r>
        <w:t xml:space="preserve"> Live Law, ‘Access To Legal Aid In India : An Unfulfilled Promise?’, 15 March 2018, </w:t>
      </w:r>
      <w:hyperlink r:id="rId100" w:history="1">
        <w:r w:rsidRPr="00A668B0">
          <w:rPr>
            <w:rStyle w:val="Hyperlink"/>
          </w:rPr>
          <w:t>url</w:t>
        </w:r>
      </w:hyperlink>
      <w:r>
        <w:t>.</w:t>
      </w:r>
    </w:p>
  </w:footnote>
  <w:footnote w:id="108">
    <w:p w14:paraId="694527EC" w14:textId="0C6F55EE" w:rsidR="003E4754" w:rsidRDefault="003E4754" w:rsidP="00A668B0">
      <w:pPr>
        <w:pStyle w:val="FootnoteText"/>
      </w:pPr>
      <w:r>
        <w:rPr>
          <w:rStyle w:val="FootnoteReference"/>
        </w:rPr>
        <w:footnoteRef/>
      </w:r>
      <w:r>
        <w:t xml:space="preserve"> Live Law, ‘Access To Legal Aid In India : An Unfulfilled Promise?’, 15 March 2018, </w:t>
      </w:r>
      <w:hyperlink r:id="rId101" w:history="1">
        <w:r w:rsidRPr="00A668B0">
          <w:rPr>
            <w:rStyle w:val="Hyperlink"/>
          </w:rPr>
          <w:t>url</w:t>
        </w:r>
      </w:hyperlink>
      <w:r>
        <w:t>.</w:t>
      </w:r>
    </w:p>
  </w:footnote>
  <w:footnote w:id="109">
    <w:p w14:paraId="7027F555" w14:textId="565E2113" w:rsidR="003E4754" w:rsidRDefault="003E4754" w:rsidP="006557A1">
      <w:pPr>
        <w:pStyle w:val="FootnoteText"/>
      </w:pPr>
      <w:r>
        <w:rPr>
          <w:rStyle w:val="FootnoteReference"/>
        </w:rPr>
        <w:footnoteRef/>
      </w:r>
      <w:r>
        <w:t xml:space="preserve"> DFAT, ‘Country Information Report India’, (paragraph 5.8), 17 October 2018, </w:t>
      </w:r>
      <w:hyperlink r:id="rId102" w:history="1">
        <w:r w:rsidRPr="00706C25">
          <w:rPr>
            <w:rStyle w:val="Hyperlink"/>
          </w:rPr>
          <w:t>url</w:t>
        </w:r>
      </w:hyperlink>
      <w:r>
        <w:t>.</w:t>
      </w:r>
    </w:p>
  </w:footnote>
  <w:footnote w:id="110">
    <w:p w14:paraId="6D1F94B8" w14:textId="5E521FC0" w:rsidR="003E4754" w:rsidRDefault="003E4754" w:rsidP="00515FAA">
      <w:pPr>
        <w:pStyle w:val="FootnoteText"/>
      </w:pPr>
      <w:r>
        <w:rPr>
          <w:rStyle w:val="FootnoteReference"/>
        </w:rPr>
        <w:footnoteRef/>
      </w:r>
      <w:r>
        <w:t xml:space="preserve"> HRC, ‘Special Rapporteur on adequate housing’, (paragraph 74), 10 January 2017, </w:t>
      </w:r>
      <w:hyperlink r:id="rId103" w:history="1">
        <w:r w:rsidRPr="004A6E74">
          <w:rPr>
            <w:rStyle w:val="Hyperlink"/>
          </w:rPr>
          <w:t>url</w:t>
        </w:r>
      </w:hyperlink>
      <w:r>
        <w:t xml:space="preserve">. </w:t>
      </w:r>
    </w:p>
  </w:footnote>
  <w:footnote w:id="111">
    <w:p w14:paraId="0C7101B7" w14:textId="7AD7A933" w:rsidR="003E4754" w:rsidRDefault="003E4754" w:rsidP="006557A1">
      <w:pPr>
        <w:pStyle w:val="FootnoteText"/>
      </w:pPr>
      <w:r>
        <w:rPr>
          <w:rStyle w:val="FootnoteReference"/>
        </w:rPr>
        <w:footnoteRef/>
      </w:r>
      <w:r>
        <w:t xml:space="preserve"> DFAT, ‘Country Information Report India’, (paragraph 5.9), 17 October 2018, </w:t>
      </w:r>
      <w:hyperlink r:id="rId104" w:history="1">
        <w:r w:rsidRPr="00706C25">
          <w:rPr>
            <w:rStyle w:val="Hyperlink"/>
          </w:rPr>
          <w:t>url</w:t>
        </w:r>
      </w:hyperlink>
      <w:r>
        <w:t>.</w:t>
      </w:r>
    </w:p>
  </w:footnote>
  <w:footnote w:id="112">
    <w:p w14:paraId="12434892" w14:textId="79DA9894" w:rsidR="003E4754" w:rsidRDefault="003E4754">
      <w:pPr>
        <w:pStyle w:val="FootnoteText"/>
      </w:pPr>
      <w:r>
        <w:rPr>
          <w:rStyle w:val="FootnoteReference"/>
        </w:rPr>
        <w:footnoteRef/>
      </w:r>
      <w:r>
        <w:t xml:space="preserve"> CHRI, ‘Hope behind bars’, 18 September 2018, </w:t>
      </w:r>
      <w:hyperlink r:id="rId105" w:history="1">
        <w:r w:rsidRPr="00E25E73">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8D14" w14:textId="47CA5AB4" w:rsidR="00A10798" w:rsidRDefault="00A10798">
    <w:pPr>
      <w:pStyle w:val="Header"/>
    </w:pPr>
    <w:r>
      <w:rPr>
        <w:noProof/>
      </w:rPr>
      <w:pict w14:anchorId="0C843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3360" o:spid="_x0000_s1027"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0F4A55C9" w:rsidR="003E4754" w:rsidRDefault="00A10798">
    <w:pPr>
      <w:pStyle w:val="Header"/>
    </w:pPr>
    <w:r>
      <w:rPr>
        <w:noProof/>
      </w:rPr>
      <w:pict w14:anchorId="675DA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3361" o:spid="_x0000_s1028"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3E4754">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5FEBE"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3E4754" w:rsidRDefault="003E47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7149B0E0" w:rsidR="003E4754" w:rsidRDefault="00A10798">
    <w:pPr>
      <w:pStyle w:val="Header"/>
    </w:pPr>
    <w:r>
      <w:rPr>
        <w:noProof/>
      </w:rPr>
      <w:pict w14:anchorId="6907F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3359" o:spid="_x0000_s1026"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3E4754" w:rsidRDefault="003E4754">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3E4754" w:rsidRDefault="003E4754">
    <w:pPr>
      <w:pStyle w:val="Header"/>
    </w:pPr>
  </w:p>
  <w:p w14:paraId="6ACF01F0" w14:textId="77777777" w:rsidR="003E4754" w:rsidRDefault="003E4754">
    <w:pPr>
      <w:pStyle w:val="Header"/>
    </w:pPr>
  </w:p>
  <w:p w14:paraId="6ACF01F1" w14:textId="77777777" w:rsidR="003E4754" w:rsidRDefault="003E4754">
    <w:pPr>
      <w:pStyle w:val="Header"/>
    </w:pPr>
  </w:p>
  <w:p w14:paraId="6ACF01F2" w14:textId="77777777" w:rsidR="003E4754" w:rsidRDefault="003E4754">
    <w:pPr>
      <w:pStyle w:val="Header"/>
    </w:pPr>
  </w:p>
  <w:p w14:paraId="6ACF01F3" w14:textId="77777777" w:rsidR="003E4754" w:rsidRDefault="003E4754">
    <w:pPr>
      <w:pStyle w:val="Header"/>
    </w:pPr>
  </w:p>
  <w:p w14:paraId="6ACF01F4" w14:textId="77777777" w:rsidR="003E4754" w:rsidRDefault="003E4754">
    <w:pPr>
      <w:pStyle w:val="Header"/>
    </w:pPr>
  </w:p>
  <w:p w14:paraId="6ACF01F5" w14:textId="77777777" w:rsidR="003E4754" w:rsidRDefault="003E4754">
    <w:pPr>
      <w:pStyle w:val="Header"/>
    </w:pPr>
  </w:p>
  <w:p w14:paraId="6ACF01F6" w14:textId="77777777" w:rsidR="003E4754" w:rsidRDefault="003E4754">
    <w:pPr>
      <w:pStyle w:val="Header"/>
    </w:pPr>
  </w:p>
  <w:p w14:paraId="6ACF01F7" w14:textId="77777777" w:rsidR="003E4754" w:rsidRDefault="003E4754">
    <w:pPr>
      <w:pStyle w:val="Header"/>
    </w:pPr>
  </w:p>
  <w:p w14:paraId="6ACF01F8" w14:textId="77777777" w:rsidR="003E4754" w:rsidRDefault="003E4754">
    <w:pPr>
      <w:pStyle w:val="Header"/>
    </w:pPr>
  </w:p>
  <w:p w14:paraId="6ACF01F9" w14:textId="77777777" w:rsidR="003E4754" w:rsidRDefault="003E4754">
    <w:pPr>
      <w:pStyle w:val="Header"/>
    </w:pPr>
  </w:p>
  <w:p w14:paraId="6ACF01FA" w14:textId="77777777" w:rsidR="003E4754" w:rsidRDefault="003E4754">
    <w:pPr>
      <w:pStyle w:val="Header"/>
    </w:pPr>
  </w:p>
  <w:p w14:paraId="6ACF01FB" w14:textId="77777777" w:rsidR="003E4754" w:rsidRDefault="003E4754">
    <w:pPr>
      <w:pStyle w:val="Header"/>
    </w:pPr>
  </w:p>
  <w:p w14:paraId="6ACF01FC" w14:textId="77777777" w:rsidR="003E4754" w:rsidRDefault="003E4754">
    <w:pPr>
      <w:pStyle w:val="Header"/>
    </w:pPr>
  </w:p>
  <w:p w14:paraId="6ACF01FD" w14:textId="77777777" w:rsidR="003E4754" w:rsidRDefault="003E4754">
    <w:pPr>
      <w:pStyle w:val="Header"/>
    </w:pPr>
  </w:p>
  <w:p w14:paraId="6ACF01FE" w14:textId="77777777" w:rsidR="003E4754" w:rsidRDefault="003E4754">
    <w:pPr>
      <w:pStyle w:val="Header"/>
    </w:pPr>
  </w:p>
  <w:p w14:paraId="6ACF01FF" w14:textId="77777777" w:rsidR="003E4754" w:rsidRDefault="003E4754">
    <w:pPr>
      <w:pStyle w:val="Header"/>
    </w:pPr>
  </w:p>
  <w:p w14:paraId="6ACF0200" w14:textId="77777777" w:rsidR="003E4754" w:rsidRDefault="003E47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1C3"/>
    <w:multiLevelType w:val="multilevel"/>
    <w:tmpl w:val="3BDCB4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7D8AB882"/>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2BA2398"/>
    <w:multiLevelType w:val="hybridMultilevel"/>
    <w:tmpl w:val="7230083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B924CB"/>
    <w:multiLevelType w:val="hybridMultilevel"/>
    <w:tmpl w:val="7CC298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1"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4940186">
    <w:abstractNumId w:val="10"/>
  </w:num>
  <w:num w:numId="2" w16cid:durableId="185994008">
    <w:abstractNumId w:val="4"/>
  </w:num>
  <w:num w:numId="3" w16cid:durableId="842083572">
    <w:abstractNumId w:val="2"/>
  </w:num>
  <w:num w:numId="4" w16cid:durableId="155263584">
    <w:abstractNumId w:val="6"/>
  </w:num>
  <w:num w:numId="5" w16cid:durableId="1144272867">
    <w:abstractNumId w:val="8"/>
  </w:num>
  <w:num w:numId="6" w16cid:durableId="1927303468">
    <w:abstractNumId w:val="1"/>
  </w:num>
  <w:num w:numId="7" w16cid:durableId="1963225988">
    <w:abstractNumId w:val="11"/>
  </w:num>
  <w:num w:numId="8" w16cid:durableId="2067683950">
    <w:abstractNumId w:val="7"/>
  </w:num>
  <w:num w:numId="9" w16cid:durableId="827211594">
    <w:abstractNumId w:val="3"/>
  </w:num>
  <w:num w:numId="10" w16cid:durableId="509489618">
    <w:abstractNumId w:val="13"/>
  </w:num>
  <w:num w:numId="11" w16cid:durableId="1192501325">
    <w:abstractNumId w:val="12"/>
  </w:num>
  <w:num w:numId="12" w16cid:durableId="417092226">
    <w:abstractNumId w:val="9"/>
  </w:num>
  <w:num w:numId="13" w16cid:durableId="523784969">
    <w:abstractNumId w:val="5"/>
  </w:num>
  <w:num w:numId="14" w16cid:durableId="20807061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649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7A59"/>
    <w:rsid w:val="00010E2D"/>
    <w:rsid w:val="00016063"/>
    <w:rsid w:val="000211B5"/>
    <w:rsid w:val="00021B45"/>
    <w:rsid w:val="000229E1"/>
    <w:rsid w:val="00025AE5"/>
    <w:rsid w:val="00037F46"/>
    <w:rsid w:val="000417CC"/>
    <w:rsid w:val="00043BB8"/>
    <w:rsid w:val="0004705F"/>
    <w:rsid w:val="00052607"/>
    <w:rsid w:val="000549F2"/>
    <w:rsid w:val="00055AD5"/>
    <w:rsid w:val="00056B58"/>
    <w:rsid w:val="00063464"/>
    <w:rsid w:val="0007121D"/>
    <w:rsid w:val="000766F0"/>
    <w:rsid w:val="00077DD1"/>
    <w:rsid w:val="00082FB8"/>
    <w:rsid w:val="00087C5B"/>
    <w:rsid w:val="00092895"/>
    <w:rsid w:val="0009783C"/>
    <w:rsid w:val="00097BDE"/>
    <w:rsid w:val="000A1963"/>
    <w:rsid w:val="000A258D"/>
    <w:rsid w:val="000A4906"/>
    <w:rsid w:val="000A6CAC"/>
    <w:rsid w:val="000A7D53"/>
    <w:rsid w:val="000B0571"/>
    <w:rsid w:val="000B1359"/>
    <w:rsid w:val="000B1A8B"/>
    <w:rsid w:val="000B2D07"/>
    <w:rsid w:val="000B396A"/>
    <w:rsid w:val="000C3F17"/>
    <w:rsid w:val="000C418A"/>
    <w:rsid w:val="000C4ABB"/>
    <w:rsid w:val="000D3C0C"/>
    <w:rsid w:val="000D49EA"/>
    <w:rsid w:val="000E40D1"/>
    <w:rsid w:val="000E4576"/>
    <w:rsid w:val="000F0246"/>
    <w:rsid w:val="000F0A54"/>
    <w:rsid w:val="000F1226"/>
    <w:rsid w:val="000F271C"/>
    <w:rsid w:val="000F71A9"/>
    <w:rsid w:val="00100156"/>
    <w:rsid w:val="00107172"/>
    <w:rsid w:val="001135C6"/>
    <w:rsid w:val="00117282"/>
    <w:rsid w:val="0012607F"/>
    <w:rsid w:val="00131BEC"/>
    <w:rsid w:val="001337CE"/>
    <w:rsid w:val="00134738"/>
    <w:rsid w:val="001576C8"/>
    <w:rsid w:val="001644CD"/>
    <w:rsid w:val="00165DC0"/>
    <w:rsid w:val="00171EDB"/>
    <w:rsid w:val="00176D73"/>
    <w:rsid w:val="00180CB0"/>
    <w:rsid w:val="001824D8"/>
    <w:rsid w:val="00182726"/>
    <w:rsid w:val="00184AA8"/>
    <w:rsid w:val="001856A6"/>
    <w:rsid w:val="00187FD4"/>
    <w:rsid w:val="00196F13"/>
    <w:rsid w:val="00197E25"/>
    <w:rsid w:val="001A41FF"/>
    <w:rsid w:val="001A43BB"/>
    <w:rsid w:val="001A57D9"/>
    <w:rsid w:val="001A7049"/>
    <w:rsid w:val="001B21B4"/>
    <w:rsid w:val="001B6A9A"/>
    <w:rsid w:val="001B7305"/>
    <w:rsid w:val="001C57AA"/>
    <w:rsid w:val="001D2409"/>
    <w:rsid w:val="001D27DA"/>
    <w:rsid w:val="001D30BA"/>
    <w:rsid w:val="001D7B53"/>
    <w:rsid w:val="001E0728"/>
    <w:rsid w:val="001E2C83"/>
    <w:rsid w:val="001E32F4"/>
    <w:rsid w:val="001F161A"/>
    <w:rsid w:val="001F3A90"/>
    <w:rsid w:val="0020053E"/>
    <w:rsid w:val="00201549"/>
    <w:rsid w:val="00201789"/>
    <w:rsid w:val="00205709"/>
    <w:rsid w:val="002058F4"/>
    <w:rsid w:val="00206028"/>
    <w:rsid w:val="00207D92"/>
    <w:rsid w:val="002157F9"/>
    <w:rsid w:val="00217E18"/>
    <w:rsid w:val="00225E62"/>
    <w:rsid w:val="00226320"/>
    <w:rsid w:val="002269F6"/>
    <w:rsid w:val="002319FF"/>
    <w:rsid w:val="00233A64"/>
    <w:rsid w:val="00237224"/>
    <w:rsid w:val="002408AC"/>
    <w:rsid w:val="00242A50"/>
    <w:rsid w:val="00252B91"/>
    <w:rsid w:val="00253536"/>
    <w:rsid w:val="002546B7"/>
    <w:rsid w:val="00254D35"/>
    <w:rsid w:val="0025650B"/>
    <w:rsid w:val="002579BE"/>
    <w:rsid w:val="00266463"/>
    <w:rsid w:val="00270C8D"/>
    <w:rsid w:val="00272AB1"/>
    <w:rsid w:val="002756F4"/>
    <w:rsid w:val="00281AD5"/>
    <w:rsid w:val="00282BA4"/>
    <w:rsid w:val="00283BA0"/>
    <w:rsid w:val="002863D7"/>
    <w:rsid w:val="00294D38"/>
    <w:rsid w:val="00294E71"/>
    <w:rsid w:val="0029746D"/>
    <w:rsid w:val="002A114B"/>
    <w:rsid w:val="002A2FBC"/>
    <w:rsid w:val="002B4822"/>
    <w:rsid w:val="002B4D69"/>
    <w:rsid w:val="002B5F73"/>
    <w:rsid w:val="002B640E"/>
    <w:rsid w:val="002C20A7"/>
    <w:rsid w:val="002C20C2"/>
    <w:rsid w:val="002C4796"/>
    <w:rsid w:val="002C4A99"/>
    <w:rsid w:val="002C7E99"/>
    <w:rsid w:val="002D52DE"/>
    <w:rsid w:val="002E0C2A"/>
    <w:rsid w:val="002E2D51"/>
    <w:rsid w:val="002E30F7"/>
    <w:rsid w:val="002E7383"/>
    <w:rsid w:val="002F4DF3"/>
    <w:rsid w:val="00301393"/>
    <w:rsid w:val="0030215D"/>
    <w:rsid w:val="00305CB1"/>
    <w:rsid w:val="00314FA3"/>
    <w:rsid w:val="003172BA"/>
    <w:rsid w:val="00327408"/>
    <w:rsid w:val="0033423C"/>
    <w:rsid w:val="00347617"/>
    <w:rsid w:val="0035499B"/>
    <w:rsid w:val="00370AC0"/>
    <w:rsid w:val="00374CFD"/>
    <w:rsid w:val="00386A58"/>
    <w:rsid w:val="00390593"/>
    <w:rsid w:val="003A69F6"/>
    <w:rsid w:val="003A6CB3"/>
    <w:rsid w:val="003B068D"/>
    <w:rsid w:val="003B3C7E"/>
    <w:rsid w:val="003B3FBB"/>
    <w:rsid w:val="003B4317"/>
    <w:rsid w:val="003C6427"/>
    <w:rsid w:val="003C69D2"/>
    <w:rsid w:val="003D3AC5"/>
    <w:rsid w:val="003D41D5"/>
    <w:rsid w:val="003D707A"/>
    <w:rsid w:val="003E4754"/>
    <w:rsid w:val="003E4A8A"/>
    <w:rsid w:val="003F5CB2"/>
    <w:rsid w:val="00402F36"/>
    <w:rsid w:val="004262EF"/>
    <w:rsid w:val="004263CE"/>
    <w:rsid w:val="0045006C"/>
    <w:rsid w:val="0045163C"/>
    <w:rsid w:val="00463F2B"/>
    <w:rsid w:val="0046788D"/>
    <w:rsid w:val="00472463"/>
    <w:rsid w:val="00472BB1"/>
    <w:rsid w:val="00481667"/>
    <w:rsid w:val="00487219"/>
    <w:rsid w:val="0049176F"/>
    <w:rsid w:val="004979F2"/>
    <w:rsid w:val="004A419C"/>
    <w:rsid w:val="004A7771"/>
    <w:rsid w:val="004B2EE2"/>
    <w:rsid w:val="004B47BD"/>
    <w:rsid w:val="004B576D"/>
    <w:rsid w:val="004C145A"/>
    <w:rsid w:val="004C40BF"/>
    <w:rsid w:val="004C6A2A"/>
    <w:rsid w:val="004C6A95"/>
    <w:rsid w:val="004C6E90"/>
    <w:rsid w:val="004D01DE"/>
    <w:rsid w:val="004D0D2A"/>
    <w:rsid w:val="004E26DA"/>
    <w:rsid w:val="004E2B81"/>
    <w:rsid w:val="004E4CF8"/>
    <w:rsid w:val="004F6C4A"/>
    <w:rsid w:val="004F78CB"/>
    <w:rsid w:val="00506884"/>
    <w:rsid w:val="005138F2"/>
    <w:rsid w:val="00514A31"/>
    <w:rsid w:val="005150A1"/>
    <w:rsid w:val="0051511A"/>
    <w:rsid w:val="00515FAA"/>
    <w:rsid w:val="00517744"/>
    <w:rsid w:val="00520F7D"/>
    <w:rsid w:val="00521745"/>
    <w:rsid w:val="00524DDD"/>
    <w:rsid w:val="00525253"/>
    <w:rsid w:val="005252C0"/>
    <w:rsid w:val="00526298"/>
    <w:rsid w:val="005267A5"/>
    <w:rsid w:val="00530A41"/>
    <w:rsid w:val="00534537"/>
    <w:rsid w:val="00534FA1"/>
    <w:rsid w:val="0053616A"/>
    <w:rsid w:val="00542AF3"/>
    <w:rsid w:val="00543DC5"/>
    <w:rsid w:val="00557078"/>
    <w:rsid w:val="00557C8A"/>
    <w:rsid w:val="005618EB"/>
    <w:rsid w:val="005624FE"/>
    <w:rsid w:val="00576092"/>
    <w:rsid w:val="005808FE"/>
    <w:rsid w:val="005825A1"/>
    <w:rsid w:val="005844AA"/>
    <w:rsid w:val="00587DF9"/>
    <w:rsid w:val="005A5553"/>
    <w:rsid w:val="005B173B"/>
    <w:rsid w:val="005B1953"/>
    <w:rsid w:val="005B1CE3"/>
    <w:rsid w:val="005B25BA"/>
    <w:rsid w:val="005B5209"/>
    <w:rsid w:val="005B5812"/>
    <w:rsid w:val="005C67FE"/>
    <w:rsid w:val="005C7B1F"/>
    <w:rsid w:val="005D2C6A"/>
    <w:rsid w:val="005D31E8"/>
    <w:rsid w:val="005D7CB5"/>
    <w:rsid w:val="005D7E42"/>
    <w:rsid w:val="005E2F30"/>
    <w:rsid w:val="005E37CB"/>
    <w:rsid w:val="005E4AC3"/>
    <w:rsid w:val="005E53E0"/>
    <w:rsid w:val="005E6272"/>
    <w:rsid w:val="005E755D"/>
    <w:rsid w:val="005F2807"/>
    <w:rsid w:val="005F2AAF"/>
    <w:rsid w:val="00602C6A"/>
    <w:rsid w:val="00603B7B"/>
    <w:rsid w:val="006054C9"/>
    <w:rsid w:val="00605C65"/>
    <w:rsid w:val="00605FCD"/>
    <w:rsid w:val="0060785E"/>
    <w:rsid w:val="006112C2"/>
    <w:rsid w:val="00624865"/>
    <w:rsid w:val="00625B43"/>
    <w:rsid w:val="006320AD"/>
    <w:rsid w:val="0063552E"/>
    <w:rsid w:val="006369AA"/>
    <w:rsid w:val="00640657"/>
    <w:rsid w:val="00641438"/>
    <w:rsid w:val="0064270F"/>
    <w:rsid w:val="00645492"/>
    <w:rsid w:val="00647EBD"/>
    <w:rsid w:val="006517AD"/>
    <w:rsid w:val="00651F65"/>
    <w:rsid w:val="006529E2"/>
    <w:rsid w:val="0065348D"/>
    <w:rsid w:val="00653531"/>
    <w:rsid w:val="006537AD"/>
    <w:rsid w:val="006557A1"/>
    <w:rsid w:val="006560EA"/>
    <w:rsid w:val="00657C11"/>
    <w:rsid w:val="0066224E"/>
    <w:rsid w:val="006654BD"/>
    <w:rsid w:val="00665F18"/>
    <w:rsid w:val="006660AD"/>
    <w:rsid w:val="00672D1B"/>
    <w:rsid w:val="006811EE"/>
    <w:rsid w:val="00681A26"/>
    <w:rsid w:val="00683B58"/>
    <w:rsid w:val="00684BB9"/>
    <w:rsid w:val="00686538"/>
    <w:rsid w:val="00686CBD"/>
    <w:rsid w:val="006872FD"/>
    <w:rsid w:val="0069134B"/>
    <w:rsid w:val="006943C8"/>
    <w:rsid w:val="00694587"/>
    <w:rsid w:val="00695723"/>
    <w:rsid w:val="006A16FF"/>
    <w:rsid w:val="006A444C"/>
    <w:rsid w:val="006B0DDC"/>
    <w:rsid w:val="006B14C6"/>
    <w:rsid w:val="006B1C63"/>
    <w:rsid w:val="006B46A8"/>
    <w:rsid w:val="006B4863"/>
    <w:rsid w:val="006C3795"/>
    <w:rsid w:val="006C3B97"/>
    <w:rsid w:val="006D5364"/>
    <w:rsid w:val="006E4074"/>
    <w:rsid w:val="006E482F"/>
    <w:rsid w:val="006E505A"/>
    <w:rsid w:val="006E6676"/>
    <w:rsid w:val="006E686E"/>
    <w:rsid w:val="006E7CC6"/>
    <w:rsid w:val="006F575C"/>
    <w:rsid w:val="00700D18"/>
    <w:rsid w:val="00701E8B"/>
    <w:rsid w:val="00704016"/>
    <w:rsid w:val="00704A28"/>
    <w:rsid w:val="00706BED"/>
    <w:rsid w:val="00710D1E"/>
    <w:rsid w:val="007110C4"/>
    <w:rsid w:val="00723CEB"/>
    <w:rsid w:val="007242E8"/>
    <w:rsid w:val="00732102"/>
    <w:rsid w:val="0073321D"/>
    <w:rsid w:val="00743555"/>
    <w:rsid w:val="00744ADD"/>
    <w:rsid w:val="00745360"/>
    <w:rsid w:val="00750CE6"/>
    <w:rsid w:val="00755DE8"/>
    <w:rsid w:val="0075717A"/>
    <w:rsid w:val="00757CA3"/>
    <w:rsid w:val="0076565F"/>
    <w:rsid w:val="00767E4B"/>
    <w:rsid w:val="00771D1E"/>
    <w:rsid w:val="00771FE7"/>
    <w:rsid w:val="00773DD3"/>
    <w:rsid w:val="007812FB"/>
    <w:rsid w:val="007824BC"/>
    <w:rsid w:val="00782AD4"/>
    <w:rsid w:val="00782F5D"/>
    <w:rsid w:val="00784494"/>
    <w:rsid w:val="00784670"/>
    <w:rsid w:val="00785A9D"/>
    <w:rsid w:val="00790EBA"/>
    <w:rsid w:val="00792337"/>
    <w:rsid w:val="00794EAA"/>
    <w:rsid w:val="007A1CE8"/>
    <w:rsid w:val="007A3BB0"/>
    <w:rsid w:val="007B108A"/>
    <w:rsid w:val="007C20A7"/>
    <w:rsid w:val="007C2761"/>
    <w:rsid w:val="007C3AAF"/>
    <w:rsid w:val="007C442A"/>
    <w:rsid w:val="007D5EDE"/>
    <w:rsid w:val="007D6F3D"/>
    <w:rsid w:val="007D7179"/>
    <w:rsid w:val="007E2942"/>
    <w:rsid w:val="007E626C"/>
    <w:rsid w:val="007F0796"/>
    <w:rsid w:val="007F7E1F"/>
    <w:rsid w:val="0080191E"/>
    <w:rsid w:val="00801ABA"/>
    <w:rsid w:val="00805F32"/>
    <w:rsid w:val="008108D5"/>
    <w:rsid w:val="00816517"/>
    <w:rsid w:val="00821106"/>
    <w:rsid w:val="008217A9"/>
    <w:rsid w:val="008252AD"/>
    <w:rsid w:val="008314C9"/>
    <w:rsid w:val="00831D4E"/>
    <w:rsid w:val="00831DB1"/>
    <w:rsid w:val="00833A0D"/>
    <w:rsid w:val="008344AE"/>
    <w:rsid w:val="008408CE"/>
    <w:rsid w:val="00845B7A"/>
    <w:rsid w:val="008508D8"/>
    <w:rsid w:val="00856AE8"/>
    <w:rsid w:val="008604BE"/>
    <w:rsid w:val="0086210D"/>
    <w:rsid w:val="00862F2C"/>
    <w:rsid w:val="0086390D"/>
    <w:rsid w:val="00870925"/>
    <w:rsid w:val="008737DF"/>
    <w:rsid w:val="00876A1C"/>
    <w:rsid w:val="00880791"/>
    <w:rsid w:val="00890246"/>
    <w:rsid w:val="00891F39"/>
    <w:rsid w:val="0089606B"/>
    <w:rsid w:val="00896669"/>
    <w:rsid w:val="008976DD"/>
    <w:rsid w:val="008A040C"/>
    <w:rsid w:val="008A3675"/>
    <w:rsid w:val="008A6635"/>
    <w:rsid w:val="008B2D10"/>
    <w:rsid w:val="008B4A35"/>
    <w:rsid w:val="008C781E"/>
    <w:rsid w:val="008D4F4B"/>
    <w:rsid w:val="008D5382"/>
    <w:rsid w:val="008D69BF"/>
    <w:rsid w:val="008E0020"/>
    <w:rsid w:val="008E1B67"/>
    <w:rsid w:val="008E2B18"/>
    <w:rsid w:val="008E3D43"/>
    <w:rsid w:val="008F12E8"/>
    <w:rsid w:val="008F276D"/>
    <w:rsid w:val="008F3E94"/>
    <w:rsid w:val="008F5C26"/>
    <w:rsid w:val="00901E77"/>
    <w:rsid w:val="009137BA"/>
    <w:rsid w:val="00916D38"/>
    <w:rsid w:val="009170A0"/>
    <w:rsid w:val="00923E92"/>
    <w:rsid w:val="00924BDB"/>
    <w:rsid w:val="00926295"/>
    <w:rsid w:val="00927C94"/>
    <w:rsid w:val="009419D7"/>
    <w:rsid w:val="00943D7D"/>
    <w:rsid w:val="009448D3"/>
    <w:rsid w:val="0094759B"/>
    <w:rsid w:val="00960CAB"/>
    <w:rsid w:val="00962F07"/>
    <w:rsid w:val="00971AB9"/>
    <w:rsid w:val="00971C18"/>
    <w:rsid w:val="00972BC6"/>
    <w:rsid w:val="0097400F"/>
    <w:rsid w:val="00975E6F"/>
    <w:rsid w:val="00976A25"/>
    <w:rsid w:val="009847E2"/>
    <w:rsid w:val="009902AA"/>
    <w:rsid w:val="009934DE"/>
    <w:rsid w:val="00996918"/>
    <w:rsid w:val="009A2049"/>
    <w:rsid w:val="009A64C9"/>
    <w:rsid w:val="009B0502"/>
    <w:rsid w:val="009B0C7C"/>
    <w:rsid w:val="009C0938"/>
    <w:rsid w:val="009C0997"/>
    <w:rsid w:val="009C1A34"/>
    <w:rsid w:val="009C1B6C"/>
    <w:rsid w:val="009C22D3"/>
    <w:rsid w:val="009C38B4"/>
    <w:rsid w:val="009D1F2B"/>
    <w:rsid w:val="009D6196"/>
    <w:rsid w:val="009D6CAD"/>
    <w:rsid w:val="009E0FE9"/>
    <w:rsid w:val="009E1E0A"/>
    <w:rsid w:val="009E4807"/>
    <w:rsid w:val="009F099D"/>
    <w:rsid w:val="009F27B0"/>
    <w:rsid w:val="009F2C49"/>
    <w:rsid w:val="009F4B66"/>
    <w:rsid w:val="00A023DD"/>
    <w:rsid w:val="00A10798"/>
    <w:rsid w:val="00A110AA"/>
    <w:rsid w:val="00A11980"/>
    <w:rsid w:val="00A11C1B"/>
    <w:rsid w:val="00A140F2"/>
    <w:rsid w:val="00A14203"/>
    <w:rsid w:val="00A156AD"/>
    <w:rsid w:val="00A16771"/>
    <w:rsid w:val="00A22BC7"/>
    <w:rsid w:val="00A24420"/>
    <w:rsid w:val="00A248EF"/>
    <w:rsid w:val="00A31255"/>
    <w:rsid w:val="00A34B63"/>
    <w:rsid w:val="00A40451"/>
    <w:rsid w:val="00A40D57"/>
    <w:rsid w:val="00A411F5"/>
    <w:rsid w:val="00A456EE"/>
    <w:rsid w:val="00A46D86"/>
    <w:rsid w:val="00A524BF"/>
    <w:rsid w:val="00A531AB"/>
    <w:rsid w:val="00A55BDD"/>
    <w:rsid w:val="00A608FE"/>
    <w:rsid w:val="00A657EF"/>
    <w:rsid w:val="00A668B0"/>
    <w:rsid w:val="00A670AB"/>
    <w:rsid w:val="00A70477"/>
    <w:rsid w:val="00A9630B"/>
    <w:rsid w:val="00A9642F"/>
    <w:rsid w:val="00AA0971"/>
    <w:rsid w:val="00AB58EB"/>
    <w:rsid w:val="00AB76A5"/>
    <w:rsid w:val="00AC497C"/>
    <w:rsid w:val="00AD7345"/>
    <w:rsid w:val="00AE753C"/>
    <w:rsid w:val="00AE776B"/>
    <w:rsid w:val="00AF1745"/>
    <w:rsid w:val="00AF4D69"/>
    <w:rsid w:val="00AF6F85"/>
    <w:rsid w:val="00B01272"/>
    <w:rsid w:val="00B02ADF"/>
    <w:rsid w:val="00B03BBB"/>
    <w:rsid w:val="00B04A12"/>
    <w:rsid w:val="00B052E5"/>
    <w:rsid w:val="00B0613A"/>
    <w:rsid w:val="00B114E8"/>
    <w:rsid w:val="00B11D21"/>
    <w:rsid w:val="00B12595"/>
    <w:rsid w:val="00B1372F"/>
    <w:rsid w:val="00B14581"/>
    <w:rsid w:val="00B15666"/>
    <w:rsid w:val="00B2283B"/>
    <w:rsid w:val="00B233DA"/>
    <w:rsid w:val="00B244EB"/>
    <w:rsid w:val="00B25C95"/>
    <w:rsid w:val="00B27742"/>
    <w:rsid w:val="00B3088A"/>
    <w:rsid w:val="00B40C17"/>
    <w:rsid w:val="00B64D73"/>
    <w:rsid w:val="00B666ED"/>
    <w:rsid w:val="00B752B3"/>
    <w:rsid w:val="00B7698E"/>
    <w:rsid w:val="00B8783D"/>
    <w:rsid w:val="00B90BDF"/>
    <w:rsid w:val="00B90F07"/>
    <w:rsid w:val="00B91692"/>
    <w:rsid w:val="00B9412B"/>
    <w:rsid w:val="00BA2789"/>
    <w:rsid w:val="00BA281A"/>
    <w:rsid w:val="00BB1737"/>
    <w:rsid w:val="00BB5136"/>
    <w:rsid w:val="00BB639A"/>
    <w:rsid w:val="00BC1566"/>
    <w:rsid w:val="00BC36A5"/>
    <w:rsid w:val="00BC6B2C"/>
    <w:rsid w:val="00BD5EDA"/>
    <w:rsid w:val="00BE1567"/>
    <w:rsid w:val="00BE3423"/>
    <w:rsid w:val="00BE5379"/>
    <w:rsid w:val="00BE58E5"/>
    <w:rsid w:val="00BF04E1"/>
    <w:rsid w:val="00BF0622"/>
    <w:rsid w:val="00BF1B09"/>
    <w:rsid w:val="00BF31D7"/>
    <w:rsid w:val="00C11320"/>
    <w:rsid w:val="00C22E34"/>
    <w:rsid w:val="00C25292"/>
    <w:rsid w:val="00C35F0D"/>
    <w:rsid w:val="00C44DF4"/>
    <w:rsid w:val="00C44E39"/>
    <w:rsid w:val="00C55252"/>
    <w:rsid w:val="00C56816"/>
    <w:rsid w:val="00C60A89"/>
    <w:rsid w:val="00C67713"/>
    <w:rsid w:val="00C71406"/>
    <w:rsid w:val="00C81744"/>
    <w:rsid w:val="00C826E8"/>
    <w:rsid w:val="00C82BDB"/>
    <w:rsid w:val="00C86173"/>
    <w:rsid w:val="00C869D7"/>
    <w:rsid w:val="00C86E1B"/>
    <w:rsid w:val="00C94660"/>
    <w:rsid w:val="00CA2D34"/>
    <w:rsid w:val="00CA5FA8"/>
    <w:rsid w:val="00CA617F"/>
    <w:rsid w:val="00CA7932"/>
    <w:rsid w:val="00CB3ABF"/>
    <w:rsid w:val="00CC3310"/>
    <w:rsid w:val="00CD264C"/>
    <w:rsid w:val="00CD31C5"/>
    <w:rsid w:val="00CE0B54"/>
    <w:rsid w:val="00CE1AC8"/>
    <w:rsid w:val="00CF3E3E"/>
    <w:rsid w:val="00D002F3"/>
    <w:rsid w:val="00D01F48"/>
    <w:rsid w:val="00D1049B"/>
    <w:rsid w:val="00D107E5"/>
    <w:rsid w:val="00D24B76"/>
    <w:rsid w:val="00D3516E"/>
    <w:rsid w:val="00D36A56"/>
    <w:rsid w:val="00D376D6"/>
    <w:rsid w:val="00D405E5"/>
    <w:rsid w:val="00D448D7"/>
    <w:rsid w:val="00D561E9"/>
    <w:rsid w:val="00D56791"/>
    <w:rsid w:val="00D6408F"/>
    <w:rsid w:val="00D728BE"/>
    <w:rsid w:val="00D74D87"/>
    <w:rsid w:val="00D90E99"/>
    <w:rsid w:val="00D91F7D"/>
    <w:rsid w:val="00D92EAB"/>
    <w:rsid w:val="00DA1223"/>
    <w:rsid w:val="00DA1583"/>
    <w:rsid w:val="00DA3658"/>
    <w:rsid w:val="00DA5094"/>
    <w:rsid w:val="00DA555F"/>
    <w:rsid w:val="00DA784B"/>
    <w:rsid w:val="00DB07F8"/>
    <w:rsid w:val="00DB258D"/>
    <w:rsid w:val="00DB6F02"/>
    <w:rsid w:val="00DD169F"/>
    <w:rsid w:val="00DE0294"/>
    <w:rsid w:val="00DE0610"/>
    <w:rsid w:val="00DE2C60"/>
    <w:rsid w:val="00DE4902"/>
    <w:rsid w:val="00DE4FAA"/>
    <w:rsid w:val="00DF068B"/>
    <w:rsid w:val="00E00E90"/>
    <w:rsid w:val="00E01191"/>
    <w:rsid w:val="00E11B32"/>
    <w:rsid w:val="00E1290F"/>
    <w:rsid w:val="00E13041"/>
    <w:rsid w:val="00E15E6C"/>
    <w:rsid w:val="00E21AFE"/>
    <w:rsid w:val="00E24450"/>
    <w:rsid w:val="00E25E73"/>
    <w:rsid w:val="00E27C20"/>
    <w:rsid w:val="00E315CC"/>
    <w:rsid w:val="00E31750"/>
    <w:rsid w:val="00E43010"/>
    <w:rsid w:val="00E439BA"/>
    <w:rsid w:val="00E43B64"/>
    <w:rsid w:val="00E44CB3"/>
    <w:rsid w:val="00E61D6E"/>
    <w:rsid w:val="00E7123A"/>
    <w:rsid w:val="00E8141B"/>
    <w:rsid w:val="00E8206E"/>
    <w:rsid w:val="00E84926"/>
    <w:rsid w:val="00E85C6B"/>
    <w:rsid w:val="00EA18AD"/>
    <w:rsid w:val="00EA3603"/>
    <w:rsid w:val="00EA3BC4"/>
    <w:rsid w:val="00EA48BD"/>
    <w:rsid w:val="00EA5CCB"/>
    <w:rsid w:val="00EB02DE"/>
    <w:rsid w:val="00EB19ED"/>
    <w:rsid w:val="00EB3F27"/>
    <w:rsid w:val="00EB680B"/>
    <w:rsid w:val="00EC35C7"/>
    <w:rsid w:val="00EC3A39"/>
    <w:rsid w:val="00EC618C"/>
    <w:rsid w:val="00EC7DF2"/>
    <w:rsid w:val="00ED2C88"/>
    <w:rsid w:val="00ED389D"/>
    <w:rsid w:val="00ED3EDA"/>
    <w:rsid w:val="00ED6669"/>
    <w:rsid w:val="00ED67A7"/>
    <w:rsid w:val="00ED77A9"/>
    <w:rsid w:val="00EE2E55"/>
    <w:rsid w:val="00EE487B"/>
    <w:rsid w:val="00EE4AC8"/>
    <w:rsid w:val="00EF0154"/>
    <w:rsid w:val="00EF3DBB"/>
    <w:rsid w:val="00EF5E88"/>
    <w:rsid w:val="00F00E0D"/>
    <w:rsid w:val="00F036FD"/>
    <w:rsid w:val="00F0541B"/>
    <w:rsid w:val="00F064CD"/>
    <w:rsid w:val="00F12E20"/>
    <w:rsid w:val="00F12E8F"/>
    <w:rsid w:val="00F16A74"/>
    <w:rsid w:val="00F16D68"/>
    <w:rsid w:val="00F305F9"/>
    <w:rsid w:val="00F3282B"/>
    <w:rsid w:val="00F35F54"/>
    <w:rsid w:val="00F41E5D"/>
    <w:rsid w:val="00F42CD1"/>
    <w:rsid w:val="00F5038B"/>
    <w:rsid w:val="00F54E37"/>
    <w:rsid w:val="00F63F73"/>
    <w:rsid w:val="00F704DE"/>
    <w:rsid w:val="00F70DA9"/>
    <w:rsid w:val="00F75A44"/>
    <w:rsid w:val="00F820B9"/>
    <w:rsid w:val="00F82229"/>
    <w:rsid w:val="00F83EE3"/>
    <w:rsid w:val="00F87F3E"/>
    <w:rsid w:val="00F90DFB"/>
    <w:rsid w:val="00F91ACA"/>
    <w:rsid w:val="00F939B4"/>
    <w:rsid w:val="00F96429"/>
    <w:rsid w:val="00FA12B1"/>
    <w:rsid w:val="00FA24A2"/>
    <w:rsid w:val="00FA5102"/>
    <w:rsid w:val="00FA6383"/>
    <w:rsid w:val="00FB2D03"/>
    <w:rsid w:val="00FB3FAB"/>
    <w:rsid w:val="00FB4055"/>
    <w:rsid w:val="00FB763A"/>
    <w:rsid w:val="00FC2BB5"/>
    <w:rsid w:val="00FE0C08"/>
    <w:rsid w:val="00FE3494"/>
    <w:rsid w:val="00FE3E58"/>
    <w:rsid w:val="00FF22AC"/>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styleId="EndnoteText">
    <w:name w:val="endnote text"/>
    <w:basedOn w:val="Normal"/>
    <w:link w:val="EndnoteTextChar"/>
    <w:uiPriority w:val="99"/>
    <w:semiHidden/>
    <w:unhideWhenUsed/>
    <w:rsid w:val="00C82BDB"/>
    <w:pPr>
      <w:spacing w:after="0"/>
    </w:pPr>
    <w:rPr>
      <w:sz w:val="20"/>
      <w:szCs w:val="20"/>
    </w:rPr>
  </w:style>
  <w:style w:type="character" w:customStyle="1" w:styleId="EndnoteTextChar">
    <w:name w:val="Endnote Text Char"/>
    <w:basedOn w:val="DefaultParagraphFont"/>
    <w:link w:val="EndnoteText"/>
    <w:uiPriority w:val="99"/>
    <w:semiHidden/>
    <w:rsid w:val="00C82BDB"/>
    <w:rPr>
      <w:sz w:val="20"/>
      <w:szCs w:val="20"/>
    </w:rPr>
  </w:style>
  <w:style w:type="character" w:styleId="EndnoteReference">
    <w:name w:val="endnote reference"/>
    <w:basedOn w:val="DefaultParagraphFont"/>
    <w:uiPriority w:val="99"/>
    <w:semiHidden/>
    <w:unhideWhenUsed/>
    <w:rsid w:val="00C82BDB"/>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DB258D"/>
  </w:style>
  <w:style w:type="paragraph" w:customStyle="1" w:styleId="Default">
    <w:name w:val="Default"/>
    <w:rsid w:val="00DB258D"/>
    <w:pPr>
      <w:autoSpaceDE w:val="0"/>
      <w:autoSpaceDN w:val="0"/>
      <w:adjustRightInd w:val="0"/>
      <w:spacing w:after="0" w:line="240" w:lineRule="auto"/>
    </w:pPr>
    <w:rPr>
      <w:rFonts w:eastAsia="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09789">
      <w:bodyDiv w:val="1"/>
      <w:marLeft w:val="0"/>
      <w:marRight w:val="0"/>
      <w:marTop w:val="0"/>
      <w:marBottom w:val="0"/>
      <w:divBdr>
        <w:top w:val="none" w:sz="0" w:space="0" w:color="auto"/>
        <w:left w:val="none" w:sz="0" w:space="0" w:color="auto"/>
        <w:bottom w:val="none" w:sz="0" w:space="0" w:color="auto"/>
        <w:right w:val="none" w:sz="0" w:space="0" w:color="auto"/>
      </w:divBdr>
    </w:div>
    <w:div w:id="419328490">
      <w:bodyDiv w:val="1"/>
      <w:marLeft w:val="0"/>
      <w:marRight w:val="0"/>
      <w:marTop w:val="0"/>
      <w:marBottom w:val="0"/>
      <w:divBdr>
        <w:top w:val="none" w:sz="0" w:space="0" w:color="auto"/>
        <w:left w:val="none" w:sz="0" w:space="0" w:color="auto"/>
        <w:bottom w:val="none" w:sz="0" w:space="0" w:color="auto"/>
        <w:right w:val="none" w:sz="0" w:space="0" w:color="auto"/>
      </w:divBdr>
      <w:divsChild>
        <w:div w:id="951941286">
          <w:marLeft w:val="0"/>
          <w:marRight w:val="0"/>
          <w:marTop w:val="0"/>
          <w:marBottom w:val="0"/>
          <w:divBdr>
            <w:top w:val="none" w:sz="0" w:space="0" w:color="auto"/>
            <w:left w:val="none" w:sz="0" w:space="0" w:color="auto"/>
            <w:bottom w:val="none" w:sz="0" w:space="0" w:color="auto"/>
            <w:right w:val="none" w:sz="0" w:space="0" w:color="auto"/>
          </w:divBdr>
          <w:divsChild>
            <w:div w:id="737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sChild>
        <w:div w:id="2092922180">
          <w:marLeft w:val="0"/>
          <w:marRight w:val="0"/>
          <w:marTop w:val="0"/>
          <w:marBottom w:val="0"/>
          <w:divBdr>
            <w:top w:val="none" w:sz="0" w:space="0" w:color="auto"/>
            <w:left w:val="none" w:sz="0" w:space="0" w:color="auto"/>
            <w:bottom w:val="none" w:sz="0" w:space="0" w:color="auto"/>
            <w:right w:val="none" w:sz="0" w:space="0" w:color="auto"/>
          </w:divBdr>
          <w:divsChild>
            <w:div w:id="4460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ipu@homeoffice.gov.uk" TargetMode="External"/><Relationship Id="rId18" Type="http://schemas.openxmlformats.org/officeDocument/2006/relationships/hyperlink" Target="https://www.gov.uk/government/publications/considering-asylum-claims-and-assessing-credibility-instruction" TargetMode="External"/><Relationship Id="rId26" Type="http://schemas.openxmlformats.org/officeDocument/2006/relationships/hyperlink" Target="https://www.gov.uk/government/publications/india-country-policy-and-information-notes" TargetMode="External"/><Relationship Id="rId39" Type="http://schemas.openxmlformats.org/officeDocument/2006/relationships/hyperlink" Target="http://www.humanrightsinitiative.org/publication/hope-behind-bars-status-report-on-legal-aid-for-persons-in-custody" TargetMode="External"/><Relationship Id="rId21" Type="http://schemas.openxmlformats.org/officeDocument/2006/relationships/hyperlink" Target="https://www.gov.uk/government/publications/asylum-instruction-exclusion-article-1f-of-the-refugee-convention" TargetMode="External"/><Relationship Id="rId34" Type="http://schemas.openxmlformats.org/officeDocument/2006/relationships/hyperlink" Target="https://www.gov.uk/government/publications/india-country-policy-and-information-notes" TargetMode="External"/><Relationship Id="rId42" Type="http://schemas.openxmlformats.org/officeDocument/2006/relationships/hyperlink" Target="https://www.bti-project.org/fileadmin/files/BTI/Downloads/Reports/2018/pdf/BTI_2018_India.pdf" TargetMode="External"/><Relationship Id="rId47" Type="http://schemas.openxmlformats.org/officeDocument/2006/relationships/hyperlink" Target="https://www.firstpost.com/india/nhrc-registered-1782-fake-encounter-cases-between-2000-2017-uttar-pradesh-alone-accounts-for-44-55-4332125.html" TargetMode="External"/><Relationship Id="rId50" Type="http://schemas.openxmlformats.org/officeDocument/2006/relationships/hyperlink" Target="https://mha.gov.in/about-us/state-and-uts-police" TargetMode="External"/><Relationship Id="rId55" Type="http://schemas.openxmlformats.org/officeDocument/2006/relationships/hyperlink" Target="https://www.hrw.org/report/2016/12/19/bound-brotherhood/indias-failure-end-killings-police-custody" TargetMode="External"/><Relationship Id="rId63" Type="http://schemas.openxmlformats.org/officeDocument/2006/relationships/hyperlink" Target="https://www.cipsa.in/page/about-us" TargetMode="External"/><Relationship Id="rId68" Type="http://schemas.openxmlformats.org/officeDocument/2006/relationships/hyperlink" Target="http://www.legalserviceindia.com/articles/legaut.htm" TargetMode="External"/><Relationship Id="rId76" Type="http://schemas.openxmlformats.org/officeDocument/2006/relationships/hyperlink" Target="http://www.state.gov/j/drl/rls/hrrpt/humanrightsreport/index.htm?year=2017&amp;dlid=277281" TargetMode="External"/><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nhrc.nic.in/sites/default/files/Monthly_Salient_Statistics_2018_10.pdf" TargetMode="External"/><Relationship Id="rId2" Type="http://schemas.openxmlformats.org/officeDocument/2006/relationships/customXml" Target="../customXml/item2.xml"/><Relationship Id="rId16" Type="http://schemas.openxmlformats.org/officeDocument/2006/relationships/hyperlink" Target="https://www.gov.uk/government/organisations/independent-chief-inspector-of-borders-and-immigration/about/research" TargetMode="External"/><Relationship Id="rId29" Type="http://schemas.openxmlformats.org/officeDocument/2006/relationships/hyperlink" Target="https://www.gov.uk/government/publications/india-country-policy-and-information-notes" TargetMode="External"/><Relationship Id="rId11" Type="http://schemas.openxmlformats.org/officeDocument/2006/relationships/hyperlink" Target="http://www.refworld.org/docid/48493f7f2.html" TargetMode="External"/><Relationship Id="rId24" Type="http://schemas.openxmlformats.org/officeDocument/2006/relationships/hyperlink" Target="http://horizon.gws.gsi.gov.uk/portal/site/horizon-intranet/menuitem.5e9fdfa5b28a104a43757f10466b8a0c/?vgnextoid=eb0c2f65586a6310VgnVCM1000002bb1a8c0RCRD" TargetMode="External"/><Relationship Id="rId32" Type="http://schemas.openxmlformats.org/officeDocument/2006/relationships/hyperlink" Target="https://irb-cisr.gc.ca/en/country-information/rir/Pages/index.aspx?doc=457520&amp;pls=1" TargetMode="External"/><Relationship Id="rId37" Type="http://schemas.openxmlformats.org/officeDocument/2006/relationships/hyperlink" Target="http://indiancourts.nic.in/sitesmain.htm" TargetMode="External"/><Relationship Id="rId40" Type="http://schemas.openxmlformats.org/officeDocument/2006/relationships/hyperlink" Target="https://dfat.gov.au/about-us/publications/Documents/country-information-report-india.pdf" TargetMode="External"/><Relationship Id="rId45" Type="http://schemas.openxmlformats.org/officeDocument/2006/relationships/hyperlink" Target="https://www.india.gov.in/my-government/constitution-india/constitution-india-full-text" TargetMode="External"/><Relationship Id="rId53" Type="http://schemas.openxmlformats.org/officeDocument/2006/relationships/hyperlink" Target="http://ncrb.gov.in/" TargetMode="External"/><Relationship Id="rId58" Type="http://schemas.openxmlformats.org/officeDocument/2006/relationships/hyperlink" Target="https://irb-cisr.gc.ca/en/country-information/rir/Pages/index.aspx?doc=457485&amp;pls=1" TargetMode="External"/><Relationship Id="rId66" Type="http://schemas.openxmlformats.org/officeDocument/2006/relationships/hyperlink" Target="https://lawrato.com/indian-kanoon/civil-law/lok-adalats-in-india-641" TargetMode="External"/><Relationship Id="rId74" Type="http://schemas.openxmlformats.org/officeDocument/2006/relationships/hyperlink" Target="https://timesofindia.indiatimes.com/india/supreme-court-declares-it-illegal-for-khap-panchayats-to-stall-marriage-between-consenting-adults/articleshow/63476839.cms" TargetMode="External"/><Relationship Id="rId79" Type="http://schemas.openxmlformats.org/officeDocument/2006/relationships/hyperlink" Target="http://www.idfcinstitute.org/knowledge/publications/reports/safety-trends-and-reporting-of-crime-satarc/"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irb-cisr.gc.ca/en/country-information/rir/Pages/index.aspx?doc=457520&amp;pls=1" TargetMode="External"/><Relationship Id="rId82" Type="http://schemas.openxmlformats.org/officeDocument/2006/relationships/header" Target="header2.xml"/><Relationship Id="rId19" Type="http://schemas.openxmlformats.org/officeDocument/2006/relationships/hyperlink" Target="https://www.gov.uk/government/publications/visa-matches-handling-asylum-claims-from-uk-visa-applicants-in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independent-chief-inspector-of-borders-and-immigration/about/research" TargetMode="External"/><Relationship Id="rId22" Type="http://schemas.openxmlformats.org/officeDocument/2006/relationships/hyperlink" Target="https://www.gov.uk/government/publications/restricted-leave-asylum-casework-instruction" TargetMode="External"/><Relationship Id="rId27" Type="http://schemas.openxmlformats.org/officeDocument/2006/relationships/hyperlink" Target="https://www.gov.uk/government/publications/india-country-policy-and-information-notes" TargetMode="External"/><Relationship Id="rId30" Type="http://schemas.openxmlformats.org/officeDocument/2006/relationships/hyperlink" Target="https://irb-cisr.gc.ca/en/country-information/rir/Pages/index.aspx?doc=457485&amp;pls=1" TargetMode="External"/><Relationship Id="rId35" Type="http://schemas.openxmlformats.org/officeDocument/2006/relationships/hyperlink" Target="http://nhrc.nic.in/complaints/Monthly%20Statistics" TargetMode="External"/><Relationship Id="rId43" Type="http://schemas.openxmlformats.org/officeDocument/2006/relationships/hyperlink" Target="https://childsoldiersworldindex.org/opac-status" TargetMode="External"/><Relationship Id="rId48" Type="http://schemas.openxmlformats.org/officeDocument/2006/relationships/hyperlink" Target="https://freedomhouse.org/report/freedom-world/2018/india" TargetMode="External"/><Relationship Id="rId56" Type="http://schemas.openxmlformats.org/officeDocument/2006/relationships/hyperlink" Target="http://www.refworld.org/docid/59098cbd4.html" TargetMode="External"/><Relationship Id="rId64" Type="http://schemas.openxmlformats.org/officeDocument/2006/relationships/hyperlink" Target="https://www.prsindia.org/sites/default/files/parliament_or_policy_pdfs/Police%20Reforms%20in%20India.pdf" TargetMode="External"/><Relationship Id="rId69" Type="http://schemas.openxmlformats.org/officeDocument/2006/relationships/hyperlink" Target="http://www.legalserviceindia.com/articles/lok_a.htm" TargetMode="External"/><Relationship Id="rId77" Type="http://schemas.openxmlformats.org/officeDocument/2006/relationships/hyperlink" Target="https://www.amnesty.nl/content/uploads/2017/07/UT_Final.pdf?x65762" TargetMode="External"/><Relationship Id="rId8" Type="http://schemas.openxmlformats.org/officeDocument/2006/relationships/webSettings" Target="webSettings.xml"/><Relationship Id="rId51" Type="http://schemas.openxmlformats.org/officeDocument/2006/relationships/hyperlink" Target="http://mospi.nic.in/sites/default/files/statistical_year_book_india_2015/Table-37.15_3.xls?download=1" TargetMode="External"/><Relationship Id="rId72" Type="http://schemas.openxmlformats.org/officeDocument/2006/relationships/hyperlink" Target="http://nhrc.nic.in/complaints/Monthly%20Statistics" TargetMode="External"/><Relationship Id="rId80" Type="http://schemas.openxmlformats.org/officeDocument/2006/relationships/hyperlink" Target="https://www.ecoi.net/en/file/local/1293699/1930_1435907086_g1508934.pdf"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coi-training.net/researching-coi/" TargetMode="External"/><Relationship Id="rId17" Type="http://schemas.openxmlformats.org/officeDocument/2006/relationships/hyperlink" Target="https://www.gov.uk/government/publications/appeals" TargetMode="External"/><Relationship Id="rId25" Type="http://schemas.openxmlformats.org/officeDocument/2006/relationships/hyperlink" Target="http://horizon.gws.gsi.gov.uk/portal/site/horizon-intranet/menuitem.5e9fdfa5b28a104a43757f10466b8a0c/?vgnextoid=0a3933a6e2c4b310VgnVCM2000003cb1a8c0RCRD" TargetMode="External"/><Relationship Id="rId33" Type="http://schemas.openxmlformats.org/officeDocument/2006/relationships/hyperlink" Target="https://irb-cisr.gc.ca/en/country-information/rir/Pages/index.aspx?doc=457520&amp;pls=1" TargetMode="External"/><Relationship Id="rId38" Type="http://schemas.openxmlformats.org/officeDocument/2006/relationships/hyperlink" Target="https://www.legalbites.in/juvenile-justice-act-an-overview-and-new-challenges-to-it/" TargetMode="External"/><Relationship Id="rId46" Type="http://schemas.openxmlformats.org/officeDocument/2006/relationships/hyperlink" Target="http://indiancourts.nic.in/sitesmain.htm" TargetMode="External"/><Relationship Id="rId59" Type="http://schemas.openxmlformats.org/officeDocument/2006/relationships/hyperlink" Target="https://www.irb-cisr.gc.ca/en/country-information/rir/Pages/index.aspx?doc=457018&amp;pls=1" TargetMode="External"/><Relationship Id="rId67" Type="http://schemas.openxmlformats.org/officeDocument/2006/relationships/hyperlink" Target="https://www.legalbites.in/juvenile-justice-act-an-overview-and-new-challenges-to-it/" TargetMode="External"/><Relationship Id="rId20" Type="http://schemas.openxmlformats.org/officeDocument/2006/relationships/hyperlink" Target="https://www.gov.uk/government/publications/language-analysis-instruction" TargetMode="External"/><Relationship Id="rId41" Type="http://schemas.openxmlformats.org/officeDocument/2006/relationships/hyperlink" Target="https://www.amnesty.org/en/countries/asia-and-the-pacific/india/report-india/" TargetMode="External"/><Relationship Id="rId54" Type="http://schemas.openxmlformats.org/officeDocument/2006/relationships/hyperlink" Target="https://www.hindustantimes.com/india-news/khaps-interference-in-the-marriage-of-two-consulting-adults-absolutely-illegal-rules-sc/story-5EP7eiujAmgPOcfBPTqdRM.html" TargetMode="External"/><Relationship Id="rId62" Type="http://schemas.openxmlformats.org/officeDocument/2006/relationships/hyperlink" Target="https://www.indiatoday.in/india/north/story/what-is-khap-panchayat-118365-2012-10-11" TargetMode="External"/><Relationship Id="rId70" Type="http://schemas.openxmlformats.org/officeDocument/2006/relationships/hyperlink" Target="https://www.livelaw.in/access-legal-aid-india-unfulfilled-promise/" TargetMode="External"/><Relationship Id="rId75" Type="http://schemas.openxmlformats.org/officeDocument/2006/relationships/hyperlink" Target="http://www.refworld.org/docid/58ada34a4.html"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hiefinspector@icinspector.gov.uk" TargetMode="External"/><Relationship Id="rId23" Type="http://schemas.openxmlformats.org/officeDocument/2006/relationships/hyperlink" Target="http://horizon.gws.gsi.gov.uk/portal/site/horizon-intranet/menuitem.5e9fdfa5b28a104a43757f10466b8a0c/?vgnextoid=07270f433821c210VgnVCM1000002bb1a8c0RCRD"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nhrc.nic.in/complaints/Monthly%20Statistics" TargetMode="External"/><Relationship Id="rId49" Type="http://schemas.openxmlformats.org/officeDocument/2006/relationships/hyperlink" Target="https://www.globalfirepower.com/country-military-strength-detail.asp?country_id=india" TargetMode="External"/><Relationship Id="rId57" Type="http://schemas.openxmlformats.org/officeDocument/2006/relationships/hyperlink" Target="https://www.hrw.org/world-report/2018/country-chapters/india" TargetMode="External"/><Relationship Id="rId10" Type="http://schemas.openxmlformats.org/officeDocument/2006/relationships/endnotes" Target="endnotes.xml"/><Relationship Id="rId31" Type="http://schemas.openxmlformats.org/officeDocument/2006/relationships/hyperlink" Target="https://www.irb-cisr.gc.ca/en/country-information/rir/Pages/index.aspx?doc=457018&amp;pls=1" TargetMode="External"/><Relationship Id="rId44" Type="http://schemas.openxmlformats.org/officeDocument/2006/relationships/hyperlink" Target="http://www.humanrightsinitiative.org/publication/hope-behind-bars-status-report-on-legal-aid-for-persons-in-custody" TargetMode="External"/><Relationship Id="rId52" Type="http://schemas.openxmlformats.org/officeDocument/2006/relationships/hyperlink" Target="http://www.pib.nic.in/Pressreleaseshare.aspx?PRID=1520104" TargetMode="External"/><Relationship Id="rId60" Type="http://schemas.openxmlformats.org/officeDocument/2006/relationships/hyperlink" Target="https://irb-cisr.gc.ca/en/country-information/rir/Pages/index.aspx?doc=457023" TargetMode="External"/><Relationship Id="rId65" Type="http://schemas.openxmlformats.org/officeDocument/2006/relationships/hyperlink" Target="http://knowindia.gov.in/my-india-my-pride/indian-armed-forces.php" TargetMode="External"/><Relationship Id="rId73" Type="http://schemas.openxmlformats.org/officeDocument/2006/relationships/hyperlink" Target="https://www.ndtv.com/india-news/khap-panchayat-verdict-a-look-at-supreme-court-guidelines-to-prevent-honour-killing-1829395" TargetMode="External"/><Relationship Id="rId78" Type="http://schemas.openxmlformats.org/officeDocument/2006/relationships/hyperlink" Target="http://www.humanrightsinitiative.org/download/1456400058Final%20Police%20Org%20in%20India%202016.pdf" TargetMode="External"/><Relationship Id="rId81" Type="http://schemas.openxmlformats.org/officeDocument/2006/relationships/header" Target="header1.xml"/><Relationship Id="rId86"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www.state.gov/j/drl/rls/hrrpt/humanrightsreport/index.htm?year=2017&amp;dlid=277281" TargetMode="External"/><Relationship Id="rId21" Type="http://schemas.openxmlformats.org/officeDocument/2006/relationships/hyperlink" Target="https://www.irb-cisr.gc.ca/en/country-information/rir/Pages/index.aspx?doc=457018&amp;pls=1" TargetMode="External"/><Relationship Id="rId42" Type="http://schemas.openxmlformats.org/officeDocument/2006/relationships/hyperlink" Target="http://ncrb.gov.in/" TargetMode="External"/><Relationship Id="rId47" Type="http://schemas.openxmlformats.org/officeDocument/2006/relationships/hyperlink" Target="http://ncrb.gov.in/" TargetMode="External"/><Relationship Id="rId63" Type="http://schemas.openxmlformats.org/officeDocument/2006/relationships/hyperlink" Target="http://nhrc.nic.in/sites/default/files/Monthly_Salient_Statistics_2018_10.pdf" TargetMode="External"/><Relationship Id="rId68" Type="http://schemas.openxmlformats.org/officeDocument/2006/relationships/hyperlink" Target="http://www.state.gov/j/drl/rls/hrrpt/humanrightsreport/index.htm?year=2017&amp;dlid=277281" TargetMode="External"/><Relationship Id="rId84" Type="http://schemas.openxmlformats.org/officeDocument/2006/relationships/hyperlink" Target="https://freedomhouse.org/report/freedom-world/2018/india" TargetMode="External"/><Relationship Id="rId89" Type="http://schemas.openxmlformats.org/officeDocument/2006/relationships/hyperlink" Target="https://www.legalbites.in/juvenile-justice-act-an-overview-and-new-challenges-to-it/" TargetMode="External"/><Relationship Id="rId7" Type="http://schemas.openxmlformats.org/officeDocument/2006/relationships/hyperlink" Target="https://www.prsindia.org/sites/default/files/parliament_or_policy_pdfs/Police%20Reforms%20in%20India.pdf" TargetMode="External"/><Relationship Id="rId71" Type="http://schemas.openxmlformats.org/officeDocument/2006/relationships/hyperlink" Target="http://www.state.gov/j/drl/rls/hrrpt/humanrightsreport/index.htm?year=2017&amp;dlid=277281" TargetMode="External"/><Relationship Id="rId92" Type="http://schemas.openxmlformats.org/officeDocument/2006/relationships/hyperlink" Target="http://www.legalserviceindia.com/articles/lok_a.htm" TargetMode="External"/><Relationship Id="rId2" Type="http://schemas.openxmlformats.org/officeDocument/2006/relationships/hyperlink" Target="https://www.cipsa.in/page/about-us" TargetMode="External"/><Relationship Id="rId16" Type="http://schemas.openxmlformats.org/officeDocument/2006/relationships/hyperlink" Target="http://www.state.gov/j/drl/rls/hrrpt/humanrightsreport/index.htm?year=2017&amp;dlid=277281" TargetMode="External"/><Relationship Id="rId29" Type="http://schemas.openxmlformats.org/officeDocument/2006/relationships/hyperlink" Target="https://www.prsindia.org/sites/default/files/parliament_or_policy_pdfs/Police%20Reforms%20in%20India.pdf" TargetMode="External"/><Relationship Id="rId11" Type="http://schemas.openxmlformats.org/officeDocument/2006/relationships/hyperlink" Target="https://www.prsindia.org/sites/default/files/parliament_or_policy_pdfs/Police%20Reforms%20in%20India.pdf" TargetMode="External"/><Relationship Id="rId24" Type="http://schemas.openxmlformats.org/officeDocument/2006/relationships/hyperlink" Target="https://irb-cisr.gc.ca/en/country-information/rir/Pages/index.aspx?doc=457520&amp;pls=1" TargetMode="External"/><Relationship Id="rId32" Type="http://schemas.openxmlformats.org/officeDocument/2006/relationships/hyperlink" Target="https://dfat.gov.au/about-us/publications/Documents/country-information-report-india.pdf" TargetMode="External"/><Relationship Id="rId37" Type="http://schemas.openxmlformats.org/officeDocument/2006/relationships/hyperlink" Target="http://www.prsindia.org/administrator/uploads/general/1517552577~~Police%20Reforms%20in%20India.pdf" TargetMode="External"/><Relationship Id="rId40" Type="http://schemas.openxmlformats.org/officeDocument/2006/relationships/hyperlink" Target="https://freedomhouse.org/report/freedom-world/2018/india" TargetMode="External"/><Relationship Id="rId45" Type="http://schemas.openxmlformats.org/officeDocument/2006/relationships/hyperlink" Target="https://www.hrw.org/report/2016/12/19/bound-brotherhood/indias-failure-end-killings-police-custody" TargetMode="External"/><Relationship Id="rId53" Type="http://schemas.openxmlformats.org/officeDocument/2006/relationships/hyperlink" Target="http://nhrc.nic.in/complaints/Monthly%20Statistics" TargetMode="External"/><Relationship Id="rId58" Type="http://schemas.openxmlformats.org/officeDocument/2006/relationships/hyperlink" Target="http://www.state.gov/j/drl/rls/hrrpt/humanrightsreport/index.htm?year=2017&amp;dlid=277281" TargetMode="External"/><Relationship Id="rId66" Type="http://schemas.openxmlformats.org/officeDocument/2006/relationships/hyperlink" Target="https://dfat.gov.au/about-us/publications/Documents/country-information-report-india.pdf" TargetMode="External"/><Relationship Id="rId74" Type="http://schemas.openxmlformats.org/officeDocument/2006/relationships/hyperlink" Target="https://www.india.gov.in/my-government/constitution-india/constitution-india-full-text" TargetMode="External"/><Relationship Id="rId79" Type="http://schemas.openxmlformats.org/officeDocument/2006/relationships/hyperlink" Target="https://www.bti-project.org/fileadmin/files/BTI/Downloads/Reports/2018/pdf/BTI_2018_India.pdf" TargetMode="External"/><Relationship Id="rId87" Type="http://schemas.openxmlformats.org/officeDocument/2006/relationships/hyperlink" Target="http://www.pib.nic.in/Pressreleaseshare.aspx?PRID=1520104" TargetMode="External"/><Relationship Id="rId102" Type="http://schemas.openxmlformats.org/officeDocument/2006/relationships/hyperlink" Target="https://dfat.gov.au/about-us/publications/Documents/country-information-report-india.pdf" TargetMode="External"/><Relationship Id="rId5" Type="http://schemas.openxmlformats.org/officeDocument/2006/relationships/hyperlink" Target="http://mospi.nic.in/sites/default/files/statistical_year_book_india_2015/Table-37.15_3.xls?download=1" TargetMode="External"/><Relationship Id="rId61" Type="http://schemas.openxmlformats.org/officeDocument/2006/relationships/hyperlink" Target="https://freedomhouse.org/report/freedom-world/2018/india" TargetMode="External"/><Relationship Id="rId82" Type="http://schemas.openxmlformats.org/officeDocument/2006/relationships/hyperlink" Target="https://irb-cisr.gc.ca/en/country-information/rir/Pages/index.aspx?doc=457023" TargetMode="External"/><Relationship Id="rId90" Type="http://schemas.openxmlformats.org/officeDocument/2006/relationships/hyperlink" Target="http://www.legalserviceindia.com/articles/lok_a.htm" TargetMode="External"/><Relationship Id="rId95" Type="http://schemas.openxmlformats.org/officeDocument/2006/relationships/hyperlink" Target="https://www.indiatoday.in/india/north/story/what-is-khap-panchayat-118365-2012-10-11" TargetMode="External"/><Relationship Id="rId19" Type="http://schemas.openxmlformats.org/officeDocument/2006/relationships/hyperlink" Target="https://dfat.gov.au/about-us/publications/Documents/country-information-report-india.pdf" TargetMode="External"/><Relationship Id="rId14" Type="http://schemas.openxmlformats.org/officeDocument/2006/relationships/hyperlink" Target="https://www.globalfirepower.com/country-military-strength-detail.asp?country_id=india" TargetMode="External"/><Relationship Id="rId22" Type="http://schemas.openxmlformats.org/officeDocument/2006/relationships/hyperlink" Target="https://www.irb-cisr.gc.ca/en/country-information/rir/Pages/index.aspx?doc=457018&amp;pls=1" TargetMode="External"/><Relationship Id="rId27" Type="http://schemas.openxmlformats.org/officeDocument/2006/relationships/hyperlink" Target="https://www.prsindia.org/sites/default/files/parliament_or_policy_pdfs/Police%20Reforms%20in%20India.pdf" TargetMode="External"/><Relationship Id="rId30" Type="http://schemas.openxmlformats.org/officeDocument/2006/relationships/hyperlink" Target="https://www.prsindia.org/sites/default/files/parliament_or_policy_pdfs/Police%20Reforms%20in%20India.pdf" TargetMode="External"/><Relationship Id="rId35" Type="http://schemas.openxmlformats.org/officeDocument/2006/relationships/hyperlink" Target="https://www.amnesty.org/en/countries/asia-and-the-pacific/india/report-india/" TargetMode="External"/><Relationship Id="rId43" Type="http://schemas.openxmlformats.org/officeDocument/2006/relationships/hyperlink" Target="http://nhrc.nic.in/complaints/Monthly%20Statistics" TargetMode="External"/><Relationship Id="rId48" Type="http://schemas.openxmlformats.org/officeDocument/2006/relationships/hyperlink" Target="https://www.hrw.org/world-report/2018/country-chapters/india" TargetMode="External"/><Relationship Id="rId56" Type="http://schemas.openxmlformats.org/officeDocument/2006/relationships/hyperlink" Target="https://www.bti-project.org/fileadmin/files/BTI/Downloads/Reports/2018/pdf/BTI_2018_India.pdf" TargetMode="External"/><Relationship Id="rId64" Type="http://schemas.openxmlformats.org/officeDocument/2006/relationships/hyperlink" Target="https://www.prsindia.org/sites/default/files/parliament_or_policy_pdfs/Police%20Reforms%20in%20India.pdf" TargetMode="External"/><Relationship Id="rId69" Type="http://schemas.openxmlformats.org/officeDocument/2006/relationships/hyperlink" Target="http://indiancourts.nic.in/sitesmain.htm" TargetMode="External"/><Relationship Id="rId77" Type="http://schemas.openxmlformats.org/officeDocument/2006/relationships/hyperlink" Target="https://irb-cisr.gc.ca/en/country-information/rir/Pages/index.aspx?doc=457023" TargetMode="External"/><Relationship Id="rId100" Type="http://schemas.openxmlformats.org/officeDocument/2006/relationships/hyperlink" Target="https://www.livelaw.in/access-legal-aid-india-unfulfilled-promise/" TargetMode="External"/><Relationship Id="rId105" Type="http://schemas.openxmlformats.org/officeDocument/2006/relationships/hyperlink" Target="http://www.humanrightsinitiative.org/publication/hope-behind-bars-status-report-on-legal-aid-for-persons-in-custody" TargetMode="External"/><Relationship Id="rId8" Type="http://schemas.openxmlformats.org/officeDocument/2006/relationships/hyperlink" Target="https://www.prsindia.org/sites/default/files/parliament_or_policy_pdfs/Police%20Reforms%20in%20India.pdf" TargetMode="External"/><Relationship Id="rId51" Type="http://schemas.openxmlformats.org/officeDocument/2006/relationships/hyperlink" Target="https://dfat.gov.au/about-us/publications/Documents/country-information-report-india.pdf" TargetMode="External"/><Relationship Id="rId72" Type="http://schemas.openxmlformats.org/officeDocument/2006/relationships/hyperlink" Target="https://www.bti-project.org/fileadmin/files/BTI/Downloads/Reports/2016/pdf/BTI_2016_India.pdf" TargetMode="External"/><Relationship Id="rId80" Type="http://schemas.openxmlformats.org/officeDocument/2006/relationships/hyperlink" Target="https://freedomhouse.org/report/freedom-world/2018/india" TargetMode="External"/><Relationship Id="rId85" Type="http://schemas.openxmlformats.org/officeDocument/2006/relationships/hyperlink" Target="http://www.refworld.org/docid/58ada34a4.html" TargetMode="External"/><Relationship Id="rId93" Type="http://schemas.openxmlformats.org/officeDocument/2006/relationships/hyperlink" Target="http://www.legalserviceindia.com/articles/legaut.htm" TargetMode="External"/><Relationship Id="rId98" Type="http://schemas.openxmlformats.org/officeDocument/2006/relationships/hyperlink" Target="https://www.ndtv.com/india-news/khap-panchayat-verdict-a-look-at-supreme-court-guidelines-to-prevent-honour-killing-1829395" TargetMode="External"/><Relationship Id="rId3" Type="http://schemas.openxmlformats.org/officeDocument/2006/relationships/hyperlink" Target="https://dfat.gov.au/about-us/publications/Documents/country-information-report-india.pdf" TargetMode="External"/><Relationship Id="rId12" Type="http://schemas.openxmlformats.org/officeDocument/2006/relationships/hyperlink" Target="https://www.prsindia.org/sites/default/files/parliament_or_policy_pdfs/Police%20Reforms%20in%20India.pdf" TargetMode="External"/><Relationship Id="rId17" Type="http://schemas.openxmlformats.org/officeDocument/2006/relationships/hyperlink" Target="http://www.state.gov/j/drl/rls/hrrpt/humanrightsreport/index.htm?year=2017&amp;dlid=277281" TargetMode="External"/><Relationship Id="rId25" Type="http://schemas.openxmlformats.org/officeDocument/2006/relationships/hyperlink" Target="http://www.state.gov/j/drl/rls/hrrpt/humanrightsreport/index.htm?year=2017&amp;dlid=277281" TargetMode="External"/><Relationship Id="rId33" Type="http://schemas.openxmlformats.org/officeDocument/2006/relationships/hyperlink" Target="https://dfat.gov.au/about-us/publications/Documents/country-information-report-india.pdf" TargetMode="External"/><Relationship Id="rId38" Type="http://schemas.openxmlformats.org/officeDocument/2006/relationships/hyperlink" Target="https://www.bti-project.org/fileadmin/files/BTI/Downloads/Reports/2018/pdf/BTI_2018_India.pdf" TargetMode="External"/><Relationship Id="rId46" Type="http://schemas.openxmlformats.org/officeDocument/2006/relationships/hyperlink" Target="https://www.hrw.org/report/2016/12/19/bound-brotherhood/indias-failure-end-killings-police-custody" TargetMode="External"/><Relationship Id="rId59" Type="http://schemas.openxmlformats.org/officeDocument/2006/relationships/hyperlink" Target="https://www.prsindia.org/sites/default/files/parliament_or_policy_pdfs/Police%20Reforms%20in%20India.pdf" TargetMode="External"/><Relationship Id="rId67" Type="http://schemas.openxmlformats.org/officeDocument/2006/relationships/hyperlink" Target="http://www.state.gov/j/drl/rls/hrrpt/humanrightsreport/index.htm?year=2017&amp;dlid=277281" TargetMode="External"/><Relationship Id="rId103" Type="http://schemas.openxmlformats.org/officeDocument/2006/relationships/hyperlink" Target="http://www.refworld.org/docid/58ada34a4.html" TargetMode="External"/><Relationship Id="rId20" Type="http://schemas.openxmlformats.org/officeDocument/2006/relationships/hyperlink" Target="https://www.bti-project.org/fileadmin/files/BTI/Downloads/Reports/2018/pdf/BTI_2018_India.pdf" TargetMode="External"/><Relationship Id="rId41" Type="http://schemas.openxmlformats.org/officeDocument/2006/relationships/hyperlink" Target="https://www.amnesty.org/en/countries/asia-and-the-pacific/india/report-india/" TargetMode="External"/><Relationship Id="rId54" Type="http://schemas.openxmlformats.org/officeDocument/2006/relationships/hyperlink" Target="https://dfat.gov.au/about-us/publications/Documents/country-information-report-india.pdf" TargetMode="External"/><Relationship Id="rId62" Type="http://schemas.openxmlformats.org/officeDocument/2006/relationships/hyperlink" Target="https://dfat.gov.au/about-us/publications/Documents/country-information-report-india.pdf" TargetMode="External"/><Relationship Id="rId70" Type="http://schemas.openxmlformats.org/officeDocument/2006/relationships/hyperlink" Target="http://www.state.gov/j/drl/rls/hrrpt/humanrightsreport/index.htm?year=2017&amp;dlid=277281" TargetMode="External"/><Relationship Id="rId75" Type="http://schemas.openxmlformats.org/officeDocument/2006/relationships/hyperlink" Target="https://www.bti-project.org/fileadmin/files/BTI/Downloads/Reports/2018/pdf/BTI_2018_India.pdf" TargetMode="External"/><Relationship Id="rId83" Type="http://schemas.openxmlformats.org/officeDocument/2006/relationships/hyperlink" Target="https://irb-cisr.gc.ca/en/country-information/rir/Pages/index.aspx?doc=457023" TargetMode="External"/><Relationship Id="rId88" Type="http://schemas.openxmlformats.org/officeDocument/2006/relationships/hyperlink" Target="http://www.refworld.org/docid/59098cbd4.html" TargetMode="External"/><Relationship Id="rId91" Type="http://schemas.openxmlformats.org/officeDocument/2006/relationships/hyperlink" Target="https://lawrato.com/indian-kanoon/civil-law/lok-adalats-in-india-641" TargetMode="External"/><Relationship Id="rId96" Type="http://schemas.openxmlformats.org/officeDocument/2006/relationships/hyperlink" Target="https://timesofindia.indiatimes.com/india/supreme-court-declares-it-illegal-for-khap-panchayats-to-stall-marriage-between-consenting-adults/articleshow/63476839.cms" TargetMode="External"/><Relationship Id="rId1" Type="http://schemas.openxmlformats.org/officeDocument/2006/relationships/hyperlink" Target="http://www.state.gov/j/drl/rls/hrrpt/humanrightsreport/index.htm?year=2017&amp;dlid=277281" TargetMode="External"/><Relationship Id="rId6" Type="http://schemas.openxmlformats.org/officeDocument/2006/relationships/hyperlink" Target="https://www.prsindia.org/sites/default/files/parliament_or_policy_pdfs/Police%20Reforms%20in%20India.pdf" TargetMode="External"/><Relationship Id="rId15" Type="http://schemas.openxmlformats.org/officeDocument/2006/relationships/hyperlink" Target="https://childsoldiersworldindex.org/opac-status" TargetMode="External"/><Relationship Id="rId23" Type="http://schemas.openxmlformats.org/officeDocument/2006/relationships/hyperlink" Target="https://irb-cisr.gc.ca/en/country-information/rir/Pages/index.aspx?doc=457520&amp;pls=1" TargetMode="External"/><Relationship Id="rId28" Type="http://schemas.openxmlformats.org/officeDocument/2006/relationships/hyperlink" Target="https://www.prsindia.org/sites/default/files/parliament_or_policy_pdfs/Police%20Reforms%20in%20India.pdf" TargetMode="External"/><Relationship Id="rId36" Type="http://schemas.openxmlformats.org/officeDocument/2006/relationships/hyperlink" Target="http://www.state.gov/j/drl/rls/hrrpt/humanrightsreport/index.htm?year=2017&amp;dlid=277281" TargetMode="External"/><Relationship Id="rId49" Type="http://schemas.openxmlformats.org/officeDocument/2006/relationships/hyperlink" Target="https://freedomhouse.org/report/freedom-world/2018/india" TargetMode="External"/><Relationship Id="rId57" Type="http://schemas.openxmlformats.org/officeDocument/2006/relationships/hyperlink" Target="https://freedomhouse.org/report/freedom-world/2018/india" TargetMode="External"/><Relationship Id="rId10" Type="http://schemas.openxmlformats.org/officeDocument/2006/relationships/hyperlink" Target="http://www.state.gov/j/drl/rls/hrrpt/humanrightsreport/index.htm?year=2017&amp;dlid=277281" TargetMode="External"/><Relationship Id="rId31" Type="http://schemas.openxmlformats.org/officeDocument/2006/relationships/hyperlink" Target="https://www.prsindia.org/sites/default/files/parliament_or_policy_pdfs/Police%20Reforms%20in%20India.pdf" TargetMode="External"/><Relationship Id="rId44" Type="http://schemas.openxmlformats.org/officeDocument/2006/relationships/hyperlink" Target="https://www.hrw.org/report/2016/12/19/bound-brotherhood/indias-failure-end-killings-police-custody" TargetMode="External"/><Relationship Id="rId52" Type="http://schemas.openxmlformats.org/officeDocument/2006/relationships/hyperlink" Target="https://www.firstpost.com/india/nhrc-registered-1782-fake-encounter-cases-between-2000-2017-uttar-pradesh-alone-accounts-for-44-55-4332125.html" TargetMode="External"/><Relationship Id="rId60" Type="http://schemas.openxmlformats.org/officeDocument/2006/relationships/hyperlink" Target="http://www.prsindia.org/administrator/uploads/general/1517552577~~Police%20Reforms%20in%20India.pdf" TargetMode="External"/><Relationship Id="rId65" Type="http://schemas.openxmlformats.org/officeDocument/2006/relationships/hyperlink" Target="http://www.state.gov/j/drl/rls/hrrpt/humanrightsreport/index.htm?year=2017&amp;dlid=277281" TargetMode="External"/><Relationship Id="rId73" Type="http://schemas.openxmlformats.org/officeDocument/2006/relationships/hyperlink" Target="https://freedomhouse.org/report/freedom-world/2018/india" TargetMode="External"/><Relationship Id="rId78" Type="http://schemas.openxmlformats.org/officeDocument/2006/relationships/hyperlink" Target="https://irb-cisr.gc.ca/en/country-information/rir/Pages/index.aspx?doc=457023" TargetMode="External"/><Relationship Id="rId81" Type="http://schemas.openxmlformats.org/officeDocument/2006/relationships/hyperlink" Target="https://freedomhouse.org/report/freedom-world/2018/india" TargetMode="External"/><Relationship Id="rId86" Type="http://schemas.openxmlformats.org/officeDocument/2006/relationships/hyperlink" Target="https://www.prsindia.org/sites/default/files/parliament_or_policy_pdfs/Police%20Reforms%20in%20India.pdf" TargetMode="External"/><Relationship Id="rId94" Type="http://schemas.openxmlformats.org/officeDocument/2006/relationships/hyperlink" Target="http://www.legalserviceindia.com/articles/lok_a.htm" TargetMode="External"/><Relationship Id="rId99" Type="http://schemas.openxmlformats.org/officeDocument/2006/relationships/hyperlink" Target="https://www.india.gov.in/my-government/constitution-india/constitution-india-full-text" TargetMode="External"/><Relationship Id="rId101" Type="http://schemas.openxmlformats.org/officeDocument/2006/relationships/hyperlink" Target="https://www.livelaw.in/access-legal-aid-india-unfulfilled-promise/" TargetMode="External"/><Relationship Id="rId4" Type="http://schemas.openxmlformats.org/officeDocument/2006/relationships/hyperlink" Target="https://mha.gov.in/about-us/state-and-uts-police" TargetMode="External"/><Relationship Id="rId9" Type="http://schemas.openxmlformats.org/officeDocument/2006/relationships/hyperlink" Target="https://www.prsindia.org/sites/default/files/parliament_or_policy_pdfs/Police%20Reforms%20in%20India.pdf" TargetMode="External"/><Relationship Id="rId13" Type="http://schemas.openxmlformats.org/officeDocument/2006/relationships/hyperlink" Target="http://knowindia.gov.in/my-india-my-pride/indian-armed-forces.php" TargetMode="External"/><Relationship Id="rId18" Type="http://schemas.openxmlformats.org/officeDocument/2006/relationships/hyperlink" Target="https://irb-cisr.gc.ca/en/country-information/rir/Pages/index.aspx?doc=457485&amp;pls=1" TargetMode="External"/><Relationship Id="rId39" Type="http://schemas.openxmlformats.org/officeDocument/2006/relationships/hyperlink" Target="https://www.amnesty.org/en/countries/asia-and-the-pacific/india/report-india/" TargetMode="External"/><Relationship Id="rId34" Type="http://schemas.openxmlformats.org/officeDocument/2006/relationships/hyperlink" Target="https://www.irb-cisr.gc.ca/en/country-information/rir/Pages/index.aspx?doc=457018&amp;pls=1" TargetMode="External"/><Relationship Id="rId50" Type="http://schemas.openxmlformats.org/officeDocument/2006/relationships/hyperlink" Target="http://www.state.gov/j/drl/rls/hrrpt/humanrightsreport/index.htm?year=2017&amp;dlid=277281" TargetMode="External"/><Relationship Id="rId55" Type="http://schemas.openxmlformats.org/officeDocument/2006/relationships/hyperlink" Target="https://www.amnesty.org/en/countries/asia-and-the-pacific/india/report-india/" TargetMode="External"/><Relationship Id="rId76" Type="http://schemas.openxmlformats.org/officeDocument/2006/relationships/hyperlink" Target="https://freedomhouse.org/report/freedom-world/2018/india" TargetMode="External"/><Relationship Id="rId97" Type="http://schemas.openxmlformats.org/officeDocument/2006/relationships/hyperlink" Target="https://www.hindustantimes.com/india-news/khaps-interference-in-the-marriage-of-two-consulting-adults-absolutely-illegal-rules-sc/story-5EP7eiujAmgPOcfBPTqdRM.html" TargetMode="External"/><Relationship Id="rId104" Type="http://schemas.openxmlformats.org/officeDocument/2006/relationships/hyperlink" Target="https://dfat.gov.au/about-us/publications/Documents/country-information-report-indi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480</Value>
      <Value>2</Value>
      <Value>1</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India</TermName>
          <TermId xmlns="http://schemas.microsoft.com/office/infopath/2007/PartnerControls">d2d4d695-a542-478b-9e5f-58fac90ae1d9</TermId>
        </TermInfo>
      </Terms>
    </mb96bc22c6ed4267862774eca83ba3ff>
    <OwnersEmail xmlns="a23e789e-25f2-43a1-8029-9f032f5bf77d">CPIT@homeoffice.gov.uk</OwnersEmail>
    <Overview xmlns="5918ec65-4087-48a5-9ca9-e3bad6c7bae1">This note provides country of origin information (COI) and analysis of COI for use by Home Office decision makers handling particular types of protection and human rights claims.</Overview>
    <Published_x0020_Date xmlns="a23e789e-25f2-43a1-8029-9f032f5bf77d">2019-01-01T00:00:00+00:00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2019-07-01T23:00:00+00:00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2D87B-C501-43E8-B974-67A7A76462EC}">
  <ds:schemaRefs>
    <ds:schemaRef ds:uri="http://schemas.openxmlformats.org/officeDocument/2006/bibliography"/>
  </ds:schemaRefs>
</ds:datastoreItem>
</file>

<file path=customXml/itemProps2.xml><?xml version="1.0" encoding="utf-8"?>
<ds:datastoreItem xmlns:ds="http://schemas.openxmlformats.org/officeDocument/2006/customXml" ds:itemID="{FAA7CD73-000A-42D5-B651-B5CA7BF96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 ds:uri="a23e789e-25f2-43a1-8029-9f032f5bf77d"/>
    <ds:schemaRef ds:uri="5918ec65-4087-48a5-9ca9-e3bad6c7bae1"/>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10591</Words>
  <Characters>60371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India - AofP - CPIN - v1.0 (DRAFT)</vt:lpstr>
    </vt:vector>
  </TitlesOfParts>
  <Company>Home Office</Company>
  <LinksUpToDate>false</LinksUpToDate>
  <CharactersWithSpaces>70821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CPIN Actors of protection.docx</dc:title>
  <dc:creator>Country Policy &amp; Information Team</dc:creator>
  <dc:description/>
  <cp:lastModifiedBy>Lisa Corbett</cp:lastModifiedBy>
  <cp:revision>4</cp:revision>
  <cp:lastPrinted>2019-01-23T09:56:00Z</cp:lastPrinted>
  <dcterms:created xsi:type="dcterms:W3CDTF">2019-02-05T16:00:00Z</dcterms:created>
  <dcterms:modified xsi:type="dcterms:W3CDTF">2023-06-28T13:52:00Z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ba3211ea-470b-4772-9cda-a56896951991</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BICS Themes">
    <vt:lpwstr>480;#India|d2d4d695-a542-478b-9e5f-58fac90ae1d9</vt:lpwstr>
  </property>
  <property fmtid="{D5CDD505-2E9C-101B-9397-08002B2CF9AE}" pid="43" name="BICS Topics">
    <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ies>
</file>