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41DB2" w14:textId="77777777" w:rsidR="007200E5" w:rsidRPr="00246211" w:rsidRDefault="007200E5" w:rsidP="00246211">
      <w:pPr>
        <w:pStyle w:val="CPITProduct"/>
      </w:pPr>
      <w:bookmarkStart w:id="0" w:name="_GoBack"/>
      <w:bookmarkEnd w:id="0"/>
      <w:r w:rsidRPr="00246211">
        <w:t>Country Information and Guidance</w:t>
      </w:r>
    </w:p>
    <w:p w14:paraId="41541DB3" w14:textId="77777777" w:rsidR="007200E5" w:rsidRPr="00236C2E" w:rsidRDefault="00236C2E" w:rsidP="00060AA1">
      <w:pPr>
        <w:pStyle w:val="CPITProduct-CategoryofClaim"/>
      </w:pPr>
      <w:r w:rsidRPr="00236C2E">
        <w:t xml:space="preserve">Pakistan: </w:t>
      </w:r>
      <w:r w:rsidR="00AA3EA2">
        <w:t>Shia Muslims</w:t>
      </w:r>
    </w:p>
    <w:p w14:paraId="41541DB4" w14:textId="77777777" w:rsidR="007E5830" w:rsidRDefault="007E5830" w:rsidP="00C96CF8">
      <w:pPr>
        <w:pStyle w:val="CPITNonLinkedHeader"/>
        <w:rPr>
          <w:sz w:val="32"/>
          <w:szCs w:val="32"/>
          <w:highlight w:val="yellow"/>
        </w:rPr>
      </w:pPr>
    </w:p>
    <w:p w14:paraId="41541DB5" w14:textId="77777777" w:rsidR="007200E5" w:rsidRPr="00C96CF8" w:rsidRDefault="005F6ABD" w:rsidP="00C96CF8">
      <w:pPr>
        <w:pStyle w:val="CPITNonLinkedHeader"/>
      </w:pPr>
      <w:r>
        <w:rPr>
          <w:sz w:val="40"/>
          <w:szCs w:val="40"/>
        </w:rPr>
        <w:t>Februar</w:t>
      </w:r>
      <w:r w:rsidR="00A663DF">
        <w:rPr>
          <w:sz w:val="40"/>
          <w:szCs w:val="40"/>
        </w:rPr>
        <w:t>y 2015</w:t>
      </w:r>
      <w:r w:rsidR="00256F72" w:rsidRPr="00246211">
        <w:t xml:space="preserve"> </w:t>
      </w:r>
      <w:r w:rsidR="007200E5" w:rsidRPr="00246211">
        <w:br w:type="page"/>
      </w:r>
      <w:r w:rsidR="007200E5" w:rsidRPr="00C96CF8">
        <w:lastRenderedPageBreak/>
        <w:t>Prefa</w:t>
      </w:r>
      <w:bookmarkStart w:id="1" w:name="preface"/>
      <w:bookmarkEnd w:id="1"/>
      <w:r w:rsidR="007200E5" w:rsidRPr="00C96CF8">
        <w:t>ce</w:t>
      </w:r>
    </w:p>
    <w:p w14:paraId="41541DB6" w14:textId="77777777" w:rsidR="00D66CAC" w:rsidRPr="00C96CF8" w:rsidRDefault="00D66CAC" w:rsidP="00D66CAC">
      <w:pPr>
        <w:pStyle w:val="CPITPrefaceText"/>
      </w:pPr>
      <w:r w:rsidRPr="00C96CF8">
        <w:t xml:space="preserve">This document provides guidance to Home Office decision makers on handling claims made by nationals/residents of – as well as country of origin information (COI) about – </w:t>
      </w:r>
      <w:r>
        <w:t>Pakistan</w:t>
      </w:r>
      <w:r w:rsidRPr="00C96CF8">
        <w:t xml:space="preserve">.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41541DB7" w14:textId="77777777" w:rsidR="00D66CAC" w:rsidRPr="00C96CF8" w:rsidRDefault="00D66CAC" w:rsidP="00D66CAC">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14:paraId="41541DB8" w14:textId="77777777" w:rsidR="00D66CAC" w:rsidRPr="006D3DAA" w:rsidRDefault="00D66CAC" w:rsidP="00D66CAC"/>
    <w:p w14:paraId="41541DB9" w14:textId="77777777" w:rsidR="00D66CAC" w:rsidRPr="00246211" w:rsidRDefault="00D66CAC" w:rsidP="00D66CAC">
      <w:pPr>
        <w:pStyle w:val="CPITMinorSubHeader"/>
      </w:pPr>
      <w:r w:rsidRPr="00246211">
        <w:t>Country Information</w:t>
      </w:r>
    </w:p>
    <w:p w14:paraId="41541DBA" w14:textId="77777777" w:rsidR="00D66CAC" w:rsidRPr="00246211" w:rsidRDefault="00D66CAC" w:rsidP="00D66CAC">
      <w:pPr>
        <w:pStyle w:val="CPITPrefaceText"/>
      </w:pPr>
      <w:r w:rsidRPr="00246211">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6D3DAA">
          <w:rPr>
            <w:rStyle w:val="CPITCOI-Link"/>
          </w:rPr>
          <w:t>Common EU [European Union] Guidelines for Processing Country of Origin Information (COI)</w:t>
        </w:r>
      </w:hyperlink>
      <w:r w:rsidRPr="00246211">
        <w:t xml:space="preserve">, dated April 2008, and the European Asylum Support Office’s research guidelines, </w:t>
      </w:r>
      <w:hyperlink r:id="rId15" w:history="1">
        <w:r w:rsidRPr="006D3DAA">
          <w:rPr>
            <w:rStyle w:val="CPITCOI-Link"/>
          </w:rPr>
          <w:t>Country of Origin Information report methodology</w:t>
        </w:r>
      </w:hyperlink>
      <w:r w:rsidRPr="00246211">
        <w:t>, dated July 2012.</w:t>
      </w:r>
    </w:p>
    <w:p w14:paraId="41541DBB" w14:textId="77777777" w:rsidR="00D66CAC" w:rsidRPr="006D3DAA" w:rsidRDefault="00D66CAC" w:rsidP="00D66CAC"/>
    <w:p w14:paraId="41541DBC" w14:textId="77777777" w:rsidR="00D66CAC" w:rsidRPr="00C96CF8" w:rsidRDefault="00D66CAC" w:rsidP="00D66CAC">
      <w:pPr>
        <w:pStyle w:val="CPITMinorSubHeader"/>
      </w:pPr>
      <w:r w:rsidRPr="00C96CF8">
        <w:t>Feedback</w:t>
      </w:r>
    </w:p>
    <w:p w14:paraId="41541DBD" w14:textId="77777777" w:rsidR="00D66CAC" w:rsidRPr="00246211" w:rsidRDefault="00D66CAC" w:rsidP="00D66CAC">
      <w:pPr>
        <w:pStyle w:val="CPITPrefaceText"/>
      </w:pPr>
      <w:r w:rsidRPr="00246211">
        <w:t xml:space="preserve">Our goal is to continuously improve the guidance and information we provide.  Therefore, if you would like to comment on this document, please </w:t>
      </w:r>
      <w:hyperlink r:id="rId16" w:history="1">
        <w:r>
          <w:rPr>
            <w:rStyle w:val="CPITCOI-Link"/>
          </w:rPr>
          <w:t>e-mail us</w:t>
        </w:r>
      </w:hyperlink>
      <w:r w:rsidRPr="00C96CF8">
        <w:t>.</w:t>
      </w:r>
    </w:p>
    <w:p w14:paraId="41541DBE" w14:textId="77777777" w:rsidR="00D66CAC" w:rsidRPr="006D3DAA" w:rsidRDefault="00D66CAC" w:rsidP="00D66CAC">
      <w:pPr>
        <w:pStyle w:val="CPITPrefaceText"/>
      </w:pPr>
      <w:r w:rsidRPr="006D3DAA">
        <w:t xml:space="preserve"> </w:t>
      </w:r>
    </w:p>
    <w:p w14:paraId="41541DBF" w14:textId="77777777" w:rsidR="00D66CAC" w:rsidRPr="00C96CF8" w:rsidRDefault="00D66CAC" w:rsidP="00D66CAC">
      <w:pPr>
        <w:pStyle w:val="CPITMinorSubHeader"/>
      </w:pPr>
      <w:r w:rsidRPr="00C96CF8">
        <w:t>Independent Advisory Group on Country Information</w:t>
      </w:r>
    </w:p>
    <w:p w14:paraId="41541DC0" w14:textId="77777777" w:rsidR="00D66CAC" w:rsidRPr="006D3DAA" w:rsidRDefault="00D66CAC" w:rsidP="00D66CAC">
      <w:pPr>
        <w:pStyle w:val="CPITPrefaceText"/>
        <w:rPr>
          <w:rStyle w:val="CPITCOI-Link"/>
        </w:rPr>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Information about the IAGCI‘s work and a list of the COI documents which have been reviewed by the IAGCI can be found on the Independent Chief Inspector‘s website at </w:t>
      </w:r>
      <w:hyperlink r:id="rId17" w:history="1">
        <w:r w:rsidRPr="006D3DAA">
          <w:rPr>
            <w:rStyle w:val="CPITCOI-Link"/>
          </w:rPr>
          <w:t>http://icinspector.independent.gov.uk/country-information-reviews/</w:t>
        </w:r>
      </w:hyperlink>
      <w:r w:rsidRPr="006D3DAA">
        <w:rPr>
          <w:rStyle w:val="CPITCOI-Link"/>
        </w:rPr>
        <w:t xml:space="preserve"> </w:t>
      </w:r>
    </w:p>
    <w:p w14:paraId="41541DC1" w14:textId="77777777" w:rsidR="00D66CAC" w:rsidRPr="006D3DAA" w:rsidRDefault="00D66CAC" w:rsidP="00D66CAC">
      <w:pPr>
        <w:pStyle w:val="CPITPrefaceText"/>
      </w:pPr>
      <w:r w:rsidRPr="006D3DAA">
        <w:t xml:space="preserve">It is not the function of the IAGCI to endorse any Home Office material, procedures or policy. </w:t>
      </w:r>
    </w:p>
    <w:p w14:paraId="41541DC2" w14:textId="77777777" w:rsidR="00D66CAC" w:rsidRPr="006D3DAA" w:rsidRDefault="00D66CAC" w:rsidP="00D66CAC">
      <w:pPr>
        <w:pStyle w:val="CPITPrefaceText"/>
      </w:pPr>
      <w:r w:rsidRPr="006D3DAA">
        <w:t xml:space="preserve">IAGCI may be contacted at: </w:t>
      </w:r>
    </w:p>
    <w:p w14:paraId="41541DC3" w14:textId="77777777" w:rsidR="00D66CAC" w:rsidRPr="006D3DAA" w:rsidRDefault="00D66CAC" w:rsidP="00D66CAC">
      <w:pPr>
        <w:pStyle w:val="CPITPrefaceText"/>
        <w:rPr>
          <w:rFonts w:cs="Arial"/>
        </w:rPr>
      </w:pPr>
      <w:r w:rsidRPr="006D3DAA">
        <w:rPr>
          <w:rFonts w:cs="Arial"/>
        </w:rPr>
        <w:t xml:space="preserve">Independent Chief Inspector of Borders and Immigration, </w:t>
      </w:r>
    </w:p>
    <w:p w14:paraId="41541DC4" w14:textId="77777777" w:rsidR="00D66CAC" w:rsidRPr="006D3DAA" w:rsidRDefault="00D66CAC" w:rsidP="00D66CAC">
      <w:pPr>
        <w:pStyle w:val="CPITPrefaceText"/>
        <w:rPr>
          <w:rFonts w:cs="Arial"/>
        </w:rPr>
      </w:pPr>
      <w:r w:rsidRPr="006D3DAA">
        <w:rPr>
          <w:rFonts w:cs="Arial"/>
        </w:rPr>
        <w:t>5th Floor, Globe House, 89 Eccleston Square, London, SW1V 1PN.</w:t>
      </w:r>
    </w:p>
    <w:p w14:paraId="41541DC5" w14:textId="77777777" w:rsidR="00D66CAC" w:rsidRPr="00246211" w:rsidRDefault="00D66CAC" w:rsidP="00D66CAC">
      <w:pPr>
        <w:pStyle w:val="CPITPrefaceText"/>
      </w:pPr>
      <w:r w:rsidRPr="00246211">
        <w:t xml:space="preserve">Email: </w:t>
      </w:r>
      <w:hyperlink r:id="rId18" w:history="1">
        <w:r w:rsidRPr="00C96CF8">
          <w:rPr>
            <w:rStyle w:val="CPITCOI-Link"/>
          </w:rPr>
          <w:t>chiefinspectorukba@icinspector.gsi.gov.uk</w:t>
        </w:r>
      </w:hyperlink>
      <w:r w:rsidRPr="00246211">
        <w:t xml:space="preserve"> </w:t>
      </w:r>
    </w:p>
    <w:p w14:paraId="41541DC6" w14:textId="77777777" w:rsidR="00D66CAC" w:rsidRPr="00246211" w:rsidRDefault="00D66CAC" w:rsidP="00D66CAC">
      <w:pPr>
        <w:pStyle w:val="CPITPrefaceText"/>
      </w:pPr>
      <w:r w:rsidRPr="00246211">
        <w:t xml:space="preserve">Website: </w:t>
      </w:r>
      <w:hyperlink r:id="rId19" w:history="1">
        <w:r w:rsidRPr="00C96CF8">
          <w:rPr>
            <w:rStyle w:val="CPITCOI-Link"/>
          </w:rPr>
          <w:t>http://icinspector.independent.gov.uk/country-information-reviews</w:t>
        </w:r>
      </w:hyperlink>
      <w:r w:rsidRPr="006D3DAA">
        <w:rPr>
          <w:rStyle w:val="CPITCOI-Link"/>
        </w:rPr>
        <w:t xml:space="preserve"> </w:t>
      </w:r>
    </w:p>
    <w:p w14:paraId="41541DC7" w14:textId="77777777" w:rsidR="007200E5" w:rsidRPr="00C96CF8" w:rsidRDefault="00E0095A" w:rsidP="00C96CF8">
      <w:pPr>
        <w:pStyle w:val="CPITNonLinkedHeader"/>
      </w:pPr>
      <w:r w:rsidRPr="00246211">
        <w:br w:type="page"/>
      </w:r>
      <w:r w:rsidR="007200E5" w:rsidRPr="00C96CF8">
        <w:lastRenderedPageBreak/>
        <w:t>Conte</w:t>
      </w:r>
      <w:bookmarkStart w:id="2" w:name="Contents"/>
      <w:bookmarkEnd w:id="2"/>
      <w:r w:rsidR="007200E5" w:rsidRPr="00C96CF8">
        <w:t>nts</w:t>
      </w:r>
    </w:p>
    <w:p w14:paraId="41541DC8" w14:textId="77777777" w:rsidR="00AA3EA2" w:rsidRDefault="000C3771">
      <w:pPr>
        <w:pStyle w:val="TOC1"/>
        <w:rPr>
          <w:rFonts w:asciiTheme="minorHAnsi" w:eastAsiaTheme="minorEastAsia" w:hAnsiTheme="minorHAnsi" w:cstheme="minorBidi"/>
          <w:b w:val="0"/>
          <w:noProof/>
          <w:color w:val="auto"/>
          <w:sz w:val="22"/>
          <w:szCs w:val="22"/>
        </w:rPr>
      </w:pPr>
      <w:r>
        <w:rPr>
          <w:noProof/>
          <w:szCs w:val="20"/>
        </w:rPr>
        <w:fldChar w:fldCharType="begin"/>
      </w:r>
      <w:r w:rsidR="00990861">
        <w:rPr>
          <w:noProof/>
          <w:szCs w:val="20"/>
        </w:rPr>
        <w:instrText xml:space="preserve"> TOC \o "1-3" \h \z \t "CPIT Section Header,1,CPIT Sub-header 1,2" </w:instrText>
      </w:r>
      <w:r>
        <w:rPr>
          <w:noProof/>
          <w:szCs w:val="20"/>
        </w:rPr>
        <w:fldChar w:fldCharType="separate"/>
      </w:r>
      <w:hyperlink w:anchor="_Toc411244244" w:history="1">
        <w:r w:rsidR="00AA3EA2" w:rsidRPr="00F16861">
          <w:rPr>
            <w:rStyle w:val="Hyperlink"/>
            <w:noProof/>
          </w:rPr>
          <w:t>Section 1: Guidance</w:t>
        </w:r>
        <w:r w:rsidR="00AA3EA2">
          <w:rPr>
            <w:noProof/>
            <w:webHidden/>
          </w:rPr>
          <w:tab/>
        </w:r>
        <w:r>
          <w:rPr>
            <w:noProof/>
            <w:webHidden/>
          </w:rPr>
          <w:fldChar w:fldCharType="begin"/>
        </w:r>
        <w:r w:rsidR="00AA3EA2">
          <w:rPr>
            <w:noProof/>
            <w:webHidden/>
          </w:rPr>
          <w:instrText xml:space="preserve"> PAGEREF _Toc411244244 \h </w:instrText>
        </w:r>
        <w:r>
          <w:rPr>
            <w:noProof/>
            <w:webHidden/>
          </w:rPr>
        </w:r>
        <w:r>
          <w:rPr>
            <w:noProof/>
            <w:webHidden/>
          </w:rPr>
          <w:fldChar w:fldCharType="separate"/>
        </w:r>
        <w:r w:rsidR="00AA3EA2">
          <w:rPr>
            <w:noProof/>
            <w:webHidden/>
          </w:rPr>
          <w:t>4</w:t>
        </w:r>
        <w:r>
          <w:rPr>
            <w:noProof/>
            <w:webHidden/>
          </w:rPr>
          <w:fldChar w:fldCharType="end"/>
        </w:r>
      </w:hyperlink>
    </w:p>
    <w:p w14:paraId="41541DC9" w14:textId="77777777" w:rsidR="00AA3EA2" w:rsidRDefault="004856D6">
      <w:pPr>
        <w:pStyle w:val="TOC2"/>
        <w:rPr>
          <w:rFonts w:asciiTheme="minorHAnsi" w:eastAsiaTheme="minorEastAsia" w:hAnsiTheme="minorHAnsi" w:cstheme="minorBidi"/>
          <w:noProof/>
          <w:color w:val="auto"/>
          <w:sz w:val="22"/>
          <w:szCs w:val="22"/>
        </w:rPr>
      </w:pPr>
      <w:hyperlink w:anchor="_Toc411244245" w:history="1">
        <w:r w:rsidR="00AA3EA2" w:rsidRPr="00F16861">
          <w:rPr>
            <w:rStyle w:val="Hyperlink"/>
            <w:noProof/>
          </w:rPr>
          <w:t>1.</w:t>
        </w:r>
        <w:r w:rsidR="00AA3EA2">
          <w:rPr>
            <w:rFonts w:asciiTheme="minorHAnsi" w:eastAsiaTheme="minorEastAsia" w:hAnsiTheme="minorHAnsi" w:cstheme="minorBidi"/>
            <w:noProof/>
            <w:color w:val="auto"/>
            <w:sz w:val="22"/>
            <w:szCs w:val="22"/>
          </w:rPr>
          <w:tab/>
        </w:r>
        <w:r w:rsidR="00AA3EA2" w:rsidRPr="00F16861">
          <w:rPr>
            <w:rStyle w:val="Hyperlink"/>
            <w:noProof/>
          </w:rPr>
          <w:t>Introduction</w:t>
        </w:r>
        <w:r w:rsidR="00AA3EA2">
          <w:rPr>
            <w:noProof/>
            <w:webHidden/>
          </w:rPr>
          <w:tab/>
        </w:r>
        <w:r w:rsidR="000C3771">
          <w:rPr>
            <w:noProof/>
            <w:webHidden/>
          </w:rPr>
          <w:fldChar w:fldCharType="begin"/>
        </w:r>
        <w:r w:rsidR="00AA3EA2">
          <w:rPr>
            <w:noProof/>
            <w:webHidden/>
          </w:rPr>
          <w:instrText xml:space="preserve"> PAGEREF _Toc411244245 \h </w:instrText>
        </w:r>
        <w:r w:rsidR="000C3771">
          <w:rPr>
            <w:noProof/>
            <w:webHidden/>
          </w:rPr>
        </w:r>
        <w:r w:rsidR="000C3771">
          <w:rPr>
            <w:noProof/>
            <w:webHidden/>
          </w:rPr>
          <w:fldChar w:fldCharType="separate"/>
        </w:r>
        <w:r w:rsidR="00AA3EA2">
          <w:rPr>
            <w:noProof/>
            <w:webHidden/>
          </w:rPr>
          <w:t>4</w:t>
        </w:r>
        <w:r w:rsidR="000C3771">
          <w:rPr>
            <w:noProof/>
            <w:webHidden/>
          </w:rPr>
          <w:fldChar w:fldCharType="end"/>
        </w:r>
      </w:hyperlink>
    </w:p>
    <w:p w14:paraId="41541DCA" w14:textId="77777777" w:rsidR="00AA3EA2" w:rsidRDefault="004856D6">
      <w:pPr>
        <w:pStyle w:val="TOC2"/>
        <w:rPr>
          <w:rFonts w:asciiTheme="minorHAnsi" w:eastAsiaTheme="minorEastAsia" w:hAnsiTheme="minorHAnsi" w:cstheme="minorBidi"/>
          <w:noProof/>
          <w:color w:val="auto"/>
          <w:sz w:val="22"/>
          <w:szCs w:val="22"/>
        </w:rPr>
      </w:pPr>
      <w:hyperlink w:anchor="_Toc411244246" w:history="1">
        <w:r w:rsidR="00AA3EA2" w:rsidRPr="00F16861">
          <w:rPr>
            <w:rStyle w:val="Hyperlink"/>
            <w:noProof/>
          </w:rPr>
          <w:t>2.</w:t>
        </w:r>
        <w:r w:rsidR="00AA3EA2">
          <w:rPr>
            <w:rFonts w:asciiTheme="minorHAnsi" w:eastAsiaTheme="minorEastAsia" w:hAnsiTheme="minorHAnsi" w:cstheme="minorBidi"/>
            <w:noProof/>
            <w:color w:val="auto"/>
            <w:sz w:val="22"/>
            <w:szCs w:val="22"/>
          </w:rPr>
          <w:tab/>
        </w:r>
        <w:r w:rsidR="00AA3EA2" w:rsidRPr="00F16861">
          <w:rPr>
            <w:rStyle w:val="Hyperlink"/>
            <w:noProof/>
          </w:rPr>
          <w:t>Consideration of Issues</w:t>
        </w:r>
        <w:r w:rsidR="00AA3EA2">
          <w:rPr>
            <w:noProof/>
            <w:webHidden/>
          </w:rPr>
          <w:tab/>
        </w:r>
        <w:r w:rsidR="000C3771">
          <w:rPr>
            <w:noProof/>
            <w:webHidden/>
          </w:rPr>
          <w:fldChar w:fldCharType="begin"/>
        </w:r>
        <w:r w:rsidR="00AA3EA2">
          <w:rPr>
            <w:noProof/>
            <w:webHidden/>
          </w:rPr>
          <w:instrText xml:space="preserve"> PAGEREF _Toc411244246 \h </w:instrText>
        </w:r>
        <w:r w:rsidR="000C3771">
          <w:rPr>
            <w:noProof/>
            <w:webHidden/>
          </w:rPr>
        </w:r>
        <w:r w:rsidR="000C3771">
          <w:rPr>
            <w:noProof/>
            <w:webHidden/>
          </w:rPr>
          <w:fldChar w:fldCharType="separate"/>
        </w:r>
        <w:r w:rsidR="00AA3EA2">
          <w:rPr>
            <w:noProof/>
            <w:webHidden/>
          </w:rPr>
          <w:t>4</w:t>
        </w:r>
        <w:r w:rsidR="000C3771">
          <w:rPr>
            <w:noProof/>
            <w:webHidden/>
          </w:rPr>
          <w:fldChar w:fldCharType="end"/>
        </w:r>
      </w:hyperlink>
    </w:p>
    <w:p w14:paraId="41541DCB" w14:textId="77777777" w:rsidR="00AA3EA2" w:rsidRDefault="004856D6">
      <w:pPr>
        <w:pStyle w:val="TOC2"/>
        <w:rPr>
          <w:rFonts w:asciiTheme="minorHAnsi" w:eastAsiaTheme="minorEastAsia" w:hAnsiTheme="minorHAnsi" w:cstheme="minorBidi"/>
          <w:noProof/>
          <w:color w:val="auto"/>
          <w:sz w:val="22"/>
          <w:szCs w:val="22"/>
        </w:rPr>
      </w:pPr>
      <w:hyperlink w:anchor="_Toc411244247" w:history="1">
        <w:r w:rsidR="00AA3EA2" w:rsidRPr="00F16861">
          <w:rPr>
            <w:rStyle w:val="Hyperlink"/>
            <w:noProof/>
          </w:rPr>
          <w:t>3.</w:t>
        </w:r>
        <w:r w:rsidR="00AA3EA2">
          <w:rPr>
            <w:rFonts w:asciiTheme="minorHAnsi" w:eastAsiaTheme="minorEastAsia" w:hAnsiTheme="minorHAnsi" w:cstheme="minorBidi"/>
            <w:noProof/>
            <w:color w:val="auto"/>
            <w:sz w:val="22"/>
            <w:szCs w:val="22"/>
          </w:rPr>
          <w:tab/>
        </w:r>
        <w:r w:rsidR="00AA3EA2" w:rsidRPr="00F16861">
          <w:rPr>
            <w:rStyle w:val="Hyperlink"/>
            <w:noProof/>
          </w:rPr>
          <w:t>Policy Summary</w:t>
        </w:r>
        <w:r w:rsidR="00AA3EA2">
          <w:rPr>
            <w:noProof/>
            <w:webHidden/>
          </w:rPr>
          <w:tab/>
        </w:r>
        <w:r w:rsidR="000C3771">
          <w:rPr>
            <w:noProof/>
            <w:webHidden/>
          </w:rPr>
          <w:fldChar w:fldCharType="begin"/>
        </w:r>
        <w:r w:rsidR="00AA3EA2">
          <w:rPr>
            <w:noProof/>
            <w:webHidden/>
          </w:rPr>
          <w:instrText xml:space="preserve"> PAGEREF _Toc411244247 \h </w:instrText>
        </w:r>
        <w:r w:rsidR="000C3771">
          <w:rPr>
            <w:noProof/>
            <w:webHidden/>
          </w:rPr>
        </w:r>
        <w:r w:rsidR="000C3771">
          <w:rPr>
            <w:noProof/>
            <w:webHidden/>
          </w:rPr>
          <w:fldChar w:fldCharType="separate"/>
        </w:r>
        <w:r w:rsidR="00AA3EA2">
          <w:rPr>
            <w:noProof/>
            <w:webHidden/>
          </w:rPr>
          <w:t>5</w:t>
        </w:r>
        <w:r w:rsidR="000C3771">
          <w:rPr>
            <w:noProof/>
            <w:webHidden/>
          </w:rPr>
          <w:fldChar w:fldCharType="end"/>
        </w:r>
      </w:hyperlink>
    </w:p>
    <w:p w14:paraId="41541DCC" w14:textId="77777777" w:rsidR="00AA3EA2" w:rsidRDefault="004856D6">
      <w:pPr>
        <w:pStyle w:val="TOC1"/>
        <w:rPr>
          <w:rFonts w:asciiTheme="minorHAnsi" w:eastAsiaTheme="minorEastAsia" w:hAnsiTheme="minorHAnsi" w:cstheme="minorBidi"/>
          <w:b w:val="0"/>
          <w:noProof/>
          <w:color w:val="auto"/>
          <w:sz w:val="22"/>
          <w:szCs w:val="22"/>
        </w:rPr>
      </w:pPr>
      <w:hyperlink w:anchor="_Toc411244248" w:history="1">
        <w:r w:rsidR="00AA3EA2" w:rsidRPr="00F16861">
          <w:rPr>
            <w:rStyle w:val="Hyperlink"/>
            <w:noProof/>
          </w:rPr>
          <w:t>Section 2: Information</w:t>
        </w:r>
        <w:r w:rsidR="00AA3EA2">
          <w:rPr>
            <w:noProof/>
            <w:webHidden/>
          </w:rPr>
          <w:tab/>
        </w:r>
        <w:r w:rsidR="000C3771">
          <w:rPr>
            <w:noProof/>
            <w:webHidden/>
          </w:rPr>
          <w:fldChar w:fldCharType="begin"/>
        </w:r>
        <w:r w:rsidR="00AA3EA2">
          <w:rPr>
            <w:noProof/>
            <w:webHidden/>
          </w:rPr>
          <w:instrText xml:space="preserve"> PAGEREF _Toc411244248 \h </w:instrText>
        </w:r>
        <w:r w:rsidR="000C3771">
          <w:rPr>
            <w:noProof/>
            <w:webHidden/>
          </w:rPr>
        </w:r>
        <w:r w:rsidR="000C3771">
          <w:rPr>
            <w:noProof/>
            <w:webHidden/>
          </w:rPr>
          <w:fldChar w:fldCharType="separate"/>
        </w:r>
        <w:r w:rsidR="00AA3EA2">
          <w:rPr>
            <w:noProof/>
            <w:webHidden/>
          </w:rPr>
          <w:t>6</w:t>
        </w:r>
        <w:r w:rsidR="000C3771">
          <w:rPr>
            <w:noProof/>
            <w:webHidden/>
          </w:rPr>
          <w:fldChar w:fldCharType="end"/>
        </w:r>
      </w:hyperlink>
    </w:p>
    <w:p w14:paraId="41541DCD" w14:textId="77777777" w:rsidR="00AA3EA2" w:rsidRDefault="004856D6">
      <w:pPr>
        <w:pStyle w:val="TOC2"/>
        <w:rPr>
          <w:rFonts w:asciiTheme="minorHAnsi" w:eastAsiaTheme="minorEastAsia" w:hAnsiTheme="minorHAnsi" w:cstheme="minorBidi"/>
          <w:noProof/>
          <w:color w:val="auto"/>
          <w:sz w:val="22"/>
          <w:szCs w:val="22"/>
        </w:rPr>
      </w:pPr>
      <w:hyperlink w:anchor="_Toc411244249" w:history="1">
        <w:r w:rsidR="00AA3EA2" w:rsidRPr="00F16861">
          <w:rPr>
            <w:rStyle w:val="Hyperlink"/>
            <w:noProof/>
          </w:rPr>
          <w:t>1.</w:t>
        </w:r>
        <w:r w:rsidR="00AA3EA2">
          <w:rPr>
            <w:rFonts w:asciiTheme="minorHAnsi" w:eastAsiaTheme="minorEastAsia" w:hAnsiTheme="minorHAnsi" w:cstheme="minorBidi"/>
            <w:noProof/>
            <w:color w:val="auto"/>
            <w:sz w:val="22"/>
            <w:szCs w:val="22"/>
          </w:rPr>
          <w:tab/>
        </w:r>
        <w:r w:rsidR="00AA3EA2" w:rsidRPr="00F16861">
          <w:rPr>
            <w:rStyle w:val="Hyperlink"/>
            <w:noProof/>
          </w:rPr>
          <w:t>Overview</w:t>
        </w:r>
        <w:r w:rsidR="00AA3EA2">
          <w:rPr>
            <w:noProof/>
            <w:webHidden/>
          </w:rPr>
          <w:tab/>
        </w:r>
        <w:r w:rsidR="000C3771">
          <w:rPr>
            <w:noProof/>
            <w:webHidden/>
          </w:rPr>
          <w:fldChar w:fldCharType="begin"/>
        </w:r>
        <w:r w:rsidR="00AA3EA2">
          <w:rPr>
            <w:noProof/>
            <w:webHidden/>
          </w:rPr>
          <w:instrText xml:space="preserve"> PAGEREF _Toc411244249 \h </w:instrText>
        </w:r>
        <w:r w:rsidR="000C3771">
          <w:rPr>
            <w:noProof/>
            <w:webHidden/>
          </w:rPr>
        </w:r>
        <w:r w:rsidR="000C3771">
          <w:rPr>
            <w:noProof/>
            <w:webHidden/>
          </w:rPr>
          <w:fldChar w:fldCharType="separate"/>
        </w:r>
        <w:r w:rsidR="00AA3EA2">
          <w:rPr>
            <w:noProof/>
            <w:webHidden/>
          </w:rPr>
          <w:t>6</w:t>
        </w:r>
        <w:r w:rsidR="000C3771">
          <w:rPr>
            <w:noProof/>
            <w:webHidden/>
          </w:rPr>
          <w:fldChar w:fldCharType="end"/>
        </w:r>
      </w:hyperlink>
    </w:p>
    <w:p w14:paraId="41541DCE" w14:textId="77777777" w:rsidR="00AA3EA2" w:rsidRDefault="004856D6">
      <w:pPr>
        <w:pStyle w:val="TOC2"/>
        <w:rPr>
          <w:rFonts w:asciiTheme="minorHAnsi" w:eastAsiaTheme="minorEastAsia" w:hAnsiTheme="minorHAnsi" w:cstheme="minorBidi"/>
          <w:noProof/>
          <w:color w:val="auto"/>
          <w:sz w:val="22"/>
          <w:szCs w:val="22"/>
        </w:rPr>
      </w:pPr>
      <w:hyperlink w:anchor="_Toc411244250" w:history="1">
        <w:r w:rsidR="00AA3EA2" w:rsidRPr="00F16861">
          <w:rPr>
            <w:rStyle w:val="Hyperlink"/>
            <w:noProof/>
          </w:rPr>
          <w:t>2.</w:t>
        </w:r>
        <w:r w:rsidR="00AA3EA2">
          <w:rPr>
            <w:rFonts w:asciiTheme="minorHAnsi" w:eastAsiaTheme="minorEastAsia" w:hAnsiTheme="minorHAnsi" w:cstheme="minorBidi"/>
            <w:noProof/>
            <w:color w:val="auto"/>
            <w:sz w:val="22"/>
            <w:szCs w:val="22"/>
          </w:rPr>
          <w:tab/>
        </w:r>
        <w:r w:rsidR="00AA3EA2" w:rsidRPr="00F16861">
          <w:rPr>
            <w:rStyle w:val="Hyperlink"/>
            <w:noProof/>
          </w:rPr>
          <w:t>Blasphemy Laws</w:t>
        </w:r>
        <w:r w:rsidR="00AA3EA2">
          <w:rPr>
            <w:noProof/>
            <w:webHidden/>
          </w:rPr>
          <w:tab/>
        </w:r>
        <w:r w:rsidR="000C3771">
          <w:rPr>
            <w:noProof/>
            <w:webHidden/>
          </w:rPr>
          <w:fldChar w:fldCharType="begin"/>
        </w:r>
        <w:r w:rsidR="00AA3EA2">
          <w:rPr>
            <w:noProof/>
            <w:webHidden/>
          </w:rPr>
          <w:instrText xml:space="preserve"> PAGEREF _Toc411244250 \h </w:instrText>
        </w:r>
        <w:r w:rsidR="000C3771">
          <w:rPr>
            <w:noProof/>
            <w:webHidden/>
          </w:rPr>
        </w:r>
        <w:r w:rsidR="000C3771">
          <w:rPr>
            <w:noProof/>
            <w:webHidden/>
          </w:rPr>
          <w:fldChar w:fldCharType="separate"/>
        </w:r>
        <w:r w:rsidR="00AA3EA2">
          <w:rPr>
            <w:noProof/>
            <w:webHidden/>
          </w:rPr>
          <w:t>6</w:t>
        </w:r>
        <w:r w:rsidR="000C3771">
          <w:rPr>
            <w:noProof/>
            <w:webHidden/>
          </w:rPr>
          <w:fldChar w:fldCharType="end"/>
        </w:r>
      </w:hyperlink>
    </w:p>
    <w:p w14:paraId="41541DCF" w14:textId="77777777" w:rsidR="00AA3EA2" w:rsidRDefault="004856D6">
      <w:pPr>
        <w:pStyle w:val="TOC2"/>
        <w:rPr>
          <w:rFonts w:asciiTheme="minorHAnsi" w:eastAsiaTheme="minorEastAsia" w:hAnsiTheme="minorHAnsi" w:cstheme="minorBidi"/>
          <w:noProof/>
          <w:color w:val="auto"/>
          <w:sz w:val="22"/>
          <w:szCs w:val="22"/>
        </w:rPr>
      </w:pPr>
      <w:hyperlink w:anchor="_Toc411244251" w:history="1">
        <w:r w:rsidR="00AA3EA2" w:rsidRPr="00F16861">
          <w:rPr>
            <w:rStyle w:val="Hyperlink"/>
            <w:noProof/>
          </w:rPr>
          <w:t>3.</w:t>
        </w:r>
        <w:r w:rsidR="00AA3EA2">
          <w:rPr>
            <w:rFonts w:asciiTheme="minorHAnsi" w:eastAsiaTheme="minorEastAsia" w:hAnsiTheme="minorHAnsi" w:cstheme="minorBidi"/>
            <w:noProof/>
            <w:color w:val="auto"/>
            <w:sz w:val="22"/>
            <w:szCs w:val="22"/>
          </w:rPr>
          <w:tab/>
        </w:r>
        <w:r w:rsidR="00AA3EA2" w:rsidRPr="00F16861">
          <w:rPr>
            <w:rStyle w:val="Hyperlink"/>
            <w:noProof/>
          </w:rPr>
          <w:t>Demography</w:t>
        </w:r>
        <w:r w:rsidR="00AA3EA2">
          <w:rPr>
            <w:noProof/>
            <w:webHidden/>
          </w:rPr>
          <w:tab/>
        </w:r>
        <w:r w:rsidR="000C3771">
          <w:rPr>
            <w:noProof/>
            <w:webHidden/>
          </w:rPr>
          <w:fldChar w:fldCharType="begin"/>
        </w:r>
        <w:r w:rsidR="00AA3EA2">
          <w:rPr>
            <w:noProof/>
            <w:webHidden/>
          </w:rPr>
          <w:instrText xml:space="preserve"> PAGEREF _Toc411244251 \h </w:instrText>
        </w:r>
        <w:r w:rsidR="000C3771">
          <w:rPr>
            <w:noProof/>
            <w:webHidden/>
          </w:rPr>
        </w:r>
        <w:r w:rsidR="000C3771">
          <w:rPr>
            <w:noProof/>
            <w:webHidden/>
          </w:rPr>
          <w:fldChar w:fldCharType="separate"/>
        </w:r>
        <w:r w:rsidR="00AA3EA2">
          <w:rPr>
            <w:noProof/>
            <w:webHidden/>
          </w:rPr>
          <w:t>6</w:t>
        </w:r>
        <w:r w:rsidR="000C3771">
          <w:rPr>
            <w:noProof/>
            <w:webHidden/>
          </w:rPr>
          <w:fldChar w:fldCharType="end"/>
        </w:r>
      </w:hyperlink>
    </w:p>
    <w:p w14:paraId="41541DD0" w14:textId="77777777" w:rsidR="00AA3EA2" w:rsidRDefault="004856D6">
      <w:pPr>
        <w:pStyle w:val="TOC2"/>
        <w:rPr>
          <w:rFonts w:asciiTheme="minorHAnsi" w:eastAsiaTheme="minorEastAsia" w:hAnsiTheme="minorHAnsi" w:cstheme="minorBidi"/>
          <w:noProof/>
          <w:color w:val="auto"/>
          <w:sz w:val="22"/>
          <w:szCs w:val="22"/>
        </w:rPr>
      </w:pPr>
      <w:hyperlink w:anchor="_Toc411244252" w:history="1">
        <w:r w:rsidR="00AA3EA2" w:rsidRPr="00F16861">
          <w:rPr>
            <w:rStyle w:val="Hyperlink"/>
            <w:noProof/>
          </w:rPr>
          <w:t>3.2</w:t>
        </w:r>
        <w:r w:rsidR="00AA3EA2">
          <w:rPr>
            <w:rFonts w:asciiTheme="minorHAnsi" w:eastAsiaTheme="minorEastAsia" w:hAnsiTheme="minorHAnsi" w:cstheme="minorBidi"/>
            <w:noProof/>
            <w:color w:val="auto"/>
            <w:sz w:val="22"/>
            <w:szCs w:val="22"/>
          </w:rPr>
          <w:tab/>
        </w:r>
        <w:r w:rsidR="00AA3EA2" w:rsidRPr="00F16861">
          <w:rPr>
            <w:rStyle w:val="Hyperlink"/>
            <w:noProof/>
          </w:rPr>
          <w:t>Representation</w:t>
        </w:r>
        <w:r w:rsidR="00AA3EA2">
          <w:rPr>
            <w:noProof/>
            <w:webHidden/>
          </w:rPr>
          <w:tab/>
        </w:r>
        <w:r w:rsidR="000C3771">
          <w:rPr>
            <w:noProof/>
            <w:webHidden/>
          </w:rPr>
          <w:fldChar w:fldCharType="begin"/>
        </w:r>
        <w:r w:rsidR="00AA3EA2">
          <w:rPr>
            <w:noProof/>
            <w:webHidden/>
          </w:rPr>
          <w:instrText xml:space="preserve"> PAGEREF _Toc411244252 \h </w:instrText>
        </w:r>
        <w:r w:rsidR="000C3771">
          <w:rPr>
            <w:noProof/>
            <w:webHidden/>
          </w:rPr>
        </w:r>
        <w:r w:rsidR="000C3771">
          <w:rPr>
            <w:noProof/>
            <w:webHidden/>
          </w:rPr>
          <w:fldChar w:fldCharType="separate"/>
        </w:r>
        <w:r w:rsidR="00AA3EA2">
          <w:rPr>
            <w:noProof/>
            <w:webHidden/>
          </w:rPr>
          <w:t>7</w:t>
        </w:r>
        <w:r w:rsidR="000C3771">
          <w:rPr>
            <w:noProof/>
            <w:webHidden/>
          </w:rPr>
          <w:fldChar w:fldCharType="end"/>
        </w:r>
      </w:hyperlink>
    </w:p>
    <w:p w14:paraId="41541DD1" w14:textId="77777777" w:rsidR="00AA3EA2" w:rsidRDefault="004856D6">
      <w:pPr>
        <w:pStyle w:val="TOC2"/>
        <w:rPr>
          <w:rFonts w:asciiTheme="minorHAnsi" w:eastAsiaTheme="minorEastAsia" w:hAnsiTheme="minorHAnsi" w:cstheme="minorBidi"/>
          <w:noProof/>
          <w:color w:val="auto"/>
          <w:sz w:val="22"/>
          <w:szCs w:val="22"/>
        </w:rPr>
      </w:pPr>
      <w:hyperlink w:anchor="_Toc411244253" w:history="1">
        <w:r w:rsidR="00AA3EA2" w:rsidRPr="00F16861">
          <w:rPr>
            <w:rStyle w:val="Hyperlink"/>
            <w:noProof/>
          </w:rPr>
          <w:t>4.</w:t>
        </w:r>
        <w:r w:rsidR="00AA3EA2">
          <w:rPr>
            <w:rFonts w:asciiTheme="minorHAnsi" w:eastAsiaTheme="minorEastAsia" w:hAnsiTheme="minorHAnsi" w:cstheme="minorBidi"/>
            <w:noProof/>
            <w:color w:val="auto"/>
            <w:sz w:val="22"/>
            <w:szCs w:val="22"/>
          </w:rPr>
          <w:tab/>
        </w:r>
        <w:r w:rsidR="00AA3EA2" w:rsidRPr="00F16861">
          <w:rPr>
            <w:rStyle w:val="Hyperlink"/>
            <w:noProof/>
          </w:rPr>
          <w:t>Violence and discrimination against Shia Muslims</w:t>
        </w:r>
        <w:r w:rsidR="00AA3EA2">
          <w:rPr>
            <w:noProof/>
            <w:webHidden/>
          </w:rPr>
          <w:tab/>
        </w:r>
        <w:r w:rsidR="000C3771">
          <w:rPr>
            <w:noProof/>
            <w:webHidden/>
          </w:rPr>
          <w:fldChar w:fldCharType="begin"/>
        </w:r>
        <w:r w:rsidR="00AA3EA2">
          <w:rPr>
            <w:noProof/>
            <w:webHidden/>
          </w:rPr>
          <w:instrText xml:space="preserve"> PAGEREF _Toc411244253 \h </w:instrText>
        </w:r>
        <w:r w:rsidR="000C3771">
          <w:rPr>
            <w:noProof/>
            <w:webHidden/>
          </w:rPr>
        </w:r>
        <w:r w:rsidR="000C3771">
          <w:rPr>
            <w:noProof/>
            <w:webHidden/>
          </w:rPr>
          <w:fldChar w:fldCharType="separate"/>
        </w:r>
        <w:r w:rsidR="00AA3EA2">
          <w:rPr>
            <w:noProof/>
            <w:webHidden/>
          </w:rPr>
          <w:t>7</w:t>
        </w:r>
        <w:r w:rsidR="000C3771">
          <w:rPr>
            <w:noProof/>
            <w:webHidden/>
          </w:rPr>
          <w:fldChar w:fldCharType="end"/>
        </w:r>
      </w:hyperlink>
    </w:p>
    <w:p w14:paraId="41541DD2" w14:textId="77777777" w:rsidR="00AA3EA2" w:rsidRDefault="004856D6">
      <w:pPr>
        <w:pStyle w:val="TOC1"/>
        <w:rPr>
          <w:rFonts w:asciiTheme="minorHAnsi" w:eastAsiaTheme="minorEastAsia" w:hAnsiTheme="minorHAnsi" w:cstheme="minorBidi"/>
          <w:b w:val="0"/>
          <w:noProof/>
          <w:color w:val="auto"/>
          <w:sz w:val="22"/>
          <w:szCs w:val="22"/>
        </w:rPr>
      </w:pPr>
      <w:hyperlink w:anchor="_Toc411244254" w:history="1">
        <w:r w:rsidR="00AA3EA2" w:rsidRPr="00F16861">
          <w:rPr>
            <w:rStyle w:val="Hyperlink"/>
            <w:noProof/>
          </w:rPr>
          <w:t>Annex A: Caselaw</w:t>
        </w:r>
        <w:r w:rsidR="00AA3EA2">
          <w:rPr>
            <w:noProof/>
            <w:webHidden/>
          </w:rPr>
          <w:tab/>
        </w:r>
        <w:r w:rsidR="000C3771">
          <w:rPr>
            <w:noProof/>
            <w:webHidden/>
          </w:rPr>
          <w:fldChar w:fldCharType="begin"/>
        </w:r>
        <w:r w:rsidR="00AA3EA2">
          <w:rPr>
            <w:noProof/>
            <w:webHidden/>
          </w:rPr>
          <w:instrText xml:space="preserve"> PAGEREF _Toc411244254 \h </w:instrText>
        </w:r>
        <w:r w:rsidR="000C3771">
          <w:rPr>
            <w:noProof/>
            <w:webHidden/>
          </w:rPr>
        </w:r>
        <w:r w:rsidR="000C3771">
          <w:rPr>
            <w:noProof/>
            <w:webHidden/>
          </w:rPr>
          <w:fldChar w:fldCharType="separate"/>
        </w:r>
        <w:r w:rsidR="00AA3EA2">
          <w:rPr>
            <w:noProof/>
            <w:webHidden/>
          </w:rPr>
          <w:t>10</w:t>
        </w:r>
        <w:r w:rsidR="000C3771">
          <w:rPr>
            <w:noProof/>
            <w:webHidden/>
          </w:rPr>
          <w:fldChar w:fldCharType="end"/>
        </w:r>
      </w:hyperlink>
    </w:p>
    <w:p w14:paraId="41541DD3" w14:textId="77777777" w:rsidR="00AA3EA2" w:rsidRDefault="004856D6">
      <w:pPr>
        <w:pStyle w:val="TOC2"/>
        <w:rPr>
          <w:rFonts w:asciiTheme="minorHAnsi" w:eastAsiaTheme="minorEastAsia" w:hAnsiTheme="minorHAnsi" w:cstheme="minorBidi"/>
          <w:noProof/>
          <w:color w:val="auto"/>
          <w:sz w:val="22"/>
          <w:szCs w:val="22"/>
        </w:rPr>
      </w:pPr>
      <w:hyperlink w:anchor="_Toc411244255" w:history="1">
        <w:r w:rsidR="00AA3EA2" w:rsidRPr="00F16861">
          <w:rPr>
            <w:rStyle w:val="Hyperlink"/>
            <w:noProof/>
          </w:rPr>
          <w:t xml:space="preserve">AW </w:t>
        </w:r>
        <w:r w:rsidR="00AA3EA2" w:rsidRPr="00F16861">
          <w:rPr>
            <w:rStyle w:val="Hyperlink"/>
            <w:rFonts w:cs="Arial"/>
            <w:noProof/>
            <w:u w:color="8F23B3"/>
          </w:rPr>
          <w:t>(Sufficiency of Protection)</w:t>
        </w:r>
        <w:r w:rsidR="00AA3EA2">
          <w:rPr>
            <w:noProof/>
            <w:webHidden/>
          </w:rPr>
          <w:tab/>
        </w:r>
        <w:r w:rsidR="000C3771">
          <w:rPr>
            <w:noProof/>
            <w:webHidden/>
          </w:rPr>
          <w:fldChar w:fldCharType="begin"/>
        </w:r>
        <w:r w:rsidR="00AA3EA2">
          <w:rPr>
            <w:noProof/>
            <w:webHidden/>
          </w:rPr>
          <w:instrText xml:space="preserve"> PAGEREF _Toc411244255 \h </w:instrText>
        </w:r>
        <w:r w:rsidR="000C3771">
          <w:rPr>
            <w:noProof/>
            <w:webHidden/>
          </w:rPr>
        </w:r>
        <w:r w:rsidR="000C3771">
          <w:rPr>
            <w:noProof/>
            <w:webHidden/>
          </w:rPr>
          <w:fldChar w:fldCharType="separate"/>
        </w:r>
        <w:r w:rsidR="00AA3EA2">
          <w:rPr>
            <w:noProof/>
            <w:webHidden/>
          </w:rPr>
          <w:t>10</w:t>
        </w:r>
        <w:r w:rsidR="000C3771">
          <w:rPr>
            <w:noProof/>
            <w:webHidden/>
          </w:rPr>
          <w:fldChar w:fldCharType="end"/>
        </w:r>
      </w:hyperlink>
    </w:p>
    <w:p w14:paraId="41541DD4" w14:textId="77777777" w:rsidR="007200E5" w:rsidRDefault="000C3771" w:rsidP="0015623B">
      <w:pPr>
        <w:pStyle w:val="CPITSectionHeader"/>
      </w:pPr>
      <w:r>
        <w:rPr>
          <w:rFonts w:cs="Times New Roman"/>
          <w:noProof/>
          <w:sz w:val="24"/>
          <w:szCs w:val="20"/>
        </w:rPr>
        <w:fldChar w:fldCharType="end"/>
      </w:r>
      <w:r w:rsidR="007200E5" w:rsidRPr="00431D0F">
        <w:t xml:space="preserve"> </w:t>
      </w:r>
    </w:p>
    <w:p w14:paraId="41541DD5" w14:textId="77777777" w:rsidR="007E3141" w:rsidRDefault="007E3141" w:rsidP="00990861"/>
    <w:p w14:paraId="41541DD6" w14:textId="77777777" w:rsidR="007200E5" w:rsidRPr="0015623B" w:rsidRDefault="007200E5" w:rsidP="0015623B">
      <w:pPr>
        <w:pStyle w:val="CPITSectionHeader"/>
      </w:pPr>
      <w:r w:rsidRPr="0015623B">
        <w:br w:type="page"/>
      </w:r>
      <w:bookmarkStart w:id="3" w:name="_Toc411244244"/>
      <w:r w:rsidRPr="0015623B">
        <w:lastRenderedPageBreak/>
        <w:t>Section 1: Guidance</w:t>
      </w:r>
      <w:bookmarkEnd w:id="3"/>
    </w:p>
    <w:p w14:paraId="41541DD7" w14:textId="77777777" w:rsidR="00D163F9" w:rsidRPr="00D163F9" w:rsidRDefault="00D163F9" w:rsidP="00C96CF8">
      <w:pPr>
        <w:pStyle w:val="CPITDateUpdatedText"/>
      </w:pPr>
      <w:r w:rsidRPr="00D163F9">
        <w:t xml:space="preserve">Updated: </w:t>
      </w:r>
      <w:r w:rsidR="005F6ABD">
        <w:t>9 February</w:t>
      </w:r>
      <w:r w:rsidR="00766DEE">
        <w:t xml:space="preserve"> 2015</w:t>
      </w:r>
    </w:p>
    <w:p w14:paraId="41541DD8" w14:textId="77777777" w:rsidR="00D66CAC" w:rsidRDefault="00D66CAC" w:rsidP="00D66CAC">
      <w:pPr>
        <w:pStyle w:val="CPITSub-header1"/>
        <w:numPr>
          <w:ilvl w:val="0"/>
          <w:numId w:val="30"/>
        </w:numPr>
        <w:tabs>
          <w:tab w:val="clear" w:pos="851"/>
        </w:tabs>
        <w:ind w:left="709" w:hanging="709"/>
      </w:pPr>
      <w:bookmarkStart w:id="4" w:name="_Toc409097476"/>
      <w:bookmarkStart w:id="5" w:name="_Toc411244245"/>
      <w:r>
        <w:t>Introduction</w:t>
      </w:r>
      <w:bookmarkEnd w:id="4"/>
      <w:bookmarkEnd w:id="5"/>
    </w:p>
    <w:p w14:paraId="41541DD9" w14:textId="77777777" w:rsidR="00D66CAC" w:rsidRPr="00FC41E9" w:rsidRDefault="00D66CAC" w:rsidP="001F0F48">
      <w:pPr>
        <w:pStyle w:val="CPITIssuetoConsider"/>
        <w:numPr>
          <w:ilvl w:val="1"/>
          <w:numId w:val="2"/>
        </w:numPr>
        <w:ind w:left="709" w:hanging="709"/>
        <w:rPr>
          <w:sz w:val="28"/>
          <w:szCs w:val="28"/>
        </w:rPr>
      </w:pPr>
      <w:r w:rsidRPr="00FC41E9">
        <w:rPr>
          <w:sz w:val="28"/>
          <w:szCs w:val="28"/>
        </w:rPr>
        <w:t>Basis of Claim</w:t>
      </w:r>
    </w:p>
    <w:p w14:paraId="41541DDA" w14:textId="77777777" w:rsidR="003B3341" w:rsidRPr="00705C23" w:rsidRDefault="003B3341" w:rsidP="00D66CAC">
      <w:pPr>
        <w:pStyle w:val="CPITNumberedParagraphText"/>
        <w:ind w:left="709" w:hanging="709"/>
      </w:pPr>
      <w:r w:rsidRPr="00705C23">
        <w:t xml:space="preserve">Fear of persecution by the Pakistani authorities or by non state actors due to </w:t>
      </w:r>
      <w:r w:rsidR="007616BF">
        <w:t>the person</w:t>
      </w:r>
      <w:r w:rsidRPr="00705C23">
        <w:t xml:space="preserve"> being a</w:t>
      </w:r>
      <w:r w:rsidR="007616BF">
        <w:t xml:space="preserve"> Shia Muslim</w:t>
      </w:r>
      <w:r w:rsidRPr="00705C23">
        <w:t xml:space="preserve">. </w:t>
      </w:r>
    </w:p>
    <w:p w14:paraId="41541DDB" w14:textId="77777777" w:rsidR="003B3341" w:rsidRPr="00A46E3C" w:rsidRDefault="004856D6" w:rsidP="003B3341">
      <w:pPr>
        <w:pStyle w:val="CPITBacktoContentsLinks"/>
        <w:rPr>
          <w:rStyle w:val="CPITCOI-Link"/>
        </w:rPr>
      </w:pPr>
      <w:hyperlink w:anchor="contents" w:history="1">
        <w:r w:rsidR="003B3341" w:rsidRPr="00A46E3C">
          <w:rPr>
            <w:rStyle w:val="CPITCOI-Link"/>
          </w:rPr>
          <w:t>Back to Contents</w:t>
        </w:r>
      </w:hyperlink>
    </w:p>
    <w:p w14:paraId="41541DDC" w14:textId="77777777" w:rsidR="00D66CAC" w:rsidRPr="00FC41E9" w:rsidRDefault="00D66CAC" w:rsidP="001F0F48">
      <w:pPr>
        <w:pStyle w:val="CPITIssuetoConsider"/>
        <w:numPr>
          <w:ilvl w:val="1"/>
          <w:numId w:val="2"/>
        </w:numPr>
        <w:ind w:left="709" w:hanging="709"/>
        <w:rPr>
          <w:sz w:val="28"/>
          <w:szCs w:val="28"/>
        </w:rPr>
      </w:pPr>
      <w:r w:rsidRPr="00FC41E9">
        <w:rPr>
          <w:sz w:val="28"/>
          <w:szCs w:val="28"/>
        </w:rPr>
        <w:t>Summary of Issues to Consider</w:t>
      </w:r>
    </w:p>
    <w:p w14:paraId="41541DDD" w14:textId="77777777" w:rsidR="003B3341" w:rsidRDefault="003B3341" w:rsidP="00D66CAC">
      <w:pPr>
        <w:pStyle w:val="CPITNumberedParagraphText"/>
        <w:ind w:left="709" w:hanging="709"/>
      </w:pPr>
      <w:r w:rsidRPr="00705C23">
        <w:t>Is the person’s account a credible one?</w:t>
      </w:r>
    </w:p>
    <w:p w14:paraId="41541DDE" w14:textId="77777777" w:rsidR="003B3341" w:rsidRDefault="003B3341" w:rsidP="00D66CAC">
      <w:pPr>
        <w:pStyle w:val="CPITNumberedParagraphText"/>
        <w:ind w:left="709" w:hanging="709"/>
      </w:pPr>
      <w:r w:rsidRPr="00A46E3C">
        <w:t xml:space="preserve">Are </w:t>
      </w:r>
      <w:r w:rsidR="007616BF">
        <w:t>Shia Muslims</w:t>
      </w:r>
      <w:r>
        <w:t xml:space="preserve"> </w:t>
      </w:r>
      <w:r w:rsidRPr="00A46E3C">
        <w:t xml:space="preserve">at risk of mistreatment or harm in </w:t>
      </w:r>
      <w:r w:rsidRPr="00705C23">
        <w:t>Pakistan</w:t>
      </w:r>
      <w:r w:rsidRPr="00A46E3C">
        <w:t>?</w:t>
      </w:r>
    </w:p>
    <w:p w14:paraId="41541DDF" w14:textId="77777777" w:rsidR="003B3341" w:rsidRDefault="003B3341" w:rsidP="00D66CAC">
      <w:pPr>
        <w:pStyle w:val="CPITNumberedParagraphText"/>
        <w:ind w:left="709" w:hanging="709"/>
      </w:pPr>
      <w:r w:rsidRPr="00A46E3C">
        <w:t>Are those at risk able to seek effective protection?</w:t>
      </w:r>
    </w:p>
    <w:p w14:paraId="41541DE0" w14:textId="77777777" w:rsidR="003B3341" w:rsidRPr="00A5236F" w:rsidRDefault="003B3341" w:rsidP="00D66CAC">
      <w:pPr>
        <w:pStyle w:val="CPITNumberedParagraphText"/>
        <w:ind w:left="709" w:hanging="709"/>
      </w:pPr>
      <w:r w:rsidRPr="00A46E3C">
        <w:t xml:space="preserve">Are those at risk able to internally relocate within </w:t>
      </w:r>
      <w:r w:rsidRPr="00705C23">
        <w:t>Pakistan</w:t>
      </w:r>
      <w:r w:rsidRPr="00A46E3C">
        <w:t>?</w:t>
      </w:r>
    </w:p>
    <w:p w14:paraId="41541DE1" w14:textId="77777777" w:rsidR="003B3341" w:rsidRDefault="004856D6" w:rsidP="003B3341">
      <w:pPr>
        <w:pStyle w:val="CPITBacktoContentsLinks"/>
        <w:rPr>
          <w:rStyle w:val="CPITCOI-Link"/>
        </w:rPr>
      </w:pPr>
      <w:hyperlink w:anchor="contents" w:history="1">
        <w:r w:rsidR="003B3341" w:rsidRPr="00A46E3C">
          <w:rPr>
            <w:rStyle w:val="CPITCOI-Link"/>
          </w:rPr>
          <w:t>Back to Contents</w:t>
        </w:r>
      </w:hyperlink>
    </w:p>
    <w:p w14:paraId="41541DE2" w14:textId="77777777" w:rsidR="00A46E3C" w:rsidRPr="00C8497E" w:rsidRDefault="00A46E3C" w:rsidP="00C96CF8"/>
    <w:p w14:paraId="41541DE3" w14:textId="77777777" w:rsidR="00A821C7" w:rsidRPr="006F42F4" w:rsidRDefault="00A821C7" w:rsidP="001F0F48">
      <w:pPr>
        <w:pStyle w:val="CPITSub-header1"/>
        <w:numPr>
          <w:ilvl w:val="0"/>
          <w:numId w:val="30"/>
        </w:numPr>
        <w:tabs>
          <w:tab w:val="clear" w:pos="851"/>
        </w:tabs>
        <w:ind w:left="709" w:hanging="709"/>
      </w:pPr>
      <w:bookmarkStart w:id="6" w:name="_Toc411244246"/>
      <w:r>
        <w:t>Consideration of Issues</w:t>
      </w:r>
      <w:bookmarkEnd w:id="6"/>
    </w:p>
    <w:p w14:paraId="41541DE4" w14:textId="77777777" w:rsidR="004D1D26" w:rsidRPr="00FC41E9" w:rsidRDefault="004D1D26" w:rsidP="004D1D26">
      <w:pPr>
        <w:pStyle w:val="CPITIssuetoConsider"/>
        <w:numPr>
          <w:ilvl w:val="1"/>
          <w:numId w:val="29"/>
        </w:numPr>
        <w:ind w:left="709" w:hanging="709"/>
        <w:rPr>
          <w:sz w:val="28"/>
          <w:szCs w:val="28"/>
        </w:rPr>
      </w:pPr>
      <w:r w:rsidRPr="00FC41E9">
        <w:rPr>
          <w:sz w:val="28"/>
          <w:szCs w:val="28"/>
        </w:rPr>
        <w:t>Is the person’s account a credible one?</w:t>
      </w:r>
    </w:p>
    <w:p w14:paraId="41541DE5" w14:textId="77777777" w:rsidR="00D66CAC" w:rsidRDefault="008B4E99" w:rsidP="00D66CAC">
      <w:pPr>
        <w:pStyle w:val="ParagraphText0"/>
        <w:numPr>
          <w:ilvl w:val="2"/>
          <w:numId w:val="29"/>
        </w:numPr>
        <w:ind w:left="709" w:hanging="709"/>
      </w:pPr>
      <w:r w:rsidRPr="00A46E3C">
        <w:t xml:space="preserve">Decision makers must consider whether the </w:t>
      </w:r>
      <w:r>
        <w:t xml:space="preserve">material facts relating to the </w:t>
      </w:r>
      <w:r w:rsidRPr="00A46E3C">
        <w:t xml:space="preserve">person’s account of their </w:t>
      </w:r>
      <w:r w:rsidRPr="005A4BFA">
        <w:t>religion</w:t>
      </w:r>
      <w:r w:rsidR="005A4BFA">
        <w:t xml:space="preserve"> and of their experiences as </w:t>
      </w:r>
      <w:r w:rsidR="003B3341">
        <w:t>such are</w:t>
      </w:r>
      <w:r w:rsidR="005A4BFA">
        <w:t xml:space="preserve"> </w:t>
      </w:r>
      <w:r w:rsidRPr="00A46E3C">
        <w:t xml:space="preserve">reasonably detailed, internally consistent </w:t>
      </w:r>
      <w:r>
        <w:t xml:space="preserve">(e.g. oral testimony, written statements) </w:t>
      </w:r>
      <w:r w:rsidRPr="00A46E3C">
        <w:t xml:space="preserve">as well as being </w:t>
      </w:r>
      <w:r w:rsidR="00D66CAC" w:rsidRPr="00A46E3C">
        <w:t xml:space="preserve">externally credible (i.e. consistent with generally known facts and </w:t>
      </w:r>
      <w:hyperlink w:anchor="Information" w:history="1">
        <w:r w:rsidR="00D66CAC" w:rsidRPr="00BF4DD3">
          <w:rPr>
            <w:rStyle w:val="CPITCOI-Link"/>
          </w:rPr>
          <w:t>the country information</w:t>
        </w:r>
      </w:hyperlink>
      <w:r w:rsidR="00D66CAC" w:rsidRPr="00A46E3C">
        <w:t>)</w:t>
      </w:r>
      <w:r w:rsidR="00D66CAC" w:rsidRPr="002D43A1">
        <w:t>.</w:t>
      </w:r>
      <w:r w:rsidR="00D66CAC">
        <w:t xml:space="preserve"> Decision makers should take into account the possible underlying factors as to why a person may be inconsistent or unable to provide details of material facts.</w:t>
      </w:r>
    </w:p>
    <w:p w14:paraId="41541DE6" w14:textId="77777777" w:rsidR="00D66CAC" w:rsidRDefault="00D66CAC" w:rsidP="00D66CAC">
      <w:pPr>
        <w:pStyle w:val="ParagraphText0"/>
        <w:ind w:left="709" w:firstLine="0"/>
      </w:pPr>
      <w:r w:rsidRPr="00D66CAC">
        <w:t xml:space="preserve">For further information on these and assessing credibility more generally, see the </w:t>
      </w:r>
      <w:hyperlink r:id="rId20" w:history="1">
        <w:r w:rsidRPr="00D66CAC">
          <w:rPr>
            <w:rStyle w:val="CPITCOI-Link"/>
          </w:rPr>
          <w:t>Asylum Instruction on Assessing Credibility and Refugee Status</w:t>
        </w:r>
      </w:hyperlink>
      <w:r w:rsidRPr="00D66CAC">
        <w:t>.</w:t>
      </w:r>
    </w:p>
    <w:p w14:paraId="41541DE7" w14:textId="77777777" w:rsidR="00D66CAC" w:rsidRDefault="004856D6" w:rsidP="00D66CAC">
      <w:pPr>
        <w:pStyle w:val="CPITBacktoContentsLinks"/>
        <w:ind w:left="0"/>
      </w:pPr>
      <w:hyperlink w:anchor="contents" w:history="1">
        <w:r w:rsidR="00D66CAC" w:rsidRPr="00A46E3C">
          <w:rPr>
            <w:rStyle w:val="CPITCOI-Link"/>
          </w:rPr>
          <w:t>Back to Contents</w:t>
        </w:r>
      </w:hyperlink>
    </w:p>
    <w:p w14:paraId="41541DE8" w14:textId="77777777" w:rsidR="004D1D26" w:rsidRDefault="004D1D26" w:rsidP="00D66CAC">
      <w:pPr>
        <w:pStyle w:val="CPITBacktoContentsLinks"/>
        <w:ind w:left="0"/>
      </w:pPr>
    </w:p>
    <w:p w14:paraId="41541DE9" w14:textId="77777777" w:rsidR="00046BE4" w:rsidRPr="00FC41E9" w:rsidRDefault="00046BE4" w:rsidP="004D1D26">
      <w:pPr>
        <w:pStyle w:val="CPITIssuetoConsider"/>
        <w:numPr>
          <w:ilvl w:val="1"/>
          <w:numId w:val="29"/>
        </w:numPr>
        <w:ind w:left="709" w:hanging="709"/>
        <w:rPr>
          <w:sz w:val="28"/>
          <w:szCs w:val="28"/>
        </w:rPr>
      </w:pPr>
      <w:r w:rsidRPr="00FC41E9">
        <w:rPr>
          <w:sz w:val="28"/>
          <w:szCs w:val="28"/>
        </w:rPr>
        <w:t xml:space="preserve">Are </w:t>
      </w:r>
      <w:r w:rsidR="007616BF">
        <w:rPr>
          <w:sz w:val="28"/>
          <w:szCs w:val="28"/>
        </w:rPr>
        <w:t>Shia Muslims</w:t>
      </w:r>
      <w:r w:rsidR="006D39BB" w:rsidRPr="00FC41E9">
        <w:rPr>
          <w:sz w:val="28"/>
          <w:szCs w:val="28"/>
        </w:rPr>
        <w:t xml:space="preserve"> </w:t>
      </w:r>
      <w:r w:rsidRPr="00FC41E9">
        <w:rPr>
          <w:sz w:val="28"/>
          <w:szCs w:val="28"/>
        </w:rPr>
        <w:t>at risk of mistreatment or harm</w:t>
      </w:r>
      <w:r w:rsidR="00A663DF" w:rsidRPr="00FC41E9">
        <w:rPr>
          <w:sz w:val="28"/>
          <w:szCs w:val="28"/>
        </w:rPr>
        <w:t>, amounting to persecution,</w:t>
      </w:r>
      <w:r w:rsidRPr="00FC41E9">
        <w:rPr>
          <w:sz w:val="28"/>
          <w:szCs w:val="28"/>
        </w:rPr>
        <w:t xml:space="preserve"> in </w:t>
      </w:r>
      <w:r w:rsidR="005A4BFA" w:rsidRPr="00FC41E9">
        <w:rPr>
          <w:sz w:val="28"/>
          <w:szCs w:val="28"/>
        </w:rPr>
        <w:t>Pakistan</w:t>
      </w:r>
      <w:r w:rsidRPr="00FC41E9">
        <w:rPr>
          <w:sz w:val="28"/>
          <w:szCs w:val="28"/>
        </w:rPr>
        <w:t>?</w:t>
      </w:r>
    </w:p>
    <w:p w14:paraId="41541DEA" w14:textId="77777777" w:rsidR="007616BF" w:rsidRDefault="007616BF" w:rsidP="007616BF">
      <w:pPr>
        <w:pStyle w:val="CPITNumberedParagraphText"/>
        <w:numPr>
          <w:ilvl w:val="2"/>
          <w:numId w:val="29"/>
        </w:numPr>
      </w:pPr>
      <w:r w:rsidRPr="00043E57">
        <w:t>There are no discriminatory laws or government policies against Shias in Pakistan; neither are there any legal restrictions on</w:t>
      </w:r>
      <w:r>
        <w:t xml:space="preserve"> freedom of religion for Shias </w:t>
      </w:r>
      <w:r w:rsidRPr="00043E57">
        <w:t>(</w:t>
      </w:r>
      <w:r w:rsidR="00576982">
        <w:t xml:space="preserve">see ‘Overview’ in section 2 of the Country Information and Guidance on </w:t>
      </w:r>
      <w:hyperlink r:id="rId21" w:history="1">
        <w:r w:rsidR="00576982" w:rsidRPr="00D6595B">
          <w:rPr>
            <w:rStyle w:val="CPITCOI-Link"/>
          </w:rPr>
          <w:t>Pakistan: Ahmadis</w:t>
        </w:r>
      </w:hyperlink>
      <w:r w:rsidRPr="007616BF">
        <w:t xml:space="preserve"> </w:t>
      </w:r>
      <w:r w:rsidR="00576982">
        <w:t>for information on religious laws</w:t>
      </w:r>
      <w:r w:rsidRPr="00043E57">
        <w:t>).</w:t>
      </w:r>
    </w:p>
    <w:p w14:paraId="41541DEB" w14:textId="77777777" w:rsidR="007616BF" w:rsidRDefault="007616BF" w:rsidP="007616BF">
      <w:pPr>
        <w:pStyle w:val="CPITNumberedParagraphText"/>
        <w:numPr>
          <w:ilvl w:val="2"/>
          <w:numId w:val="29"/>
        </w:numPr>
      </w:pPr>
      <w:r w:rsidRPr="00043E57">
        <w:t>There is little societal discrimination that would restrict Shias in their daily life</w:t>
      </w:r>
      <w:r>
        <w:t xml:space="preserve"> </w:t>
      </w:r>
      <w:r w:rsidRPr="00043E57">
        <w:t>(</w:t>
      </w:r>
      <w:r w:rsidRPr="007616BF">
        <w:t xml:space="preserve">see </w:t>
      </w:r>
      <w:r w:rsidR="00576982">
        <w:rPr>
          <w:highlight w:val="yellow"/>
        </w:rPr>
        <w:t xml:space="preserve"> </w:t>
      </w:r>
      <w:hyperlink w:anchor="Representation" w:history="1">
        <w:r w:rsidR="00576982" w:rsidRPr="00576982">
          <w:rPr>
            <w:rStyle w:val="CPITCOI-Link"/>
          </w:rPr>
          <w:t>Representation</w:t>
        </w:r>
      </w:hyperlink>
      <w:r w:rsidRPr="00576982">
        <w:t xml:space="preserve"> </w:t>
      </w:r>
      <w:r w:rsidRPr="007616BF">
        <w:t>in the country information</w:t>
      </w:r>
      <w:r w:rsidRPr="00043E57">
        <w:t>).</w:t>
      </w:r>
    </w:p>
    <w:p w14:paraId="41541DEC" w14:textId="77777777" w:rsidR="007616BF" w:rsidRDefault="007616BF" w:rsidP="007616BF">
      <w:pPr>
        <w:pStyle w:val="CPITNumberedParagraphText"/>
        <w:numPr>
          <w:ilvl w:val="2"/>
          <w:numId w:val="29"/>
        </w:numPr>
      </w:pPr>
      <w:r w:rsidRPr="00043E57">
        <w:t>The greatest threat for Shias in Pakistan is sectarian violence and targeting by militants, although the intensity and frequency may vary from region to region</w:t>
      </w:r>
      <w:r>
        <w:t xml:space="preserve"> </w:t>
      </w:r>
      <w:r w:rsidRPr="00043E57">
        <w:t>(</w:t>
      </w:r>
      <w:r w:rsidRPr="007616BF">
        <w:t xml:space="preserve">see </w:t>
      </w:r>
      <w:hyperlink w:anchor="Violence" w:history="1">
        <w:r w:rsidR="00576982" w:rsidRPr="00576982">
          <w:rPr>
            <w:rStyle w:val="CPITCOI-Link"/>
          </w:rPr>
          <w:t>Violence and discrimination against Shia Muslims</w:t>
        </w:r>
      </w:hyperlink>
      <w:r w:rsidRPr="00576982">
        <w:t xml:space="preserve"> </w:t>
      </w:r>
      <w:r w:rsidRPr="007616BF">
        <w:t>in the country information</w:t>
      </w:r>
      <w:r w:rsidRPr="00043E57">
        <w:t>).</w:t>
      </w:r>
    </w:p>
    <w:p w14:paraId="41541DED" w14:textId="77777777" w:rsidR="007616BF" w:rsidRDefault="004856D6" w:rsidP="007616BF">
      <w:pPr>
        <w:pStyle w:val="CPITBacktoContentsLinks"/>
        <w:ind w:left="0"/>
      </w:pPr>
      <w:hyperlink w:anchor="contents" w:history="1">
        <w:r w:rsidR="007616BF" w:rsidRPr="00A46E3C">
          <w:rPr>
            <w:rStyle w:val="CPITCOI-Link"/>
          </w:rPr>
          <w:t>Back to Contents</w:t>
        </w:r>
      </w:hyperlink>
    </w:p>
    <w:p w14:paraId="41541DEE" w14:textId="77777777" w:rsidR="004E6CAF" w:rsidRDefault="004E6CAF" w:rsidP="004D1D26">
      <w:pPr>
        <w:pStyle w:val="CPITNumberedParagraphText"/>
        <w:numPr>
          <w:ilvl w:val="0"/>
          <w:numId w:val="0"/>
        </w:numPr>
        <w:ind w:left="390"/>
        <w:rPr>
          <w:highlight w:val="yellow"/>
        </w:rPr>
      </w:pPr>
    </w:p>
    <w:p w14:paraId="41541DEF" w14:textId="77777777" w:rsidR="007616BF" w:rsidRDefault="007616BF" w:rsidP="004D1D26">
      <w:pPr>
        <w:pStyle w:val="CPITNumberedParagraphText"/>
        <w:numPr>
          <w:ilvl w:val="0"/>
          <w:numId w:val="0"/>
        </w:numPr>
        <w:ind w:left="390"/>
        <w:rPr>
          <w:highlight w:val="yellow"/>
        </w:rPr>
      </w:pPr>
    </w:p>
    <w:p w14:paraId="41541DF0" w14:textId="77777777" w:rsidR="007616BF" w:rsidRPr="007616BF" w:rsidRDefault="007616BF" w:rsidP="004D1D26">
      <w:pPr>
        <w:pStyle w:val="CPITNumberedParagraphText"/>
        <w:numPr>
          <w:ilvl w:val="0"/>
          <w:numId w:val="0"/>
        </w:numPr>
        <w:ind w:left="390"/>
        <w:rPr>
          <w:highlight w:val="yellow"/>
        </w:rPr>
      </w:pPr>
    </w:p>
    <w:p w14:paraId="41541DF1" w14:textId="77777777" w:rsidR="00046BE4" w:rsidRPr="00FC41E9" w:rsidRDefault="00046BE4" w:rsidP="007037F7">
      <w:pPr>
        <w:pStyle w:val="CPITIssuetoConsider"/>
        <w:numPr>
          <w:ilvl w:val="1"/>
          <w:numId w:val="29"/>
        </w:numPr>
        <w:tabs>
          <w:tab w:val="left" w:pos="709"/>
        </w:tabs>
        <w:ind w:left="709" w:hanging="709"/>
        <w:rPr>
          <w:sz w:val="28"/>
          <w:szCs w:val="28"/>
        </w:rPr>
      </w:pPr>
      <w:r w:rsidRPr="00FC41E9">
        <w:rPr>
          <w:sz w:val="28"/>
          <w:szCs w:val="28"/>
        </w:rPr>
        <w:lastRenderedPageBreak/>
        <w:t xml:space="preserve">Are </w:t>
      </w:r>
      <w:r w:rsidR="007616BF">
        <w:rPr>
          <w:sz w:val="28"/>
          <w:szCs w:val="28"/>
        </w:rPr>
        <w:t>Shia Muslims</w:t>
      </w:r>
      <w:r w:rsidRPr="00FC41E9">
        <w:rPr>
          <w:sz w:val="28"/>
          <w:szCs w:val="28"/>
        </w:rPr>
        <w:t xml:space="preserve"> able to seek effective protection?</w:t>
      </w:r>
    </w:p>
    <w:p w14:paraId="41541DF2" w14:textId="77777777" w:rsidR="007616BF" w:rsidRDefault="007616BF" w:rsidP="007616BF">
      <w:pPr>
        <w:pStyle w:val="CPITNumberedParagraphText"/>
        <w:numPr>
          <w:ilvl w:val="2"/>
          <w:numId w:val="29"/>
        </w:numPr>
      </w:pPr>
      <w:r w:rsidRPr="00043E57">
        <w:t>There is a general willingness by Pakistani authorities to protect Shias. During Moharram, law enforcement authorities are known to provide security for participants. Armed forces have provided security for Shia pilgr</w:t>
      </w:r>
      <w:r>
        <w:t>ims travelling to and from Iran</w:t>
      </w:r>
      <w:r w:rsidRPr="00043E57">
        <w:t xml:space="preserve"> (</w:t>
      </w:r>
      <w:r w:rsidRPr="007616BF">
        <w:t xml:space="preserve">see </w:t>
      </w:r>
      <w:hyperlink w:anchor="Violence" w:history="1">
        <w:r w:rsidR="00576982" w:rsidRPr="00576982">
          <w:rPr>
            <w:rStyle w:val="CPITCOI-Link"/>
          </w:rPr>
          <w:t>Violence and discrimination against Shia Muslims</w:t>
        </w:r>
      </w:hyperlink>
      <w:r w:rsidR="00576982">
        <w:t xml:space="preserve"> in</w:t>
      </w:r>
      <w:r w:rsidRPr="007616BF">
        <w:t xml:space="preserve"> the country information</w:t>
      </w:r>
      <w:r w:rsidRPr="00043E57">
        <w:t>).</w:t>
      </w:r>
    </w:p>
    <w:p w14:paraId="41541DF3" w14:textId="77777777" w:rsidR="007616BF" w:rsidRDefault="007616BF" w:rsidP="007616BF">
      <w:pPr>
        <w:pStyle w:val="CPITNumberedParagraphText"/>
        <w:numPr>
          <w:ilvl w:val="2"/>
          <w:numId w:val="29"/>
        </w:numPr>
      </w:pPr>
      <w:r>
        <w:t>Whilst</w:t>
      </w:r>
      <w:r w:rsidRPr="00043E57">
        <w:t xml:space="preserve"> a lack of resources limits security forces </w:t>
      </w:r>
      <w:r w:rsidR="002F4813">
        <w:t xml:space="preserve">ability </w:t>
      </w:r>
      <w:r w:rsidRPr="00043E57">
        <w:t>to protect the Shia community at all ti</w:t>
      </w:r>
      <w:r>
        <w:t xml:space="preserve">mes, decision makers must bear in mind that no state can provide complete protection for all of its citizens all of the time. </w:t>
      </w:r>
    </w:p>
    <w:p w14:paraId="41541DF4" w14:textId="77777777" w:rsidR="00D36418" w:rsidRDefault="00D36418" w:rsidP="00D36418">
      <w:pPr>
        <w:pStyle w:val="CPITNumberedParagraphText"/>
        <w:numPr>
          <w:ilvl w:val="2"/>
          <w:numId w:val="29"/>
        </w:numPr>
        <w:tabs>
          <w:tab w:val="clear" w:pos="851"/>
        </w:tabs>
        <w:ind w:left="709" w:hanging="709"/>
      </w:pPr>
      <w:r w:rsidRPr="00D6595B">
        <w:t xml:space="preserve">The reported case of </w:t>
      </w:r>
      <w:hyperlink r:id="rId22" w:history="1">
        <w:r>
          <w:rPr>
            <w:rStyle w:val="CPITCOI-Link"/>
          </w:rPr>
          <w:t>AW (sufficiency of protection) Pakistan [2011] UKUT 31 (IAC)</w:t>
        </w:r>
      </w:hyperlink>
      <w:r w:rsidRPr="00D6595B">
        <w:t xml:space="preserve"> (26 January 2011) found that </w:t>
      </w:r>
      <w:r>
        <w:t>‘</w:t>
      </w:r>
      <w:r w:rsidRPr="002D6A64">
        <w:t>Notwithstanding systemic sufficiency of state protection, a claimant may still have a well founded fear of persecution if authorities know or ought to know of circumstances particular to his/her case giving rise to the fear, but are unlikely to provide the additional protection the particular circumstances reasonably require (per Auld LJ at paragraph 55(vi)).</w:t>
      </w:r>
      <w:r>
        <w:t>’</w:t>
      </w:r>
      <w:r w:rsidRPr="00D6595B">
        <w:t xml:space="preserve"> </w:t>
      </w:r>
    </w:p>
    <w:p w14:paraId="41541DF5" w14:textId="77777777" w:rsidR="007616BF" w:rsidRPr="00043E57" w:rsidRDefault="00D36418" w:rsidP="007616BF">
      <w:pPr>
        <w:pStyle w:val="CPITNumberedParagraphText"/>
        <w:numPr>
          <w:ilvl w:val="2"/>
          <w:numId w:val="29"/>
        </w:numPr>
      </w:pPr>
      <w:r>
        <w:t>Therefore, d</w:t>
      </w:r>
      <w:r w:rsidR="007616BF" w:rsidRPr="00043E57">
        <w:t xml:space="preserve">ecision makers must </w:t>
      </w:r>
      <w:r w:rsidR="007616BF">
        <w:t xml:space="preserve">also </w:t>
      </w:r>
      <w:r w:rsidR="007616BF" w:rsidRPr="00043E57">
        <w:t>take particular account of past persecution (if any) and consider whether there are good reasons to consider that such persecution (and past lack of sufficient protection) is likely to be repeated.</w:t>
      </w:r>
    </w:p>
    <w:p w14:paraId="41541DF6" w14:textId="77777777" w:rsidR="008B16AA" w:rsidRPr="003B3341" w:rsidRDefault="005E54CB" w:rsidP="005E54CB">
      <w:pPr>
        <w:pStyle w:val="CPITNumberedParagraphText"/>
        <w:numPr>
          <w:ilvl w:val="0"/>
          <w:numId w:val="0"/>
        </w:numPr>
        <w:ind w:left="720"/>
        <w:rPr>
          <w:rStyle w:val="COI-Link"/>
          <w:b/>
          <w:bCs/>
          <w:highlight w:val="yellow"/>
        </w:rPr>
      </w:pPr>
      <w:r>
        <w:t>For more information on the effectiveness of state protection</w:t>
      </w:r>
      <w:r w:rsidRPr="00E87AFF">
        <w:t xml:space="preserve">, see </w:t>
      </w:r>
      <w:r>
        <w:t xml:space="preserve">also </w:t>
      </w:r>
      <w:r w:rsidRPr="00E87AFF">
        <w:t xml:space="preserve">the Country Information and Guidance on </w:t>
      </w:r>
      <w:hyperlink r:id="rId23" w:history="1">
        <w:r w:rsidRPr="00E87AFF">
          <w:rPr>
            <w:rStyle w:val="CPITCOI-Link"/>
          </w:rPr>
          <w:t>Pakistan: background information, including actors of protection, and internal relocation</w:t>
        </w:r>
      </w:hyperlink>
      <w:r>
        <w:t>.</w:t>
      </w:r>
    </w:p>
    <w:p w14:paraId="41541DF7" w14:textId="77777777" w:rsidR="00972F17" w:rsidRPr="003B3341" w:rsidRDefault="00972F17" w:rsidP="00160FCE">
      <w:pPr>
        <w:pStyle w:val="CPITNumberedParagraphText"/>
        <w:numPr>
          <w:ilvl w:val="0"/>
          <w:numId w:val="0"/>
        </w:numPr>
        <w:ind w:left="360"/>
        <w:rPr>
          <w:highlight w:val="yellow"/>
        </w:rPr>
      </w:pPr>
    </w:p>
    <w:p w14:paraId="41541DF8" w14:textId="77777777" w:rsidR="009E2A30" w:rsidRPr="00FC41E9" w:rsidRDefault="009E2A30" w:rsidP="001F0F48">
      <w:pPr>
        <w:pStyle w:val="CPITIssuetoConsider"/>
        <w:numPr>
          <w:ilvl w:val="1"/>
          <w:numId w:val="29"/>
        </w:numPr>
        <w:tabs>
          <w:tab w:val="left" w:pos="709"/>
        </w:tabs>
        <w:ind w:left="709" w:hanging="709"/>
        <w:rPr>
          <w:sz w:val="28"/>
          <w:szCs w:val="28"/>
        </w:rPr>
      </w:pPr>
      <w:r w:rsidRPr="00FC41E9">
        <w:rPr>
          <w:sz w:val="28"/>
          <w:szCs w:val="28"/>
        </w:rPr>
        <w:t xml:space="preserve">Are </w:t>
      </w:r>
      <w:r w:rsidR="007616BF">
        <w:rPr>
          <w:sz w:val="28"/>
          <w:szCs w:val="28"/>
        </w:rPr>
        <w:t>Shia Muslims</w:t>
      </w:r>
      <w:r w:rsidRPr="00FC41E9">
        <w:rPr>
          <w:sz w:val="28"/>
          <w:szCs w:val="28"/>
        </w:rPr>
        <w:t xml:space="preserve"> able to internally relocate within </w:t>
      </w:r>
      <w:r w:rsidR="006C5B04" w:rsidRPr="00FC41E9">
        <w:rPr>
          <w:sz w:val="28"/>
          <w:szCs w:val="28"/>
        </w:rPr>
        <w:t>Pakistan</w:t>
      </w:r>
      <w:r w:rsidRPr="00FC41E9">
        <w:rPr>
          <w:sz w:val="28"/>
          <w:szCs w:val="28"/>
        </w:rPr>
        <w:t>?</w:t>
      </w:r>
    </w:p>
    <w:p w14:paraId="41541DF9" w14:textId="77777777" w:rsidR="007616BF" w:rsidRPr="00043E57" w:rsidRDefault="007616BF" w:rsidP="007616BF">
      <w:pPr>
        <w:pStyle w:val="CPITNumberedParagraphText"/>
        <w:numPr>
          <w:ilvl w:val="2"/>
          <w:numId w:val="29"/>
        </w:numPr>
      </w:pPr>
      <w:r w:rsidRPr="00043E57">
        <w:t xml:space="preserve">There are a significant number of Shia communities across Pakistan. Shia mosques and places of worship are located in most major cities and towns. In most cases there are options for Shia Muslims to relocate to </w:t>
      </w:r>
      <w:r w:rsidR="002F4813">
        <w:t xml:space="preserve">other </w:t>
      </w:r>
      <w:r w:rsidRPr="00043E57">
        <w:t>areas in Pakistan</w:t>
      </w:r>
      <w:r>
        <w:t xml:space="preserve"> </w:t>
      </w:r>
      <w:r w:rsidRPr="00043E57">
        <w:t>(</w:t>
      </w:r>
      <w:r w:rsidRPr="007616BF">
        <w:t xml:space="preserve">see </w:t>
      </w:r>
      <w:hyperlink w:anchor="Demography" w:history="1">
        <w:r w:rsidR="00576982" w:rsidRPr="00576982">
          <w:rPr>
            <w:rStyle w:val="CPITCOI-Link"/>
          </w:rPr>
          <w:t>Demography</w:t>
        </w:r>
      </w:hyperlink>
      <w:r w:rsidRPr="00576982">
        <w:t xml:space="preserve"> </w:t>
      </w:r>
      <w:r w:rsidRPr="007616BF">
        <w:t>in the country information</w:t>
      </w:r>
      <w:r w:rsidRPr="00043E57">
        <w:t>).</w:t>
      </w:r>
    </w:p>
    <w:p w14:paraId="41541DFA" w14:textId="77777777" w:rsidR="007616BF" w:rsidRDefault="007616BF" w:rsidP="007616BF">
      <w:pPr>
        <w:pStyle w:val="CPITNumberedParagraphText"/>
        <w:numPr>
          <w:ilvl w:val="2"/>
          <w:numId w:val="29"/>
        </w:numPr>
      </w:pPr>
      <w:r w:rsidRPr="00043E57">
        <w:t xml:space="preserve">Decision makers must determine whether the person could relocate internally to a place where they would not face a real risk of serious harm and where they can reasonably be expected to stay. This assessment will need to be based on the facts of the individual case.  </w:t>
      </w:r>
    </w:p>
    <w:p w14:paraId="41541DFB" w14:textId="77777777" w:rsidR="007616BF" w:rsidRDefault="007616BF" w:rsidP="007616BF">
      <w:pPr>
        <w:pStyle w:val="CPITNumberedParagraphText"/>
        <w:numPr>
          <w:ilvl w:val="0"/>
          <w:numId w:val="0"/>
        </w:numPr>
        <w:ind w:left="720"/>
      </w:pPr>
      <w:r>
        <w:t xml:space="preserve">For more general information on how to consider internal relocation, see also the relevant section of the </w:t>
      </w:r>
      <w:hyperlink r:id="rId24" w:history="1">
        <w:r w:rsidRPr="00D6595B">
          <w:rPr>
            <w:rStyle w:val="CPITCOI-Link"/>
          </w:rPr>
          <w:t>Asylum Instruction on Assessing Credibility and Refugee Status</w:t>
        </w:r>
      </w:hyperlink>
      <w:r w:rsidRPr="00D6595B">
        <w:t xml:space="preserve"> and</w:t>
      </w:r>
      <w:r>
        <w:t xml:space="preserve"> the </w:t>
      </w:r>
      <w:hyperlink r:id="rId25" w:history="1">
        <w:r>
          <w:rPr>
            <w:rStyle w:val="CPITCOI-Link"/>
          </w:rPr>
          <w:t>Asylum Instruction on Internal Relocation</w:t>
        </w:r>
      </w:hyperlink>
      <w:r>
        <w:t>.</w:t>
      </w:r>
    </w:p>
    <w:p w14:paraId="41541DFC" w14:textId="77777777" w:rsidR="007616BF" w:rsidRPr="007616BF" w:rsidRDefault="007616BF" w:rsidP="007616BF">
      <w:pPr>
        <w:pStyle w:val="CPITNumberedParagraphText"/>
        <w:numPr>
          <w:ilvl w:val="0"/>
          <w:numId w:val="0"/>
        </w:numPr>
        <w:ind w:left="720"/>
        <w:rPr>
          <w:rStyle w:val="COI-Link"/>
          <w:szCs w:val="24"/>
          <w:u w:val="none"/>
        </w:rPr>
      </w:pPr>
      <w:r>
        <w:t>For considering internal relocation within Pakistan specifically</w:t>
      </w:r>
      <w:r w:rsidRPr="00E87AFF">
        <w:t xml:space="preserve">, see </w:t>
      </w:r>
      <w:r>
        <w:t xml:space="preserve">also </w:t>
      </w:r>
      <w:r w:rsidRPr="00E87AFF">
        <w:t xml:space="preserve">the Country Information and Guidance on </w:t>
      </w:r>
      <w:hyperlink r:id="rId26" w:history="1">
        <w:r w:rsidRPr="00E87AFF">
          <w:rPr>
            <w:rStyle w:val="CPITCOI-Link"/>
          </w:rPr>
          <w:t>Pakistan: background information, including actors of protection, and internal relocation</w:t>
        </w:r>
      </w:hyperlink>
      <w:r>
        <w:t>.</w:t>
      </w:r>
    </w:p>
    <w:p w14:paraId="41541DFD" w14:textId="77777777" w:rsidR="00A821C7" w:rsidRPr="004E6CAF" w:rsidRDefault="004856D6" w:rsidP="00990861">
      <w:pPr>
        <w:pStyle w:val="CPITBacktoContentsLinks"/>
        <w:rPr>
          <w:rStyle w:val="CPITCOI-Link"/>
        </w:rPr>
      </w:pPr>
      <w:hyperlink w:anchor="contents" w:history="1">
        <w:r w:rsidR="00A46E3C" w:rsidRPr="004E6CAF">
          <w:rPr>
            <w:rStyle w:val="CPITCOI-Link"/>
          </w:rPr>
          <w:t>Back to Contents</w:t>
        </w:r>
      </w:hyperlink>
    </w:p>
    <w:p w14:paraId="41541DFE" w14:textId="77777777" w:rsidR="004E387E" w:rsidRPr="004E6CAF" w:rsidRDefault="004E387E" w:rsidP="004D1D26">
      <w:pPr>
        <w:pStyle w:val="CPITSub-header1"/>
        <w:numPr>
          <w:ilvl w:val="0"/>
          <w:numId w:val="30"/>
        </w:numPr>
        <w:tabs>
          <w:tab w:val="clear" w:pos="851"/>
        </w:tabs>
        <w:ind w:left="709" w:hanging="709"/>
      </w:pPr>
      <w:bookmarkStart w:id="7" w:name="_Toc411244247"/>
      <w:r w:rsidRPr="004E6CAF">
        <w:t>Policy Summary</w:t>
      </w:r>
      <w:bookmarkEnd w:id="7"/>
    </w:p>
    <w:p w14:paraId="41541DFF" w14:textId="77777777" w:rsidR="007616BF" w:rsidRDefault="007616BF" w:rsidP="007616BF">
      <w:pPr>
        <w:pStyle w:val="CPITNumberedParagraphText"/>
        <w:numPr>
          <w:ilvl w:val="0"/>
          <w:numId w:val="45"/>
        </w:numPr>
        <w:tabs>
          <w:tab w:val="clear" w:pos="851"/>
        </w:tabs>
        <w:ind w:left="709" w:hanging="709"/>
        <w:rPr>
          <w:b/>
        </w:rPr>
      </w:pPr>
      <w:r w:rsidRPr="00170C9E">
        <w:rPr>
          <w:b/>
        </w:rPr>
        <w:t xml:space="preserve">Shia Muslims may be subject to attacks by anti-Shia and militant groups. This varies from region to region. There are many towns across Pakistan with no inter-communal sectarian tensions. </w:t>
      </w:r>
    </w:p>
    <w:p w14:paraId="41541E00" w14:textId="77777777" w:rsidR="007616BF" w:rsidRPr="007616BF" w:rsidRDefault="007616BF" w:rsidP="007616BF">
      <w:pPr>
        <w:pStyle w:val="CPITNumberedParagraphText"/>
        <w:numPr>
          <w:ilvl w:val="0"/>
          <w:numId w:val="45"/>
        </w:numPr>
        <w:tabs>
          <w:tab w:val="clear" w:pos="851"/>
        </w:tabs>
        <w:ind w:left="709" w:hanging="709"/>
        <w:rPr>
          <w:b/>
        </w:rPr>
      </w:pPr>
      <w:r w:rsidRPr="007616BF">
        <w:rPr>
          <w:b/>
        </w:rPr>
        <w:t>Those in fear of ill-treatment by extremists will in general be able to seek effective protection from the authorities, or internally relocate within Pakistan.</w:t>
      </w:r>
    </w:p>
    <w:p w14:paraId="41541E01" w14:textId="77777777" w:rsidR="004E387E" w:rsidRPr="004E6CAF" w:rsidRDefault="004E387E" w:rsidP="004E6CAF">
      <w:pPr>
        <w:pStyle w:val="CPITPolicySummaryText"/>
        <w:numPr>
          <w:ilvl w:val="0"/>
          <w:numId w:val="19"/>
        </w:numPr>
        <w:tabs>
          <w:tab w:val="clear" w:pos="851"/>
          <w:tab w:val="left" w:pos="709"/>
        </w:tabs>
        <w:ind w:left="709" w:hanging="709"/>
      </w:pPr>
      <w:r w:rsidRPr="004E6CAF">
        <w:t>Where a claim falls to be refused, it is likely to be certifiable as ‘clearly unfounded’ under section 94 of the Nationality, Immigration and Asylum Act 2002.</w:t>
      </w:r>
    </w:p>
    <w:p w14:paraId="41541E02" w14:textId="77777777" w:rsidR="004E6CAF" w:rsidRPr="00A81521" w:rsidRDefault="004E6CAF" w:rsidP="004D1D26">
      <w:pPr>
        <w:pStyle w:val="CPITNon-NumberedParagraphText"/>
        <w:ind w:left="709"/>
      </w:pPr>
      <w:r>
        <w:lastRenderedPageBreak/>
        <w:t xml:space="preserve">For further information on making asylum decisions, see the </w:t>
      </w:r>
      <w:hyperlink r:id="rId27" w:history="1">
        <w:r w:rsidRPr="004E6CAF">
          <w:rPr>
            <w:rStyle w:val="CPITCOI-Link"/>
          </w:rPr>
          <w:t>Asylum Instruction on Assessing Credibility and Refugee Status</w:t>
        </w:r>
      </w:hyperlink>
      <w:r w:rsidRPr="004E6CAF">
        <w:t>,</w:t>
      </w:r>
      <w:r>
        <w:t xml:space="preserve"> the </w:t>
      </w:r>
      <w:hyperlink r:id="rId28" w:history="1">
        <w:r>
          <w:rPr>
            <w:rStyle w:val="CPITCOI-Link"/>
          </w:rPr>
          <w:t>Asylum Instruction on Humanitarian Protection</w:t>
        </w:r>
      </w:hyperlink>
      <w:r>
        <w:t xml:space="preserve"> and the </w:t>
      </w:r>
      <w:hyperlink r:id="rId29" w:history="1">
        <w:r>
          <w:rPr>
            <w:rStyle w:val="CPITCOI-Link"/>
          </w:rPr>
          <w:t>Asylum Instruction on Discretionary Leave</w:t>
        </w:r>
      </w:hyperlink>
      <w:r>
        <w:t>.</w:t>
      </w:r>
    </w:p>
    <w:p w14:paraId="41541E03" w14:textId="77777777" w:rsidR="004E6CAF" w:rsidRPr="004E6CAF" w:rsidRDefault="004E6CAF" w:rsidP="004D1D26">
      <w:pPr>
        <w:ind w:left="709"/>
        <w:rPr>
          <w:rFonts w:ascii="Arial" w:hAnsi="Arial" w:cs="Arial"/>
        </w:rPr>
      </w:pPr>
      <w:r w:rsidRPr="004E6CAF">
        <w:rPr>
          <w:rFonts w:ascii="Arial" w:hAnsi="Arial" w:cs="Arial"/>
        </w:rPr>
        <w:t xml:space="preserve">For further information on certification, see the </w:t>
      </w:r>
      <w:hyperlink r:id="rId30" w:history="1">
        <w:r w:rsidRPr="00C2100F">
          <w:rPr>
            <w:rStyle w:val="CPITCOI-Link"/>
          </w:rPr>
          <w:t>Asylum Instruction on Non-Suspensive Appeals: Certification Under Section 94 of the NIA Act 2002</w:t>
        </w:r>
      </w:hyperlink>
      <w:r w:rsidRPr="004E6CAF">
        <w:rPr>
          <w:rFonts w:ascii="Arial" w:hAnsi="Arial" w:cs="Arial"/>
        </w:rPr>
        <w:t>.</w:t>
      </w:r>
    </w:p>
    <w:p w14:paraId="41541E04" w14:textId="77777777" w:rsidR="00236C2E" w:rsidRPr="004E6CAF" w:rsidRDefault="004856D6" w:rsidP="00236C2E">
      <w:pPr>
        <w:pStyle w:val="CPITBacktoContentsLinks"/>
        <w:rPr>
          <w:rStyle w:val="CPITCOI-Link"/>
        </w:rPr>
      </w:pPr>
      <w:hyperlink w:anchor="contents" w:history="1">
        <w:r w:rsidR="00236C2E" w:rsidRPr="004E6CAF">
          <w:rPr>
            <w:rStyle w:val="CPITCOI-Link"/>
          </w:rPr>
          <w:t>Back to Contents</w:t>
        </w:r>
      </w:hyperlink>
    </w:p>
    <w:p w14:paraId="41541E05" w14:textId="77777777" w:rsidR="007200E5" w:rsidRPr="00E0511A" w:rsidRDefault="007200E5" w:rsidP="0015623B">
      <w:pPr>
        <w:pStyle w:val="CPITSectionHeader"/>
      </w:pPr>
      <w:r w:rsidRPr="00E0511A">
        <w:br w:type="page"/>
      </w:r>
      <w:bookmarkStart w:id="8" w:name="_Toc411244248"/>
      <w:r w:rsidRPr="00E0511A">
        <w:lastRenderedPageBreak/>
        <w:t>Section 2: Inf</w:t>
      </w:r>
      <w:bookmarkStart w:id="9" w:name="Information"/>
      <w:bookmarkEnd w:id="9"/>
      <w:r w:rsidRPr="00E0511A">
        <w:t>ormation</w:t>
      </w:r>
      <w:bookmarkEnd w:id="8"/>
    </w:p>
    <w:p w14:paraId="41541E06" w14:textId="77777777" w:rsidR="005B2149" w:rsidRPr="00E0511A" w:rsidRDefault="005B2149" w:rsidP="005B2149">
      <w:pPr>
        <w:pStyle w:val="CPITNumberedParagraphText"/>
        <w:numPr>
          <w:ilvl w:val="0"/>
          <w:numId w:val="0"/>
        </w:numPr>
        <w:ind w:left="851"/>
        <w:jc w:val="right"/>
        <w:rPr>
          <w:color w:val="8F23B3"/>
        </w:rPr>
      </w:pPr>
      <w:r w:rsidRPr="00E0511A">
        <w:rPr>
          <w:color w:val="8F23B3"/>
        </w:rPr>
        <w:t xml:space="preserve">Updated: </w:t>
      </w:r>
      <w:r w:rsidR="00AA3EA2">
        <w:rPr>
          <w:color w:val="8F23B3"/>
        </w:rPr>
        <w:t>9 February</w:t>
      </w:r>
      <w:r w:rsidR="00DE0690" w:rsidRPr="00E0511A">
        <w:rPr>
          <w:color w:val="8F23B3"/>
        </w:rPr>
        <w:t xml:space="preserve"> 2015</w:t>
      </w:r>
    </w:p>
    <w:p w14:paraId="41541E07" w14:textId="77777777" w:rsidR="00387B70" w:rsidRPr="00E0511A" w:rsidRDefault="00387B70" w:rsidP="00D66CAC">
      <w:pPr>
        <w:pStyle w:val="ListParagraph"/>
        <w:numPr>
          <w:ilvl w:val="0"/>
          <w:numId w:val="29"/>
        </w:numPr>
        <w:tabs>
          <w:tab w:val="left" w:pos="851"/>
        </w:tabs>
        <w:spacing w:after="120"/>
        <w:rPr>
          <w:rFonts w:ascii="Arial" w:hAnsi="Arial"/>
          <w:b/>
          <w:bCs/>
          <w:vanish/>
          <w:color w:val="8F23B3"/>
          <w:sz w:val="32"/>
          <w:szCs w:val="20"/>
        </w:rPr>
      </w:pPr>
    </w:p>
    <w:p w14:paraId="41541E08" w14:textId="77777777" w:rsidR="007616BF" w:rsidRPr="00E0511A" w:rsidRDefault="007616BF" w:rsidP="007616BF">
      <w:pPr>
        <w:pStyle w:val="CPITSub-header1"/>
        <w:numPr>
          <w:ilvl w:val="4"/>
          <w:numId w:val="31"/>
        </w:numPr>
        <w:tabs>
          <w:tab w:val="clear" w:pos="851"/>
          <w:tab w:val="left" w:pos="709"/>
        </w:tabs>
        <w:ind w:left="709" w:hanging="709"/>
      </w:pPr>
      <w:bookmarkStart w:id="10" w:name="_Toc409613181"/>
      <w:bookmarkStart w:id="11" w:name="_Toc411244249"/>
      <w:r w:rsidRPr="00E0511A">
        <w:t>Overview</w:t>
      </w:r>
      <w:bookmarkEnd w:id="10"/>
      <w:bookmarkEnd w:id="11"/>
    </w:p>
    <w:p w14:paraId="41541E09" w14:textId="77777777" w:rsidR="007616BF" w:rsidRDefault="007616BF" w:rsidP="007616BF">
      <w:pPr>
        <w:pStyle w:val="CPITNumberedParagraphText"/>
        <w:numPr>
          <w:ilvl w:val="2"/>
          <w:numId w:val="46"/>
        </w:numPr>
      </w:pPr>
      <w:r>
        <w:t xml:space="preserve">For a general overview of religious laws, freedoms and background, see ‘Overview’ in section 2 of the Country Information and Guidance on </w:t>
      </w:r>
      <w:hyperlink r:id="rId31" w:history="1">
        <w:r w:rsidRPr="00D6595B">
          <w:rPr>
            <w:rStyle w:val="CPITCOI-Link"/>
          </w:rPr>
          <w:t>Pakistan: Ahmadis</w:t>
        </w:r>
      </w:hyperlink>
      <w:r>
        <w:t>.</w:t>
      </w:r>
    </w:p>
    <w:p w14:paraId="41541E0A" w14:textId="77777777" w:rsidR="007616BF" w:rsidRPr="00E0511A" w:rsidRDefault="007616BF" w:rsidP="007616BF">
      <w:pPr>
        <w:pStyle w:val="CPITSub-header1"/>
        <w:numPr>
          <w:ilvl w:val="0"/>
          <w:numId w:val="31"/>
        </w:numPr>
        <w:ind w:left="709" w:hanging="709"/>
      </w:pPr>
      <w:bookmarkStart w:id="12" w:name="_Toc409613182"/>
      <w:bookmarkStart w:id="13" w:name="_Toc411244250"/>
      <w:r w:rsidRPr="00E0511A">
        <w:t>Blasphemy Laws</w:t>
      </w:r>
      <w:bookmarkEnd w:id="12"/>
      <w:bookmarkEnd w:id="13"/>
    </w:p>
    <w:p w14:paraId="41541E0B" w14:textId="77777777" w:rsidR="007616BF" w:rsidRPr="00BE61D2" w:rsidRDefault="007616BF" w:rsidP="007616BF">
      <w:pPr>
        <w:pStyle w:val="CPITNumberedParagraphText"/>
        <w:numPr>
          <w:ilvl w:val="2"/>
          <w:numId w:val="36"/>
        </w:numPr>
        <w:rPr>
          <w:szCs w:val="22"/>
          <w:u w:val="single" w:color="8F23B3"/>
        </w:rPr>
      </w:pPr>
      <w:r>
        <w:t xml:space="preserve">For a </w:t>
      </w:r>
      <w:r w:rsidRPr="00E0511A">
        <w:t>summary of the blasphemy laws and the penalties for breaching them</w:t>
      </w:r>
      <w:r>
        <w:t xml:space="preserve">, see ‘Blasphemy Laws’ in section 2 of the Country Information and Guidance on </w:t>
      </w:r>
      <w:hyperlink r:id="rId32" w:history="1">
        <w:r w:rsidRPr="00D6595B">
          <w:rPr>
            <w:rStyle w:val="CPITCOI-Link"/>
          </w:rPr>
          <w:t>Pakistan: Ahmadis</w:t>
        </w:r>
      </w:hyperlink>
      <w:r>
        <w:t>.</w:t>
      </w:r>
    </w:p>
    <w:p w14:paraId="41541E0C" w14:textId="77777777" w:rsidR="009458A9" w:rsidRDefault="004856D6" w:rsidP="009458A9">
      <w:pPr>
        <w:pStyle w:val="CPITBacktoContentsLinks"/>
      </w:pPr>
      <w:hyperlink w:anchor="contents" w:history="1">
        <w:r w:rsidR="009458A9" w:rsidRPr="00E0511A">
          <w:rPr>
            <w:rStyle w:val="CPITCOI-Link"/>
          </w:rPr>
          <w:t>Back to Contents</w:t>
        </w:r>
      </w:hyperlink>
    </w:p>
    <w:p w14:paraId="41541E0D" w14:textId="77777777" w:rsidR="007616BF" w:rsidRDefault="007616BF" w:rsidP="007616BF">
      <w:pPr>
        <w:pStyle w:val="CPITSub-header1"/>
        <w:numPr>
          <w:ilvl w:val="0"/>
          <w:numId w:val="31"/>
        </w:numPr>
        <w:tabs>
          <w:tab w:val="clear" w:pos="851"/>
          <w:tab w:val="left" w:pos="709"/>
        </w:tabs>
        <w:ind w:left="709" w:hanging="709"/>
      </w:pPr>
      <w:bookmarkStart w:id="14" w:name="_Toc411244251"/>
      <w:r>
        <w:t>Demogra</w:t>
      </w:r>
      <w:bookmarkStart w:id="15" w:name="Demography"/>
      <w:bookmarkEnd w:id="15"/>
      <w:r>
        <w:t>phy</w:t>
      </w:r>
      <w:bookmarkEnd w:id="14"/>
    </w:p>
    <w:p w14:paraId="41541E0E" w14:textId="77777777" w:rsidR="007616BF" w:rsidRDefault="007616BF" w:rsidP="007616BF">
      <w:pPr>
        <w:pStyle w:val="CPITNumberedParagraphText"/>
        <w:numPr>
          <w:ilvl w:val="2"/>
          <w:numId w:val="29"/>
        </w:numPr>
      </w:pPr>
      <w:r w:rsidRPr="007616BF">
        <w:t>Over 95 per cent of Pakistan’s population are Muslim</w:t>
      </w:r>
      <w:r w:rsidRPr="007616BF">
        <w:rPr>
          <w:rStyle w:val="FootnoteReference"/>
        </w:rPr>
        <w:footnoteReference w:id="1"/>
      </w:r>
      <w:r w:rsidRPr="007616BF">
        <w:t>; the Shia Muslim population is estimated to be between five and 20 per cent.</w:t>
      </w:r>
      <w:r w:rsidRPr="007616BF">
        <w:rPr>
          <w:rStyle w:val="FootnoteReference"/>
        </w:rPr>
        <w:footnoteReference w:id="2"/>
      </w:r>
      <w:r w:rsidRPr="007616BF">
        <w:t xml:space="preserve"> The majority of Pakistan’s Shia community adhere to the Twelver (athna ashariya) school of thought; other sub-sects, include Nizari Ismailis, Daudi Bohras and Sulemani Bohras. Nizari Ismailis are the second largest branch of Shia Islam in Pakistan after the Twelvers. </w:t>
      </w:r>
      <w:r w:rsidRPr="007616BF">
        <w:rPr>
          <w:rStyle w:val="FootnoteReference"/>
        </w:rPr>
        <w:footnoteReference w:id="3"/>
      </w:r>
      <w:r w:rsidRPr="007616BF">
        <w:t xml:space="preserve"> </w:t>
      </w:r>
    </w:p>
    <w:p w14:paraId="41541E0F" w14:textId="77777777" w:rsidR="002C1EEF" w:rsidRDefault="007616BF" w:rsidP="002C1EEF">
      <w:pPr>
        <w:pStyle w:val="CPITNumberedParagraphText"/>
        <w:numPr>
          <w:ilvl w:val="2"/>
          <w:numId w:val="29"/>
        </w:numPr>
        <w:tabs>
          <w:tab w:val="clear" w:pos="851"/>
          <w:tab w:val="left" w:pos="709"/>
        </w:tabs>
        <w:ind w:left="709" w:hanging="709"/>
      </w:pPr>
      <w:r w:rsidRPr="002C1EEF">
        <w:t>The Australian Department of Foreign Affairs and Trade (DFAT) December 2013 report, on Shias in Pakistan, stated that:</w:t>
      </w:r>
    </w:p>
    <w:p w14:paraId="41541E10" w14:textId="77777777" w:rsidR="002C1EEF" w:rsidRDefault="007616BF" w:rsidP="002C1EEF">
      <w:pPr>
        <w:pStyle w:val="CPITNumberedParagraphText"/>
        <w:numPr>
          <w:ilvl w:val="0"/>
          <w:numId w:val="0"/>
        </w:numPr>
        <w:tabs>
          <w:tab w:val="clear" w:pos="851"/>
          <w:tab w:val="left" w:pos="709"/>
        </w:tabs>
        <w:ind w:left="709"/>
      </w:pPr>
      <w:r w:rsidRPr="002C1EEF">
        <w:t xml:space="preserve">‘The Shia population is spread throughout Pakistan but there are no provinces where Shias constitute a majority. The semi-autonomous region of Gilgit–Baltistan is one of the few areas where Shias form a majority of the population. Across the country, Sunni and Shia communities are generally integrated and live side-by-side in their daily lives. Significant numbers of Shias can be found in Peshawar, Kohat, Hangu and Dera Ismail Khan in Khyber Pakhtunkhwa; Kurram and Orakzai Agencies in FATA; in and around Quetta and the Makran coastline in Balochistan; areas of southern and central Punjab; and throughout Sindh. Many urban centres in Pakistan, including Karachi, Lahore, Rawalpindi, Islamabad, Peshawar, Multan, Jhang and Sargodha, are home to large Shia communities. DFAT has observed that some Shias live in enclaves in major cities.’ </w:t>
      </w:r>
      <w:r w:rsidRPr="002C1EEF">
        <w:rPr>
          <w:rStyle w:val="FootnoteReference"/>
        </w:rPr>
        <w:footnoteReference w:id="4"/>
      </w:r>
    </w:p>
    <w:p w14:paraId="41541E11" w14:textId="77777777" w:rsidR="002C1EEF" w:rsidRDefault="002C1EEF" w:rsidP="002C1EEF">
      <w:pPr>
        <w:pStyle w:val="CPITNumberedParagraphText"/>
        <w:numPr>
          <w:ilvl w:val="2"/>
          <w:numId w:val="29"/>
        </w:numPr>
        <w:tabs>
          <w:tab w:val="clear" w:pos="851"/>
          <w:tab w:val="left" w:pos="709"/>
        </w:tabs>
        <w:ind w:left="709" w:hanging="709"/>
      </w:pPr>
      <w:r w:rsidRPr="002C1EEF">
        <w:t xml:space="preserve">Sources reported that common Shia names include Abbas, Ali, Hasan, Hussain, Jafery, Jaffer, Naqvi, Raza, Rizvi, Sayyed and Zaidi. </w:t>
      </w:r>
      <w:r w:rsidRPr="002C1EEF">
        <w:rPr>
          <w:rStyle w:val="FootnoteReference"/>
        </w:rPr>
        <w:footnoteReference w:id="5"/>
      </w:r>
      <w:r w:rsidRPr="002C1EEF">
        <w:t xml:space="preserve"> </w:t>
      </w:r>
      <w:r w:rsidRPr="002C1EEF">
        <w:rPr>
          <w:rStyle w:val="FootnoteReference"/>
        </w:rPr>
        <w:footnoteReference w:id="6"/>
      </w:r>
      <w:r w:rsidRPr="002C1EEF">
        <w:t xml:space="preserve"> </w:t>
      </w:r>
    </w:p>
    <w:p w14:paraId="41541E12" w14:textId="77777777" w:rsidR="002C1EEF" w:rsidRPr="002C1EEF" w:rsidRDefault="002C1EEF" w:rsidP="002C1EEF">
      <w:pPr>
        <w:pStyle w:val="CPITNumberedParagraphText"/>
        <w:numPr>
          <w:ilvl w:val="2"/>
          <w:numId w:val="29"/>
        </w:numPr>
        <w:tabs>
          <w:tab w:val="clear" w:pos="851"/>
          <w:tab w:val="left" w:pos="709"/>
        </w:tabs>
        <w:ind w:left="709" w:hanging="709"/>
      </w:pPr>
      <w:r w:rsidRPr="002C1EEF">
        <w:lastRenderedPageBreak/>
        <w:t xml:space="preserve">Apart from Hazaras, Shias are not physically, linguistically or legally distinguishable from Sunni Pakistanis. Computerised national identity cards do not identify the card holder’s sect. </w:t>
      </w:r>
      <w:r w:rsidRPr="002C1EEF">
        <w:rPr>
          <w:rStyle w:val="FootnoteReference"/>
        </w:rPr>
        <w:footnoteReference w:id="7"/>
      </w:r>
    </w:p>
    <w:p w14:paraId="41541E13" w14:textId="77777777" w:rsidR="002C1EEF" w:rsidRDefault="002C1EEF" w:rsidP="002C1EEF">
      <w:pPr>
        <w:pStyle w:val="CPITNumberedParagraphText"/>
        <w:numPr>
          <w:ilvl w:val="2"/>
          <w:numId w:val="29"/>
        </w:numPr>
      </w:pPr>
      <w:r w:rsidRPr="007616BF">
        <w:t xml:space="preserve">The </w:t>
      </w:r>
      <w:hyperlink r:id="rId33" w:history="1">
        <w:r w:rsidRPr="007616BF">
          <w:rPr>
            <w:rStyle w:val="COI-Link"/>
          </w:rPr>
          <w:t>BBC</w:t>
        </w:r>
      </w:hyperlink>
      <w:r w:rsidRPr="007616BF">
        <w:t xml:space="preserve"> and </w:t>
      </w:r>
      <w:hyperlink r:id="rId34" w:history="1">
        <w:r w:rsidRPr="007616BF">
          <w:rPr>
            <w:rStyle w:val="COI-Link"/>
          </w:rPr>
          <w:t>Immigration and Refugee Board of Canada</w:t>
        </w:r>
      </w:hyperlink>
      <w:r w:rsidRPr="007616BF">
        <w:t xml:space="preserve"> described the differences between Sunni and Shia Muslims. </w:t>
      </w:r>
    </w:p>
    <w:p w14:paraId="41541E14" w14:textId="77777777" w:rsidR="002C1EEF" w:rsidRPr="002C1EEF" w:rsidRDefault="002C1EEF" w:rsidP="002C1EEF">
      <w:pPr>
        <w:pStyle w:val="CPITSub-header1"/>
        <w:numPr>
          <w:ilvl w:val="1"/>
          <w:numId w:val="47"/>
        </w:numPr>
        <w:rPr>
          <w:b w:val="0"/>
          <w:bCs w:val="0"/>
          <w:color w:val="7030A0"/>
        </w:rPr>
      </w:pPr>
      <w:bookmarkStart w:id="16" w:name="_Toc411244252"/>
      <w:r w:rsidRPr="002C1EEF">
        <w:rPr>
          <w:b w:val="0"/>
          <w:bCs w:val="0"/>
          <w:color w:val="7030A0"/>
        </w:rPr>
        <w:t>Repre</w:t>
      </w:r>
      <w:bookmarkStart w:id="17" w:name="Representation"/>
      <w:bookmarkEnd w:id="17"/>
      <w:r w:rsidRPr="002C1EEF">
        <w:rPr>
          <w:b w:val="0"/>
          <w:bCs w:val="0"/>
          <w:color w:val="7030A0"/>
        </w:rPr>
        <w:t>sentation</w:t>
      </w:r>
      <w:bookmarkEnd w:id="16"/>
    </w:p>
    <w:p w14:paraId="41541E15" w14:textId="77777777" w:rsidR="002C1EEF" w:rsidRDefault="002C1EEF" w:rsidP="002C1EEF">
      <w:pPr>
        <w:pStyle w:val="CPITNumberedParagraphText"/>
        <w:numPr>
          <w:ilvl w:val="2"/>
          <w:numId w:val="47"/>
        </w:numPr>
        <w:tabs>
          <w:tab w:val="clear" w:pos="851"/>
          <w:tab w:val="left" w:pos="709"/>
        </w:tabs>
      </w:pPr>
      <w:r w:rsidRPr="002C1EEF">
        <w:t>The Australian Department of Foreign Affairs and Trade (DFAT) December 2013 report, on Shias in Pakistan, stated that:</w:t>
      </w:r>
    </w:p>
    <w:p w14:paraId="41541E16" w14:textId="77777777" w:rsidR="002C1EEF" w:rsidRDefault="007616BF" w:rsidP="002C1EEF">
      <w:pPr>
        <w:pStyle w:val="CPITNumberedParagraphText"/>
        <w:numPr>
          <w:ilvl w:val="0"/>
          <w:numId w:val="0"/>
        </w:numPr>
        <w:tabs>
          <w:tab w:val="clear" w:pos="851"/>
          <w:tab w:val="left" w:pos="709"/>
        </w:tabs>
        <w:ind w:left="709"/>
      </w:pPr>
      <w:r w:rsidRPr="002C1EEF">
        <w:t xml:space="preserve">‘Shias are represented across most of Pakistan’s ethnic, linguistic and tribal groups. However, Hazaras are a predominantly Shia ethnic community and there are a range of other Shia communities that have tribal/ethnic identities such as the Turis, Bohris, Baltis and some clans within the Bangash Pashtun tribes... Shia mosques and sites of worship (imambargahs) are located across Pakistan, including in most major cities and towns. Shias can (although rarely do) pray in Sunni mosques and vice versa. There are also a number of famous religious sites that are attended by both sects. Many of these are Sufi shrines.’ </w:t>
      </w:r>
      <w:r w:rsidRPr="002C1EEF">
        <w:rPr>
          <w:rStyle w:val="FootnoteReference"/>
        </w:rPr>
        <w:footnoteReference w:id="8"/>
      </w:r>
    </w:p>
    <w:p w14:paraId="41541E17" w14:textId="77777777" w:rsidR="002C1EEF" w:rsidRPr="002C1EEF" w:rsidRDefault="007616BF" w:rsidP="002C1EEF">
      <w:pPr>
        <w:pStyle w:val="CPITNumberedParagraphText"/>
        <w:numPr>
          <w:ilvl w:val="2"/>
          <w:numId w:val="47"/>
        </w:numPr>
        <w:tabs>
          <w:tab w:val="clear" w:pos="851"/>
          <w:tab w:val="left" w:pos="709"/>
        </w:tabs>
        <w:ind w:left="709" w:hanging="709"/>
      </w:pPr>
      <w:r w:rsidRPr="002C1EEF">
        <w:t xml:space="preserve">DFAT further noted that </w:t>
      </w:r>
    </w:p>
    <w:p w14:paraId="41541E18" w14:textId="77777777" w:rsidR="002C1EEF" w:rsidRPr="002C1EEF" w:rsidRDefault="007616BF" w:rsidP="002C1EEF">
      <w:pPr>
        <w:pStyle w:val="CPITNumberedParagraphText"/>
        <w:numPr>
          <w:ilvl w:val="0"/>
          <w:numId w:val="0"/>
        </w:numPr>
        <w:tabs>
          <w:tab w:val="clear" w:pos="851"/>
          <w:tab w:val="left" w:pos="709"/>
        </w:tabs>
        <w:ind w:left="709"/>
      </w:pPr>
      <w:r w:rsidRPr="002C1EEF">
        <w:t>‘Shias in Pakistan are often employed in Government and hold high offices. Notable examples include former Presidents and Prime Ministers. Shias are well represented in Parliament, the police, judiciary and other institutions. Shias are represented on Pakistan’s Council of Islamic Ideology, the Constitutional body that provides advice to the Government of Pakistan on issues of Islamic jurisprudence and practice. Shias also have representation in the Shariat Courts.’</w:t>
      </w:r>
      <w:r w:rsidRPr="002C1EEF">
        <w:rPr>
          <w:rStyle w:val="FootnoteReference"/>
        </w:rPr>
        <w:t xml:space="preserve"> </w:t>
      </w:r>
      <w:r w:rsidRPr="002C1EEF">
        <w:rPr>
          <w:rStyle w:val="FootnoteReference"/>
        </w:rPr>
        <w:footnoteReference w:id="9"/>
      </w:r>
    </w:p>
    <w:bookmarkStart w:id="18" w:name="_Toc408404710"/>
    <w:p w14:paraId="41541E19" w14:textId="77777777" w:rsidR="002C1EEF" w:rsidRPr="002C1EEF" w:rsidRDefault="000C3771" w:rsidP="002C1EEF">
      <w:pPr>
        <w:pStyle w:val="CPITBacktoContentsLinks"/>
        <w:rPr>
          <w:rStyle w:val="CPITCOI-Link"/>
        </w:rPr>
      </w:pPr>
      <w:r w:rsidRPr="002C1EEF">
        <w:fldChar w:fldCharType="begin"/>
      </w:r>
      <w:r w:rsidR="002C1EEF" w:rsidRPr="002C1EEF">
        <w:instrText>HYPERLINK \l "contents"</w:instrText>
      </w:r>
      <w:r w:rsidRPr="002C1EEF">
        <w:fldChar w:fldCharType="separate"/>
      </w:r>
      <w:r w:rsidR="002C1EEF" w:rsidRPr="002C1EEF">
        <w:rPr>
          <w:rStyle w:val="CPITCOI-Link"/>
        </w:rPr>
        <w:t>Back to Contents</w:t>
      </w:r>
      <w:r w:rsidRPr="002C1EEF">
        <w:fldChar w:fldCharType="end"/>
      </w:r>
    </w:p>
    <w:p w14:paraId="41541E1A" w14:textId="77777777" w:rsidR="007616BF" w:rsidRPr="002C1EEF" w:rsidRDefault="007616BF" w:rsidP="002C1EEF">
      <w:pPr>
        <w:pStyle w:val="CPITSub-header1"/>
        <w:numPr>
          <w:ilvl w:val="0"/>
          <w:numId w:val="31"/>
        </w:numPr>
        <w:tabs>
          <w:tab w:val="clear" w:pos="851"/>
          <w:tab w:val="left" w:pos="709"/>
        </w:tabs>
        <w:ind w:left="709" w:hanging="709"/>
      </w:pPr>
      <w:bookmarkStart w:id="19" w:name="_Toc411244253"/>
      <w:r w:rsidRPr="002C1EEF">
        <w:rPr>
          <w:bCs w:val="0"/>
          <w:color w:val="7030A0"/>
        </w:rPr>
        <w:t>Violence and dis</w:t>
      </w:r>
      <w:bookmarkStart w:id="20" w:name="Violence"/>
      <w:bookmarkEnd w:id="20"/>
      <w:r w:rsidRPr="002C1EEF">
        <w:rPr>
          <w:bCs w:val="0"/>
          <w:color w:val="7030A0"/>
        </w:rPr>
        <w:t>crimination against Shia Muslims</w:t>
      </w:r>
      <w:bookmarkEnd w:id="18"/>
      <w:bookmarkEnd w:id="19"/>
    </w:p>
    <w:p w14:paraId="41541E1B" w14:textId="77777777" w:rsidR="002C1EEF" w:rsidRDefault="002C1EEF" w:rsidP="002C1EEF">
      <w:pPr>
        <w:pStyle w:val="CPITQuote"/>
        <w:numPr>
          <w:ilvl w:val="2"/>
          <w:numId w:val="48"/>
        </w:numPr>
        <w:rPr>
          <w:lang w:eastAsia="en-US"/>
        </w:rPr>
      </w:pPr>
      <w:r w:rsidRPr="002C1EEF">
        <w:rPr>
          <w:lang w:eastAsia="en-US"/>
        </w:rPr>
        <w:t>For further information on violence in Pakistan, s</w:t>
      </w:r>
      <w:r w:rsidR="007616BF" w:rsidRPr="002C1EEF">
        <w:rPr>
          <w:lang w:eastAsia="en-US"/>
        </w:rPr>
        <w:t xml:space="preserve">ee also </w:t>
      </w:r>
      <w:r w:rsidRPr="002C1EEF">
        <w:rPr>
          <w:lang w:eastAsia="en-US"/>
        </w:rPr>
        <w:t>the ‘</w:t>
      </w:r>
      <w:r w:rsidRPr="002C1EEF">
        <w:rPr>
          <w:rStyle w:val="COI-Link"/>
          <w:u w:val="none"/>
          <w:lang w:eastAsia="en-US"/>
        </w:rPr>
        <w:t>Sectarian violence</w:t>
      </w:r>
      <w:r w:rsidRPr="002C1EEF">
        <w:rPr>
          <w:lang w:eastAsia="en-US"/>
        </w:rPr>
        <w:t xml:space="preserve">’ in section 2 of the </w:t>
      </w:r>
      <w:r w:rsidR="007616BF" w:rsidRPr="002C1EEF">
        <w:rPr>
          <w:lang w:eastAsia="en-US"/>
        </w:rPr>
        <w:t>Country Information and Guidance</w:t>
      </w:r>
      <w:r w:rsidRPr="002C1EEF">
        <w:rPr>
          <w:lang w:eastAsia="en-US"/>
        </w:rPr>
        <w:t xml:space="preserve"> on</w:t>
      </w:r>
      <w:r w:rsidR="007616BF" w:rsidRPr="002C1EEF">
        <w:rPr>
          <w:lang w:eastAsia="en-US"/>
        </w:rPr>
        <w:t xml:space="preserve"> </w:t>
      </w:r>
      <w:hyperlink r:id="rId35" w:history="1">
        <w:r w:rsidRPr="002C1EEF">
          <w:rPr>
            <w:rStyle w:val="COI-Link"/>
            <w:lang w:eastAsia="en-US"/>
          </w:rPr>
          <w:t>Pakistan: Fear of Taliban and other militant groups</w:t>
        </w:r>
      </w:hyperlink>
      <w:r w:rsidRPr="002C1EEF">
        <w:rPr>
          <w:lang w:eastAsia="en-US"/>
        </w:rPr>
        <w:t>.</w:t>
      </w:r>
    </w:p>
    <w:p w14:paraId="41541E1C" w14:textId="77777777" w:rsidR="002F4813" w:rsidRPr="002C1EEF" w:rsidRDefault="007616BF" w:rsidP="002F4813">
      <w:pPr>
        <w:pStyle w:val="CPITQuote"/>
        <w:numPr>
          <w:ilvl w:val="2"/>
          <w:numId w:val="48"/>
        </w:numPr>
        <w:rPr>
          <w:lang w:eastAsia="en-US"/>
        </w:rPr>
      </w:pPr>
      <w:r w:rsidRPr="002C1EEF">
        <w:t>In 2013, the South Asia Terrorism Portal (SATP) recorded more Shia deaths in Pakistan than since their records began in 2001. The SATP listed 81 incidents in which 504 people died, and 965 were injured.</w:t>
      </w:r>
      <w:r w:rsidRPr="002C1EEF">
        <w:rPr>
          <w:rStyle w:val="FootnoteReference"/>
        </w:rPr>
        <w:footnoteReference w:id="10"/>
      </w:r>
      <w:r w:rsidR="002C1EEF" w:rsidRPr="002C1EEF">
        <w:t xml:space="preserve"> </w:t>
      </w:r>
      <w:r w:rsidRPr="002C1EEF">
        <w:t>Types of violence included sectarian clashes, militant attacks and targeted assassinations.</w:t>
      </w:r>
      <w:r w:rsidRPr="002C1EEF">
        <w:rPr>
          <w:rStyle w:val="FootnoteReference"/>
        </w:rPr>
        <w:footnoteReference w:id="11"/>
      </w:r>
      <w:r w:rsidRPr="002C1EEF">
        <w:t xml:space="preserve"> </w:t>
      </w:r>
      <w:r w:rsidR="002F4813" w:rsidRPr="002C1EEF">
        <w:t xml:space="preserve">The SATP recorded attacks against Shias </w:t>
      </w:r>
      <w:r w:rsidR="002F4813" w:rsidRPr="002C1EEF">
        <w:lastRenderedPageBreak/>
        <w:t xml:space="preserve">resulting in death or injury from 2001 to the present in its database of </w:t>
      </w:r>
      <w:hyperlink r:id="rId36" w:history="1">
        <w:r w:rsidR="002F4813" w:rsidRPr="002C1EEF">
          <w:rPr>
            <w:rStyle w:val="CPITCOI-Link"/>
          </w:rPr>
          <w:t>Shias killed in Pakistan since 2001</w:t>
        </w:r>
      </w:hyperlink>
      <w:r w:rsidR="002F4813" w:rsidRPr="002C1EEF">
        <w:t xml:space="preserve">, last updated </w:t>
      </w:r>
      <w:r w:rsidR="005F6ABD">
        <w:t>1 February</w:t>
      </w:r>
      <w:r w:rsidR="002F4813">
        <w:t xml:space="preserve"> 2015</w:t>
      </w:r>
      <w:r w:rsidR="002F4813" w:rsidRPr="002C1EEF">
        <w:t>.</w:t>
      </w:r>
      <w:r w:rsidR="002F4813" w:rsidRPr="002C1EEF">
        <w:rPr>
          <w:rStyle w:val="FootnoteReference"/>
        </w:rPr>
        <w:footnoteReference w:id="12"/>
      </w:r>
      <w:r w:rsidR="002F4813" w:rsidRPr="002C1EEF">
        <w:t xml:space="preserve"> </w:t>
      </w:r>
    </w:p>
    <w:p w14:paraId="41541E1D" w14:textId="77777777" w:rsidR="000F231F" w:rsidRDefault="000F231F">
      <w:pPr>
        <w:pStyle w:val="CPITQuote"/>
        <w:ind w:left="720"/>
        <w:rPr>
          <w:lang w:eastAsia="en-US"/>
        </w:rPr>
      </w:pPr>
    </w:p>
    <w:p w14:paraId="41541E1E" w14:textId="77777777" w:rsidR="002C1EEF" w:rsidRPr="002C1EEF" w:rsidRDefault="007616BF" w:rsidP="002C1EEF">
      <w:pPr>
        <w:pStyle w:val="CPITQuote"/>
        <w:numPr>
          <w:ilvl w:val="2"/>
          <w:numId w:val="48"/>
        </w:numPr>
        <w:rPr>
          <w:lang w:eastAsia="en-US"/>
        </w:rPr>
      </w:pPr>
      <w:r w:rsidRPr="002C1EEF">
        <w:t>Prominent anti-Shia groups, which are banned by the Pakistani government, include the Lashkar-e-Jhangvi (LeJ), the Ahl-e-Sunnat Wal Jama’at (ASWJ), previously known as Sipah-e-Sahaba Pakistan (SSP), and the Tehrik-e-Taliban Pakistan (TTP).</w:t>
      </w:r>
      <w:r w:rsidRPr="002C1EEF">
        <w:rPr>
          <w:rStyle w:val="FootnoteReference"/>
        </w:rPr>
        <w:footnoteReference w:id="13"/>
      </w:r>
      <w:r w:rsidRPr="002C1EEF">
        <w:t xml:space="preserve"> The LeJ is reported to have historical links to the Pakistani military and intelligence agencies although the military denies any ongoing links. </w:t>
      </w:r>
      <w:r w:rsidRPr="002C1EEF">
        <w:rPr>
          <w:rStyle w:val="FootnoteReference"/>
        </w:rPr>
        <w:footnoteReference w:id="14"/>
      </w:r>
      <w:r w:rsidRPr="002C1EEF">
        <w:t xml:space="preserve"> </w:t>
      </w:r>
    </w:p>
    <w:p w14:paraId="41541E1F" w14:textId="77777777" w:rsidR="002C1EEF" w:rsidRPr="002C1EEF" w:rsidRDefault="007616BF" w:rsidP="002C1EEF">
      <w:pPr>
        <w:pStyle w:val="CPITQuote"/>
        <w:numPr>
          <w:ilvl w:val="2"/>
          <w:numId w:val="48"/>
        </w:numPr>
        <w:rPr>
          <w:lang w:eastAsia="en-US"/>
        </w:rPr>
      </w:pPr>
      <w:r w:rsidRPr="002C1EEF">
        <w:t>Human Rights Watch reported in its World Report 2014, which recorded 2013 events, that:</w:t>
      </w:r>
    </w:p>
    <w:p w14:paraId="41541E20" w14:textId="77777777" w:rsidR="002C1EEF" w:rsidRPr="002C1EEF" w:rsidRDefault="007616BF" w:rsidP="002C1EEF">
      <w:pPr>
        <w:pStyle w:val="CPITQuote"/>
        <w:ind w:left="720"/>
        <w:rPr>
          <w:lang w:eastAsia="en-US"/>
        </w:rPr>
      </w:pPr>
      <w:r w:rsidRPr="002C1EEF">
        <w:t xml:space="preserve">‘In Balochistan province, at least 200 Shias, mostly from the Hazara community, were killed in and around the provincial capital, Quetta. In January, a suicide bomb killed 96 Hazaras and injured at least 150. In February, at least 84 were killed and over 160 injured when a bomb exploded in a vegetable market in Quetta’s Hazara town. The LEJ claimed responsibility for both attacks. In March, at least 47 Shias were killed and 135 injured in the port city of Karachi when a Shia-majority neighborhood was targeted in a bomb attack. Some 50 apartments and 10 shops were destroyed. Throughout the year, dozens of other Shia across Pakistan were targeted and killed.’ </w:t>
      </w:r>
      <w:r w:rsidRPr="002C1EEF">
        <w:rPr>
          <w:rStyle w:val="FootnoteReference"/>
        </w:rPr>
        <w:footnoteReference w:id="15"/>
      </w:r>
    </w:p>
    <w:p w14:paraId="41541E21" w14:textId="77777777" w:rsidR="002C1EEF" w:rsidRPr="002C1EEF" w:rsidRDefault="007616BF" w:rsidP="002C1EEF">
      <w:pPr>
        <w:pStyle w:val="CPITQuote"/>
        <w:numPr>
          <w:ilvl w:val="2"/>
          <w:numId w:val="48"/>
        </w:numPr>
        <w:rPr>
          <w:lang w:eastAsia="en-US"/>
        </w:rPr>
      </w:pPr>
      <w:r w:rsidRPr="002C1EEF">
        <w:t xml:space="preserve">The US Commission on International Religious Freedom Annual Report 2013 reported grossly inadequate state protection for Shia Muslims and that ‘the government has proven unwilling or unable to crack down on groups that repeatedly plan, conduct, and claim credit for attacks, or prevent future violence.’ </w:t>
      </w:r>
      <w:r w:rsidRPr="002C1EEF">
        <w:rPr>
          <w:rStyle w:val="FootnoteReference"/>
        </w:rPr>
        <w:footnoteReference w:id="16"/>
      </w:r>
      <w:r w:rsidRPr="002C1EEF">
        <w:t xml:space="preserve"> However, some media sources reported police protection during times of sectarian tension.</w:t>
      </w:r>
      <w:r w:rsidRPr="002C1EEF">
        <w:rPr>
          <w:rStyle w:val="FootnoteReference"/>
        </w:rPr>
        <w:t xml:space="preserve"> </w:t>
      </w:r>
      <w:r w:rsidRPr="002C1EEF">
        <w:rPr>
          <w:rStyle w:val="FootnoteReference"/>
        </w:rPr>
        <w:footnoteReference w:id="17"/>
      </w:r>
      <w:r w:rsidRPr="002C1EEF">
        <w:t xml:space="preserve"> </w:t>
      </w:r>
    </w:p>
    <w:p w14:paraId="41541E22" w14:textId="77777777" w:rsidR="002C1EEF" w:rsidRPr="002C1EEF" w:rsidRDefault="007616BF" w:rsidP="002C1EEF">
      <w:pPr>
        <w:pStyle w:val="CPITQuote"/>
        <w:numPr>
          <w:ilvl w:val="2"/>
          <w:numId w:val="48"/>
        </w:numPr>
        <w:rPr>
          <w:lang w:eastAsia="en-US"/>
        </w:rPr>
      </w:pPr>
      <w:r w:rsidRPr="002C1EEF">
        <w:t>Attacks against Shias escalate during the Muslim holy month of Moharram, particularly on Shia processions marking Ashura, the 10</w:t>
      </w:r>
      <w:r w:rsidRPr="002C1EEF">
        <w:rPr>
          <w:vertAlign w:val="superscript"/>
        </w:rPr>
        <w:t>th</w:t>
      </w:r>
      <w:r w:rsidRPr="002C1EEF">
        <w:t xml:space="preserve"> day of Moharram. In 2012 the TTP claimed responsibility for a number of attacks during Moharram that killed more than 30 Shias and wounded around 200. </w:t>
      </w:r>
      <w:r w:rsidRPr="002C1EEF">
        <w:rPr>
          <w:rStyle w:val="FootnoteReference"/>
        </w:rPr>
        <w:footnoteReference w:id="18"/>
      </w:r>
      <w:r w:rsidRPr="002C1EEF">
        <w:t xml:space="preserve"> At least eight people were killed and 30 injured when a Shia procession was attacked in Rawalpindi on 15 November 2013. </w:t>
      </w:r>
      <w:r w:rsidRPr="002C1EEF">
        <w:rPr>
          <w:rStyle w:val="FootnoteReference"/>
        </w:rPr>
        <w:footnoteReference w:id="19"/>
      </w:r>
      <w:r w:rsidRPr="002C1EEF">
        <w:t xml:space="preserve"> Aside from the incident in Rawalpindi, Ashura passed peacefully in most of the country on account of the security measures put in place by Pakistan’s law enforcement authorities. Several suspected </w:t>
      </w:r>
      <w:r w:rsidRPr="002C1EEF">
        <w:lastRenderedPageBreak/>
        <w:t xml:space="preserve">militants were arrested in Karachi, and security cameras helped prevent terrorist activity in Lahore. </w:t>
      </w:r>
      <w:r w:rsidRPr="002C1EEF">
        <w:rPr>
          <w:rStyle w:val="FootnoteReference"/>
        </w:rPr>
        <w:footnoteReference w:id="20"/>
      </w:r>
    </w:p>
    <w:p w14:paraId="41541E23" w14:textId="77777777" w:rsidR="007616BF" w:rsidRPr="002C1EEF" w:rsidRDefault="007616BF" w:rsidP="002C1EEF">
      <w:pPr>
        <w:pStyle w:val="CPITQuote"/>
        <w:numPr>
          <w:ilvl w:val="2"/>
          <w:numId w:val="48"/>
        </w:numPr>
        <w:rPr>
          <w:lang w:eastAsia="en-US"/>
        </w:rPr>
      </w:pPr>
      <w:r w:rsidRPr="002C1EEF">
        <w:t xml:space="preserve">According to sources, attacks against Shia Muslims occur in all regions across Pakistan but are particularly prominent in Quetta, Balochistan. Other areas with notable levels of violence include Karachi, Gilgit Baltistan, and some cities in Pakistan’s north west tribal areas. </w:t>
      </w:r>
      <w:r w:rsidRPr="002C1EEF">
        <w:rPr>
          <w:rStyle w:val="FootnoteReference"/>
        </w:rPr>
        <w:footnoteReference w:id="21"/>
      </w:r>
      <w:r w:rsidRPr="002C1EEF">
        <w:t xml:space="preserve"> Shia pilgrimage routes between Pakistan and Iran, travelling through Balochistan, were subject to attack. In January 2014, Dawn reported that, following a suicide bomb attack against Hazara Shia pilgrims travelling to Iran, security forces escorted the pilgrims’ coaches on their return journey. </w:t>
      </w:r>
      <w:r w:rsidRPr="002C1EEF">
        <w:rPr>
          <w:rStyle w:val="FootnoteReference"/>
        </w:rPr>
        <w:footnoteReference w:id="22"/>
      </w:r>
      <w:r w:rsidRPr="002C1EEF">
        <w:t xml:space="preserve"> When the road between Quetta and the Iranian border was closed due to the attack, the Pakistan Air Force airlifted 215 pilgrims back to Quetta. </w:t>
      </w:r>
      <w:r w:rsidRPr="002C1EEF">
        <w:rPr>
          <w:rStyle w:val="FootnoteReference"/>
        </w:rPr>
        <w:footnoteReference w:id="23"/>
      </w:r>
      <w:r w:rsidRPr="002C1EEF">
        <w:t xml:space="preserve"> </w:t>
      </w:r>
    </w:p>
    <w:p w14:paraId="41541E24" w14:textId="77777777" w:rsidR="007616BF" w:rsidRPr="002C1EEF" w:rsidRDefault="004856D6" w:rsidP="007616BF">
      <w:pPr>
        <w:pStyle w:val="CPITBacktoContentsLinks"/>
        <w:rPr>
          <w:rStyle w:val="CPITCOI-Link"/>
        </w:rPr>
      </w:pPr>
      <w:hyperlink w:anchor="contents" w:history="1">
        <w:r w:rsidR="007616BF" w:rsidRPr="002C1EEF">
          <w:rPr>
            <w:rStyle w:val="CPITCOI-Link"/>
          </w:rPr>
          <w:t>Back to Contents</w:t>
        </w:r>
      </w:hyperlink>
    </w:p>
    <w:p w14:paraId="41541E25" w14:textId="77777777" w:rsidR="00F93B70" w:rsidRPr="0000590E" w:rsidRDefault="00F93B70" w:rsidP="00C03597">
      <w:pPr>
        <w:pStyle w:val="CPITSectionHeader"/>
        <w:rPr>
          <w:rStyle w:val="CPITCOI-Link"/>
        </w:rPr>
      </w:pPr>
      <w:r w:rsidRPr="003B3341">
        <w:rPr>
          <w:highlight w:val="yellow"/>
        </w:rPr>
        <w:br w:type="page"/>
      </w:r>
    </w:p>
    <w:p w14:paraId="41541E26" w14:textId="77777777" w:rsidR="00A663DF" w:rsidRPr="00C03597" w:rsidRDefault="00A663DF" w:rsidP="00A663DF">
      <w:pPr>
        <w:pStyle w:val="CPITSectionHeader"/>
      </w:pPr>
      <w:bookmarkStart w:id="21" w:name="_Toc411244254"/>
      <w:r w:rsidRPr="00C03597">
        <w:lastRenderedPageBreak/>
        <w:t xml:space="preserve">Annex </w:t>
      </w:r>
      <w:r w:rsidR="005F6ABD">
        <w:t>A</w:t>
      </w:r>
      <w:r w:rsidRPr="00C03597">
        <w:t>: Cas</w:t>
      </w:r>
      <w:bookmarkStart w:id="22" w:name="Caselaw"/>
      <w:bookmarkEnd w:id="22"/>
      <w:r w:rsidRPr="00C03597">
        <w:t>elaw</w:t>
      </w:r>
      <w:bookmarkEnd w:id="21"/>
    </w:p>
    <w:p w14:paraId="41541E27" w14:textId="77777777" w:rsidR="00A663DF" w:rsidRPr="00792019" w:rsidRDefault="00C03597" w:rsidP="00792019">
      <w:pPr>
        <w:pStyle w:val="CPITSub-header1"/>
        <w:rPr>
          <w:sz w:val="28"/>
        </w:rPr>
      </w:pPr>
      <w:bookmarkStart w:id="23" w:name="_Toc411244255"/>
      <w:r w:rsidRPr="00792019">
        <w:rPr>
          <w:sz w:val="28"/>
        </w:rPr>
        <w:t xml:space="preserve">AW </w:t>
      </w:r>
      <w:r w:rsidRPr="00792019">
        <w:rPr>
          <w:rStyle w:val="CPITCOI-Link"/>
          <w:color w:val="8F23B3"/>
          <w:sz w:val="28"/>
          <w:szCs w:val="32"/>
          <w:u w:val="none"/>
        </w:rPr>
        <w:t>(Sufficiency of Protection)</w:t>
      </w:r>
      <w:bookmarkEnd w:id="23"/>
    </w:p>
    <w:p w14:paraId="41541E28" w14:textId="77777777" w:rsidR="00A663DF" w:rsidRPr="00C03597" w:rsidRDefault="004856D6" w:rsidP="00A663DF">
      <w:pPr>
        <w:pStyle w:val="COI-Body-Leftalign"/>
      </w:pPr>
      <w:hyperlink r:id="rId37" w:history="1">
        <w:r w:rsidR="00A62933">
          <w:rPr>
            <w:rStyle w:val="CPITCOI-Link"/>
          </w:rPr>
          <w:t>AW (sufficiency of protection) Pakistan [2011] UKUT 31(IAC)</w:t>
        </w:r>
      </w:hyperlink>
      <w:r w:rsidR="00A62933">
        <w:t xml:space="preserve"> </w:t>
      </w:r>
      <w:r w:rsidR="00A62933" w:rsidRPr="00A62933">
        <w:t>(26 January 2011)</w:t>
      </w:r>
      <w:r w:rsidR="00A663DF" w:rsidRPr="00C03597">
        <w:t xml:space="preserve"> </w:t>
      </w:r>
    </w:p>
    <w:p w14:paraId="41541E29" w14:textId="77777777" w:rsidR="00A663DF" w:rsidRPr="00C03597" w:rsidRDefault="00A663DF" w:rsidP="00A663DF">
      <w:pPr>
        <w:pStyle w:val="COI-Body-Leftalign"/>
      </w:pPr>
      <w:r w:rsidRPr="00C03597">
        <w:t>The Upper Tribunal of the Immigration and Asylum Chamber found that:</w:t>
      </w:r>
    </w:p>
    <w:p w14:paraId="41541E2A" w14:textId="77777777" w:rsidR="00A663DF" w:rsidRPr="00C03597" w:rsidRDefault="00A663DF" w:rsidP="00A663DF">
      <w:pPr>
        <w:pStyle w:val="COI-Body-Leftalign"/>
      </w:pPr>
      <w:r w:rsidRPr="00C03597">
        <w:t>1. At paragraph 55 of Auld LJ’s summary in Bagdanavicius [2005] EWCA Civ.1605 it is made clear that the test set out in Horvath [2001] 1 AC 489 was intended to deal with the ability of a state to afford protection to the generality of its citizens.</w:t>
      </w:r>
    </w:p>
    <w:p w14:paraId="41541E2B" w14:textId="77777777" w:rsidR="00A663DF" w:rsidRPr="00C03597" w:rsidRDefault="00A663DF" w:rsidP="00A663DF">
      <w:pPr>
        <w:pStyle w:val="COI-Body-Leftalign"/>
      </w:pPr>
      <w:r w:rsidRPr="00C03597">
        <w:t xml:space="preserve"> 2. Notwithstanding systemic sufficiency of state protection, a claimant may still have a well founded fear of persecution if authorities know or ought to know of circumstances particular to his/her case giving rise to the fear, but are unlikely to provide the additional protection the particular circumstances reasonably require (per Auld LJ at paragraph 55(vi)).</w:t>
      </w:r>
    </w:p>
    <w:p w14:paraId="41541E2C" w14:textId="77777777" w:rsidR="000D3D85" w:rsidRPr="00C03597" w:rsidRDefault="00A663DF" w:rsidP="00A663DF">
      <w:pPr>
        <w:pStyle w:val="COI-Body-Leftalign"/>
      </w:pPr>
      <w:r w:rsidRPr="00C03597">
        <w:t xml:space="preserve"> 3. In considering whether an appellant’s particular circumstances give rise to a need for additional protection, particular account must be taken of past persecution (if any) so as to ensure the question posed is whether there are good reasons to consider that such persecution (and past lack of sufficient protection) will not be repeated.</w:t>
      </w:r>
    </w:p>
    <w:p w14:paraId="41541E2D" w14:textId="77777777" w:rsidR="000D3D85" w:rsidRPr="00A46E3C" w:rsidRDefault="004856D6" w:rsidP="000D3D85">
      <w:pPr>
        <w:pStyle w:val="CPITBacktoContentsLinks"/>
        <w:rPr>
          <w:rStyle w:val="CPITCOI-Link"/>
        </w:rPr>
      </w:pPr>
      <w:hyperlink w:anchor="contents" w:history="1">
        <w:r w:rsidR="000D3D85" w:rsidRPr="00C03597">
          <w:rPr>
            <w:rStyle w:val="CPITCOI-Link"/>
          </w:rPr>
          <w:t>Back to Contents</w:t>
        </w:r>
      </w:hyperlink>
    </w:p>
    <w:p w14:paraId="41541E2E" w14:textId="77777777" w:rsidR="003764B9" w:rsidRPr="007C3D75" w:rsidRDefault="00085117" w:rsidP="003B3341">
      <w:pPr>
        <w:pStyle w:val="CPITNonLinkedHeader"/>
      </w:pPr>
      <w:r w:rsidRPr="007C3D75">
        <w:br w:type="page"/>
      </w:r>
      <w:r w:rsidR="003B3341" w:rsidRPr="007C3D75">
        <w:lastRenderedPageBreak/>
        <w:t>Change Record</w:t>
      </w:r>
    </w:p>
    <w:tbl>
      <w:tblPr>
        <w:tblW w:w="0" w:type="auto"/>
        <w:tblInd w:w="113"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1240"/>
        <w:gridCol w:w="1728"/>
        <w:gridCol w:w="7113"/>
      </w:tblGrid>
      <w:tr w:rsidR="0084411F" w:rsidRPr="002A2177" w14:paraId="41541E32" w14:textId="77777777" w:rsidTr="0000590E">
        <w:tc>
          <w:tcPr>
            <w:tcW w:w="1243" w:type="dxa"/>
            <w:shd w:val="clear" w:color="auto" w:fill="D2A7E1"/>
          </w:tcPr>
          <w:p w14:paraId="41541E2F" w14:textId="77777777" w:rsidR="0084411F" w:rsidRPr="00990861" w:rsidRDefault="0084411F" w:rsidP="0015623B">
            <w:pPr>
              <w:pStyle w:val="StyleCPITChangeRecordHeaders"/>
            </w:pPr>
            <w:r w:rsidRPr="00990861">
              <w:t>Version</w:t>
            </w:r>
          </w:p>
        </w:tc>
        <w:tc>
          <w:tcPr>
            <w:tcW w:w="1734" w:type="dxa"/>
            <w:shd w:val="clear" w:color="auto" w:fill="D2A7E1"/>
          </w:tcPr>
          <w:p w14:paraId="41541E30" w14:textId="77777777" w:rsidR="0084411F" w:rsidRPr="00990861" w:rsidRDefault="0084411F" w:rsidP="0015623B">
            <w:pPr>
              <w:pStyle w:val="StyleCPITChangeRecordHeaders"/>
            </w:pPr>
            <w:r w:rsidRPr="00990861">
              <w:t>Date</w:t>
            </w:r>
          </w:p>
        </w:tc>
        <w:tc>
          <w:tcPr>
            <w:tcW w:w="7229" w:type="dxa"/>
            <w:shd w:val="clear" w:color="auto" w:fill="D2A7E1"/>
          </w:tcPr>
          <w:p w14:paraId="41541E31" w14:textId="77777777" w:rsidR="0084411F" w:rsidRPr="00990861" w:rsidRDefault="0084411F" w:rsidP="0015623B">
            <w:pPr>
              <w:pStyle w:val="StyleCPITChangeRecordHeaders"/>
            </w:pPr>
            <w:r w:rsidRPr="00990861">
              <w:t>Change References</w:t>
            </w:r>
          </w:p>
        </w:tc>
      </w:tr>
      <w:tr w:rsidR="0084411F" w:rsidRPr="002A2177" w14:paraId="41541E36" w14:textId="77777777" w:rsidTr="0000590E">
        <w:tc>
          <w:tcPr>
            <w:tcW w:w="1243" w:type="dxa"/>
            <w:shd w:val="clear" w:color="auto" w:fill="F4E9F7"/>
            <w:vAlign w:val="center"/>
          </w:tcPr>
          <w:p w14:paraId="41541E33" w14:textId="77777777" w:rsidR="0084411F" w:rsidRPr="0084411F" w:rsidRDefault="0084411F" w:rsidP="00C96CF8">
            <w:pPr>
              <w:pStyle w:val="CPITChangeRecordText"/>
            </w:pPr>
            <w:r w:rsidRPr="0084411F">
              <w:t>1.0</w:t>
            </w:r>
          </w:p>
        </w:tc>
        <w:tc>
          <w:tcPr>
            <w:tcW w:w="1734" w:type="dxa"/>
            <w:shd w:val="clear" w:color="auto" w:fill="F4E9F7"/>
            <w:vAlign w:val="center"/>
          </w:tcPr>
          <w:p w14:paraId="41541E34" w14:textId="77777777" w:rsidR="0084411F" w:rsidRPr="0084411F" w:rsidRDefault="00285F97" w:rsidP="00246211">
            <w:pPr>
              <w:pStyle w:val="CPITChangeRecordText"/>
              <w:rPr>
                <w:highlight w:val="yellow"/>
              </w:rPr>
            </w:pPr>
            <w:r w:rsidRPr="00285F97">
              <w:t>16/07/2014</w:t>
            </w:r>
          </w:p>
        </w:tc>
        <w:tc>
          <w:tcPr>
            <w:tcW w:w="7229" w:type="dxa"/>
            <w:shd w:val="clear" w:color="auto" w:fill="F4E9F7"/>
            <w:vAlign w:val="center"/>
          </w:tcPr>
          <w:p w14:paraId="41541E35" w14:textId="77777777" w:rsidR="0084411F" w:rsidRPr="0084411F" w:rsidRDefault="0084411F" w:rsidP="00285F97">
            <w:pPr>
              <w:pStyle w:val="CPITChangeRecordText"/>
            </w:pPr>
            <w:r w:rsidRPr="00246211">
              <w:t>F</w:t>
            </w:r>
            <w:r w:rsidRPr="0084411F">
              <w:t xml:space="preserve">irst version </w:t>
            </w:r>
            <w:r w:rsidR="0060748F">
              <w:t xml:space="preserve">of </w:t>
            </w:r>
            <w:r w:rsidR="00285F97">
              <w:t>CIG on Religious freedom</w:t>
            </w:r>
          </w:p>
        </w:tc>
      </w:tr>
      <w:tr w:rsidR="0084411F" w:rsidRPr="002A2177" w14:paraId="41541E3A" w14:textId="77777777" w:rsidTr="0000590E">
        <w:tc>
          <w:tcPr>
            <w:tcW w:w="1243" w:type="dxa"/>
            <w:shd w:val="clear" w:color="auto" w:fill="F4E9F7"/>
            <w:vAlign w:val="center"/>
          </w:tcPr>
          <w:p w14:paraId="41541E37" w14:textId="77777777" w:rsidR="0084411F" w:rsidRPr="0084411F" w:rsidRDefault="0084411F" w:rsidP="00C96CF8">
            <w:pPr>
              <w:pStyle w:val="CPITChangeRecordText"/>
            </w:pPr>
            <w:r w:rsidRPr="0084411F">
              <w:t>2.0</w:t>
            </w:r>
          </w:p>
        </w:tc>
        <w:tc>
          <w:tcPr>
            <w:tcW w:w="1734" w:type="dxa"/>
            <w:shd w:val="clear" w:color="auto" w:fill="F4E9F7"/>
            <w:vAlign w:val="center"/>
          </w:tcPr>
          <w:p w14:paraId="41541E38" w14:textId="77777777" w:rsidR="0084411F" w:rsidRPr="0000590E" w:rsidRDefault="0000590E" w:rsidP="00246211">
            <w:pPr>
              <w:pStyle w:val="CPITChangeRecordText"/>
            </w:pPr>
            <w:r w:rsidRPr="0000590E">
              <w:t>January 2015</w:t>
            </w:r>
          </w:p>
        </w:tc>
        <w:tc>
          <w:tcPr>
            <w:tcW w:w="7229" w:type="dxa"/>
            <w:shd w:val="clear" w:color="auto" w:fill="F4E9F7"/>
            <w:vAlign w:val="center"/>
          </w:tcPr>
          <w:p w14:paraId="41541E39" w14:textId="77777777" w:rsidR="0084411F" w:rsidRPr="0000590E" w:rsidRDefault="003B3341" w:rsidP="003B3341">
            <w:pPr>
              <w:pStyle w:val="CPITChangeRecordText"/>
            </w:pPr>
            <w:r w:rsidRPr="0000590E">
              <w:t>Updated COI sections; guidance separated from wider ‘religious freedom’ CIG.</w:t>
            </w:r>
          </w:p>
        </w:tc>
      </w:tr>
    </w:tbl>
    <w:p w14:paraId="41541E3B" w14:textId="77777777" w:rsidR="00085117" w:rsidRDefault="00085117" w:rsidP="00C96CF8"/>
    <w:p w14:paraId="41541E3C" w14:textId="77777777" w:rsidR="00085117" w:rsidRPr="00A46E3C" w:rsidRDefault="004856D6" w:rsidP="00990861">
      <w:pPr>
        <w:pStyle w:val="CPITBacktoContentsLinks"/>
        <w:rPr>
          <w:rStyle w:val="CPITCOI-Link"/>
        </w:rPr>
      </w:pPr>
      <w:hyperlink w:anchor="contents" w:history="1">
        <w:r w:rsidR="00085117" w:rsidRPr="00A46E3C">
          <w:rPr>
            <w:rStyle w:val="CPITCOI-Link"/>
          </w:rPr>
          <w:t>Back to Contents</w:t>
        </w:r>
      </w:hyperlink>
    </w:p>
    <w:p w14:paraId="41541E3D" w14:textId="77777777" w:rsidR="007200E5" w:rsidRDefault="007200E5" w:rsidP="00990861"/>
    <w:sectPr w:rsidR="007200E5" w:rsidSect="00B47058">
      <w:headerReference w:type="even" r:id="rId38"/>
      <w:headerReference w:type="default" r:id="rId39"/>
      <w:footerReference w:type="even" r:id="rId40"/>
      <w:footerReference w:type="default" r:id="rId41"/>
      <w:headerReference w:type="first" r:id="rId42"/>
      <w:footerReference w:type="first" r:id="rId43"/>
      <w:pgSz w:w="11906" w:h="16838"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41E40" w14:textId="77777777" w:rsidR="002F4813" w:rsidRDefault="002F4813" w:rsidP="0075056B">
      <w:r>
        <w:separator/>
      </w:r>
    </w:p>
  </w:endnote>
  <w:endnote w:type="continuationSeparator" w:id="0">
    <w:p w14:paraId="41541E41" w14:textId="77777777" w:rsidR="002F4813" w:rsidRDefault="002F4813" w:rsidP="007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1C62" w14:textId="77777777" w:rsidR="004856D6" w:rsidRDefault="0048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1E43" w14:textId="77777777" w:rsidR="002F4813" w:rsidRDefault="004856D6" w:rsidP="001A4C77">
    <w:pPr>
      <w:pStyle w:val="Footer"/>
      <w:tabs>
        <w:tab w:val="left" w:pos="11199"/>
        <w:tab w:val="right" w:pos="11340"/>
      </w:tabs>
      <w:ind w:left="-851" w:right="-144"/>
      <w:jc w:val="center"/>
      <w:rPr>
        <w:color w:val="999999"/>
        <w:sz w:val="16"/>
        <w:szCs w:val="16"/>
      </w:rPr>
    </w:pPr>
    <w:r>
      <w:rPr>
        <w:color w:val="999999"/>
        <w:sz w:val="16"/>
        <w:szCs w:val="16"/>
      </w:rPr>
      <w:pict w14:anchorId="41541E56">
        <v:rect id="_x0000_i1025" style="width:537.1pt;height:1pt" o:hrpct="991" o:hralign="center" o:hrstd="t" o:hrnoshade="t" o:hr="t" fillcolor="#8f23b3" stroked="f"/>
      </w:pict>
    </w:r>
  </w:p>
  <w:p w14:paraId="41541E44" w14:textId="77777777" w:rsidR="002F4813" w:rsidRPr="005125D9" w:rsidRDefault="002F4813" w:rsidP="000E4858">
    <w:pPr>
      <w:pStyle w:val="Footer"/>
      <w:spacing w:before="60" w:after="60"/>
      <w:ind w:right="6"/>
      <w:jc w:val="center"/>
      <w:rPr>
        <w:rFonts w:ascii="Arial" w:hAnsi="Arial" w:cs="Arial"/>
        <w:color w:val="999999"/>
        <w:sz w:val="16"/>
        <w:szCs w:val="16"/>
      </w:rPr>
    </w:pPr>
    <w:r w:rsidRPr="005125D9">
      <w:rPr>
        <w:rFonts w:ascii="Arial" w:hAnsi="Arial" w:cs="Arial"/>
        <w:color w:val="999999"/>
        <w:sz w:val="16"/>
        <w:szCs w:val="16"/>
      </w:rPr>
      <w:t xml:space="preserve">Page </w:t>
    </w:r>
    <w:r w:rsidR="000C3771"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PAGE </w:instrText>
    </w:r>
    <w:r w:rsidR="000C3771" w:rsidRPr="005125D9">
      <w:rPr>
        <w:rFonts w:ascii="Arial" w:hAnsi="Arial" w:cs="Arial"/>
        <w:color w:val="999999"/>
        <w:sz w:val="16"/>
        <w:szCs w:val="16"/>
      </w:rPr>
      <w:fldChar w:fldCharType="separate"/>
    </w:r>
    <w:r w:rsidR="00554083">
      <w:rPr>
        <w:rFonts w:ascii="Arial" w:hAnsi="Arial" w:cs="Arial"/>
        <w:noProof/>
        <w:color w:val="999999"/>
        <w:sz w:val="16"/>
        <w:szCs w:val="16"/>
      </w:rPr>
      <w:t>4</w:t>
    </w:r>
    <w:r w:rsidR="000C3771" w:rsidRPr="005125D9">
      <w:rPr>
        <w:rFonts w:ascii="Arial" w:hAnsi="Arial" w:cs="Arial"/>
        <w:color w:val="999999"/>
        <w:sz w:val="16"/>
        <w:szCs w:val="16"/>
      </w:rPr>
      <w:fldChar w:fldCharType="end"/>
    </w:r>
    <w:r w:rsidRPr="005125D9">
      <w:rPr>
        <w:rFonts w:ascii="Arial" w:hAnsi="Arial" w:cs="Arial"/>
        <w:color w:val="999999"/>
        <w:sz w:val="16"/>
        <w:szCs w:val="16"/>
      </w:rPr>
      <w:t xml:space="preserve"> of </w:t>
    </w:r>
    <w:r w:rsidR="000C3771"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NUMPAGES </w:instrText>
    </w:r>
    <w:r w:rsidR="000C3771" w:rsidRPr="005125D9">
      <w:rPr>
        <w:rFonts w:ascii="Arial" w:hAnsi="Arial" w:cs="Arial"/>
        <w:color w:val="999999"/>
        <w:sz w:val="16"/>
        <w:szCs w:val="16"/>
      </w:rPr>
      <w:fldChar w:fldCharType="separate"/>
    </w:r>
    <w:r w:rsidR="00554083">
      <w:rPr>
        <w:rFonts w:ascii="Arial" w:hAnsi="Arial" w:cs="Arial"/>
        <w:noProof/>
        <w:color w:val="999999"/>
        <w:sz w:val="16"/>
        <w:szCs w:val="16"/>
      </w:rPr>
      <w:t>12</w:t>
    </w:r>
    <w:r w:rsidR="000C3771" w:rsidRPr="005125D9">
      <w:rPr>
        <w:rFonts w:ascii="Arial" w:hAnsi="Arial"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000F" w14:textId="77777777" w:rsidR="004856D6" w:rsidRDefault="00485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41E3E" w14:textId="77777777" w:rsidR="002F4813" w:rsidRDefault="002F4813" w:rsidP="0075056B">
      <w:r>
        <w:separator/>
      </w:r>
    </w:p>
  </w:footnote>
  <w:footnote w:type="continuationSeparator" w:id="0">
    <w:p w14:paraId="41541E3F" w14:textId="77777777" w:rsidR="002F4813" w:rsidRDefault="002F4813" w:rsidP="0075056B">
      <w:r>
        <w:continuationSeparator/>
      </w:r>
    </w:p>
  </w:footnote>
  <w:footnote w:id="1">
    <w:p w14:paraId="41541E5A"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CIA World Factbook, Pakistan, updated 27 March 2014, People and society, </w:t>
      </w:r>
      <w:hyperlink r:id="rId1" w:history="1">
        <w:r w:rsidRPr="00496A84">
          <w:rPr>
            <w:rStyle w:val="COI-FootnoteLinkChar"/>
            <w:rFonts w:cs="Arial"/>
          </w:rPr>
          <w:t>https://www.cia.gov/library/publications/the-world-factbook/geos/pk.html</w:t>
        </w:r>
      </w:hyperlink>
      <w:r w:rsidRPr="00496A84">
        <w:rPr>
          <w:rFonts w:cs="Arial"/>
        </w:rPr>
        <w:t>, date accessed 7 April 2014</w:t>
      </w:r>
    </w:p>
  </w:footnote>
  <w:footnote w:id="2">
    <w:p w14:paraId="41541E5B"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Immigration and Refugee Board of Canada, Pakistan: How Shia Muslims differ from Sunnis; treatment of Shias, particularly in Lahore and Multan; government response to violence against Shia Muslims (2010-December 2013), 9 January 2014, PAK104713.E , available at: </w:t>
      </w:r>
      <w:hyperlink r:id="rId2" w:history="1">
        <w:r w:rsidRPr="00496A84">
          <w:rPr>
            <w:rStyle w:val="COI-FootnoteLinkChar"/>
            <w:rFonts w:cs="Arial"/>
          </w:rPr>
          <w:t>http://www.refworld.org/docid/52eba0284.html</w:t>
        </w:r>
      </w:hyperlink>
      <w:r w:rsidRPr="00496A84">
        <w:rPr>
          <w:rFonts w:cs="Arial"/>
        </w:rPr>
        <w:t>, date accessed 7 April 2014</w:t>
      </w:r>
    </w:p>
  </w:footnote>
  <w:footnote w:id="3">
    <w:p w14:paraId="41541E5C"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Australian Government, Department of Foreign Affairs and Trade (DFAT) reports, Thematic Report: Shias in Pakistan, 18 December 2013, Page 3, </w:t>
      </w:r>
      <w:hyperlink r:id="rId3" w:history="1">
        <w:r w:rsidRPr="00496A84">
          <w:rPr>
            <w:rStyle w:val="COI-FootnoteLinkChar"/>
            <w:rFonts w:cs="Arial"/>
          </w:rPr>
          <w:t>https://www.immi.gov.au/media/publications/pdf/dfat-tir-pakistan.pdf</w:t>
        </w:r>
      </w:hyperlink>
      <w:r w:rsidRPr="00496A84">
        <w:rPr>
          <w:rFonts w:cs="Arial"/>
        </w:rPr>
        <w:t xml:space="preserve">, date accessed 9 April 2014 </w:t>
      </w:r>
    </w:p>
  </w:footnote>
  <w:footnote w:id="4">
    <w:p w14:paraId="41541E5D"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Australian Government, Department of Foreign Affairs and Trade (DFAT) reports, Thematic Report: Shias in Pakistan, 18 December 2013, Page 5, </w:t>
      </w:r>
      <w:hyperlink r:id="rId4" w:history="1">
        <w:r w:rsidRPr="00496A84">
          <w:rPr>
            <w:rStyle w:val="COI-FootnoteLinkChar"/>
            <w:rFonts w:cs="Arial"/>
          </w:rPr>
          <w:t>https://www.immi.gov.au/media/publications/pdf/dfat-tir-pakistan.pdf</w:t>
        </w:r>
      </w:hyperlink>
      <w:r w:rsidRPr="00496A84">
        <w:rPr>
          <w:rFonts w:cs="Arial"/>
        </w:rPr>
        <w:t xml:space="preserve">, date accessed 9 April 2014 </w:t>
      </w:r>
    </w:p>
  </w:footnote>
  <w:footnote w:id="5">
    <w:p w14:paraId="41541E5E" w14:textId="77777777" w:rsidR="002F4813" w:rsidRPr="00496A84" w:rsidRDefault="002F4813" w:rsidP="002C1EEF">
      <w:pPr>
        <w:pStyle w:val="FootnoteText"/>
        <w:rPr>
          <w:rFonts w:cs="Arial"/>
        </w:rPr>
      </w:pPr>
      <w:r w:rsidRPr="00496A84">
        <w:rPr>
          <w:rStyle w:val="FootnoteReference"/>
          <w:rFonts w:cs="Arial"/>
        </w:rPr>
        <w:footnoteRef/>
      </w:r>
      <w:r w:rsidRPr="00496A84">
        <w:rPr>
          <w:rFonts w:cs="Arial"/>
        </w:rPr>
        <w:t xml:space="preserve"> Australian Government, Department of Foreign Affairs and Trade (DFAT) reports, Thematic Report: Shias in Pakistan, 18 December 2013, Page 6, </w:t>
      </w:r>
      <w:hyperlink r:id="rId5" w:history="1">
        <w:r w:rsidRPr="00496A84">
          <w:rPr>
            <w:rStyle w:val="COI-FootnoteLinkChar"/>
            <w:rFonts w:cs="Arial"/>
          </w:rPr>
          <w:t>https://www.immi.gov.au/media/publications/pdf/dfat-tir-pakistan.pdf</w:t>
        </w:r>
      </w:hyperlink>
      <w:r w:rsidRPr="00496A84">
        <w:rPr>
          <w:rFonts w:cs="Arial"/>
        </w:rPr>
        <w:t xml:space="preserve">, date accessed 9 April 2014 </w:t>
      </w:r>
    </w:p>
  </w:footnote>
  <w:footnote w:id="6">
    <w:p w14:paraId="41541E5F" w14:textId="77777777" w:rsidR="002F4813" w:rsidRPr="00496A84" w:rsidRDefault="002F4813" w:rsidP="002C1EEF">
      <w:pPr>
        <w:pStyle w:val="FootnoteText"/>
        <w:rPr>
          <w:rFonts w:cs="Arial"/>
        </w:rPr>
      </w:pPr>
      <w:r w:rsidRPr="00496A84">
        <w:rPr>
          <w:rStyle w:val="FootnoteReference"/>
          <w:rFonts w:cs="Arial"/>
        </w:rPr>
        <w:footnoteRef/>
      </w:r>
      <w:r w:rsidRPr="00496A84">
        <w:rPr>
          <w:rFonts w:cs="Arial"/>
        </w:rPr>
        <w:t xml:space="preserve"> Immigration and Refugee Board of Canada, Pakistan: How Shia Muslims differ from Sunnis; treatment of Shias, particularly in Lahore and Multan; government response to violence against Shia Muslims (2010-December 2013), 9 January 2014, PAK104713.E , available at: </w:t>
      </w:r>
      <w:hyperlink r:id="rId6" w:history="1">
        <w:r w:rsidRPr="00496A84">
          <w:rPr>
            <w:rStyle w:val="COI-FootnoteLinkChar"/>
            <w:rFonts w:cs="Arial"/>
          </w:rPr>
          <w:t>http://www.refworld.org/docid/52eba0284.html</w:t>
        </w:r>
      </w:hyperlink>
      <w:r w:rsidRPr="00496A84">
        <w:rPr>
          <w:rFonts w:cs="Arial"/>
        </w:rPr>
        <w:t>, date accessed 7 April 2014</w:t>
      </w:r>
    </w:p>
  </w:footnote>
  <w:footnote w:id="7">
    <w:p w14:paraId="41541E60" w14:textId="77777777" w:rsidR="002F4813" w:rsidRPr="00496A84" w:rsidRDefault="002F4813" w:rsidP="002C1EEF">
      <w:pPr>
        <w:pStyle w:val="FootnoteText"/>
        <w:rPr>
          <w:rFonts w:cs="Arial"/>
        </w:rPr>
      </w:pPr>
      <w:r w:rsidRPr="00496A84">
        <w:rPr>
          <w:rStyle w:val="FootnoteReference"/>
          <w:rFonts w:cs="Arial"/>
        </w:rPr>
        <w:footnoteRef/>
      </w:r>
      <w:r w:rsidRPr="00496A84">
        <w:rPr>
          <w:rFonts w:cs="Arial"/>
        </w:rPr>
        <w:t xml:space="preserve"> Australian Government, Department of Foreign Affairs and Trade (DFAT) reports, Thematic Report: Shias in Pakistan, 18 December 2013, Page 6, </w:t>
      </w:r>
      <w:hyperlink r:id="rId7" w:history="1">
        <w:r w:rsidRPr="00496A84">
          <w:rPr>
            <w:rStyle w:val="COI-FootnoteLinkChar"/>
            <w:rFonts w:cs="Arial"/>
          </w:rPr>
          <w:t>https://www.immi.gov.au/media/publications/pdf/dfat-tir-pakistan.pdf</w:t>
        </w:r>
      </w:hyperlink>
      <w:r w:rsidRPr="00496A84">
        <w:rPr>
          <w:rFonts w:cs="Arial"/>
        </w:rPr>
        <w:t xml:space="preserve">, date accessed 9 April 2014 </w:t>
      </w:r>
    </w:p>
  </w:footnote>
  <w:footnote w:id="8">
    <w:p w14:paraId="41541E61" w14:textId="77777777" w:rsidR="002F4813" w:rsidRPr="00B22289" w:rsidRDefault="002F4813" w:rsidP="007616BF">
      <w:pPr>
        <w:pStyle w:val="FootnoteText"/>
      </w:pPr>
      <w:r w:rsidRPr="00496A84">
        <w:rPr>
          <w:rStyle w:val="FootnoteReference"/>
          <w:rFonts w:cs="Arial"/>
        </w:rPr>
        <w:footnoteRef/>
      </w:r>
      <w:r w:rsidRPr="00496A84">
        <w:rPr>
          <w:rFonts w:cs="Arial"/>
        </w:rPr>
        <w:t xml:space="preserve"> Australian Government, Department of Foreign Affairs and Trade (DFAT) reports, Thematic Report: Shias in Pakistan, 18 December 2013, Page 5 and 6, </w:t>
      </w:r>
      <w:hyperlink r:id="rId8" w:history="1">
        <w:r w:rsidRPr="00496A84">
          <w:rPr>
            <w:rStyle w:val="COI-FootnoteLinkChar"/>
            <w:rFonts w:cs="Arial"/>
          </w:rPr>
          <w:t>https://www.immi.gov.au/media/publications/pdf/dfat-tir-pakistan.pdf</w:t>
        </w:r>
      </w:hyperlink>
      <w:r w:rsidRPr="00496A84">
        <w:rPr>
          <w:rFonts w:cs="Arial"/>
        </w:rPr>
        <w:t>, date accessed 9 April 2014</w:t>
      </w:r>
      <w:r>
        <w:t xml:space="preserve"> </w:t>
      </w:r>
    </w:p>
  </w:footnote>
  <w:footnote w:id="9">
    <w:p w14:paraId="41541E62"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Australian Government, Department of Foreign Affairs and Trade (DFAT) reports, Thematic Report: Shias in Pakistan, 18 December 2013, Page 6, </w:t>
      </w:r>
      <w:hyperlink r:id="rId9" w:history="1">
        <w:r w:rsidRPr="00496A84">
          <w:rPr>
            <w:rStyle w:val="COI-FootnoteLinkChar"/>
            <w:rFonts w:cs="Arial"/>
          </w:rPr>
          <w:t>https://www.immi.gov.au/media/publications/pdf/dfat-tir-pakistan.pdf</w:t>
        </w:r>
      </w:hyperlink>
      <w:r w:rsidRPr="00496A84">
        <w:rPr>
          <w:rFonts w:cs="Arial"/>
        </w:rPr>
        <w:t xml:space="preserve">, date accessed 9 April 2014 </w:t>
      </w:r>
    </w:p>
  </w:footnote>
  <w:footnote w:id="10">
    <w:p w14:paraId="41541E63"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South Asia Terrorism Portal, Shias killed in Pakistan since 2001, </w:t>
      </w:r>
      <w:hyperlink r:id="rId10" w:history="1">
        <w:r w:rsidRPr="00496A84">
          <w:rPr>
            <w:rStyle w:val="COI-FootnoteLinkChar"/>
            <w:rFonts w:cs="Arial"/>
          </w:rPr>
          <w:t>http://www.satp.org/satporgtp/countries/pakistan/database/Shias_killed_Pakistan.htm</w:t>
        </w:r>
      </w:hyperlink>
      <w:r w:rsidRPr="00496A84">
        <w:rPr>
          <w:rFonts w:cs="Arial"/>
        </w:rPr>
        <w:t>, date accessed 7 April 2014</w:t>
      </w:r>
    </w:p>
  </w:footnote>
  <w:footnote w:id="11">
    <w:p w14:paraId="41541E64"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Australian Government, Department of Foreign Affairs and Trade (DFAT) reports, Thematic Report: Shias in Pakistan, 18 December 2013, Page 6, </w:t>
      </w:r>
      <w:hyperlink r:id="rId11" w:history="1">
        <w:r w:rsidRPr="00496A84">
          <w:rPr>
            <w:rStyle w:val="COI-FootnoteLinkChar"/>
            <w:rFonts w:cs="Arial"/>
          </w:rPr>
          <w:t>https://www.immi.gov.au/media/publications/pdf/dfat-tir-pakistan.pdf</w:t>
        </w:r>
      </w:hyperlink>
      <w:r w:rsidRPr="00496A84">
        <w:rPr>
          <w:rFonts w:cs="Arial"/>
        </w:rPr>
        <w:t xml:space="preserve">, date accessed 9 April 2014 </w:t>
      </w:r>
    </w:p>
  </w:footnote>
  <w:footnote w:id="12">
    <w:p w14:paraId="41541E65" w14:textId="77777777" w:rsidR="002F4813" w:rsidRPr="009B2033" w:rsidRDefault="002F4813" w:rsidP="002F4813">
      <w:pPr>
        <w:pStyle w:val="FootnoteText"/>
      </w:pPr>
      <w:r w:rsidRPr="00496A84">
        <w:rPr>
          <w:rStyle w:val="FootnoteReference"/>
          <w:rFonts w:cs="Arial"/>
        </w:rPr>
        <w:footnoteRef/>
      </w:r>
      <w:r w:rsidRPr="00496A84">
        <w:rPr>
          <w:rFonts w:cs="Arial"/>
        </w:rPr>
        <w:t xml:space="preserve"> South Asia Terrorism Portal, Shias killed in Pakistan since 2001, </w:t>
      </w:r>
      <w:hyperlink r:id="rId12" w:history="1">
        <w:r w:rsidRPr="00496A84">
          <w:rPr>
            <w:rStyle w:val="COI-FootnoteLinkChar"/>
            <w:rFonts w:cs="Arial"/>
          </w:rPr>
          <w:t>http://www.satp.org/satporgtp/countries/pakistan/database/Shias_killed_Pakistan.htm</w:t>
        </w:r>
      </w:hyperlink>
      <w:r w:rsidRPr="00496A84">
        <w:rPr>
          <w:rFonts w:cs="Arial"/>
        </w:rPr>
        <w:t xml:space="preserve">, date accessed </w:t>
      </w:r>
      <w:r w:rsidR="005F6ABD">
        <w:rPr>
          <w:rFonts w:cs="Arial"/>
        </w:rPr>
        <w:t>9 February</w:t>
      </w:r>
      <w:r>
        <w:rPr>
          <w:rFonts w:cs="Arial"/>
        </w:rPr>
        <w:t xml:space="preserve"> 2015</w:t>
      </w:r>
    </w:p>
  </w:footnote>
  <w:footnote w:id="13">
    <w:p w14:paraId="41541E66"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South Asia Terrorism Portal, South Asia Intelligence Review, Weekly Assessments &amp; Briefings, Volume 12, No. 4, July 29, 2013, Pakistan – Shia: Sectarian targets, </w:t>
      </w:r>
      <w:hyperlink r:id="rId13" w:anchor="assessment2" w:history="1">
        <w:r w:rsidRPr="00496A84">
          <w:rPr>
            <w:rStyle w:val="COI-FootnoteLinkChar"/>
            <w:rFonts w:cs="Arial"/>
          </w:rPr>
          <w:t>http://www.satp.org/satporgtp/sair/Archives/sair12/12_4.htm#assessment2</w:t>
        </w:r>
      </w:hyperlink>
      <w:r w:rsidRPr="00496A84">
        <w:rPr>
          <w:rFonts w:cs="Arial"/>
        </w:rPr>
        <w:t>, date accessed 10 April 2014</w:t>
      </w:r>
    </w:p>
  </w:footnote>
  <w:footnote w:id="14">
    <w:p w14:paraId="41541E67"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Human Rights Watch, Pakistan: Deter Escalating Attacks on Shia Muslims, 12 November 2013, </w:t>
      </w:r>
      <w:hyperlink r:id="rId14" w:history="1">
        <w:r w:rsidRPr="00496A84">
          <w:rPr>
            <w:rStyle w:val="COI-FootnoteLinkChar"/>
            <w:rFonts w:cs="Arial"/>
          </w:rPr>
          <w:t>http://www.hrw.org/news/2013/11/11/pakistan-deter-escalating-attacks-shia-muslims</w:t>
        </w:r>
      </w:hyperlink>
      <w:r w:rsidRPr="00496A84">
        <w:rPr>
          <w:rFonts w:cs="Arial"/>
        </w:rPr>
        <w:t>, date accessed 14 April 2014</w:t>
      </w:r>
    </w:p>
  </w:footnote>
  <w:footnote w:id="15">
    <w:p w14:paraId="41541E68"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Human Rights Watch, World Report 2014 – Pakistan, 21 January 2014, Sectarian attacks, </w:t>
      </w:r>
      <w:hyperlink r:id="rId15" w:history="1">
        <w:r w:rsidRPr="00496A84">
          <w:rPr>
            <w:rStyle w:val="COI-FootnoteLinkChar"/>
            <w:rFonts w:cs="Arial"/>
          </w:rPr>
          <w:t>http://www.hrw.org/world-report/2014/country-chapters/pakistan</w:t>
        </w:r>
      </w:hyperlink>
      <w:r w:rsidRPr="00496A84">
        <w:rPr>
          <w:rFonts w:cs="Arial"/>
        </w:rPr>
        <w:t>, date accessed 7 April 2014</w:t>
      </w:r>
    </w:p>
  </w:footnote>
  <w:footnote w:id="16">
    <w:p w14:paraId="41541E69"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US Commission on International Religious Freedom </w:t>
      </w:r>
      <w:hyperlink r:id="rId16" w:history="1">
        <w:r w:rsidRPr="00496A84">
          <w:rPr>
            <w:rStyle w:val="COI-FootnoteLinkChar"/>
            <w:rFonts w:cs="Arial"/>
          </w:rPr>
          <w:t>http://www.uscirf.gov/</w:t>
        </w:r>
      </w:hyperlink>
      <w:r w:rsidRPr="00496A84">
        <w:rPr>
          <w:rFonts w:cs="Arial"/>
        </w:rPr>
        <w:t xml:space="preserve">, Annual Report 2013, April 2013, page 125, </w:t>
      </w:r>
      <w:hyperlink r:id="rId17" w:history="1">
        <w:r w:rsidRPr="00496A84">
          <w:rPr>
            <w:rFonts w:cs="Arial"/>
            <w:lang w:eastAsia="en-US"/>
          </w:rPr>
          <w:t>http://www.uscirf.gov/sites/default/files/resources/Pakistan%202013%281%29.pdf</w:t>
        </w:r>
      </w:hyperlink>
      <w:r w:rsidRPr="00496A84">
        <w:rPr>
          <w:rStyle w:val="COI-FootnoteLinkChar"/>
          <w:rFonts w:cs="Arial"/>
        </w:rPr>
        <w:t>,</w:t>
      </w:r>
      <w:r w:rsidRPr="00496A84">
        <w:rPr>
          <w:rFonts w:cs="Arial"/>
        </w:rPr>
        <w:t xml:space="preserve"> date accessed 27 January 2014</w:t>
      </w:r>
    </w:p>
  </w:footnote>
  <w:footnote w:id="17">
    <w:p w14:paraId="41541E6A"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Immigration and Refugee Board of Canada, Pakistan: How Shia Muslims differ from Sunnis; treatment of Shias, particularly in Lahore and Multan; government response to violence against Shia Muslims (2010-December 2013), 9 January 2014, PAK104713.E , available at: </w:t>
      </w:r>
      <w:hyperlink r:id="rId18" w:history="1">
        <w:r w:rsidRPr="00496A84">
          <w:rPr>
            <w:rStyle w:val="COI-FootnoteLinkChar"/>
            <w:rFonts w:cs="Arial"/>
          </w:rPr>
          <w:t>http://www.refworld.org/docid/52eba0284.html</w:t>
        </w:r>
      </w:hyperlink>
      <w:r w:rsidRPr="00496A84">
        <w:rPr>
          <w:rFonts w:cs="Arial"/>
        </w:rPr>
        <w:t>, date accessed 7 April 2014</w:t>
      </w:r>
    </w:p>
  </w:footnote>
  <w:footnote w:id="18">
    <w:p w14:paraId="41541E6B"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Human Rights Watch, Pakistan: Deter Escalating Attacks on Shia Muslims, 12 November 2013, </w:t>
      </w:r>
      <w:hyperlink r:id="rId19" w:history="1">
        <w:r w:rsidRPr="00496A84">
          <w:rPr>
            <w:rStyle w:val="COI-FootnoteLinkChar"/>
            <w:rFonts w:cs="Arial"/>
          </w:rPr>
          <w:t>http://www.hrw.org/news/2013/11/11/pakistan-deter-escalating-attacks-shia-muslims</w:t>
        </w:r>
      </w:hyperlink>
      <w:r w:rsidRPr="00496A84">
        <w:rPr>
          <w:rFonts w:cs="Arial"/>
        </w:rPr>
        <w:t>, date accessed 14 April 2014</w:t>
      </w:r>
    </w:p>
  </w:footnote>
  <w:footnote w:id="19">
    <w:p w14:paraId="41541E6C"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Al Jazeera, Deadly attack on Shia procession in Pakistan, 16 November 2013, </w:t>
      </w:r>
      <w:hyperlink r:id="rId20" w:history="1">
        <w:r w:rsidRPr="00496A84">
          <w:rPr>
            <w:rStyle w:val="COI-FootnoteLinkChar"/>
            <w:rFonts w:cs="Arial"/>
          </w:rPr>
          <w:t>http://www.aljazeera.com/news/asia/2013/11/deadly-attack-shia-procession-pakistan-2013111602136312926.html</w:t>
        </w:r>
      </w:hyperlink>
      <w:r w:rsidRPr="00496A84">
        <w:rPr>
          <w:rFonts w:cs="Arial"/>
        </w:rPr>
        <w:t>, date accessed 14 April 2014</w:t>
      </w:r>
    </w:p>
  </w:footnote>
  <w:footnote w:id="20">
    <w:p w14:paraId="41541E6D"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The Express Tribune, Rawalpindi tragedy mars otherwise peaceful Ashura, 15 November 2013, </w:t>
      </w:r>
      <w:hyperlink r:id="rId21" w:history="1">
        <w:r w:rsidRPr="00496A84">
          <w:rPr>
            <w:rStyle w:val="COI-FootnoteLinkChar"/>
            <w:rFonts w:cs="Arial"/>
          </w:rPr>
          <w:t>http://tribune.com.pk/story/632311/muharram-10-live-updates-2/</w:t>
        </w:r>
      </w:hyperlink>
      <w:r w:rsidRPr="00496A84">
        <w:rPr>
          <w:rFonts w:cs="Arial"/>
        </w:rPr>
        <w:t>, date accessed 15 April 2014</w:t>
      </w:r>
    </w:p>
  </w:footnote>
  <w:footnote w:id="21">
    <w:p w14:paraId="41541E6E"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Immigration and Refugee Board of Canada, Pakistan: How Shia Muslims differ from Sunnis; treatment of Shias, particularly in Lahore and Multan; government response to violence against Shia Muslims (2010-December 2013), 9 January 2014, PAK104713.E , available at: </w:t>
      </w:r>
      <w:hyperlink r:id="rId22" w:history="1">
        <w:r w:rsidRPr="00496A84">
          <w:rPr>
            <w:rStyle w:val="COI-FootnoteLinkChar"/>
            <w:rFonts w:cs="Arial"/>
          </w:rPr>
          <w:t>http://www.refworld.org/docid/52eba0284.html</w:t>
        </w:r>
      </w:hyperlink>
      <w:r w:rsidRPr="00496A84">
        <w:rPr>
          <w:rFonts w:cs="Arial"/>
        </w:rPr>
        <w:t>, date accessed 7 April 2014</w:t>
      </w:r>
    </w:p>
  </w:footnote>
  <w:footnote w:id="22">
    <w:p w14:paraId="41541E6F" w14:textId="77777777" w:rsidR="002F4813" w:rsidRPr="00496A84" w:rsidRDefault="002F4813" w:rsidP="007616BF">
      <w:pPr>
        <w:pStyle w:val="FootnoteText"/>
        <w:rPr>
          <w:rFonts w:cs="Arial"/>
        </w:rPr>
      </w:pPr>
      <w:r w:rsidRPr="00496A84">
        <w:rPr>
          <w:rStyle w:val="FootnoteReference"/>
          <w:rFonts w:cs="Arial"/>
        </w:rPr>
        <w:footnoteRef/>
      </w:r>
      <w:r w:rsidRPr="00496A84">
        <w:rPr>
          <w:rFonts w:cs="Arial"/>
        </w:rPr>
        <w:t xml:space="preserve"> Dawn, Pakistan's Shia pilgrimage route to Iran suspended, 25 January 2014,  </w:t>
      </w:r>
      <w:hyperlink r:id="rId23" w:history="1">
        <w:r w:rsidRPr="00496A84">
          <w:rPr>
            <w:rStyle w:val="COI-FootnoteLinkChar"/>
            <w:rFonts w:cs="Arial"/>
          </w:rPr>
          <w:t>http://www.dawn.com/news/1082419/pakistans-shia-pilgrimage-route-to-iran-suspended</w:t>
        </w:r>
      </w:hyperlink>
      <w:r w:rsidRPr="00496A84">
        <w:rPr>
          <w:rFonts w:cs="Arial"/>
        </w:rPr>
        <w:t xml:space="preserve">, date accessed 14 April 2014 </w:t>
      </w:r>
    </w:p>
  </w:footnote>
  <w:footnote w:id="23">
    <w:p w14:paraId="41541E70" w14:textId="77777777" w:rsidR="002F4813" w:rsidRPr="00E51760" w:rsidRDefault="002F4813" w:rsidP="007616BF">
      <w:pPr>
        <w:pStyle w:val="FootnoteText"/>
      </w:pPr>
      <w:r w:rsidRPr="00496A84">
        <w:rPr>
          <w:rStyle w:val="FootnoteReference"/>
          <w:rFonts w:cs="Arial"/>
        </w:rPr>
        <w:footnoteRef/>
      </w:r>
      <w:r w:rsidRPr="00496A84">
        <w:rPr>
          <w:rFonts w:cs="Arial"/>
        </w:rPr>
        <w:t xml:space="preserve"> FCO, Pakistan - country of Concern: latest update, 31 March 2013, published 10 April 2014, </w:t>
      </w:r>
      <w:hyperlink r:id="rId24" w:history="1">
        <w:r w:rsidRPr="00496A84">
          <w:rPr>
            <w:rStyle w:val="COI-FootnoteLinkChar"/>
            <w:rFonts w:cs="Arial"/>
          </w:rPr>
          <w:t>https://www.gov.uk/government/publications/pakistan-country-of-concern/pakistan-country-of-concern-latest-update-31-march-2013</w:t>
        </w:r>
      </w:hyperlink>
      <w:r w:rsidRPr="00496A84">
        <w:rPr>
          <w:rFonts w:cs="Arial"/>
        </w:rPr>
        <w:t>, date accessed 14 April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6CF4" w14:textId="6F53C01E" w:rsidR="004856D6" w:rsidRDefault="004856D6">
    <w:pPr>
      <w:pStyle w:val="Header"/>
    </w:pPr>
    <w:r>
      <w:rPr>
        <w:noProof/>
      </w:rPr>
      <w:pict w14:anchorId="297B0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002907" o:spid="_x0000_s2070" type="#_x0000_t136" style="position:absolute;margin-left:0;margin-top:0;width:559.45pt;height:159.85pt;rotation:315;z-index:-251653632;mso-position-horizontal:center;mso-position-horizontal-relative:margin;mso-position-vertical:center;mso-position-vertical-relative:margin" o:allowincell="f" fillcolor="#7f7f7f [1612]"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1E42" w14:textId="3CB73B43" w:rsidR="002F4813" w:rsidRDefault="004856D6">
    <w:pPr>
      <w:pStyle w:val="Header"/>
    </w:pPr>
    <w:r>
      <w:rPr>
        <w:noProof/>
      </w:rPr>
      <w:pict w14:anchorId="69960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002908" o:spid="_x0000_s2071" type="#_x0000_t136" style="position:absolute;margin-left:0;margin-top:0;width:559.45pt;height:159.85pt;rotation:315;z-index:-251651584;mso-position-horizontal:center;mso-position-horizontal-relative:margin;mso-position-vertical:center;mso-position-vertical-relative:margin" o:allowincell="f" fillcolor="#7f7f7f [1612]" stroked="f">
          <v:fill opacity=".5"/>
          <v:textpath style="font-family:&quot;Arial&quot;;font-size:1pt" string="ARCHIVE"/>
        </v:shape>
      </w:pict>
    </w:r>
    <w:r w:rsidR="00583C30">
      <w:rPr>
        <w:noProof/>
      </w:rPr>
      <mc:AlternateContent>
        <mc:Choice Requires="wps">
          <w:drawing>
            <wp:anchor distT="0" distB="0" distL="114300" distR="114300" simplePos="0" relativeHeight="251658752" behindDoc="0" locked="0" layoutInCell="1" allowOverlap="1" wp14:anchorId="41541E55" wp14:editId="15F95EE1">
              <wp:simplePos x="0" y="0"/>
              <wp:positionH relativeFrom="column">
                <wp:posOffset>-553720</wp:posOffset>
              </wp:positionH>
              <wp:positionV relativeFrom="paragraph">
                <wp:posOffset>-287655</wp:posOffset>
              </wp:positionV>
              <wp:extent cx="288290" cy="1081659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36064" id="Rectangle 19" o:spid="_x0000_s1026" style="position:absolute;margin-left:-43.6pt;margin-top:-22.65pt;width:22.7pt;height:8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o2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" fillcolor="#8f23b3" stroked="f" strokecolor="#8f23b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1E45" w14:textId="472BC772" w:rsidR="002F4813" w:rsidRPr="00185E9C" w:rsidRDefault="004856D6" w:rsidP="00185E9C">
    <w:pPr>
      <w:pStyle w:val="Header"/>
      <w:jc w:val="center"/>
      <w:rPr>
        <w:rFonts w:ascii="Arial" w:hAnsi="Arial" w:cs="Arial"/>
      </w:rPr>
    </w:pPr>
    <w:r>
      <w:rPr>
        <w:noProof/>
      </w:rPr>
      <w:pict w14:anchorId="5CE4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002906" o:spid="_x0000_s2069" type="#_x0000_t136" style="position:absolute;left:0;text-align:left;margin-left:0;margin-top:0;width:559.45pt;height:159.85pt;rotation:315;z-index:-251655680;mso-position-horizontal:center;mso-position-horizontal-relative:margin;mso-position-vertical:center;mso-position-vertical-relative:margin" o:allowincell="f" fillcolor="#7f7f7f [1612]" stroked="f">
          <v:fill opacity=".5"/>
          <v:textpath style="font-family:&quot;Arial&quot;;font-size:1pt" string="ARCHIVE"/>
        </v:shape>
      </w:pict>
    </w:r>
    <w:r w:rsidR="00583C30">
      <w:rPr>
        <w:rFonts w:ascii="Arial" w:hAnsi="Arial" w:cs="Arial"/>
        <w:noProof/>
      </w:rPr>
      <mc:AlternateContent>
        <mc:Choice Requires="wps">
          <w:drawing>
            <wp:anchor distT="0" distB="0" distL="114300" distR="114300" simplePos="0" relativeHeight="251656704" behindDoc="0" locked="0" layoutInCell="1" allowOverlap="1" wp14:anchorId="41541E57" wp14:editId="770DCDDF">
              <wp:simplePos x="0" y="0"/>
              <wp:positionH relativeFrom="column">
                <wp:posOffset>-539115</wp:posOffset>
              </wp:positionH>
              <wp:positionV relativeFrom="paragraph">
                <wp:posOffset>-316865</wp:posOffset>
              </wp:positionV>
              <wp:extent cx="288290" cy="10816590"/>
              <wp:effectExtent l="3810" t="0" r="3175"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4CF6D" id="Rectangle 12" o:spid="_x0000_s1026" style="position:absolute;margin-left:-42.45pt;margin-top:-24.95pt;width:22.7pt;height:85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NN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" fillcolor="#8f23b3" stroked="f" strokecolor="#8f23b3"/>
          </w:pict>
        </mc:Fallback>
      </mc:AlternateContent>
    </w:r>
  </w:p>
  <w:p w14:paraId="41541E46" w14:textId="77777777" w:rsidR="002F4813" w:rsidRDefault="002F4813" w:rsidP="00185E9C">
    <w:pPr>
      <w:pStyle w:val="Header"/>
      <w:jc w:val="center"/>
      <w:rPr>
        <w:rFonts w:ascii="Arial" w:hAnsi="Arial" w:cs="Arial"/>
      </w:rPr>
    </w:pPr>
    <w:r>
      <w:rPr>
        <w:noProof/>
      </w:rPr>
      <w:drawing>
        <wp:anchor distT="0" distB="0" distL="114300" distR="114300" simplePos="0" relativeHeight="251657728" behindDoc="1" locked="0" layoutInCell="1" allowOverlap="1" wp14:anchorId="41541E58" wp14:editId="41541E59">
          <wp:simplePos x="0" y="0"/>
          <wp:positionH relativeFrom="column">
            <wp:posOffset>306070</wp:posOffset>
          </wp:positionH>
          <wp:positionV relativeFrom="paragraph">
            <wp:posOffset>109855</wp:posOffset>
          </wp:positionV>
          <wp:extent cx="1910715" cy="825500"/>
          <wp:effectExtent l="19050" t="0" r="0" b="0"/>
          <wp:wrapNone/>
          <wp:docPr id="18" name="Picture 18"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me-Office_RGB_AW"/>
                  <pic:cNvPicPr>
                    <a:picLocks noChangeAspect="1" noChangeArrowheads="1"/>
                  </pic:cNvPicPr>
                </pic:nvPicPr>
                <pic:blipFill>
                  <a:blip r:embed="rId1"/>
                  <a:srcRect/>
                  <a:stretch>
                    <a:fillRect/>
                  </a:stretch>
                </pic:blipFill>
                <pic:spPr bwMode="auto">
                  <a:xfrm>
                    <a:off x="0" y="0"/>
                    <a:ext cx="1910715" cy="825500"/>
                  </a:xfrm>
                  <a:prstGeom prst="rect">
                    <a:avLst/>
                  </a:prstGeom>
                  <a:noFill/>
                  <a:ln w="9525">
                    <a:noFill/>
                    <a:miter lim="800000"/>
                    <a:headEnd/>
                    <a:tailEnd/>
                  </a:ln>
                </pic:spPr>
              </pic:pic>
            </a:graphicData>
          </a:graphic>
        </wp:anchor>
      </w:drawing>
    </w:r>
  </w:p>
  <w:p w14:paraId="41541E47" w14:textId="77777777" w:rsidR="002F4813" w:rsidRDefault="002F4813" w:rsidP="00185E9C">
    <w:pPr>
      <w:pStyle w:val="Header"/>
      <w:jc w:val="center"/>
      <w:rPr>
        <w:rFonts w:ascii="Arial" w:hAnsi="Arial" w:cs="Arial"/>
      </w:rPr>
    </w:pPr>
  </w:p>
  <w:p w14:paraId="41541E48" w14:textId="77777777" w:rsidR="002F4813" w:rsidRDefault="002F4813" w:rsidP="00185E9C">
    <w:pPr>
      <w:pStyle w:val="Header"/>
      <w:jc w:val="center"/>
      <w:rPr>
        <w:rFonts w:ascii="Arial" w:hAnsi="Arial" w:cs="Arial"/>
      </w:rPr>
    </w:pPr>
  </w:p>
  <w:p w14:paraId="41541E49" w14:textId="77777777" w:rsidR="002F4813" w:rsidRDefault="002F4813" w:rsidP="00C44F7A">
    <w:pPr>
      <w:pStyle w:val="Header"/>
      <w:rPr>
        <w:rFonts w:ascii="Arial" w:hAnsi="Arial" w:cs="Arial"/>
      </w:rPr>
    </w:pPr>
  </w:p>
  <w:p w14:paraId="41541E4A" w14:textId="77777777" w:rsidR="002F4813" w:rsidRDefault="002F4813" w:rsidP="004A2949">
    <w:pPr>
      <w:pStyle w:val="Header"/>
      <w:rPr>
        <w:rFonts w:ascii="Arial" w:hAnsi="Arial" w:cs="Arial"/>
      </w:rPr>
    </w:pPr>
  </w:p>
  <w:p w14:paraId="41541E4B" w14:textId="77777777" w:rsidR="002F4813" w:rsidRDefault="002F4813" w:rsidP="00185E9C">
    <w:pPr>
      <w:pStyle w:val="Header"/>
      <w:jc w:val="center"/>
      <w:rPr>
        <w:rFonts w:ascii="Arial" w:hAnsi="Arial" w:cs="Arial"/>
      </w:rPr>
    </w:pPr>
  </w:p>
  <w:p w14:paraId="41541E4C" w14:textId="77777777" w:rsidR="002F4813" w:rsidRDefault="002F4813" w:rsidP="00185E9C">
    <w:pPr>
      <w:pStyle w:val="Header"/>
      <w:jc w:val="center"/>
      <w:rPr>
        <w:rFonts w:ascii="Arial" w:hAnsi="Arial" w:cs="Arial"/>
      </w:rPr>
    </w:pPr>
  </w:p>
  <w:p w14:paraId="41541E4D" w14:textId="77777777" w:rsidR="002F4813" w:rsidRDefault="002F4813" w:rsidP="00185E9C">
    <w:pPr>
      <w:pStyle w:val="Header"/>
      <w:jc w:val="center"/>
      <w:rPr>
        <w:rFonts w:ascii="Arial" w:hAnsi="Arial" w:cs="Arial"/>
      </w:rPr>
    </w:pPr>
  </w:p>
  <w:p w14:paraId="41541E4E" w14:textId="77777777" w:rsidR="002F4813" w:rsidRDefault="002F4813" w:rsidP="00185E9C">
    <w:pPr>
      <w:pStyle w:val="Header"/>
      <w:jc w:val="center"/>
      <w:rPr>
        <w:rFonts w:ascii="Arial" w:hAnsi="Arial" w:cs="Arial"/>
      </w:rPr>
    </w:pPr>
  </w:p>
  <w:p w14:paraId="41541E4F" w14:textId="77777777" w:rsidR="002F4813" w:rsidRPr="00185E9C" w:rsidRDefault="002F4813" w:rsidP="00185E9C">
    <w:pPr>
      <w:pStyle w:val="Header"/>
      <w:jc w:val="center"/>
      <w:rPr>
        <w:rFonts w:ascii="Arial" w:hAnsi="Arial" w:cs="Arial"/>
      </w:rPr>
    </w:pPr>
  </w:p>
  <w:p w14:paraId="41541E50" w14:textId="77777777" w:rsidR="002F4813" w:rsidRPr="00185E9C" w:rsidRDefault="002F4813" w:rsidP="00185E9C">
    <w:pPr>
      <w:pStyle w:val="Header"/>
      <w:jc w:val="center"/>
      <w:rPr>
        <w:rFonts w:ascii="Arial" w:hAnsi="Arial" w:cs="Arial"/>
      </w:rPr>
    </w:pPr>
  </w:p>
  <w:p w14:paraId="41541E51" w14:textId="77777777" w:rsidR="002F4813" w:rsidRPr="00185E9C" w:rsidRDefault="002F4813" w:rsidP="00185E9C">
    <w:pPr>
      <w:pStyle w:val="Header"/>
      <w:jc w:val="center"/>
      <w:rPr>
        <w:rFonts w:ascii="Arial" w:hAnsi="Arial" w:cs="Arial"/>
      </w:rPr>
    </w:pPr>
  </w:p>
  <w:p w14:paraId="41541E52" w14:textId="77777777" w:rsidR="002F4813" w:rsidRPr="00185E9C" w:rsidRDefault="002F4813" w:rsidP="00185E9C">
    <w:pPr>
      <w:pStyle w:val="Header"/>
      <w:jc w:val="center"/>
      <w:rPr>
        <w:rFonts w:ascii="Arial" w:hAnsi="Arial" w:cs="Arial"/>
      </w:rPr>
    </w:pPr>
  </w:p>
  <w:p w14:paraId="41541E53" w14:textId="77777777" w:rsidR="002F4813" w:rsidRPr="00185E9C" w:rsidRDefault="002F4813" w:rsidP="00185E9C">
    <w:pPr>
      <w:pStyle w:val="Header"/>
      <w:jc w:val="center"/>
      <w:rPr>
        <w:rFonts w:ascii="Arial" w:hAnsi="Arial" w:cs="Arial"/>
      </w:rPr>
    </w:pPr>
  </w:p>
  <w:p w14:paraId="41541E54" w14:textId="77777777" w:rsidR="002F4813" w:rsidRPr="00185E9C" w:rsidRDefault="002F4813" w:rsidP="00185E9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961"/>
    <w:multiLevelType w:val="multilevel"/>
    <w:tmpl w:val="FB0CBEEA"/>
    <w:numStyleLink w:val="StyleBulletedArial10ptPurpleLeft0cmHanging15cm"/>
  </w:abstractNum>
  <w:abstractNum w:abstractNumId="1" w15:restartNumberingAfterBreak="0">
    <w:nsid w:val="039342FB"/>
    <w:multiLevelType w:val="hybridMultilevel"/>
    <w:tmpl w:val="C982258E"/>
    <w:lvl w:ilvl="0" w:tplc="5A76CBC4">
      <w:numFmt w:val="bullet"/>
      <w:pStyle w:val="COI-Body-List"/>
      <w:lvlText w:val="•"/>
      <w:lvlJc w:val="left"/>
      <w:pPr>
        <w:ind w:left="1494" w:hanging="360"/>
      </w:pPr>
      <w:rPr>
        <w:rFonts w:ascii="Arial" w:hAnsi="Arial" w:hint="default"/>
        <w:sz w:val="24"/>
      </w:rPr>
    </w:lvl>
    <w:lvl w:ilvl="1" w:tplc="08090003">
      <w:start w:val="1"/>
      <w:numFmt w:val="bullet"/>
      <w:lvlText w:val="o"/>
      <w:lvlJc w:val="left"/>
      <w:pPr>
        <w:ind w:left="2849" w:hanging="360"/>
      </w:pPr>
      <w:rPr>
        <w:rFonts w:ascii="Courier New" w:hAnsi="Courier New" w:cs="Courier New" w:hint="default"/>
      </w:rPr>
    </w:lvl>
    <w:lvl w:ilvl="2" w:tplc="08090005" w:tentative="1">
      <w:start w:val="1"/>
      <w:numFmt w:val="bullet"/>
      <w:lvlText w:val=""/>
      <w:lvlJc w:val="left"/>
      <w:pPr>
        <w:ind w:left="3569" w:hanging="360"/>
      </w:pPr>
      <w:rPr>
        <w:rFonts w:ascii="Wingdings" w:hAnsi="Wingdings" w:hint="default"/>
      </w:rPr>
    </w:lvl>
    <w:lvl w:ilvl="3" w:tplc="08090001" w:tentative="1">
      <w:start w:val="1"/>
      <w:numFmt w:val="bullet"/>
      <w:lvlText w:val=""/>
      <w:lvlJc w:val="left"/>
      <w:pPr>
        <w:ind w:left="4289" w:hanging="360"/>
      </w:pPr>
      <w:rPr>
        <w:rFonts w:ascii="Symbol" w:hAnsi="Symbol" w:hint="default"/>
      </w:rPr>
    </w:lvl>
    <w:lvl w:ilvl="4" w:tplc="08090003" w:tentative="1">
      <w:start w:val="1"/>
      <w:numFmt w:val="bullet"/>
      <w:lvlText w:val="o"/>
      <w:lvlJc w:val="left"/>
      <w:pPr>
        <w:ind w:left="5009" w:hanging="360"/>
      </w:pPr>
      <w:rPr>
        <w:rFonts w:ascii="Courier New" w:hAnsi="Courier New" w:cs="Courier New" w:hint="default"/>
      </w:rPr>
    </w:lvl>
    <w:lvl w:ilvl="5" w:tplc="08090005" w:tentative="1">
      <w:start w:val="1"/>
      <w:numFmt w:val="bullet"/>
      <w:lvlText w:val=""/>
      <w:lvlJc w:val="left"/>
      <w:pPr>
        <w:ind w:left="5729" w:hanging="360"/>
      </w:pPr>
      <w:rPr>
        <w:rFonts w:ascii="Wingdings" w:hAnsi="Wingdings" w:hint="default"/>
      </w:rPr>
    </w:lvl>
    <w:lvl w:ilvl="6" w:tplc="08090001" w:tentative="1">
      <w:start w:val="1"/>
      <w:numFmt w:val="bullet"/>
      <w:lvlText w:val=""/>
      <w:lvlJc w:val="left"/>
      <w:pPr>
        <w:ind w:left="6449" w:hanging="360"/>
      </w:pPr>
      <w:rPr>
        <w:rFonts w:ascii="Symbol" w:hAnsi="Symbol" w:hint="default"/>
      </w:rPr>
    </w:lvl>
    <w:lvl w:ilvl="7" w:tplc="08090003" w:tentative="1">
      <w:start w:val="1"/>
      <w:numFmt w:val="bullet"/>
      <w:lvlText w:val="o"/>
      <w:lvlJc w:val="left"/>
      <w:pPr>
        <w:ind w:left="7169" w:hanging="360"/>
      </w:pPr>
      <w:rPr>
        <w:rFonts w:ascii="Courier New" w:hAnsi="Courier New" w:cs="Courier New" w:hint="default"/>
      </w:rPr>
    </w:lvl>
    <w:lvl w:ilvl="8" w:tplc="08090005" w:tentative="1">
      <w:start w:val="1"/>
      <w:numFmt w:val="bullet"/>
      <w:lvlText w:val=""/>
      <w:lvlJc w:val="left"/>
      <w:pPr>
        <w:ind w:left="7889" w:hanging="360"/>
      </w:pPr>
      <w:rPr>
        <w:rFonts w:ascii="Wingdings" w:hAnsi="Wingdings" w:hint="default"/>
      </w:rPr>
    </w:lvl>
  </w:abstractNum>
  <w:abstractNum w:abstractNumId="2" w15:restartNumberingAfterBreak="0">
    <w:nsid w:val="0589025F"/>
    <w:multiLevelType w:val="multilevel"/>
    <w:tmpl w:val="4F48E680"/>
    <w:styleLink w:val="StyleBulletedSymbolsymbol10ptPurpleLeft15cm"/>
    <w:lvl w:ilvl="0">
      <w:start w:val="1"/>
      <w:numFmt w:val="bullet"/>
      <w:lvlText w:val=""/>
      <w:lvlJc w:val="left"/>
      <w:pPr>
        <w:ind w:left="360" w:hanging="360"/>
      </w:pPr>
      <w:rPr>
        <w:rFonts w:ascii="Symbol" w:hAnsi="Symbol"/>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5914348"/>
    <w:multiLevelType w:val="multilevel"/>
    <w:tmpl w:val="B59A718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DF5A85"/>
    <w:multiLevelType w:val="multilevel"/>
    <w:tmpl w:val="4F48E680"/>
    <w:numStyleLink w:val="StyleBulletedSymbolsymbol10ptPurpleLeft15cm"/>
  </w:abstractNum>
  <w:abstractNum w:abstractNumId="5" w15:restartNumberingAfterBreak="0">
    <w:nsid w:val="0B433AFD"/>
    <w:multiLevelType w:val="hybridMultilevel"/>
    <w:tmpl w:val="9558CC5E"/>
    <w:lvl w:ilvl="0" w:tplc="08090001">
      <w:start w:val="1"/>
      <w:numFmt w:val="bullet"/>
      <w:lvlText w:val=""/>
      <w:lvlJc w:val="left"/>
      <w:pPr>
        <w:ind w:left="360" w:hanging="360"/>
      </w:pPr>
      <w:rPr>
        <w:rFonts w:ascii="Symbol" w:hAnsi="Symbol" w:hint="default"/>
        <w:color w:val="7030A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E7B82"/>
    <w:multiLevelType w:val="hybridMultilevel"/>
    <w:tmpl w:val="FB0CBEEA"/>
    <w:lvl w:ilvl="0" w:tplc="041CE8C4">
      <w:start w:val="1"/>
      <w:numFmt w:val="bullet"/>
      <w:lvlText w:val="►"/>
      <w:lvlJc w:val="left"/>
      <w:pPr>
        <w:ind w:left="360" w:hanging="360"/>
      </w:pPr>
      <w:rPr>
        <w:rFonts w:ascii="Arial" w:hAnsi="Arial" w:hint="default"/>
        <w:color w:val="7030A0"/>
        <w:sz w:val="20"/>
        <w:szCs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7" w15:restartNumberingAfterBreak="0">
    <w:nsid w:val="136969C5"/>
    <w:multiLevelType w:val="multilevel"/>
    <w:tmpl w:val="4F48E680"/>
    <w:numStyleLink w:val="StyleBulletedSymbolsymbol10ptPurpleLeft15cm"/>
  </w:abstractNum>
  <w:abstractNum w:abstractNumId="8" w15:restartNumberingAfterBreak="0">
    <w:nsid w:val="13F6778C"/>
    <w:multiLevelType w:val="hybridMultilevel"/>
    <w:tmpl w:val="FAAE7C6A"/>
    <w:lvl w:ilvl="0" w:tplc="08090001">
      <w:start w:val="1"/>
      <w:numFmt w:val="bullet"/>
      <w:lvlText w:val=""/>
      <w:lvlJc w:val="left"/>
      <w:pPr>
        <w:ind w:left="720" w:hanging="360"/>
      </w:pPr>
      <w:rPr>
        <w:rFonts w:ascii="Symbol" w:hAnsi="Symbol" w:hint="default"/>
        <w:color w:val="7030A0"/>
        <w:sz w:val="20"/>
        <w:szCs w:val="20"/>
      </w:rPr>
    </w:lvl>
    <w:lvl w:ilvl="1" w:tplc="08090001">
      <w:start w:val="1"/>
      <w:numFmt w:val="bullet"/>
      <w:lvlText w:val=""/>
      <w:lvlJc w:val="left"/>
      <w:pPr>
        <w:ind w:left="1440" w:hanging="360"/>
      </w:pPr>
      <w:rPr>
        <w:rFonts w:ascii="Symbol" w:hAnsi="Symbol" w:hint="default"/>
        <w:color w:val="7030A0"/>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06BBA"/>
    <w:multiLevelType w:val="multilevel"/>
    <w:tmpl w:val="4F48E680"/>
    <w:numStyleLink w:val="StyleBulletedSymbolsymbol10ptPurpleLeft15cm"/>
  </w:abstractNum>
  <w:abstractNum w:abstractNumId="10" w15:restartNumberingAfterBreak="0">
    <w:nsid w:val="1D8B1246"/>
    <w:multiLevelType w:val="multilevel"/>
    <w:tmpl w:val="4F48E680"/>
    <w:numStyleLink w:val="StyleBulletedSymbolsymbol10ptPurpleLeft15cm"/>
  </w:abstractNum>
  <w:abstractNum w:abstractNumId="11" w15:restartNumberingAfterBreak="0">
    <w:nsid w:val="20F46642"/>
    <w:multiLevelType w:val="multilevel"/>
    <w:tmpl w:val="FB0CBEEA"/>
    <w:numStyleLink w:val="StyleBulletedArial10ptPurpleLeft0cmHanging15cm"/>
  </w:abstractNum>
  <w:abstractNum w:abstractNumId="12" w15:restartNumberingAfterBreak="0">
    <w:nsid w:val="21ED3921"/>
    <w:multiLevelType w:val="multilevel"/>
    <w:tmpl w:val="FB0CBEEA"/>
    <w:numStyleLink w:val="StyleBulletedArial10ptPurpleLeft0cmHanging15cm"/>
  </w:abstractNum>
  <w:abstractNum w:abstractNumId="13" w15:restartNumberingAfterBreak="0">
    <w:nsid w:val="241E473B"/>
    <w:multiLevelType w:val="multilevel"/>
    <w:tmpl w:val="66EA9A1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2C703F"/>
    <w:multiLevelType w:val="hybridMultilevel"/>
    <w:tmpl w:val="7BA6196C"/>
    <w:lvl w:ilvl="0" w:tplc="08090001">
      <w:start w:val="1"/>
      <w:numFmt w:val="bullet"/>
      <w:lvlText w:val=""/>
      <w:lvlJc w:val="left"/>
      <w:pPr>
        <w:ind w:left="360" w:hanging="360"/>
      </w:pPr>
      <w:rPr>
        <w:rFonts w:ascii="Symbol" w:hAnsi="Symbol" w:hint="default"/>
        <w:color w:val="7030A0"/>
        <w:sz w:val="20"/>
        <w:szCs w:val="20"/>
      </w:rPr>
    </w:lvl>
    <w:lvl w:ilvl="1" w:tplc="08090001">
      <w:start w:val="1"/>
      <w:numFmt w:val="bullet"/>
      <w:lvlText w:val=""/>
      <w:lvlJc w:val="left"/>
      <w:pPr>
        <w:ind w:left="1080" w:hanging="360"/>
      </w:pPr>
      <w:rPr>
        <w:rFonts w:ascii="Symbol" w:hAnsi="Symbol" w:hint="default"/>
        <w:color w:val="7030A0"/>
        <w:sz w:val="20"/>
        <w:szCs w:val="20"/>
      </w:rPr>
    </w:lvl>
    <w:lvl w:ilvl="2" w:tplc="08090001">
      <w:start w:val="1"/>
      <w:numFmt w:val="bullet"/>
      <w:lvlText w:val=""/>
      <w:lvlJc w:val="left"/>
      <w:pPr>
        <w:ind w:left="1800" w:hanging="360"/>
      </w:pPr>
      <w:rPr>
        <w:rFonts w:ascii="Symbol" w:hAnsi="Symbol" w:hint="default"/>
        <w:color w:val="7030A0"/>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3162FA"/>
    <w:multiLevelType w:val="hybridMultilevel"/>
    <w:tmpl w:val="6CA68C1C"/>
    <w:lvl w:ilvl="0" w:tplc="A4525CC6">
      <w:start w:val="1"/>
      <w:numFmt w:val="decimal"/>
      <w:lvlText w:val="%1."/>
      <w:lvlJc w:val="left"/>
      <w:pPr>
        <w:ind w:left="360" w:hanging="360"/>
      </w:pPr>
      <w:rPr>
        <w:rFonts w:hint="default"/>
        <w:color w:val="7030A0"/>
        <w:sz w:val="32"/>
        <w:szCs w:val="32"/>
      </w:rPr>
    </w:lvl>
    <w:lvl w:ilvl="1" w:tplc="08090019">
      <w:start w:val="1"/>
      <w:numFmt w:val="bullet"/>
      <w:lvlText w:val=""/>
      <w:lvlJc w:val="left"/>
      <w:pPr>
        <w:ind w:left="1080" w:hanging="360"/>
      </w:pPr>
      <w:rPr>
        <w:rFonts w:ascii="Symbol" w:hAnsi="Symbol" w:hint="default"/>
        <w:color w:val="7030A0"/>
        <w:sz w:val="20"/>
        <w:szCs w:val="20"/>
      </w:rPr>
    </w:lvl>
    <w:lvl w:ilvl="2" w:tplc="0809001B">
      <w:start w:val="1"/>
      <w:numFmt w:val="lowerLetter"/>
      <w:lvlText w:val="%3."/>
      <w:lvlJc w:val="left"/>
      <w:pPr>
        <w:ind w:left="1212" w:hanging="360"/>
      </w:pPr>
      <w:rPr>
        <w:rFonts w:hint="default"/>
        <w:color w:val="auto"/>
        <w:sz w:val="24"/>
        <w:szCs w:val="24"/>
      </w:rPr>
    </w:lvl>
    <w:lvl w:ilvl="3" w:tplc="0809000F">
      <w:start w:val="1"/>
      <w:numFmt w:val="bullet"/>
      <w:lvlText w:val=""/>
      <w:lvlJc w:val="left"/>
      <w:pPr>
        <w:ind w:left="2520" w:hanging="360"/>
      </w:pPr>
      <w:rPr>
        <w:rFonts w:ascii="Symbol" w:hAnsi="Symbol" w:hint="default"/>
      </w:rPr>
    </w:lvl>
    <w:lvl w:ilvl="4" w:tplc="08090019">
      <w:start w:val="1"/>
      <w:numFmt w:val="decimal"/>
      <w:lvlText w:val="%5."/>
      <w:lvlJc w:val="left"/>
      <w:pPr>
        <w:ind w:left="3240" w:hanging="360"/>
      </w:pPr>
      <w:rPr>
        <w:rFonts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6" w15:restartNumberingAfterBreak="0">
    <w:nsid w:val="26611E39"/>
    <w:multiLevelType w:val="multilevel"/>
    <w:tmpl w:val="5E66CF20"/>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7" w15:restartNumberingAfterBreak="0">
    <w:nsid w:val="325A6310"/>
    <w:multiLevelType w:val="multilevel"/>
    <w:tmpl w:val="4F48E680"/>
    <w:numStyleLink w:val="StyleBulletedSymbolsymbol10ptPurpleLeft15cm"/>
  </w:abstractNum>
  <w:abstractNum w:abstractNumId="18" w15:restartNumberingAfterBreak="0">
    <w:nsid w:val="32AB7CD0"/>
    <w:multiLevelType w:val="multilevel"/>
    <w:tmpl w:val="4F48E680"/>
    <w:numStyleLink w:val="StyleBulletedSymbolsymbol10ptPurpleLeft15cm"/>
  </w:abstractNum>
  <w:abstractNum w:abstractNumId="19" w15:restartNumberingAfterBreak="0">
    <w:nsid w:val="39ED6F7E"/>
    <w:multiLevelType w:val="hybridMultilevel"/>
    <w:tmpl w:val="0BD8DD58"/>
    <w:lvl w:ilvl="0" w:tplc="A4525CC6">
      <w:start w:val="1"/>
      <w:numFmt w:val="bullet"/>
      <w:lvlText w:val=""/>
      <w:lvlJc w:val="left"/>
      <w:pPr>
        <w:ind w:left="360" w:hanging="360"/>
      </w:pPr>
      <w:rPr>
        <w:rFonts w:ascii="Symbol" w:hAnsi="Symbol" w:hint="default"/>
        <w:color w:val="7030A0"/>
        <w:sz w:val="20"/>
        <w:szCs w:val="20"/>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0" w15:restartNumberingAfterBreak="0">
    <w:nsid w:val="3A410364"/>
    <w:multiLevelType w:val="multilevel"/>
    <w:tmpl w:val="7E6C85D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AA6B0D"/>
    <w:multiLevelType w:val="hybridMultilevel"/>
    <w:tmpl w:val="2E54A746"/>
    <w:lvl w:ilvl="0" w:tplc="B5E82938">
      <w:start w:val="1"/>
      <w:numFmt w:val="decimal"/>
      <w:lvlText w:val="1.%1"/>
      <w:lvlJc w:val="left"/>
      <w:pPr>
        <w:ind w:left="720" w:hanging="360"/>
      </w:pPr>
      <w:rPr>
        <w:rFonts w:hint="default"/>
      </w:rPr>
    </w:lvl>
    <w:lvl w:ilvl="1" w:tplc="966C1940" w:tentative="1">
      <w:start w:val="1"/>
      <w:numFmt w:val="lowerLetter"/>
      <w:lvlText w:val="%2."/>
      <w:lvlJc w:val="left"/>
      <w:pPr>
        <w:ind w:left="1440" w:hanging="360"/>
      </w:pPr>
    </w:lvl>
    <w:lvl w:ilvl="2" w:tplc="1BB8B312" w:tentative="1">
      <w:start w:val="1"/>
      <w:numFmt w:val="lowerRoman"/>
      <w:lvlText w:val="%3."/>
      <w:lvlJc w:val="right"/>
      <w:pPr>
        <w:ind w:left="2160" w:hanging="180"/>
      </w:pPr>
    </w:lvl>
    <w:lvl w:ilvl="3" w:tplc="50FE87A2" w:tentative="1">
      <w:start w:val="1"/>
      <w:numFmt w:val="decimal"/>
      <w:lvlText w:val="%4."/>
      <w:lvlJc w:val="left"/>
      <w:pPr>
        <w:ind w:left="2880" w:hanging="360"/>
      </w:pPr>
    </w:lvl>
    <w:lvl w:ilvl="4" w:tplc="CB3C5874" w:tentative="1">
      <w:start w:val="1"/>
      <w:numFmt w:val="lowerLetter"/>
      <w:lvlText w:val="%5."/>
      <w:lvlJc w:val="left"/>
      <w:pPr>
        <w:ind w:left="3600" w:hanging="360"/>
      </w:pPr>
    </w:lvl>
    <w:lvl w:ilvl="5" w:tplc="CE1EF512" w:tentative="1">
      <w:start w:val="1"/>
      <w:numFmt w:val="lowerRoman"/>
      <w:lvlText w:val="%6."/>
      <w:lvlJc w:val="right"/>
      <w:pPr>
        <w:ind w:left="4320" w:hanging="180"/>
      </w:pPr>
    </w:lvl>
    <w:lvl w:ilvl="6" w:tplc="7716F422" w:tentative="1">
      <w:start w:val="1"/>
      <w:numFmt w:val="decimal"/>
      <w:lvlText w:val="%7."/>
      <w:lvlJc w:val="left"/>
      <w:pPr>
        <w:ind w:left="5040" w:hanging="360"/>
      </w:pPr>
    </w:lvl>
    <w:lvl w:ilvl="7" w:tplc="63F8B11E" w:tentative="1">
      <w:start w:val="1"/>
      <w:numFmt w:val="lowerLetter"/>
      <w:lvlText w:val="%8."/>
      <w:lvlJc w:val="left"/>
      <w:pPr>
        <w:ind w:left="5760" w:hanging="360"/>
      </w:pPr>
    </w:lvl>
    <w:lvl w:ilvl="8" w:tplc="6220D4D2" w:tentative="1">
      <w:start w:val="1"/>
      <w:numFmt w:val="lowerRoman"/>
      <w:lvlText w:val="%9."/>
      <w:lvlJc w:val="right"/>
      <w:pPr>
        <w:ind w:left="6480" w:hanging="180"/>
      </w:pPr>
    </w:lvl>
  </w:abstractNum>
  <w:abstractNum w:abstractNumId="22" w15:restartNumberingAfterBreak="0">
    <w:nsid w:val="3FB71B1F"/>
    <w:multiLevelType w:val="multilevel"/>
    <w:tmpl w:val="4F48E680"/>
    <w:numStyleLink w:val="StyleBulletedSymbolsymbol10ptPurpleLeft15cm"/>
  </w:abstractNum>
  <w:abstractNum w:abstractNumId="23" w15:restartNumberingAfterBreak="0">
    <w:nsid w:val="425B6952"/>
    <w:multiLevelType w:val="hybridMultilevel"/>
    <w:tmpl w:val="570E2DF0"/>
    <w:lvl w:ilvl="0" w:tplc="FFFFFFFF">
      <w:start w:val="1"/>
      <w:numFmt w:val="bullet"/>
      <w:lvlText w:val=""/>
      <w:lvlJc w:val="left"/>
      <w:pPr>
        <w:ind w:left="360" w:hanging="360"/>
      </w:pPr>
      <w:rPr>
        <w:rFonts w:ascii="Symbol" w:hAnsi="Symbol" w:hint="default"/>
        <w:color w:val="7030A0"/>
        <w:sz w:val="20"/>
        <w:szCs w:val="20"/>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4" w15:restartNumberingAfterBreak="0">
    <w:nsid w:val="44192524"/>
    <w:multiLevelType w:val="multilevel"/>
    <w:tmpl w:val="FB0CBEEA"/>
    <w:lvl w:ilvl="0">
      <w:start w:val="1"/>
      <w:numFmt w:val="bullet"/>
      <w:lvlText w:val="►"/>
      <w:lvlJc w:val="left"/>
      <w:pPr>
        <w:ind w:left="1080" w:hanging="360"/>
      </w:pPr>
      <w:rPr>
        <w:rFonts w:ascii="Arial" w:hAnsi="Arial"/>
        <w:color w:val="7030A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44DC7C14"/>
    <w:multiLevelType w:val="multilevel"/>
    <w:tmpl w:val="C39489F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D3A44"/>
    <w:multiLevelType w:val="multilevel"/>
    <w:tmpl w:val="4D681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CE5D71"/>
    <w:multiLevelType w:val="multilevel"/>
    <w:tmpl w:val="08A270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4C52B8"/>
    <w:multiLevelType w:val="multilevel"/>
    <w:tmpl w:val="2B641256"/>
    <w:lvl w:ilvl="0">
      <w:start w:val="1"/>
      <w:numFmt w:val="decimal"/>
      <w:lvlText w:val="3.%1"/>
      <w:lvlJc w:val="left"/>
      <w:pPr>
        <w:ind w:left="390" w:hanging="390"/>
      </w:pPr>
      <w:rPr>
        <w:rFonts w:hint="default"/>
      </w:rPr>
    </w:lvl>
    <w:lvl w:ilvl="1">
      <w:start w:val="1"/>
      <w:numFmt w:val="decimal"/>
      <w:pStyle w:val="CPITIssuetoConsider"/>
      <w:lvlText w:val="%1.%2"/>
      <w:lvlJc w:val="left"/>
      <w:pPr>
        <w:ind w:left="390" w:hanging="390"/>
      </w:pPr>
      <w:rPr>
        <w:rFonts w:hint="default"/>
      </w:rPr>
    </w:lvl>
    <w:lvl w:ilvl="2">
      <w:start w:val="1"/>
      <w:numFmt w:val="decimal"/>
      <w:pStyle w:val="CPITNumberedParagraphTex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B42ED9"/>
    <w:multiLevelType w:val="multilevel"/>
    <w:tmpl w:val="FB0CBEEA"/>
    <w:numStyleLink w:val="StyleBulletedArial10ptPurpleLeft0cmHanging15cm"/>
  </w:abstractNum>
  <w:abstractNum w:abstractNumId="30" w15:restartNumberingAfterBreak="0">
    <w:nsid w:val="61A9662A"/>
    <w:multiLevelType w:val="multilevel"/>
    <w:tmpl w:val="FB0CBEEA"/>
    <w:numStyleLink w:val="StyleBulletedArial10ptPurpleLeft0cmHanging15cm"/>
  </w:abstractNum>
  <w:abstractNum w:abstractNumId="31" w15:restartNumberingAfterBreak="0">
    <w:nsid w:val="652A35B7"/>
    <w:multiLevelType w:val="multilevel"/>
    <w:tmpl w:val="FB0CBEEA"/>
    <w:styleLink w:val="StyleBulletedArial10ptPurpleLeft0cmHanging15cm"/>
    <w:lvl w:ilvl="0">
      <w:start w:val="1"/>
      <w:numFmt w:val="bullet"/>
      <w:lvlText w:val="►"/>
      <w:lvlJc w:val="left"/>
      <w:pPr>
        <w:ind w:left="1080" w:hanging="360"/>
      </w:pPr>
      <w:rPr>
        <w:rFonts w:ascii="Arial" w:hAnsi="Arial" w:hint="default"/>
        <w:color w:val="7030A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69733374"/>
    <w:multiLevelType w:val="multilevel"/>
    <w:tmpl w:val="2A0ED8A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0C163D7"/>
    <w:multiLevelType w:val="multilevel"/>
    <w:tmpl w:val="2AF08C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0202BF"/>
    <w:multiLevelType w:val="hybridMultilevel"/>
    <w:tmpl w:val="EB26AF30"/>
    <w:lvl w:ilvl="0" w:tplc="36FA69B6">
      <w:start w:val="1"/>
      <w:numFmt w:val="bullet"/>
      <w:lvlText w:val="►"/>
      <w:lvlJc w:val="left"/>
      <w:pPr>
        <w:ind w:left="360" w:hanging="360"/>
      </w:pPr>
      <w:rPr>
        <w:rFonts w:ascii="Arial" w:hAnsi="Arial" w:hint="default"/>
        <w:color w:val="7030A0"/>
        <w:sz w:val="20"/>
        <w:szCs w:val="20"/>
      </w:rPr>
    </w:lvl>
    <w:lvl w:ilvl="1" w:tplc="F8020A18">
      <w:start w:val="1"/>
      <w:numFmt w:val="bullet"/>
      <w:lvlText w:val="►"/>
      <w:lvlJc w:val="left"/>
      <w:pPr>
        <w:tabs>
          <w:tab w:val="num" w:pos="1080"/>
        </w:tabs>
        <w:ind w:left="1080" w:hanging="360"/>
      </w:pPr>
      <w:rPr>
        <w:rFonts w:ascii="Arial" w:hAnsi="Arial" w:hint="default"/>
        <w:color w:val="7030A0"/>
        <w:sz w:val="20"/>
        <w:szCs w:val="20"/>
      </w:rPr>
    </w:lvl>
    <w:lvl w:ilvl="2" w:tplc="B14AD198">
      <w:start w:val="1"/>
      <w:numFmt w:val="decimal"/>
      <w:lvlText w:val="%3."/>
      <w:lvlJc w:val="left"/>
      <w:pPr>
        <w:tabs>
          <w:tab w:val="num" w:pos="1800"/>
        </w:tabs>
        <w:ind w:left="1800" w:hanging="360"/>
      </w:pPr>
    </w:lvl>
    <w:lvl w:ilvl="3" w:tplc="33162CDC">
      <w:start w:val="1"/>
      <w:numFmt w:val="decimal"/>
      <w:lvlText w:val="%4."/>
      <w:lvlJc w:val="left"/>
      <w:pPr>
        <w:tabs>
          <w:tab w:val="num" w:pos="2520"/>
        </w:tabs>
        <w:ind w:left="2520" w:hanging="360"/>
      </w:pPr>
    </w:lvl>
    <w:lvl w:ilvl="4" w:tplc="81505690">
      <w:start w:val="1"/>
      <w:numFmt w:val="decimal"/>
      <w:lvlText w:val="%5."/>
      <w:lvlJc w:val="left"/>
      <w:pPr>
        <w:tabs>
          <w:tab w:val="num" w:pos="3240"/>
        </w:tabs>
        <w:ind w:left="3240" w:hanging="360"/>
      </w:pPr>
    </w:lvl>
    <w:lvl w:ilvl="5" w:tplc="2D822D96">
      <w:start w:val="1"/>
      <w:numFmt w:val="decimal"/>
      <w:lvlText w:val="%6."/>
      <w:lvlJc w:val="left"/>
      <w:pPr>
        <w:tabs>
          <w:tab w:val="num" w:pos="3960"/>
        </w:tabs>
        <w:ind w:left="3960" w:hanging="360"/>
      </w:pPr>
    </w:lvl>
    <w:lvl w:ilvl="6" w:tplc="33523766">
      <w:start w:val="1"/>
      <w:numFmt w:val="decimal"/>
      <w:lvlText w:val="%7."/>
      <w:lvlJc w:val="left"/>
      <w:pPr>
        <w:tabs>
          <w:tab w:val="num" w:pos="4680"/>
        </w:tabs>
        <w:ind w:left="4680" w:hanging="360"/>
      </w:pPr>
    </w:lvl>
    <w:lvl w:ilvl="7" w:tplc="9F063B9C">
      <w:start w:val="1"/>
      <w:numFmt w:val="decimal"/>
      <w:lvlText w:val="%8."/>
      <w:lvlJc w:val="left"/>
      <w:pPr>
        <w:tabs>
          <w:tab w:val="num" w:pos="5400"/>
        </w:tabs>
        <w:ind w:left="5400" w:hanging="360"/>
      </w:pPr>
    </w:lvl>
    <w:lvl w:ilvl="8" w:tplc="44386330">
      <w:start w:val="1"/>
      <w:numFmt w:val="decimal"/>
      <w:lvlText w:val="%9."/>
      <w:lvlJc w:val="left"/>
      <w:pPr>
        <w:tabs>
          <w:tab w:val="num" w:pos="6120"/>
        </w:tabs>
        <w:ind w:left="6120" w:hanging="360"/>
      </w:pPr>
    </w:lvl>
  </w:abstractNum>
  <w:abstractNum w:abstractNumId="35" w15:restartNumberingAfterBreak="0">
    <w:nsid w:val="787C6FFD"/>
    <w:multiLevelType w:val="hybridMultilevel"/>
    <w:tmpl w:val="0130EE6E"/>
    <w:lvl w:ilvl="0" w:tplc="B546C308">
      <w:start w:val="1"/>
      <w:numFmt w:val="decimal"/>
      <w:lvlText w:val="%1."/>
      <w:lvlJc w:val="left"/>
      <w:pPr>
        <w:ind w:left="720" w:hanging="360"/>
      </w:pPr>
      <w:rPr>
        <w:rFonts w:hint="default"/>
      </w:rPr>
    </w:lvl>
    <w:lvl w:ilvl="1" w:tplc="A6F82A88" w:tentative="1">
      <w:start w:val="1"/>
      <w:numFmt w:val="lowerLetter"/>
      <w:lvlText w:val="%2."/>
      <w:lvlJc w:val="left"/>
      <w:pPr>
        <w:ind w:left="1440" w:hanging="360"/>
      </w:pPr>
    </w:lvl>
    <w:lvl w:ilvl="2" w:tplc="E6D28706" w:tentative="1">
      <w:start w:val="1"/>
      <w:numFmt w:val="lowerRoman"/>
      <w:lvlText w:val="%3."/>
      <w:lvlJc w:val="right"/>
      <w:pPr>
        <w:ind w:left="2160" w:hanging="180"/>
      </w:pPr>
    </w:lvl>
    <w:lvl w:ilvl="3" w:tplc="678E50F6" w:tentative="1">
      <w:start w:val="1"/>
      <w:numFmt w:val="decimal"/>
      <w:lvlText w:val="%4."/>
      <w:lvlJc w:val="left"/>
      <w:pPr>
        <w:ind w:left="2880" w:hanging="360"/>
      </w:pPr>
    </w:lvl>
    <w:lvl w:ilvl="4" w:tplc="7076ECE8" w:tentative="1">
      <w:start w:val="1"/>
      <w:numFmt w:val="lowerLetter"/>
      <w:lvlText w:val="%5."/>
      <w:lvlJc w:val="left"/>
      <w:pPr>
        <w:ind w:left="3600" w:hanging="360"/>
      </w:pPr>
    </w:lvl>
    <w:lvl w:ilvl="5" w:tplc="12801D94" w:tentative="1">
      <w:start w:val="1"/>
      <w:numFmt w:val="lowerRoman"/>
      <w:lvlText w:val="%6."/>
      <w:lvlJc w:val="right"/>
      <w:pPr>
        <w:ind w:left="4320" w:hanging="180"/>
      </w:pPr>
    </w:lvl>
    <w:lvl w:ilvl="6" w:tplc="076278E0" w:tentative="1">
      <w:start w:val="1"/>
      <w:numFmt w:val="decimal"/>
      <w:lvlText w:val="%7."/>
      <w:lvlJc w:val="left"/>
      <w:pPr>
        <w:ind w:left="5040" w:hanging="360"/>
      </w:pPr>
    </w:lvl>
    <w:lvl w:ilvl="7" w:tplc="87D2E4AA" w:tentative="1">
      <w:start w:val="1"/>
      <w:numFmt w:val="lowerLetter"/>
      <w:lvlText w:val="%8."/>
      <w:lvlJc w:val="left"/>
      <w:pPr>
        <w:ind w:left="5760" w:hanging="360"/>
      </w:pPr>
    </w:lvl>
    <w:lvl w:ilvl="8" w:tplc="F4F88CC4" w:tentative="1">
      <w:start w:val="1"/>
      <w:numFmt w:val="lowerRoman"/>
      <w:lvlText w:val="%9."/>
      <w:lvlJc w:val="right"/>
      <w:pPr>
        <w:ind w:left="6480" w:hanging="180"/>
      </w:pPr>
    </w:lvl>
  </w:abstractNum>
  <w:abstractNum w:abstractNumId="36" w15:restartNumberingAfterBreak="0">
    <w:nsid w:val="79284947"/>
    <w:multiLevelType w:val="hybridMultilevel"/>
    <w:tmpl w:val="A4F6DEEE"/>
    <w:lvl w:ilvl="0" w:tplc="40205A24">
      <w:start w:val="1"/>
      <w:numFmt w:val="decimal"/>
      <w:lvlText w:val="%1."/>
      <w:lvlJc w:val="left"/>
      <w:pPr>
        <w:ind w:left="720" w:hanging="360"/>
      </w:pPr>
      <w:rPr>
        <w:rFonts w:hint="default"/>
      </w:rPr>
    </w:lvl>
    <w:lvl w:ilvl="1" w:tplc="6DC6A2DC">
      <w:start w:val="1"/>
      <w:numFmt w:val="decimal"/>
      <w:lvlText w:val="1.%2"/>
      <w:lvlJc w:val="left"/>
      <w:pPr>
        <w:ind w:left="1440" w:hanging="360"/>
      </w:pPr>
      <w:rPr>
        <w:rFonts w:hint="default"/>
      </w:rPr>
    </w:lvl>
    <w:lvl w:ilvl="2" w:tplc="70B0A6A2">
      <w:start w:val="1"/>
      <w:numFmt w:val="lowerRoman"/>
      <w:lvlText w:val="%3."/>
      <w:lvlJc w:val="right"/>
      <w:pPr>
        <w:ind w:left="2160" w:hanging="180"/>
      </w:pPr>
    </w:lvl>
    <w:lvl w:ilvl="3" w:tplc="40600A18" w:tentative="1">
      <w:start w:val="1"/>
      <w:numFmt w:val="decimal"/>
      <w:lvlText w:val="%4."/>
      <w:lvlJc w:val="left"/>
      <w:pPr>
        <w:ind w:left="2880" w:hanging="360"/>
      </w:pPr>
    </w:lvl>
    <w:lvl w:ilvl="4" w:tplc="AE0EFA62">
      <w:start w:val="1"/>
      <w:numFmt w:val="lowerLetter"/>
      <w:lvlText w:val="%5."/>
      <w:lvlJc w:val="left"/>
      <w:pPr>
        <w:ind w:left="3600" w:hanging="360"/>
      </w:pPr>
    </w:lvl>
    <w:lvl w:ilvl="5" w:tplc="2132FAD4" w:tentative="1">
      <w:start w:val="1"/>
      <w:numFmt w:val="lowerRoman"/>
      <w:lvlText w:val="%6."/>
      <w:lvlJc w:val="right"/>
      <w:pPr>
        <w:ind w:left="4320" w:hanging="180"/>
      </w:pPr>
    </w:lvl>
    <w:lvl w:ilvl="6" w:tplc="34306444" w:tentative="1">
      <w:start w:val="1"/>
      <w:numFmt w:val="decimal"/>
      <w:lvlText w:val="%7."/>
      <w:lvlJc w:val="left"/>
      <w:pPr>
        <w:ind w:left="5040" w:hanging="360"/>
      </w:pPr>
    </w:lvl>
    <w:lvl w:ilvl="7" w:tplc="EAD210DC" w:tentative="1">
      <w:start w:val="1"/>
      <w:numFmt w:val="lowerLetter"/>
      <w:lvlText w:val="%8."/>
      <w:lvlJc w:val="left"/>
      <w:pPr>
        <w:ind w:left="5760" w:hanging="360"/>
      </w:pPr>
    </w:lvl>
    <w:lvl w:ilvl="8" w:tplc="2C18DCF6" w:tentative="1">
      <w:start w:val="1"/>
      <w:numFmt w:val="lowerRoman"/>
      <w:lvlText w:val="%9."/>
      <w:lvlJc w:val="right"/>
      <w:pPr>
        <w:ind w:left="6480" w:hanging="180"/>
      </w:pPr>
    </w:lvl>
  </w:abstractNum>
  <w:abstractNum w:abstractNumId="37" w15:restartNumberingAfterBreak="0">
    <w:nsid w:val="793E16A0"/>
    <w:multiLevelType w:val="multilevel"/>
    <w:tmpl w:val="4F48E680"/>
    <w:numStyleLink w:val="StyleBulletedSymbolsymbol10ptPurpleLeft15cm"/>
  </w:abstractNum>
  <w:abstractNum w:abstractNumId="38" w15:restartNumberingAfterBreak="0">
    <w:nsid w:val="7A557111"/>
    <w:multiLevelType w:val="hybridMultilevel"/>
    <w:tmpl w:val="F6CA5AC2"/>
    <w:lvl w:ilvl="0" w:tplc="FFFFFFFF">
      <w:start w:val="1"/>
      <w:numFmt w:val="bullet"/>
      <w:lvlText w:val=""/>
      <w:lvlJc w:val="left"/>
      <w:pPr>
        <w:ind w:left="720" w:hanging="360"/>
      </w:pPr>
      <w:rPr>
        <w:rFonts w:ascii="Symbol" w:hAnsi="Symbol" w:hint="default"/>
        <w:color w:val="7030A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316FE0"/>
    <w:multiLevelType w:val="hybridMultilevel"/>
    <w:tmpl w:val="580C4626"/>
    <w:lvl w:ilvl="0" w:tplc="0809000F">
      <w:start w:val="1"/>
      <w:numFmt w:val="bullet"/>
      <w:lvlText w:val="►"/>
      <w:lvlJc w:val="left"/>
      <w:pPr>
        <w:ind w:left="360" w:hanging="360"/>
      </w:pPr>
      <w:rPr>
        <w:rFonts w:ascii="Arial" w:hAnsi="Arial" w:hint="default"/>
        <w:color w:val="7030A0"/>
        <w:sz w:val="20"/>
        <w:szCs w:val="20"/>
      </w:rPr>
    </w:lvl>
    <w:lvl w:ilvl="1" w:tplc="85545028"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40" w15:restartNumberingAfterBreak="0">
    <w:nsid w:val="7FEB2ED3"/>
    <w:multiLevelType w:val="multilevel"/>
    <w:tmpl w:val="1A7A19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6"/>
  </w:num>
  <w:num w:numId="7">
    <w:abstractNumId w:val="39"/>
  </w:num>
  <w:num w:numId="8">
    <w:abstractNumId w:val="38"/>
  </w:num>
  <w:num w:numId="9">
    <w:abstractNumId w:val="23"/>
  </w:num>
  <w:num w:numId="10">
    <w:abstractNumId w:val="2"/>
  </w:num>
  <w:num w:numId="11">
    <w:abstractNumId w:val="22"/>
  </w:num>
  <w:num w:numId="12">
    <w:abstractNumId w:val="18"/>
  </w:num>
  <w:num w:numId="13">
    <w:abstractNumId w:val="4"/>
  </w:num>
  <w:num w:numId="14">
    <w:abstractNumId w:val="37"/>
  </w:num>
  <w:num w:numId="15">
    <w:abstractNumId w:val="10"/>
  </w:num>
  <w:num w:numId="16">
    <w:abstractNumId w:val="17"/>
  </w:num>
  <w:num w:numId="17">
    <w:abstractNumId w:val="9"/>
  </w:num>
  <w:num w:numId="18">
    <w:abstractNumId w:val="7"/>
  </w:num>
  <w:num w:numId="19">
    <w:abstractNumId w:val="8"/>
  </w:num>
  <w:num w:numId="20">
    <w:abstractNumId w:val="1"/>
  </w:num>
  <w:num w:numId="21">
    <w:abstractNumId w:val="31"/>
  </w:num>
  <w:num w:numId="22">
    <w:abstractNumId w:val="29"/>
  </w:num>
  <w:num w:numId="23">
    <w:abstractNumId w:val="0"/>
  </w:num>
  <w:num w:numId="24">
    <w:abstractNumId w:val="12"/>
  </w:num>
  <w:num w:numId="25">
    <w:abstractNumId w:val="30"/>
  </w:num>
  <w:num w:numId="26">
    <w:abstractNumId w:val="11"/>
  </w:num>
  <w:num w:numId="27">
    <w:abstractNumId w:val="24"/>
  </w:num>
  <w:num w:numId="28">
    <w:abstractNumId w:val="34"/>
  </w:num>
  <w:num w:numId="29">
    <w:abstractNumId w:val="13"/>
  </w:num>
  <w:num w:numId="30">
    <w:abstractNumId w:val="36"/>
  </w:num>
  <w:num w:numId="31">
    <w:abstractNumId w:val="15"/>
  </w:num>
  <w:num w:numId="32">
    <w:abstractNumId w:val="35"/>
  </w:num>
  <w:num w:numId="33">
    <w:abstractNumId w:val="33"/>
  </w:num>
  <w:num w:numId="34">
    <w:abstractNumId w:val="28"/>
    <w:lvlOverride w:ilvl="0">
      <w:startOverride w:val="1"/>
    </w:lvlOverride>
    <w:lvlOverride w:ilvl="1">
      <w:startOverride w:val="1"/>
    </w:lvlOverride>
  </w:num>
  <w:num w:numId="35">
    <w:abstractNumId w:val="27"/>
  </w:num>
  <w:num w:numId="36">
    <w:abstractNumId w:val="20"/>
  </w:num>
  <w:num w:numId="37">
    <w:abstractNumId w:val="28"/>
    <w:lvlOverride w:ilvl="0">
      <w:startOverride w:val="2"/>
    </w:lvlOverride>
    <w:lvlOverride w:ilvl="1">
      <w:startOverride w:val="1"/>
    </w:lvlOverride>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8"/>
    <w:lvlOverride w:ilvl="0">
      <w:startOverride w:val="2"/>
    </w:lvlOverride>
    <w:lvlOverride w:ilvl="1">
      <w:startOverride w:val="2"/>
    </w:lvlOverride>
  </w:num>
  <w:num w:numId="42">
    <w:abstractNumId w:val="28"/>
    <w:lvlOverride w:ilvl="0">
      <w:startOverride w:val="2"/>
    </w:lvlOverride>
    <w:lvlOverride w:ilvl="1">
      <w:startOverride w:val="2"/>
    </w:lvlOverride>
  </w:num>
  <w:num w:numId="43">
    <w:abstractNumId w:val="26"/>
  </w:num>
  <w:num w:numId="44">
    <w:abstractNumId w:val="40"/>
  </w:num>
  <w:num w:numId="45">
    <w:abstractNumId w:val="5"/>
  </w:num>
  <w:num w:numId="46">
    <w:abstractNumId w:val="3"/>
  </w:num>
  <w:num w:numId="47">
    <w:abstractNumId w:val="32"/>
  </w:num>
  <w:num w:numId="4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30"/>
    <w:rsid w:val="000011BE"/>
    <w:rsid w:val="0000590E"/>
    <w:rsid w:val="00015F09"/>
    <w:rsid w:val="00017373"/>
    <w:rsid w:val="00031D27"/>
    <w:rsid w:val="0003355F"/>
    <w:rsid w:val="00033759"/>
    <w:rsid w:val="00034CBF"/>
    <w:rsid w:val="00040007"/>
    <w:rsid w:val="000428D4"/>
    <w:rsid w:val="00043592"/>
    <w:rsid w:val="00046BE4"/>
    <w:rsid w:val="0005009F"/>
    <w:rsid w:val="00050B89"/>
    <w:rsid w:val="00060AA1"/>
    <w:rsid w:val="000616B4"/>
    <w:rsid w:val="00063273"/>
    <w:rsid w:val="00070FB9"/>
    <w:rsid w:val="000725D8"/>
    <w:rsid w:val="00080941"/>
    <w:rsid w:val="0008312A"/>
    <w:rsid w:val="00084F65"/>
    <w:rsid w:val="00085117"/>
    <w:rsid w:val="000861D6"/>
    <w:rsid w:val="000A1245"/>
    <w:rsid w:val="000A2165"/>
    <w:rsid w:val="000A236D"/>
    <w:rsid w:val="000A246A"/>
    <w:rsid w:val="000A54D8"/>
    <w:rsid w:val="000B5FD6"/>
    <w:rsid w:val="000B78CA"/>
    <w:rsid w:val="000C2131"/>
    <w:rsid w:val="000C3771"/>
    <w:rsid w:val="000C7569"/>
    <w:rsid w:val="000C7B1D"/>
    <w:rsid w:val="000D2492"/>
    <w:rsid w:val="000D3D85"/>
    <w:rsid w:val="000E3A77"/>
    <w:rsid w:val="000E4858"/>
    <w:rsid w:val="000E7152"/>
    <w:rsid w:val="000F231F"/>
    <w:rsid w:val="000F2DC2"/>
    <w:rsid w:val="000F715D"/>
    <w:rsid w:val="00102A90"/>
    <w:rsid w:val="00103385"/>
    <w:rsid w:val="001073AD"/>
    <w:rsid w:val="00107988"/>
    <w:rsid w:val="001236BD"/>
    <w:rsid w:val="00123FD8"/>
    <w:rsid w:val="00124877"/>
    <w:rsid w:val="00127CD0"/>
    <w:rsid w:val="0015152E"/>
    <w:rsid w:val="001542AD"/>
    <w:rsid w:val="0015623B"/>
    <w:rsid w:val="00160FCE"/>
    <w:rsid w:val="001651AB"/>
    <w:rsid w:val="00165E71"/>
    <w:rsid w:val="00166142"/>
    <w:rsid w:val="001766D9"/>
    <w:rsid w:val="00185E9C"/>
    <w:rsid w:val="001A4C77"/>
    <w:rsid w:val="001A6EE9"/>
    <w:rsid w:val="001A7CBC"/>
    <w:rsid w:val="001B20E5"/>
    <w:rsid w:val="001B348F"/>
    <w:rsid w:val="001B6A5C"/>
    <w:rsid w:val="001C22CE"/>
    <w:rsid w:val="001D029C"/>
    <w:rsid w:val="001D25B1"/>
    <w:rsid w:val="001D42CC"/>
    <w:rsid w:val="001E08C6"/>
    <w:rsid w:val="001E2023"/>
    <w:rsid w:val="001F0F48"/>
    <w:rsid w:val="001F114E"/>
    <w:rsid w:val="001F1BB7"/>
    <w:rsid w:val="001F6D34"/>
    <w:rsid w:val="00207BFA"/>
    <w:rsid w:val="002119EF"/>
    <w:rsid w:val="0021431D"/>
    <w:rsid w:val="00222A62"/>
    <w:rsid w:val="00222B3B"/>
    <w:rsid w:val="00223112"/>
    <w:rsid w:val="00224156"/>
    <w:rsid w:val="00226719"/>
    <w:rsid w:val="002308B3"/>
    <w:rsid w:val="002339D0"/>
    <w:rsid w:val="00234426"/>
    <w:rsid w:val="00236C2E"/>
    <w:rsid w:val="00242210"/>
    <w:rsid w:val="00246211"/>
    <w:rsid w:val="002501D2"/>
    <w:rsid w:val="002501FA"/>
    <w:rsid w:val="00250C71"/>
    <w:rsid w:val="00256F72"/>
    <w:rsid w:val="0026368D"/>
    <w:rsid w:val="00273191"/>
    <w:rsid w:val="00273323"/>
    <w:rsid w:val="00274B86"/>
    <w:rsid w:val="00276339"/>
    <w:rsid w:val="0027719F"/>
    <w:rsid w:val="00280BCD"/>
    <w:rsid w:val="00282752"/>
    <w:rsid w:val="00285F97"/>
    <w:rsid w:val="00294107"/>
    <w:rsid w:val="002A1DDC"/>
    <w:rsid w:val="002A2177"/>
    <w:rsid w:val="002A64BE"/>
    <w:rsid w:val="002A77C0"/>
    <w:rsid w:val="002B0556"/>
    <w:rsid w:val="002B20B5"/>
    <w:rsid w:val="002B5A09"/>
    <w:rsid w:val="002C1EEF"/>
    <w:rsid w:val="002C204B"/>
    <w:rsid w:val="002C2356"/>
    <w:rsid w:val="002C6DAB"/>
    <w:rsid w:val="002D7C65"/>
    <w:rsid w:val="002E0A4C"/>
    <w:rsid w:val="002F03EA"/>
    <w:rsid w:val="002F4813"/>
    <w:rsid w:val="002F6D30"/>
    <w:rsid w:val="002F78B4"/>
    <w:rsid w:val="00305470"/>
    <w:rsid w:val="0030549A"/>
    <w:rsid w:val="0030588F"/>
    <w:rsid w:val="00307A45"/>
    <w:rsid w:val="00310FF7"/>
    <w:rsid w:val="003147C7"/>
    <w:rsid w:val="00314F7C"/>
    <w:rsid w:val="00316BA2"/>
    <w:rsid w:val="00321345"/>
    <w:rsid w:val="00321F8A"/>
    <w:rsid w:val="0032374A"/>
    <w:rsid w:val="0033476D"/>
    <w:rsid w:val="003464CC"/>
    <w:rsid w:val="0035443A"/>
    <w:rsid w:val="00354C99"/>
    <w:rsid w:val="00362F4B"/>
    <w:rsid w:val="00365754"/>
    <w:rsid w:val="003661E9"/>
    <w:rsid w:val="00367B90"/>
    <w:rsid w:val="003764B9"/>
    <w:rsid w:val="0037657A"/>
    <w:rsid w:val="0038186C"/>
    <w:rsid w:val="00384CF9"/>
    <w:rsid w:val="003851F0"/>
    <w:rsid w:val="003876D1"/>
    <w:rsid w:val="00387B70"/>
    <w:rsid w:val="003A2AA0"/>
    <w:rsid w:val="003A4506"/>
    <w:rsid w:val="003A5490"/>
    <w:rsid w:val="003B3341"/>
    <w:rsid w:val="003C1B6A"/>
    <w:rsid w:val="003C2055"/>
    <w:rsid w:val="003C25CF"/>
    <w:rsid w:val="003C6228"/>
    <w:rsid w:val="003C714B"/>
    <w:rsid w:val="003C772B"/>
    <w:rsid w:val="003D0F20"/>
    <w:rsid w:val="003D41D9"/>
    <w:rsid w:val="003D63C3"/>
    <w:rsid w:val="003E1D5A"/>
    <w:rsid w:val="003E2FC4"/>
    <w:rsid w:val="003E502D"/>
    <w:rsid w:val="003E55B7"/>
    <w:rsid w:val="003F051E"/>
    <w:rsid w:val="003F5873"/>
    <w:rsid w:val="003F5DBD"/>
    <w:rsid w:val="0040279B"/>
    <w:rsid w:val="004061C0"/>
    <w:rsid w:val="00406B85"/>
    <w:rsid w:val="00411F0B"/>
    <w:rsid w:val="00413375"/>
    <w:rsid w:val="00413CDC"/>
    <w:rsid w:val="004174E9"/>
    <w:rsid w:val="00427DAA"/>
    <w:rsid w:val="00431D0F"/>
    <w:rsid w:val="00445044"/>
    <w:rsid w:val="00445B61"/>
    <w:rsid w:val="004575AB"/>
    <w:rsid w:val="00461395"/>
    <w:rsid w:val="00463A76"/>
    <w:rsid w:val="0047112D"/>
    <w:rsid w:val="004733BE"/>
    <w:rsid w:val="00473F2C"/>
    <w:rsid w:val="00475D40"/>
    <w:rsid w:val="004816E8"/>
    <w:rsid w:val="004856D6"/>
    <w:rsid w:val="00491C3A"/>
    <w:rsid w:val="00493F1B"/>
    <w:rsid w:val="00496A84"/>
    <w:rsid w:val="00497C2F"/>
    <w:rsid w:val="004A07CC"/>
    <w:rsid w:val="004A0A05"/>
    <w:rsid w:val="004A2949"/>
    <w:rsid w:val="004A3BF3"/>
    <w:rsid w:val="004A5CD2"/>
    <w:rsid w:val="004C0BC2"/>
    <w:rsid w:val="004C1545"/>
    <w:rsid w:val="004D1D26"/>
    <w:rsid w:val="004D4B85"/>
    <w:rsid w:val="004E0C8D"/>
    <w:rsid w:val="004E29A1"/>
    <w:rsid w:val="004E387E"/>
    <w:rsid w:val="004E4E08"/>
    <w:rsid w:val="004E6CAF"/>
    <w:rsid w:val="004F0A87"/>
    <w:rsid w:val="004F2152"/>
    <w:rsid w:val="004F450B"/>
    <w:rsid w:val="004F62AF"/>
    <w:rsid w:val="00504ADB"/>
    <w:rsid w:val="00506A41"/>
    <w:rsid w:val="005114D0"/>
    <w:rsid w:val="00512DED"/>
    <w:rsid w:val="00515C95"/>
    <w:rsid w:val="00530F64"/>
    <w:rsid w:val="00531F4E"/>
    <w:rsid w:val="00534E27"/>
    <w:rsid w:val="00542484"/>
    <w:rsid w:val="005427A7"/>
    <w:rsid w:val="00546BF0"/>
    <w:rsid w:val="0054723E"/>
    <w:rsid w:val="00554083"/>
    <w:rsid w:val="0055501E"/>
    <w:rsid w:val="0056350B"/>
    <w:rsid w:val="00564283"/>
    <w:rsid w:val="00565154"/>
    <w:rsid w:val="0056653A"/>
    <w:rsid w:val="00567054"/>
    <w:rsid w:val="00570D75"/>
    <w:rsid w:val="00576982"/>
    <w:rsid w:val="00583C30"/>
    <w:rsid w:val="00586DF3"/>
    <w:rsid w:val="005879B9"/>
    <w:rsid w:val="00593B91"/>
    <w:rsid w:val="005A2525"/>
    <w:rsid w:val="005A4BFA"/>
    <w:rsid w:val="005B18F0"/>
    <w:rsid w:val="005B2149"/>
    <w:rsid w:val="005B5296"/>
    <w:rsid w:val="005B795D"/>
    <w:rsid w:val="005C3C26"/>
    <w:rsid w:val="005D44CF"/>
    <w:rsid w:val="005D70EE"/>
    <w:rsid w:val="005D76B9"/>
    <w:rsid w:val="005E42D1"/>
    <w:rsid w:val="005E54CB"/>
    <w:rsid w:val="005F2593"/>
    <w:rsid w:val="005F43B5"/>
    <w:rsid w:val="005F4E94"/>
    <w:rsid w:val="005F6ABD"/>
    <w:rsid w:val="005F70AC"/>
    <w:rsid w:val="0060748F"/>
    <w:rsid w:val="00607B0A"/>
    <w:rsid w:val="00610125"/>
    <w:rsid w:val="00610D22"/>
    <w:rsid w:val="00615942"/>
    <w:rsid w:val="00631444"/>
    <w:rsid w:val="00634BB7"/>
    <w:rsid w:val="00635654"/>
    <w:rsid w:val="00635DEE"/>
    <w:rsid w:val="00636624"/>
    <w:rsid w:val="00646757"/>
    <w:rsid w:val="00652C44"/>
    <w:rsid w:val="006660BA"/>
    <w:rsid w:val="00676FFC"/>
    <w:rsid w:val="00684159"/>
    <w:rsid w:val="00685DAA"/>
    <w:rsid w:val="00685DE2"/>
    <w:rsid w:val="006958B2"/>
    <w:rsid w:val="00696483"/>
    <w:rsid w:val="006A0CB1"/>
    <w:rsid w:val="006A0CC7"/>
    <w:rsid w:val="006B12E3"/>
    <w:rsid w:val="006B150A"/>
    <w:rsid w:val="006B1718"/>
    <w:rsid w:val="006B1F0C"/>
    <w:rsid w:val="006B2341"/>
    <w:rsid w:val="006B2E9F"/>
    <w:rsid w:val="006B45A2"/>
    <w:rsid w:val="006B6C2D"/>
    <w:rsid w:val="006C14F8"/>
    <w:rsid w:val="006C2A3F"/>
    <w:rsid w:val="006C5B04"/>
    <w:rsid w:val="006D39BB"/>
    <w:rsid w:val="006D75BA"/>
    <w:rsid w:val="006E04BE"/>
    <w:rsid w:val="006E4D21"/>
    <w:rsid w:val="006E6B16"/>
    <w:rsid w:val="006F28AB"/>
    <w:rsid w:val="006F42F4"/>
    <w:rsid w:val="006F5260"/>
    <w:rsid w:val="006F606F"/>
    <w:rsid w:val="006F63D8"/>
    <w:rsid w:val="007037F7"/>
    <w:rsid w:val="00715EA8"/>
    <w:rsid w:val="007200E5"/>
    <w:rsid w:val="00723082"/>
    <w:rsid w:val="007321B0"/>
    <w:rsid w:val="00737786"/>
    <w:rsid w:val="0074348E"/>
    <w:rsid w:val="007447EB"/>
    <w:rsid w:val="0075056B"/>
    <w:rsid w:val="007556B3"/>
    <w:rsid w:val="0075754C"/>
    <w:rsid w:val="007616BF"/>
    <w:rsid w:val="00766DEE"/>
    <w:rsid w:val="007708AC"/>
    <w:rsid w:val="00770EC7"/>
    <w:rsid w:val="00780A40"/>
    <w:rsid w:val="00785280"/>
    <w:rsid w:val="00792019"/>
    <w:rsid w:val="00795535"/>
    <w:rsid w:val="007A2B8D"/>
    <w:rsid w:val="007A42D9"/>
    <w:rsid w:val="007C10E9"/>
    <w:rsid w:val="007C2462"/>
    <w:rsid w:val="007C3D75"/>
    <w:rsid w:val="007C7D0A"/>
    <w:rsid w:val="007D0E69"/>
    <w:rsid w:val="007E3141"/>
    <w:rsid w:val="007E4E6D"/>
    <w:rsid w:val="007E5830"/>
    <w:rsid w:val="007F3EA5"/>
    <w:rsid w:val="007F4E29"/>
    <w:rsid w:val="007F6552"/>
    <w:rsid w:val="007F737B"/>
    <w:rsid w:val="00802980"/>
    <w:rsid w:val="00802DD8"/>
    <w:rsid w:val="00803405"/>
    <w:rsid w:val="0081513A"/>
    <w:rsid w:val="00815690"/>
    <w:rsid w:val="0081677C"/>
    <w:rsid w:val="00822BD6"/>
    <w:rsid w:val="008250AF"/>
    <w:rsid w:val="00836282"/>
    <w:rsid w:val="00843B3D"/>
    <w:rsid w:val="00843F6D"/>
    <w:rsid w:val="0084411F"/>
    <w:rsid w:val="0084679D"/>
    <w:rsid w:val="008501E9"/>
    <w:rsid w:val="00852E58"/>
    <w:rsid w:val="0085683F"/>
    <w:rsid w:val="008653D0"/>
    <w:rsid w:val="008666EF"/>
    <w:rsid w:val="00884EF8"/>
    <w:rsid w:val="00885D8E"/>
    <w:rsid w:val="00891131"/>
    <w:rsid w:val="00891746"/>
    <w:rsid w:val="00891B5F"/>
    <w:rsid w:val="00894500"/>
    <w:rsid w:val="00896DFC"/>
    <w:rsid w:val="00897AD5"/>
    <w:rsid w:val="008A14AC"/>
    <w:rsid w:val="008A38DA"/>
    <w:rsid w:val="008A7706"/>
    <w:rsid w:val="008B16AA"/>
    <w:rsid w:val="008B4E99"/>
    <w:rsid w:val="008C263C"/>
    <w:rsid w:val="008C2A71"/>
    <w:rsid w:val="008C503E"/>
    <w:rsid w:val="008C5714"/>
    <w:rsid w:val="008C6526"/>
    <w:rsid w:val="008C656E"/>
    <w:rsid w:val="008C79C1"/>
    <w:rsid w:val="008D1D45"/>
    <w:rsid w:val="008D3107"/>
    <w:rsid w:val="008D4BBE"/>
    <w:rsid w:val="008D5FEA"/>
    <w:rsid w:val="008E02B8"/>
    <w:rsid w:val="008E2B7D"/>
    <w:rsid w:val="008E38A4"/>
    <w:rsid w:val="008E6B99"/>
    <w:rsid w:val="008F674E"/>
    <w:rsid w:val="00907D7C"/>
    <w:rsid w:val="0092162F"/>
    <w:rsid w:val="00934357"/>
    <w:rsid w:val="00943C9C"/>
    <w:rsid w:val="009458A9"/>
    <w:rsid w:val="00946345"/>
    <w:rsid w:val="009500AB"/>
    <w:rsid w:val="00950E1B"/>
    <w:rsid w:val="009558B8"/>
    <w:rsid w:val="00963756"/>
    <w:rsid w:val="00964844"/>
    <w:rsid w:val="00972F17"/>
    <w:rsid w:val="009801FC"/>
    <w:rsid w:val="00982C19"/>
    <w:rsid w:val="00983CA4"/>
    <w:rsid w:val="00983CB1"/>
    <w:rsid w:val="00984D55"/>
    <w:rsid w:val="00985866"/>
    <w:rsid w:val="00990861"/>
    <w:rsid w:val="00996B43"/>
    <w:rsid w:val="009A068B"/>
    <w:rsid w:val="009A2FD5"/>
    <w:rsid w:val="009A4A8D"/>
    <w:rsid w:val="009A6B7F"/>
    <w:rsid w:val="009A7875"/>
    <w:rsid w:val="009B2955"/>
    <w:rsid w:val="009B5516"/>
    <w:rsid w:val="009B5A4B"/>
    <w:rsid w:val="009B738D"/>
    <w:rsid w:val="009D6C34"/>
    <w:rsid w:val="009E2A30"/>
    <w:rsid w:val="009E5686"/>
    <w:rsid w:val="009E5987"/>
    <w:rsid w:val="009E5DD9"/>
    <w:rsid w:val="009F0E11"/>
    <w:rsid w:val="00A00687"/>
    <w:rsid w:val="00A0182D"/>
    <w:rsid w:val="00A06B5E"/>
    <w:rsid w:val="00A12795"/>
    <w:rsid w:val="00A14019"/>
    <w:rsid w:val="00A23365"/>
    <w:rsid w:val="00A236CF"/>
    <w:rsid w:val="00A25E35"/>
    <w:rsid w:val="00A26BFF"/>
    <w:rsid w:val="00A4134D"/>
    <w:rsid w:val="00A42DC4"/>
    <w:rsid w:val="00A46E3C"/>
    <w:rsid w:val="00A5112D"/>
    <w:rsid w:val="00A51D57"/>
    <w:rsid w:val="00A5236F"/>
    <w:rsid w:val="00A52DAE"/>
    <w:rsid w:val="00A54371"/>
    <w:rsid w:val="00A5532F"/>
    <w:rsid w:val="00A60ADF"/>
    <w:rsid w:val="00A62933"/>
    <w:rsid w:val="00A63C01"/>
    <w:rsid w:val="00A663DF"/>
    <w:rsid w:val="00A81521"/>
    <w:rsid w:val="00A821C7"/>
    <w:rsid w:val="00A86064"/>
    <w:rsid w:val="00A91459"/>
    <w:rsid w:val="00A920C5"/>
    <w:rsid w:val="00A954C3"/>
    <w:rsid w:val="00A95F8E"/>
    <w:rsid w:val="00AA3EA2"/>
    <w:rsid w:val="00AB060F"/>
    <w:rsid w:val="00AB4F7A"/>
    <w:rsid w:val="00AB7719"/>
    <w:rsid w:val="00AB78B5"/>
    <w:rsid w:val="00AC443D"/>
    <w:rsid w:val="00AD3463"/>
    <w:rsid w:val="00AE2DAF"/>
    <w:rsid w:val="00AE4B25"/>
    <w:rsid w:val="00AE5629"/>
    <w:rsid w:val="00AF6349"/>
    <w:rsid w:val="00B031AA"/>
    <w:rsid w:val="00B136D9"/>
    <w:rsid w:val="00B16792"/>
    <w:rsid w:val="00B173AB"/>
    <w:rsid w:val="00B220C7"/>
    <w:rsid w:val="00B22B9E"/>
    <w:rsid w:val="00B25165"/>
    <w:rsid w:val="00B322FC"/>
    <w:rsid w:val="00B3418B"/>
    <w:rsid w:val="00B3471A"/>
    <w:rsid w:val="00B34C32"/>
    <w:rsid w:val="00B42352"/>
    <w:rsid w:val="00B42958"/>
    <w:rsid w:val="00B43DCF"/>
    <w:rsid w:val="00B47058"/>
    <w:rsid w:val="00B50E2C"/>
    <w:rsid w:val="00B50FE3"/>
    <w:rsid w:val="00B5482C"/>
    <w:rsid w:val="00B55A7E"/>
    <w:rsid w:val="00B55FA7"/>
    <w:rsid w:val="00B57F33"/>
    <w:rsid w:val="00B66045"/>
    <w:rsid w:val="00B66905"/>
    <w:rsid w:val="00B84F47"/>
    <w:rsid w:val="00BA7609"/>
    <w:rsid w:val="00BB2C58"/>
    <w:rsid w:val="00BB44DF"/>
    <w:rsid w:val="00BC7D36"/>
    <w:rsid w:val="00BF0D42"/>
    <w:rsid w:val="00BF3BEF"/>
    <w:rsid w:val="00BF5B1E"/>
    <w:rsid w:val="00C03597"/>
    <w:rsid w:val="00C055EF"/>
    <w:rsid w:val="00C06D57"/>
    <w:rsid w:val="00C06D71"/>
    <w:rsid w:val="00C072F5"/>
    <w:rsid w:val="00C10F71"/>
    <w:rsid w:val="00C11C18"/>
    <w:rsid w:val="00C15377"/>
    <w:rsid w:val="00C1600A"/>
    <w:rsid w:val="00C20607"/>
    <w:rsid w:val="00C24EF8"/>
    <w:rsid w:val="00C30615"/>
    <w:rsid w:val="00C32C73"/>
    <w:rsid w:val="00C4020E"/>
    <w:rsid w:val="00C44F7A"/>
    <w:rsid w:val="00C45238"/>
    <w:rsid w:val="00C464A5"/>
    <w:rsid w:val="00C53A5F"/>
    <w:rsid w:val="00C55C27"/>
    <w:rsid w:val="00C61242"/>
    <w:rsid w:val="00C62008"/>
    <w:rsid w:val="00C6267E"/>
    <w:rsid w:val="00C637AD"/>
    <w:rsid w:val="00C64B73"/>
    <w:rsid w:val="00C65D7F"/>
    <w:rsid w:val="00C8440F"/>
    <w:rsid w:val="00C84787"/>
    <w:rsid w:val="00C86694"/>
    <w:rsid w:val="00C96215"/>
    <w:rsid w:val="00C96CF8"/>
    <w:rsid w:val="00CA1A95"/>
    <w:rsid w:val="00CB3C51"/>
    <w:rsid w:val="00CC6A15"/>
    <w:rsid w:val="00CD0AB7"/>
    <w:rsid w:val="00CE4A84"/>
    <w:rsid w:val="00CE4EB9"/>
    <w:rsid w:val="00CF1B6C"/>
    <w:rsid w:val="00D02295"/>
    <w:rsid w:val="00D02BE0"/>
    <w:rsid w:val="00D04A44"/>
    <w:rsid w:val="00D05853"/>
    <w:rsid w:val="00D10E6E"/>
    <w:rsid w:val="00D10F5C"/>
    <w:rsid w:val="00D1107C"/>
    <w:rsid w:val="00D151A3"/>
    <w:rsid w:val="00D163F9"/>
    <w:rsid w:val="00D254DE"/>
    <w:rsid w:val="00D27CE4"/>
    <w:rsid w:val="00D32BA8"/>
    <w:rsid w:val="00D36418"/>
    <w:rsid w:val="00D445F6"/>
    <w:rsid w:val="00D52BD1"/>
    <w:rsid w:val="00D57186"/>
    <w:rsid w:val="00D57643"/>
    <w:rsid w:val="00D622C1"/>
    <w:rsid w:val="00D66CAC"/>
    <w:rsid w:val="00D72959"/>
    <w:rsid w:val="00D76222"/>
    <w:rsid w:val="00D862E8"/>
    <w:rsid w:val="00D87DD3"/>
    <w:rsid w:val="00D91CA6"/>
    <w:rsid w:val="00D92883"/>
    <w:rsid w:val="00D93C20"/>
    <w:rsid w:val="00D958B1"/>
    <w:rsid w:val="00DC173E"/>
    <w:rsid w:val="00DC2A5B"/>
    <w:rsid w:val="00DC3C20"/>
    <w:rsid w:val="00DC4CB6"/>
    <w:rsid w:val="00DD2803"/>
    <w:rsid w:val="00DD3197"/>
    <w:rsid w:val="00DD3965"/>
    <w:rsid w:val="00DE0690"/>
    <w:rsid w:val="00E00741"/>
    <w:rsid w:val="00E0095A"/>
    <w:rsid w:val="00E03116"/>
    <w:rsid w:val="00E0511A"/>
    <w:rsid w:val="00E11DD2"/>
    <w:rsid w:val="00E14061"/>
    <w:rsid w:val="00E16CE1"/>
    <w:rsid w:val="00E2438F"/>
    <w:rsid w:val="00E27B66"/>
    <w:rsid w:val="00E362F1"/>
    <w:rsid w:val="00E37C92"/>
    <w:rsid w:val="00E515E2"/>
    <w:rsid w:val="00E51B55"/>
    <w:rsid w:val="00E577DE"/>
    <w:rsid w:val="00E60460"/>
    <w:rsid w:val="00E62983"/>
    <w:rsid w:val="00E65B87"/>
    <w:rsid w:val="00E66A10"/>
    <w:rsid w:val="00E66E9C"/>
    <w:rsid w:val="00E67EAE"/>
    <w:rsid w:val="00E72616"/>
    <w:rsid w:val="00E75F7B"/>
    <w:rsid w:val="00E76113"/>
    <w:rsid w:val="00E807A1"/>
    <w:rsid w:val="00E80D4C"/>
    <w:rsid w:val="00E87AFF"/>
    <w:rsid w:val="00E945A8"/>
    <w:rsid w:val="00E9500B"/>
    <w:rsid w:val="00E96417"/>
    <w:rsid w:val="00EA31E6"/>
    <w:rsid w:val="00EA5E99"/>
    <w:rsid w:val="00EB2313"/>
    <w:rsid w:val="00EB2A98"/>
    <w:rsid w:val="00EC488B"/>
    <w:rsid w:val="00ED3ABD"/>
    <w:rsid w:val="00ED3E91"/>
    <w:rsid w:val="00ED41D8"/>
    <w:rsid w:val="00ED5A4B"/>
    <w:rsid w:val="00EE0533"/>
    <w:rsid w:val="00EE2381"/>
    <w:rsid w:val="00EE45CE"/>
    <w:rsid w:val="00EF053D"/>
    <w:rsid w:val="00EF0E00"/>
    <w:rsid w:val="00EF5F3B"/>
    <w:rsid w:val="00EF60F5"/>
    <w:rsid w:val="00EF77DA"/>
    <w:rsid w:val="00F038B3"/>
    <w:rsid w:val="00F11D40"/>
    <w:rsid w:val="00F12D21"/>
    <w:rsid w:val="00F14CB9"/>
    <w:rsid w:val="00F2058C"/>
    <w:rsid w:val="00F22E41"/>
    <w:rsid w:val="00F2346C"/>
    <w:rsid w:val="00F23857"/>
    <w:rsid w:val="00F253E1"/>
    <w:rsid w:val="00F308D8"/>
    <w:rsid w:val="00F3110D"/>
    <w:rsid w:val="00F31948"/>
    <w:rsid w:val="00F4216E"/>
    <w:rsid w:val="00F45EA4"/>
    <w:rsid w:val="00F46354"/>
    <w:rsid w:val="00F54AC8"/>
    <w:rsid w:val="00F550B2"/>
    <w:rsid w:val="00F564D6"/>
    <w:rsid w:val="00F70450"/>
    <w:rsid w:val="00F76FDC"/>
    <w:rsid w:val="00F810A6"/>
    <w:rsid w:val="00F8374A"/>
    <w:rsid w:val="00F90CAD"/>
    <w:rsid w:val="00F91A3A"/>
    <w:rsid w:val="00F93B70"/>
    <w:rsid w:val="00F9421E"/>
    <w:rsid w:val="00F973BD"/>
    <w:rsid w:val="00F976B2"/>
    <w:rsid w:val="00FA11C6"/>
    <w:rsid w:val="00FA5EA5"/>
    <w:rsid w:val="00FC41E9"/>
    <w:rsid w:val="00FC5444"/>
    <w:rsid w:val="00FD47A5"/>
    <w:rsid w:val="00FD65AC"/>
    <w:rsid w:val="00FE783F"/>
    <w:rsid w:val="00FF30F5"/>
    <w:rsid w:val="00FF41B5"/>
    <w:rsid w:val="00FF5A9E"/>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41541DB2"/>
  <w15:docId w15:val="{59081224-585C-418E-8CAD-05680B7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8E38A4"/>
    <w:rPr>
      <w:sz w:val="24"/>
      <w:szCs w:val="24"/>
    </w:rPr>
  </w:style>
  <w:style w:type="paragraph" w:styleId="Heading1">
    <w:name w:val="heading 1"/>
    <w:next w:val="CPITNumberedParagraphText"/>
    <w:link w:val="Heading1Char"/>
    <w:uiPriority w:val="9"/>
    <w:rsid w:val="00FE78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335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335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F"/>
    <w:rPr>
      <w:rFonts w:ascii="Cambria" w:hAnsi="Cambria"/>
      <w:b/>
      <w:bCs/>
      <w:kern w:val="32"/>
      <w:sz w:val="32"/>
      <w:szCs w:val="32"/>
      <w:lang w:val="en-GB" w:eastAsia="en-GB" w:bidi="ar-SA"/>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CPITNumberedParagraphText">
    <w:name w:val="CPIT Numbered Paragraph Text"/>
    <w:link w:val="CPITNumberedParagraphTextChar"/>
    <w:rsid w:val="00A821C7"/>
    <w:pPr>
      <w:numPr>
        <w:ilvl w:val="2"/>
        <w:numId w:val="38"/>
      </w:numPr>
      <w:tabs>
        <w:tab w:val="left" w:pos="851"/>
      </w:tabs>
      <w:spacing w:after="120"/>
    </w:pPr>
    <w:rPr>
      <w:rFonts w:ascii="Arial" w:hAnsi="Arial" w:cs="Arial"/>
      <w:sz w:val="24"/>
      <w:szCs w:val="24"/>
    </w:rPr>
  </w:style>
  <w:style w:type="paragraph" w:customStyle="1" w:styleId="Subheading3">
    <w:name w:val="Subheading 3"/>
    <w:next w:val="CPITNumberedParagraphText"/>
    <w:qFormat/>
    <w:rsid w:val="00C20607"/>
    <w:rPr>
      <w:rFonts w:ascii="Arial" w:hAnsi="Arial" w:cs="Arial"/>
      <w:b/>
      <w:color w:val="7030A0"/>
      <w:sz w:val="28"/>
      <w:szCs w:val="28"/>
    </w:rPr>
  </w:style>
  <w:style w:type="character" w:customStyle="1" w:styleId="CPITNumberedParagraphTextChar">
    <w:name w:val="CPIT Numbered Paragraph Text Char"/>
    <w:basedOn w:val="DefaultParagraphFont"/>
    <w:link w:val="CPITNumberedParagraphText"/>
    <w:rsid w:val="00A821C7"/>
    <w:rPr>
      <w:rFonts w:ascii="Arial" w:hAnsi="Arial" w:cs="Arial"/>
      <w:sz w:val="24"/>
      <w:szCs w:val="24"/>
    </w:rPr>
  </w:style>
  <w:style w:type="paragraph" w:customStyle="1" w:styleId="Subheading1">
    <w:name w:val="Subheading 1"/>
    <w:next w:val="CPITNumberedParagraphText"/>
    <w:qFormat/>
    <w:rsid w:val="002F78B4"/>
    <w:pPr>
      <w:spacing w:after="120"/>
    </w:pPr>
    <w:rPr>
      <w:rFonts w:ascii="Arial" w:hAnsi="Arial" w:cs="Arial"/>
      <w:b/>
      <w:color w:val="8F23B3"/>
      <w:sz w:val="32"/>
      <w:szCs w:val="32"/>
    </w:rPr>
  </w:style>
  <w:style w:type="paragraph" w:customStyle="1" w:styleId="CPITSectionHeader">
    <w:name w:val="CPIT Section Header"/>
    <w:next w:val="CPITNumberedParagraphText"/>
    <w:qFormat/>
    <w:rsid w:val="0015623B"/>
    <w:pPr>
      <w:spacing w:after="120"/>
    </w:pPr>
    <w:rPr>
      <w:rFonts w:ascii="Arial" w:hAnsi="Arial" w:cs="Arial"/>
      <w:color w:val="8F23B3"/>
      <w:sz w:val="52"/>
      <w:szCs w:val="52"/>
    </w:rPr>
  </w:style>
  <w:style w:type="paragraph" w:styleId="NormalWeb">
    <w:name w:val="Normal (Web)"/>
    <w:basedOn w:val="Normal"/>
    <w:uiPriority w:val="99"/>
    <w:semiHidden/>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CPITNumberedParagraphText"/>
    <w:rsid w:val="00C20607"/>
    <w:rPr>
      <w:b w:val="0"/>
      <w:bCs/>
      <w:color w:val="7030A0"/>
    </w:rPr>
  </w:style>
  <w:style w:type="paragraph" w:customStyle="1" w:styleId="Subheading4">
    <w:name w:val="Subheading 4"/>
    <w:basedOn w:val="Subheading1"/>
    <w:next w:val="CPITNumberedParagraphText"/>
    <w:rsid w:val="00C20607"/>
    <w:rPr>
      <w:b w:val="0"/>
      <w:color w:val="7030A0"/>
      <w:sz w:val="28"/>
      <w:szCs w:val="28"/>
    </w:rPr>
  </w:style>
  <w:style w:type="paragraph" w:customStyle="1" w:styleId="COI-Body-Sectionhead">
    <w:name w:val="COI-Body-Section head"/>
    <w:basedOn w:val="Normal"/>
    <w:next w:val="Normal"/>
    <w:qFormat/>
    <w:rsid w:val="007200E5"/>
    <w:pPr>
      <w:numPr>
        <w:ilvl w:val="1"/>
        <w:numId w:val="1"/>
      </w:numPr>
      <w:spacing w:after="200" w:line="276" w:lineRule="auto"/>
    </w:pPr>
    <w:rPr>
      <w:rFonts w:ascii="Arial" w:eastAsia="Calibri" w:hAnsi="Arial" w:cs="Arial"/>
      <w:b/>
      <w:color w:val="8F23B3"/>
      <w:sz w:val="32"/>
      <w:szCs w:val="22"/>
      <w:lang w:eastAsia="en-US"/>
    </w:rPr>
  </w:style>
  <w:style w:type="paragraph" w:customStyle="1" w:styleId="CPITProduct">
    <w:name w:val="CPIT Product"/>
    <w:basedOn w:val="Normal"/>
    <w:qFormat/>
    <w:rsid w:val="00246211"/>
    <w:pPr>
      <w:spacing w:after="200" w:line="276" w:lineRule="auto"/>
    </w:pPr>
    <w:rPr>
      <w:rFonts w:ascii="Arial" w:eastAsia="Calibri" w:hAnsi="Arial" w:cs="Arial"/>
      <w:b/>
      <w:color w:val="8F23B3"/>
      <w:sz w:val="52"/>
      <w:szCs w:val="22"/>
      <w:lang w:eastAsia="en-US"/>
    </w:rPr>
  </w:style>
  <w:style w:type="paragraph" w:customStyle="1" w:styleId="COI-Body-Chapterheads">
    <w:name w:val="COI-Body-Chapter heads"/>
    <w:basedOn w:val="Normal"/>
    <w:link w:val="COI-Body-ChapterheadsChar"/>
    <w:rsid w:val="007200E5"/>
    <w:pPr>
      <w:numPr>
        <w:numId w:val="1"/>
      </w:numPr>
      <w:spacing w:after="240"/>
    </w:pPr>
    <w:rPr>
      <w:rFonts w:ascii="Arial" w:eastAsia="Calibri" w:hAnsi="Arial"/>
      <w:color w:val="8F23B3"/>
      <w:sz w:val="52"/>
      <w:szCs w:val="32"/>
      <w:lang w:eastAsia="en-US"/>
    </w:rPr>
  </w:style>
  <w:style w:type="character" w:customStyle="1" w:styleId="COI-Body-ChapterheadsChar">
    <w:name w:val="COI-Body-Chapter heads Char"/>
    <w:link w:val="COI-Body-Chapterheads"/>
    <w:rsid w:val="007200E5"/>
    <w:rPr>
      <w:rFonts w:ascii="Arial" w:eastAsia="Calibri" w:hAnsi="Arial"/>
      <w:color w:val="8F23B3"/>
      <w:sz w:val="52"/>
      <w:szCs w:val="32"/>
      <w:lang w:eastAsia="en-US"/>
    </w:rPr>
  </w:style>
  <w:style w:type="paragraph" w:customStyle="1" w:styleId="CPITSummaryofIssuesText">
    <w:name w:val="CPIT Summary of Issues Text"/>
    <w:basedOn w:val="Normal"/>
    <w:qFormat/>
    <w:rsid w:val="007200E5"/>
    <w:pPr>
      <w:numPr>
        <w:ilvl w:val="2"/>
        <w:numId w:val="1"/>
      </w:numPr>
      <w:spacing w:after="240"/>
    </w:pPr>
    <w:rPr>
      <w:rFonts w:ascii="Arial" w:hAnsi="Arial"/>
      <w:color w:val="000000"/>
    </w:rPr>
  </w:style>
  <w:style w:type="character" w:customStyle="1" w:styleId="CPITCOI-Link">
    <w:name w:val="CPIT COI-Link"/>
    <w:rsid w:val="007200E5"/>
    <w:rPr>
      <w:rFonts w:ascii="Arial" w:hAnsi="Arial" w:cs="Arial"/>
      <w:color w:val="auto"/>
      <w:sz w:val="24"/>
      <w:szCs w:val="22"/>
      <w:u w:val="single" w:color="8F23B3"/>
    </w:rPr>
  </w:style>
  <w:style w:type="paragraph" w:styleId="TOC2">
    <w:name w:val="toc 2"/>
    <w:basedOn w:val="Normal"/>
    <w:next w:val="Normal"/>
    <w:autoRedefine/>
    <w:uiPriority w:val="39"/>
    <w:unhideWhenUsed/>
    <w:rsid w:val="0003355F"/>
    <w:pPr>
      <w:tabs>
        <w:tab w:val="left" w:pos="660"/>
        <w:tab w:val="right" w:pos="10206"/>
      </w:tabs>
      <w:spacing w:line="360" w:lineRule="auto"/>
    </w:pPr>
    <w:rPr>
      <w:rFonts w:ascii="Arial" w:hAnsi="Arial"/>
      <w:color w:val="8F23B3"/>
    </w:rPr>
  </w:style>
  <w:style w:type="paragraph" w:styleId="TOC1">
    <w:name w:val="toc 1"/>
    <w:basedOn w:val="Normal"/>
    <w:next w:val="Normal"/>
    <w:autoRedefine/>
    <w:uiPriority w:val="39"/>
    <w:unhideWhenUsed/>
    <w:qFormat/>
    <w:rsid w:val="0003355F"/>
    <w:pPr>
      <w:tabs>
        <w:tab w:val="right" w:pos="10194"/>
      </w:tabs>
      <w:spacing w:line="360" w:lineRule="auto"/>
    </w:pPr>
    <w:rPr>
      <w:rFonts w:ascii="Arial" w:hAnsi="Arial"/>
      <w:b/>
      <w:color w:val="8F23B3"/>
    </w:rPr>
  </w:style>
  <w:style w:type="character" w:styleId="FollowedHyperlink">
    <w:name w:val="FollowedHyperlink"/>
    <w:basedOn w:val="DefaultParagraphFont"/>
    <w:uiPriority w:val="99"/>
    <w:semiHidden/>
    <w:unhideWhenUsed/>
    <w:rsid w:val="00B50E2C"/>
    <w:rPr>
      <w:color w:val="800080"/>
      <w:u w:val="single"/>
    </w:rPr>
  </w:style>
  <w:style w:type="paragraph" w:customStyle="1" w:styleId="CPITSub-header1">
    <w:name w:val="CPIT Sub-header 1"/>
    <w:basedOn w:val="Subheading1"/>
    <w:rsid w:val="0003355F"/>
    <w:pPr>
      <w:tabs>
        <w:tab w:val="left" w:pos="851"/>
      </w:tabs>
    </w:pPr>
    <w:rPr>
      <w:rFonts w:cs="Times New Roman"/>
      <w:bCs/>
      <w:szCs w:val="20"/>
    </w:rPr>
  </w:style>
  <w:style w:type="character" w:customStyle="1" w:styleId="Heading2Char">
    <w:name w:val="Heading 2 Char"/>
    <w:basedOn w:val="DefaultParagraphFont"/>
    <w:link w:val="Heading2"/>
    <w:uiPriority w:val="9"/>
    <w:semiHidden/>
    <w:rsid w:val="0003355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3355F"/>
    <w:rPr>
      <w:rFonts w:ascii="Cambria" w:eastAsia="Times New Roman" w:hAnsi="Cambria" w:cs="Times New Roman"/>
      <w:b/>
      <w:bCs/>
      <w:sz w:val="26"/>
      <w:szCs w:val="26"/>
    </w:rPr>
  </w:style>
  <w:style w:type="paragraph" w:styleId="ListParagraph">
    <w:name w:val="List Paragraph"/>
    <w:basedOn w:val="Normal"/>
    <w:uiPriority w:val="34"/>
    <w:qFormat/>
    <w:rsid w:val="00387B70"/>
    <w:pPr>
      <w:ind w:left="720"/>
    </w:pPr>
  </w:style>
  <w:style w:type="character" w:styleId="CommentReference">
    <w:name w:val="annotation reference"/>
    <w:basedOn w:val="DefaultParagraphFont"/>
    <w:uiPriority w:val="99"/>
    <w:semiHidden/>
    <w:unhideWhenUsed/>
    <w:rsid w:val="005A2525"/>
    <w:rPr>
      <w:sz w:val="16"/>
      <w:szCs w:val="16"/>
    </w:rPr>
  </w:style>
  <w:style w:type="paragraph" w:styleId="CommentText">
    <w:name w:val="annotation text"/>
    <w:basedOn w:val="Normal"/>
    <w:link w:val="CommentTextChar"/>
    <w:uiPriority w:val="99"/>
    <w:semiHidden/>
    <w:unhideWhenUsed/>
    <w:rsid w:val="005A2525"/>
    <w:pPr>
      <w:spacing w:after="200" w:line="276" w:lineRule="auto"/>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semiHidden/>
    <w:rsid w:val="005A2525"/>
    <w:rPr>
      <w:rFonts w:ascii="Arial" w:eastAsia="Calibri" w:hAnsi="Arial" w:cs="Arial"/>
      <w:lang w:eastAsia="en-US"/>
    </w:rPr>
  </w:style>
  <w:style w:type="character" w:customStyle="1" w:styleId="COI-Link-Margin">
    <w:name w:val="COI-Link-Margin"/>
    <w:uiPriority w:val="1"/>
    <w:rsid w:val="009E2A30"/>
    <w:rPr>
      <w:rFonts w:ascii="Arial" w:hAnsi="Arial" w:cs="Times New Roman"/>
      <w:sz w:val="22"/>
      <w:u w:val="single" w:color="8F23B3"/>
    </w:rPr>
  </w:style>
  <w:style w:type="paragraph" w:customStyle="1" w:styleId="Default">
    <w:name w:val="Default"/>
    <w:rsid w:val="00B4705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A4C77"/>
    <w:pPr>
      <w:spacing w:after="0" w:line="240" w:lineRule="auto"/>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A4C77"/>
    <w:rPr>
      <w:rFonts w:ascii="Arial" w:eastAsia="Calibri" w:hAnsi="Arial" w:cs="Arial"/>
      <w:b/>
      <w:bCs/>
      <w:lang w:eastAsia="en-US"/>
    </w:rPr>
  </w:style>
  <w:style w:type="paragraph" w:customStyle="1" w:styleId="CPITDateUpdatedText">
    <w:name w:val="CPIT Date Updated Text"/>
    <w:basedOn w:val="Normal"/>
    <w:rsid w:val="00C96CF8"/>
    <w:pPr>
      <w:spacing w:before="120" w:after="120"/>
      <w:jc w:val="right"/>
    </w:pPr>
    <w:rPr>
      <w:rFonts w:ascii="Arial" w:hAnsi="Arial"/>
      <w:color w:val="8F23B3"/>
      <w:szCs w:val="20"/>
    </w:rPr>
  </w:style>
  <w:style w:type="paragraph" w:customStyle="1" w:styleId="CPITInstructionalHelpText">
    <w:name w:val="CPIT Instructional/Help Text"/>
    <w:basedOn w:val="Normal"/>
    <w:rsid w:val="00C96CF8"/>
    <w:pPr>
      <w:spacing w:after="120" w:line="23" w:lineRule="atLeast"/>
    </w:pPr>
    <w:rPr>
      <w:rFonts w:ascii="Arial" w:hAnsi="Arial"/>
      <w:color w:val="0070C0"/>
      <w:szCs w:val="20"/>
    </w:rPr>
  </w:style>
  <w:style w:type="paragraph" w:customStyle="1" w:styleId="CPITIssuetoConsider">
    <w:name w:val="CPIT Issue to Consider"/>
    <w:basedOn w:val="Normal"/>
    <w:rsid w:val="007037F7"/>
    <w:pPr>
      <w:numPr>
        <w:ilvl w:val="1"/>
        <w:numId w:val="38"/>
      </w:numPr>
      <w:spacing w:before="120" w:after="120"/>
    </w:pPr>
    <w:rPr>
      <w:rFonts w:ascii="Arial" w:hAnsi="Arial"/>
      <w:color w:val="8F23B3"/>
      <w:szCs w:val="20"/>
    </w:rPr>
  </w:style>
  <w:style w:type="paragraph" w:customStyle="1" w:styleId="CPITBacktoContentsLinks">
    <w:name w:val="CPIT Back to Contents Links"/>
    <w:basedOn w:val="Normal"/>
    <w:rsid w:val="00990861"/>
    <w:pPr>
      <w:spacing w:after="120"/>
      <w:ind w:left="720" w:right="-1"/>
      <w:jc w:val="right"/>
    </w:pPr>
    <w:rPr>
      <w:rFonts w:ascii="Arial" w:hAnsi="Arial"/>
      <w:szCs w:val="20"/>
      <w:u w:val="single" w:color="8F23B3"/>
    </w:rPr>
  </w:style>
  <w:style w:type="paragraph" w:customStyle="1" w:styleId="CPITProduct-CategoryofClaim">
    <w:name w:val="CPIT Product - Category of Claim"/>
    <w:basedOn w:val="CPITProduct"/>
    <w:rsid w:val="00246211"/>
    <w:pPr>
      <w:spacing w:after="120"/>
    </w:pPr>
    <w:rPr>
      <w:rFonts w:eastAsia="Times New Roman" w:cs="Times New Roman"/>
      <w:b w:val="0"/>
      <w:szCs w:val="20"/>
    </w:rPr>
  </w:style>
  <w:style w:type="paragraph" w:customStyle="1" w:styleId="CPITChangeRecordText">
    <w:name w:val="CPIT Change Record Text"/>
    <w:basedOn w:val="Normal"/>
    <w:qFormat/>
    <w:rsid w:val="00246211"/>
    <w:pPr>
      <w:spacing w:before="60" w:after="60" w:line="276" w:lineRule="auto"/>
    </w:pPr>
    <w:rPr>
      <w:rFonts w:ascii="Arial" w:hAnsi="Arial"/>
      <w:szCs w:val="20"/>
    </w:rPr>
  </w:style>
  <w:style w:type="paragraph" w:customStyle="1" w:styleId="CPITPrefaceText">
    <w:name w:val="CPIT Preface Text"/>
    <w:basedOn w:val="Normal"/>
    <w:rsid w:val="00246211"/>
    <w:pPr>
      <w:spacing w:after="120"/>
    </w:pPr>
    <w:rPr>
      <w:rFonts w:ascii="Arial" w:hAnsi="Arial"/>
      <w:szCs w:val="20"/>
    </w:rPr>
  </w:style>
  <w:style w:type="paragraph" w:customStyle="1" w:styleId="CPITNonLinkedHeader">
    <w:name w:val="CPIT Non Linked Header"/>
    <w:basedOn w:val="Normal"/>
    <w:rsid w:val="00C96CF8"/>
    <w:pPr>
      <w:spacing w:after="120"/>
    </w:pPr>
    <w:rPr>
      <w:rFonts w:ascii="Arial" w:hAnsi="Arial"/>
      <w:color w:val="8F23B3"/>
      <w:sz w:val="52"/>
      <w:szCs w:val="20"/>
    </w:rPr>
  </w:style>
  <w:style w:type="paragraph" w:customStyle="1" w:styleId="CPITNon-NumberedParagraphText">
    <w:name w:val="CPIT Non-Numbered Paragraph Text"/>
    <w:basedOn w:val="CPITNumberedParagraphText"/>
    <w:rsid w:val="00A81521"/>
    <w:pPr>
      <w:numPr>
        <w:ilvl w:val="0"/>
        <w:numId w:val="0"/>
      </w:numPr>
    </w:pPr>
    <w:rPr>
      <w:rFonts w:cs="Times New Roman"/>
      <w:szCs w:val="20"/>
    </w:rPr>
  </w:style>
  <w:style w:type="paragraph" w:customStyle="1" w:styleId="CPITMinorSubHeader">
    <w:name w:val="CPIT Minor Sub Header"/>
    <w:basedOn w:val="CPITNumberedParagraphText"/>
    <w:rsid w:val="0015623B"/>
    <w:pPr>
      <w:numPr>
        <w:ilvl w:val="0"/>
        <w:numId w:val="0"/>
      </w:numPr>
    </w:pPr>
    <w:rPr>
      <w:rFonts w:cs="Times New Roman"/>
      <w:color w:val="8F23B3"/>
      <w:szCs w:val="20"/>
    </w:rPr>
  </w:style>
  <w:style w:type="paragraph" w:customStyle="1" w:styleId="CPITPolicySummaryText">
    <w:name w:val="CPIT Policy Summary Text"/>
    <w:basedOn w:val="CPITNumberedParagraphText"/>
    <w:rsid w:val="0015623B"/>
    <w:rPr>
      <w:b/>
      <w:bCs/>
    </w:rPr>
  </w:style>
  <w:style w:type="paragraph" w:customStyle="1" w:styleId="StyleCPITChangeRecordHeaders">
    <w:name w:val="Style CPIT Change Record Headers"/>
    <w:basedOn w:val="CPITChangeRecordText"/>
    <w:rsid w:val="0015623B"/>
    <w:rPr>
      <w:b/>
      <w:bCs/>
    </w:rPr>
  </w:style>
  <w:style w:type="paragraph" w:customStyle="1" w:styleId="paragraphtext">
    <w:name w:val="paragraph text"/>
    <w:basedOn w:val="Normal"/>
    <w:qFormat/>
    <w:rsid w:val="003C6228"/>
    <w:pPr>
      <w:spacing w:after="240"/>
      <w:ind w:left="1021" w:hanging="737"/>
    </w:pPr>
    <w:rPr>
      <w:rFonts w:ascii="Arial" w:eastAsia="Calibri" w:hAnsi="Arial" w:cs="Arial"/>
      <w:color w:val="000000"/>
    </w:rPr>
  </w:style>
  <w:style w:type="paragraph" w:customStyle="1" w:styleId="CPITFootnoteLinks">
    <w:name w:val="CPIT Footnote Links"/>
    <w:basedOn w:val="FootnoteText"/>
    <w:rsid w:val="00897AD5"/>
  </w:style>
  <w:style w:type="paragraph" w:styleId="FootnoteText">
    <w:name w:val="footnote text"/>
    <w:aliases w:val="5_G"/>
    <w:basedOn w:val="Normal"/>
    <w:link w:val="FootnoteTextChar"/>
    <w:uiPriority w:val="99"/>
    <w:unhideWhenUsed/>
    <w:qFormat/>
    <w:rsid w:val="00996B43"/>
    <w:rPr>
      <w:rFonts w:ascii="Arial" w:hAnsi="Arial"/>
      <w:sz w:val="20"/>
      <w:szCs w:val="20"/>
    </w:rPr>
  </w:style>
  <w:style w:type="character" w:customStyle="1" w:styleId="FootnoteTextChar">
    <w:name w:val="Footnote Text Char"/>
    <w:aliases w:val="5_G Char"/>
    <w:basedOn w:val="DefaultParagraphFont"/>
    <w:link w:val="FootnoteText"/>
    <w:uiPriority w:val="99"/>
    <w:rsid w:val="00996B43"/>
    <w:rPr>
      <w:rFonts w:ascii="Arial" w:hAnsi="Arial"/>
    </w:rPr>
  </w:style>
  <w:style w:type="character" w:styleId="FootnoteReference">
    <w:name w:val="footnote reference"/>
    <w:basedOn w:val="DefaultParagraphFont"/>
    <w:uiPriority w:val="99"/>
    <w:unhideWhenUsed/>
    <w:rsid w:val="004E29A1"/>
    <w:rPr>
      <w:vertAlign w:val="superscript"/>
    </w:rPr>
  </w:style>
  <w:style w:type="paragraph" w:styleId="EndnoteText">
    <w:name w:val="endnote text"/>
    <w:basedOn w:val="Normal"/>
    <w:link w:val="EndnoteTextChar"/>
    <w:uiPriority w:val="99"/>
    <w:semiHidden/>
    <w:unhideWhenUsed/>
    <w:rsid w:val="004E29A1"/>
    <w:rPr>
      <w:sz w:val="20"/>
      <w:szCs w:val="20"/>
    </w:rPr>
  </w:style>
  <w:style w:type="character" w:customStyle="1" w:styleId="EndnoteTextChar">
    <w:name w:val="Endnote Text Char"/>
    <w:basedOn w:val="DefaultParagraphFont"/>
    <w:link w:val="EndnoteText"/>
    <w:uiPriority w:val="99"/>
    <w:semiHidden/>
    <w:rsid w:val="004E29A1"/>
  </w:style>
  <w:style w:type="character" w:styleId="EndnoteReference">
    <w:name w:val="endnote reference"/>
    <w:basedOn w:val="DefaultParagraphFont"/>
    <w:uiPriority w:val="99"/>
    <w:semiHidden/>
    <w:unhideWhenUsed/>
    <w:rsid w:val="004E29A1"/>
    <w:rPr>
      <w:vertAlign w:val="superscript"/>
    </w:rPr>
  </w:style>
  <w:style w:type="numbering" w:customStyle="1" w:styleId="StyleBulletedSymbolsymbol10ptPurpleLeft15cm">
    <w:name w:val="Style Bulleted Symbol (symbol) 10 pt Purple Left:  1.5 cm"/>
    <w:basedOn w:val="NoList"/>
    <w:rsid w:val="000B5FD6"/>
    <w:pPr>
      <w:numPr>
        <w:numId w:val="10"/>
      </w:numPr>
    </w:pPr>
  </w:style>
  <w:style w:type="character" w:customStyle="1" w:styleId="COI-Link">
    <w:name w:val="COI-Link"/>
    <w:rsid w:val="00885D8E"/>
    <w:rPr>
      <w:rFonts w:ascii="Arial" w:hAnsi="Arial" w:cs="Arial"/>
      <w:color w:val="auto"/>
      <w:sz w:val="24"/>
      <w:szCs w:val="22"/>
      <w:u w:val="single" w:color="8F23B3"/>
    </w:rPr>
  </w:style>
  <w:style w:type="paragraph" w:customStyle="1" w:styleId="COI-FootnoteLink">
    <w:name w:val="COI-Footnote Link"/>
    <w:basedOn w:val="FootnoteText"/>
    <w:link w:val="COI-FootnoteLinkChar"/>
    <w:qFormat/>
    <w:rsid w:val="00885D8E"/>
    <w:rPr>
      <w:color w:val="000000"/>
      <w:u w:val="single" w:color="8F23B3"/>
    </w:rPr>
  </w:style>
  <w:style w:type="character" w:customStyle="1" w:styleId="COI-FootnoteLinkChar">
    <w:name w:val="COI-Footnote Link Char"/>
    <w:link w:val="COI-FootnoteLink"/>
    <w:rsid w:val="00885D8E"/>
    <w:rPr>
      <w:rFonts w:ascii="Arial" w:hAnsi="Arial"/>
      <w:color w:val="000000"/>
      <w:u w:val="single" w:color="8F23B3"/>
    </w:rPr>
  </w:style>
  <w:style w:type="paragraph" w:customStyle="1" w:styleId="CPITQuote">
    <w:name w:val="CPIT Quote"/>
    <w:basedOn w:val="paragraphtext"/>
    <w:rsid w:val="009458A9"/>
    <w:pPr>
      <w:spacing w:after="120"/>
      <w:ind w:left="851" w:firstLine="0"/>
    </w:pPr>
    <w:rPr>
      <w:rFonts w:eastAsia="Times New Roman" w:cs="Times New Roman"/>
      <w:szCs w:val="20"/>
    </w:rPr>
  </w:style>
  <w:style w:type="paragraph" w:customStyle="1" w:styleId="COI-TableText">
    <w:name w:val="COI-Table Text"/>
    <w:rsid w:val="00A920C5"/>
    <w:rPr>
      <w:rFonts w:ascii="Arial" w:hAnsi="Arial" w:cs="Arial"/>
      <w:color w:val="000000"/>
      <w:sz w:val="24"/>
      <w:szCs w:val="24"/>
    </w:rPr>
  </w:style>
  <w:style w:type="paragraph" w:customStyle="1" w:styleId="COI-TableTextBold">
    <w:name w:val="COI-Table Text Bold"/>
    <w:rsid w:val="00A920C5"/>
    <w:rPr>
      <w:rFonts w:ascii="Arial" w:hAnsi="Arial" w:cs="Arial"/>
      <w:b/>
      <w:color w:val="000000"/>
      <w:sz w:val="24"/>
      <w:szCs w:val="24"/>
    </w:rPr>
  </w:style>
  <w:style w:type="paragraph" w:customStyle="1" w:styleId="COI-Body-Quote">
    <w:name w:val="COI-Body-Quote"/>
    <w:basedOn w:val="Normal"/>
    <w:link w:val="COI-Body-QuoteChar"/>
    <w:qFormat/>
    <w:rsid w:val="00A920C5"/>
    <w:pPr>
      <w:spacing w:after="240"/>
      <w:ind w:left="737"/>
    </w:pPr>
    <w:rPr>
      <w:rFonts w:ascii="Arial" w:hAnsi="Arial"/>
      <w:color w:val="000000"/>
    </w:rPr>
  </w:style>
  <w:style w:type="paragraph" w:customStyle="1" w:styleId="COI-Body-List">
    <w:name w:val="COI-Body-List"/>
    <w:basedOn w:val="Normal"/>
    <w:qFormat/>
    <w:rsid w:val="00A920C5"/>
    <w:pPr>
      <w:numPr>
        <w:numId w:val="20"/>
      </w:numPr>
      <w:tabs>
        <w:tab w:val="left" w:pos="851"/>
      </w:tabs>
      <w:spacing w:after="240"/>
      <w:contextualSpacing/>
    </w:pPr>
    <w:rPr>
      <w:rFonts w:ascii="Arial" w:hAnsi="Arial" w:cs="Arial"/>
      <w:color w:val="000000"/>
    </w:rPr>
  </w:style>
  <w:style w:type="character" w:customStyle="1" w:styleId="COI-Body-QuoteChar">
    <w:name w:val="COI-Body-Quote Char"/>
    <w:link w:val="COI-Body-Quote"/>
    <w:rsid w:val="00A920C5"/>
    <w:rPr>
      <w:rFonts w:ascii="Arial" w:hAnsi="Arial"/>
      <w:color w:val="000000"/>
      <w:sz w:val="24"/>
      <w:szCs w:val="24"/>
    </w:rPr>
  </w:style>
  <w:style w:type="paragraph" w:customStyle="1" w:styleId="COI-Body-Numpara">
    <w:name w:val="COI-Body-Num para"/>
    <w:basedOn w:val="Normal"/>
    <w:qFormat/>
    <w:rsid w:val="002F78B4"/>
    <w:pPr>
      <w:spacing w:after="240"/>
      <w:ind w:left="851" w:hanging="851"/>
    </w:pPr>
    <w:rPr>
      <w:rFonts w:ascii="Arial" w:hAnsi="Arial"/>
      <w:color w:val="000000"/>
    </w:rPr>
  </w:style>
  <w:style w:type="paragraph" w:customStyle="1" w:styleId="COI-Body-Leftalign">
    <w:name w:val="COI-Body-Left align"/>
    <w:basedOn w:val="Normal"/>
    <w:link w:val="COI-Body-LeftalignChar"/>
    <w:qFormat/>
    <w:rsid w:val="00496A84"/>
    <w:pPr>
      <w:spacing w:after="240"/>
    </w:pPr>
    <w:rPr>
      <w:rFonts w:ascii="Arial" w:eastAsia="Calibri" w:hAnsi="Arial"/>
      <w:szCs w:val="22"/>
      <w:lang w:eastAsia="en-US"/>
    </w:rPr>
  </w:style>
  <w:style w:type="character" w:customStyle="1" w:styleId="COI-Body-LeftalignChar">
    <w:name w:val="COI-Body-Left align Char"/>
    <w:link w:val="COI-Body-Leftalign"/>
    <w:rsid w:val="00496A84"/>
    <w:rPr>
      <w:rFonts w:ascii="Arial" w:eastAsia="Calibri" w:hAnsi="Arial"/>
      <w:sz w:val="24"/>
      <w:szCs w:val="22"/>
      <w:lang w:eastAsia="en-US"/>
    </w:rPr>
  </w:style>
  <w:style w:type="numbering" w:customStyle="1" w:styleId="StyleBulletedArial10ptPurpleLeft0cmHanging15cm">
    <w:name w:val="Style Bulleted Arial 10 pt Purple Left:  0 cm Hanging:  1.5 cm"/>
    <w:basedOn w:val="NoList"/>
    <w:rsid w:val="0040279B"/>
    <w:pPr>
      <w:numPr>
        <w:numId w:val="21"/>
      </w:numPr>
    </w:pPr>
  </w:style>
  <w:style w:type="paragraph" w:customStyle="1" w:styleId="ParagraphText0">
    <w:name w:val="Paragraph Text"/>
    <w:link w:val="ParagraphTextChar"/>
    <w:rsid w:val="00D66CAC"/>
    <w:pPr>
      <w:tabs>
        <w:tab w:val="left" w:pos="851"/>
      </w:tabs>
      <w:spacing w:after="120"/>
      <w:ind w:left="720" w:hanging="720"/>
    </w:pPr>
    <w:rPr>
      <w:rFonts w:ascii="Arial" w:hAnsi="Arial" w:cs="Arial"/>
      <w:sz w:val="24"/>
      <w:szCs w:val="24"/>
    </w:rPr>
  </w:style>
  <w:style w:type="character" w:customStyle="1" w:styleId="ParagraphTextChar">
    <w:name w:val="Paragraph Text Char"/>
    <w:basedOn w:val="DefaultParagraphFont"/>
    <w:link w:val="ParagraphText0"/>
    <w:rsid w:val="00D66CA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83266">
      <w:bodyDiv w:val="1"/>
      <w:marLeft w:val="0"/>
      <w:marRight w:val="0"/>
      <w:marTop w:val="0"/>
      <w:marBottom w:val="0"/>
      <w:divBdr>
        <w:top w:val="none" w:sz="0" w:space="0" w:color="auto"/>
        <w:left w:val="none" w:sz="0" w:space="0" w:color="auto"/>
        <w:bottom w:val="none" w:sz="0" w:space="0" w:color="auto"/>
        <w:right w:val="none" w:sz="0" w:space="0" w:color="auto"/>
      </w:divBdr>
    </w:div>
    <w:div w:id="21263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publications/pakistan-country-information-and-guidanc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pakistan-country-information-and-guidance" TargetMode="External"/><Relationship Id="rId34" Type="http://schemas.openxmlformats.org/officeDocument/2006/relationships/hyperlink" Target="http://www.refworld.org/docid/52eba0284.html" TargetMode="External"/><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icinspector.independent.gov.uk/country-information-reviews/" TargetMode="External"/><Relationship Id="rId25" Type="http://schemas.openxmlformats.org/officeDocument/2006/relationships/hyperlink" Target="https://www.gov.uk/government/publications/applications-for-internal-relocation-process" TargetMode="External"/><Relationship Id="rId33" Type="http://schemas.openxmlformats.org/officeDocument/2006/relationships/hyperlink" Target="http://www.bbc.co.uk/religion/religions/islam/subdivisions/sunnishia_1.shtm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granting-discretionary-leav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gov.uk/government/publications/pakistan-country-information-and-guidance" TargetMode="External"/><Relationship Id="rId37" Type="http://schemas.openxmlformats.org/officeDocument/2006/relationships/hyperlink" Target="http://www.bailii.org/uk/cases/UKUT/IAC/2011/00031_ukut_iac_2011_aw_pakistan.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www.gov.uk/government/publications/pakistan-country-information-and-guidance" TargetMode="External"/><Relationship Id="rId28" Type="http://schemas.openxmlformats.org/officeDocument/2006/relationships/hyperlink" Target="https://www.gov.uk/government/publications/humanitarian-protection-instruction" TargetMode="External"/><Relationship Id="rId36" Type="http://schemas.openxmlformats.org/officeDocument/2006/relationships/hyperlink" Target="http://www.satp.org/satporgtp/countries/pakistan/database/Shias_killed_Pakistan.htm" TargetMode="Externa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pakistan-country-information-and-guidan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www.bailii.org/uk/cases/UKUT/IAC/2011/00031_ukut_iac_2011_aw_pakistan.html"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non-suspensive-appeals-certification-under-section-94-of-the-nia-act-2002-process" TargetMode="External"/><Relationship Id="rId35" Type="http://schemas.openxmlformats.org/officeDocument/2006/relationships/hyperlink" Target="https://www.gov.uk/government/publications/pakistan-country-information-and-guidance"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mmi.gov.au/media/publications/pdf/dfat-tir-pakistan.pdf" TargetMode="External"/><Relationship Id="rId13" Type="http://schemas.openxmlformats.org/officeDocument/2006/relationships/hyperlink" Target="http://www.satp.org/satporgtp/sair/Archives/sair12/12_4.htm" TargetMode="External"/><Relationship Id="rId18" Type="http://schemas.openxmlformats.org/officeDocument/2006/relationships/hyperlink" Target="http://www.refworld.org/docid/52eba0284.html" TargetMode="External"/><Relationship Id="rId3" Type="http://schemas.openxmlformats.org/officeDocument/2006/relationships/hyperlink" Target="https://www.immi.gov.au/media/publications/pdf/dfat-tir-pakistan.pdf" TargetMode="External"/><Relationship Id="rId21" Type="http://schemas.openxmlformats.org/officeDocument/2006/relationships/hyperlink" Target="http://tribune.com.pk/story/632311/muharram-10-live-updates-2/" TargetMode="External"/><Relationship Id="rId7" Type="http://schemas.openxmlformats.org/officeDocument/2006/relationships/hyperlink" Target="https://www.immi.gov.au/media/publications/pdf/dfat-tir-pakistan.pdf" TargetMode="External"/><Relationship Id="rId12" Type="http://schemas.openxmlformats.org/officeDocument/2006/relationships/hyperlink" Target="http://www.satp.org/satporgtp/countries/pakistan/database/Shias_killed_Pakistan.htm" TargetMode="External"/><Relationship Id="rId17" Type="http://schemas.openxmlformats.org/officeDocument/2006/relationships/hyperlink" Target="http://www.uscirf.gov/sites/default/files/resources/Pakistan%202013%281%29.pdf" TargetMode="External"/><Relationship Id="rId2" Type="http://schemas.openxmlformats.org/officeDocument/2006/relationships/hyperlink" Target="http://www.refworld.org/docid/52eba0284.html" TargetMode="External"/><Relationship Id="rId16" Type="http://schemas.openxmlformats.org/officeDocument/2006/relationships/hyperlink" Target="http://www.uscirf.gov/" TargetMode="External"/><Relationship Id="rId20" Type="http://schemas.openxmlformats.org/officeDocument/2006/relationships/hyperlink" Target="http://www.aljazeera.com/news/asia/2013/11/deadly-attack-shia-procession-pakistan-2013111602136312926.html" TargetMode="External"/><Relationship Id="rId1" Type="http://schemas.openxmlformats.org/officeDocument/2006/relationships/hyperlink" Target="https://www.cia.gov/library/publications/the-world-factbook/geos/pk.html" TargetMode="External"/><Relationship Id="rId6" Type="http://schemas.openxmlformats.org/officeDocument/2006/relationships/hyperlink" Target="http://www.refworld.org/docid/52eba0284.html" TargetMode="External"/><Relationship Id="rId11" Type="http://schemas.openxmlformats.org/officeDocument/2006/relationships/hyperlink" Target="https://www.immi.gov.au/media/publications/pdf/dfat-tir-pakistan.pdf" TargetMode="External"/><Relationship Id="rId24" Type="http://schemas.openxmlformats.org/officeDocument/2006/relationships/hyperlink" Target="https://www.gov.uk/government/publications/pakistan-country-of-concern/pakistan-country-of-concern-latest-update-31-march-2013" TargetMode="External"/><Relationship Id="rId5" Type="http://schemas.openxmlformats.org/officeDocument/2006/relationships/hyperlink" Target="https://www.immi.gov.au/media/publications/pdf/dfat-tir-pakistan.pdf" TargetMode="External"/><Relationship Id="rId15" Type="http://schemas.openxmlformats.org/officeDocument/2006/relationships/hyperlink" Target="http://www.hrw.org/world-report/2014/country-chapters/pakistan" TargetMode="External"/><Relationship Id="rId23" Type="http://schemas.openxmlformats.org/officeDocument/2006/relationships/hyperlink" Target="http://www.dawn.com/news/1082419/pakistans-shia-pilgrimage-route-to-iran-suspended" TargetMode="External"/><Relationship Id="rId10" Type="http://schemas.openxmlformats.org/officeDocument/2006/relationships/hyperlink" Target="http://www.satp.org/satporgtp/countries/pakistan/database/Shias_killed_Pakistan.htm" TargetMode="External"/><Relationship Id="rId19" Type="http://schemas.openxmlformats.org/officeDocument/2006/relationships/hyperlink" Target="http://www.hrw.org/news/2013/11/11/pakistan-deter-escalating-attacks-shia-muslims" TargetMode="External"/><Relationship Id="rId4" Type="http://schemas.openxmlformats.org/officeDocument/2006/relationships/hyperlink" Target="https://www.immi.gov.au/media/publications/pdf/dfat-tir-pakistan.pdf" TargetMode="External"/><Relationship Id="rId9" Type="http://schemas.openxmlformats.org/officeDocument/2006/relationships/hyperlink" Target="https://www.immi.gov.au/media/publications/pdf/dfat-tir-pakistan.pdf" TargetMode="External"/><Relationship Id="rId14" Type="http://schemas.openxmlformats.org/officeDocument/2006/relationships/hyperlink" Target="http://www.hrw.org/news/2013/11/11/pakistan-deter-escalating-attacks-shia-muslims" TargetMode="External"/><Relationship Id="rId22" Type="http://schemas.openxmlformats.org/officeDocument/2006/relationships/hyperlink" Target="http://www.refworld.org/docid/52eba028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DocId xmlns="6118b057-8ff5-44e4-b1de-321b26ad5719">HOPROCBF-12-4897</_dlc_DocId>
    <_dlc_DocIdUrl xmlns="6118b057-8ff5-44e4-b1de-321b26ad5719">
      <Url>https://teams.ho.cedrm.fgs-cloud.com/sites/PROCBF/CPIPROC/_layouts/DocIdRedir.aspx?ID=HOPROCBF-12-4897</Url>
      <Description>HOPROCBF-12-4897</Description>
    </_dlc_DocIdUrl>
    <_dlc_ExpireDateSaved xmlns="http://schemas.microsoft.com/sharepoint/v3" xsi:nil="true"/>
    <_dlc_ExpireDate xmlns="http://schemas.microsoft.com/sharepoint/v3">2017-12-09T10:50:52+00:00</_dlc_ExpireDate>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Me14</b:Tag>
    <b:SourceType>InternetSite</b:SourceType>
    <b:Guid>{B0C568C4-B73C-4BAF-B0A2-E5CEBD4B137D}</b:Guid>
    <b:Author>
      <b:Author>
        <b:NameList>
          <b:Person>
            <b:Last>Me</b:Last>
          </b:Person>
        </b:NameList>
      </b:Author>
    </b:Author>
    <b:Title>'Two Britons 'dead on Thai beach'</b:Title>
    <b:Year>2014</b:Year>
    <b:InternetSiteTitle>BBC News</b:InternetSiteTitle>
    <b:Month>September</b:Month>
    <b:Day>14</b:Day>
    <b:YearAccessed>2014</b:YearAccessed>
    <b:MonthAccessed>09</b:MonthAccessed>
    <b:DayAccessed>14</b:DayAccessed>
    <b:URL>http://www.bbc.co.uk/news/uk-29203116</b:URL>
    <b:RefOrder>1</b:RefOrder>
  </b:Source>
</b:Sources>
</file>

<file path=customXml/itemProps1.xml><?xml version="1.0" encoding="utf-8"?>
<ds:datastoreItem xmlns:ds="http://schemas.openxmlformats.org/officeDocument/2006/customXml" ds:itemID="{C5FFBA9A-54B9-48F2-8C6B-BE8686A421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E28AAED-C7ED-4976-B16A-128A084176EC}">
  <ds:schemaRefs>
    <ds:schemaRef ds:uri="Microsoft.SharePoint.Taxonomy.ContentTypeSync"/>
  </ds:schemaRefs>
</ds:datastoreItem>
</file>

<file path=customXml/itemProps3.xml><?xml version="1.0" encoding="utf-8"?>
<ds:datastoreItem xmlns:ds="http://schemas.openxmlformats.org/officeDocument/2006/customXml" ds:itemID="{786EE80D-F3BE-4CC0-A6A1-4CEF3788304F}">
  <ds:schemaRefs>
    <ds:schemaRef ds:uri="http://schemas.microsoft.com/sharepoint/events"/>
  </ds:schemaRefs>
</ds:datastoreItem>
</file>

<file path=customXml/itemProps4.xml><?xml version="1.0" encoding="utf-8"?>
<ds:datastoreItem xmlns:ds="http://schemas.openxmlformats.org/officeDocument/2006/customXml" ds:itemID="{09B1D59F-E52C-4CAB-A05D-4DEA15BCA924}">
  <ds:schemaRefs>
    <ds:schemaRef ds:uri="http://schemas.microsoft.com/sharepoint/v3/contenttype/forms"/>
  </ds:schemaRefs>
</ds:datastoreItem>
</file>

<file path=customXml/itemProps5.xml><?xml version="1.0" encoding="utf-8"?>
<ds:datastoreItem xmlns:ds="http://schemas.openxmlformats.org/officeDocument/2006/customXml" ds:itemID="{809F049A-79C6-410B-9F85-9E40D54589DB}">
  <ds:schemaRefs>
    <ds:schemaRef ds:uri="office.server.policy"/>
  </ds:schemaRefs>
</ds:datastoreItem>
</file>

<file path=customXml/itemProps6.xml><?xml version="1.0" encoding="utf-8"?>
<ds:datastoreItem xmlns:ds="http://schemas.openxmlformats.org/officeDocument/2006/customXml" ds:itemID="{F7F48427-0CFC-4612-9C81-9D3A0587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79E85DE-8DA5-46B9-A3FD-ED35B4F2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5914E709</Template>
  <TotalTime>4</TotalTime>
  <Pages>12</Pages>
  <Words>2626</Words>
  <Characters>18226</Characters>
  <Application>Microsoft Office Word</Application>
  <DocSecurity>2</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20811</CharactersWithSpaces>
  <SharedDoc>false</SharedDoc>
  <HLinks>
    <vt:vector size="252" baseType="variant">
      <vt:variant>
        <vt:i4>393244</vt:i4>
      </vt:variant>
      <vt:variant>
        <vt:i4>162</vt:i4>
      </vt:variant>
      <vt:variant>
        <vt:i4>0</vt:i4>
      </vt:variant>
      <vt:variant>
        <vt:i4>5</vt:i4>
      </vt:variant>
      <vt:variant>
        <vt:lpwstr/>
      </vt:variant>
      <vt:variant>
        <vt:lpwstr>contents</vt:lpwstr>
      </vt:variant>
      <vt:variant>
        <vt:i4>393244</vt:i4>
      </vt:variant>
      <vt:variant>
        <vt:i4>159</vt:i4>
      </vt:variant>
      <vt:variant>
        <vt:i4>0</vt:i4>
      </vt:variant>
      <vt:variant>
        <vt:i4>5</vt:i4>
      </vt:variant>
      <vt:variant>
        <vt:lpwstr/>
      </vt:variant>
      <vt:variant>
        <vt:lpwstr>contents</vt:lpwstr>
      </vt:variant>
      <vt:variant>
        <vt:i4>393244</vt:i4>
      </vt:variant>
      <vt:variant>
        <vt:i4>156</vt:i4>
      </vt:variant>
      <vt:variant>
        <vt:i4>0</vt:i4>
      </vt:variant>
      <vt:variant>
        <vt:i4>5</vt:i4>
      </vt:variant>
      <vt:variant>
        <vt:lpwstr/>
      </vt:variant>
      <vt:variant>
        <vt:lpwstr>contents</vt:lpwstr>
      </vt:variant>
      <vt:variant>
        <vt:i4>393244</vt:i4>
      </vt:variant>
      <vt:variant>
        <vt:i4>153</vt:i4>
      </vt:variant>
      <vt:variant>
        <vt:i4>0</vt:i4>
      </vt:variant>
      <vt:variant>
        <vt:i4>5</vt:i4>
      </vt:variant>
      <vt:variant>
        <vt:lpwstr/>
      </vt:variant>
      <vt:variant>
        <vt:lpwstr>contents</vt:lpwstr>
      </vt:variant>
      <vt:variant>
        <vt:i4>393244</vt:i4>
      </vt:variant>
      <vt:variant>
        <vt:i4>150</vt:i4>
      </vt:variant>
      <vt:variant>
        <vt:i4>0</vt:i4>
      </vt:variant>
      <vt:variant>
        <vt:i4>5</vt:i4>
      </vt:variant>
      <vt:variant>
        <vt:lpwstr/>
      </vt:variant>
      <vt:variant>
        <vt:lpwstr>contents</vt:lpwstr>
      </vt:variant>
      <vt:variant>
        <vt:i4>393244</vt:i4>
      </vt:variant>
      <vt:variant>
        <vt:i4>147</vt:i4>
      </vt:variant>
      <vt:variant>
        <vt:i4>0</vt:i4>
      </vt:variant>
      <vt:variant>
        <vt:i4>5</vt:i4>
      </vt:variant>
      <vt:variant>
        <vt:lpwstr/>
      </vt:variant>
      <vt:variant>
        <vt:lpwstr>contents</vt:lpwstr>
      </vt:variant>
      <vt:variant>
        <vt:i4>393244</vt:i4>
      </vt:variant>
      <vt:variant>
        <vt:i4>144</vt:i4>
      </vt:variant>
      <vt:variant>
        <vt:i4>0</vt:i4>
      </vt:variant>
      <vt:variant>
        <vt:i4>5</vt:i4>
      </vt:variant>
      <vt:variant>
        <vt:lpwstr/>
      </vt:variant>
      <vt:variant>
        <vt:lpwstr>contents</vt:lpwstr>
      </vt:variant>
      <vt:variant>
        <vt:i4>393244</vt:i4>
      </vt:variant>
      <vt:variant>
        <vt:i4>141</vt:i4>
      </vt:variant>
      <vt:variant>
        <vt:i4>0</vt:i4>
      </vt:variant>
      <vt:variant>
        <vt:i4>5</vt:i4>
      </vt:variant>
      <vt:variant>
        <vt:lpwstr/>
      </vt:variant>
      <vt:variant>
        <vt:lpwstr>contents</vt:lpwstr>
      </vt:variant>
      <vt:variant>
        <vt:i4>2752565</vt:i4>
      </vt:variant>
      <vt:variant>
        <vt:i4>138</vt:i4>
      </vt:variant>
      <vt:variant>
        <vt:i4>0</vt:i4>
      </vt:variant>
      <vt:variant>
        <vt:i4>5</vt:i4>
      </vt:variant>
      <vt:variant>
        <vt:lpwstr>https://www.gov.uk/government/publications/granting-discretionary-leave</vt:lpwstr>
      </vt:variant>
      <vt:variant>
        <vt:lpwstr/>
      </vt:variant>
      <vt:variant>
        <vt:i4>7340143</vt:i4>
      </vt:variant>
      <vt:variant>
        <vt:i4>135</vt:i4>
      </vt:variant>
      <vt:variant>
        <vt:i4>0</vt:i4>
      </vt:variant>
      <vt:variant>
        <vt:i4>5</vt:i4>
      </vt:variant>
      <vt:variant>
        <vt:lpwstr>https://www.gov.uk/government/publications/humanitarian-protection-instruction</vt:lpwstr>
      </vt:variant>
      <vt:variant>
        <vt:lpwstr/>
      </vt:variant>
      <vt:variant>
        <vt:i4>4391005</vt:i4>
      </vt:variant>
      <vt:variant>
        <vt:i4>132</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129</vt:i4>
      </vt:variant>
      <vt:variant>
        <vt:i4>0</vt:i4>
      </vt:variant>
      <vt:variant>
        <vt:i4>5</vt:i4>
      </vt:variant>
      <vt:variant>
        <vt:lpwstr/>
      </vt:variant>
      <vt:variant>
        <vt:lpwstr>contents</vt:lpwstr>
      </vt:variant>
      <vt:variant>
        <vt:i4>7209082</vt:i4>
      </vt:variant>
      <vt:variant>
        <vt:i4>126</vt:i4>
      </vt:variant>
      <vt:variant>
        <vt:i4>0</vt:i4>
      </vt:variant>
      <vt:variant>
        <vt:i4>5</vt:i4>
      </vt:variant>
      <vt:variant>
        <vt:lpwstr>https://www.gov.uk/government/publications/applications-for-internal-relocation-process</vt:lpwstr>
      </vt:variant>
      <vt:variant>
        <vt:lpwstr/>
      </vt:variant>
      <vt:variant>
        <vt:i4>7733349</vt:i4>
      </vt:variant>
      <vt:variant>
        <vt:i4>123</vt:i4>
      </vt:variant>
      <vt:variant>
        <vt:i4>0</vt:i4>
      </vt:variant>
      <vt:variant>
        <vt:i4>5</vt:i4>
      </vt:variant>
      <vt:variant>
        <vt:lpwstr>https://www.gov.uk/government/publications/considering-asylum-claims-and-assessing-credibility-instruction</vt:lpwstr>
      </vt:variant>
      <vt:variant>
        <vt:lpwstr/>
      </vt:variant>
      <vt:variant>
        <vt:i4>1245260</vt:i4>
      </vt:variant>
      <vt:variant>
        <vt:i4>120</vt:i4>
      </vt:variant>
      <vt:variant>
        <vt:i4>0</vt:i4>
      </vt:variant>
      <vt:variant>
        <vt:i4>5</vt:i4>
      </vt:variant>
      <vt:variant>
        <vt:lpwstr>http://horizon.gws.gsi.gov.uk/portal/site/horizon-intranet/menuitem.5e9fdfa5b28a104a43757f10466b8a0c/?vgnextoid=b65a05306a833210VgnVCM1000002bb1a8c0RCRD</vt:lpwstr>
      </vt:variant>
      <vt:variant>
        <vt:lpwstr/>
      </vt:variant>
      <vt:variant>
        <vt:i4>2949226</vt:i4>
      </vt:variant>
      <vt:variant>
        <vt:i4>117</vt:i4>
      </vt:variant>
      <vt:variant>
        <vt:i4>0</vt:i4>
      </vt:variant>
      <vt:variant>
        <vt:i4>5</vt:i4>
      </vt:variant>
      <vt:variant>
        <vt:lpwstr>http://www.coi-training.net/handbook/Researching-Country-of-Origin-Information-2013-edition-ACCORD-COI-Training-manual.pdf</vt:lpwstr>
      </vt:variant>
      <vt:variant>
        <vt:lpwstr/>
      </vt:variant>
      <vt:variant>
        <vt:i4>7733349</vt:i4>
      </vt:variant>
      <vt:variant>
        <vt:i4>114</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111</vt:i4>
      </vt:variant>
      <vt:variant>
        <vt:i4>0</vt:i4>
      </vt:variant>
      <vt:variant>
        <vt:i4>5</vt:i4>
      </vt:variant>
      <vt:variant>
        <vt:lpwstr>https://www.gov.uk/government/publications/considering-asylum-claims-and-assessing-credibility-instruction</vt:lpwstr>
      </vt:variant>
      <vt:variant>
        <vt:lpwstr/>
      </vt:variant>
      <vt:variant>
        <vt:i4>7340113</vt:i4>
      </vt:variant>
      <vt:variant>
        <vt:i4>108</vt:i4>
      </vt:variant>
      <vt:variant>
        <vt:i4>0</vt:i4>
      </vt:variant>
      <vt:variant>
        <vt:i4>5</vt:i4>
      </vt:variant>
      <vt:variant>
        <vt:lpwstr>https://www.gov.uk/government/uploads/system/uploads/attachment_data/file/298421/traffickingcompetent.pdf</vt:lpwstr>
      </vt:variant>
      <vt:variant>
        <vt:lpwstr/>
      </vt:variant>
      <vt:variant>
        <vt:i4>7733349</vt:i4>
      </vt:variant>
      <vt:variant>
        <vt:i4>105</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102</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99</vt:i4>
      </vt:variant>
      <vt:variant>
        <vt:i4>0</vt:i4>
      </vt:variant>
      <vt:variant>
        <vt:i4>5</vt:i4>
      </vt:variant>
      <vt:variant>
        <vt:lpwstr/>
      </vt:variant>
      <vt:variant>
        <vt:lpwstr>contents</vt:lpwstr>
      </vt:variant>
      <vt:variant>
        <vt:i4>393244</vt:i4>
      </vt:variant>
      <vt:variant>
        <vt:i4>96</vt:i4>
      </vt:variant>
      <vt:variant>
        <vt:i4>0</vt:i4>
      </vt:variant>
      <vt:variant>
        <vt:i4>5</vt:i4>
      </vt:variant>
      <vt:variant>
        <vt:lpwstr/>
      </vt:variant>
      <vt:variant>
        <vt:lpwstr>contents</vt:lpwstr>
      </vt:variant>
      <vt:variant>
        <vt:i4>1441848</vt:i4>
      </vt:variant>
      <vt:variant>
        <vt:i4>89</vt:i4>
      </vt:variant>
      <vt:variant>
        <vt:i4>0</vt:i4>
      </vt:variant>
      <vt:variant>
        <vt:i4>5</vt:i4>
      </vt:variant>
      <vt:variant>
        <vt:lpwstr/>
      </vt:variant>
      <vt:variant>
        <vt:lpwstr>_Toc395688663</vt:lpwstr>
      </vt:variant>
      <vt:variant>
        <vt:i4>1441848</vt:i4>
      </vt:variant>
      <vt:variant>
        <vt:i4>83</vt:i4>
      </vt:variant>
      <vt:variant>
        <vt:i4>0</vt:i4>
      </vt:variant>
      <vt:variant>
        <vt:i4>5</vt:i4>
      </vt:variant>
      <vt:variant>
        <vt:lpwstr/>
      </vt:variant>
      <vt:variant>
        <vt:lpwstr>_Toc395688662</vt:lpwstr>
      </vt:variant>
      <vt:variant>
        <vt:i4>1441848</vt:i4>
      </vt:variant>
      <vt:variant>
        <vt:i4>77</vt:i4>
      </vt:variant>
      <vt:variant>
        <vt:i4>0</vt:i4>
      </vt:variant>
      <vt:variant>
        <vt:i4>5</vt:i4>
      </vt:variant>
      <vt:variant>
        <vt:lpwstr/>
      </vt:variant>
      <vt:variant>
        <vt:lpwstr>_Toc395688661</vt:lpwstr>
      </vt:variant>
      <vt:variant>
        <vt:i4>1441848</vt:i4>
      </vt:variant>
      <vt:variant>
        <vt:i4>71</vt:i4>
      </vt:variant>
      <vt:variant>
        <vt:i4>0</vt:i4>
      </vt:variant>
      <vt:variant>
        <vt:i4>5</vt:i4>
      </vt:variant>
      <vt:variant>
        <vt:lpwstr/>
      </vt:variant>
      <vt:variant>
        <vt:lpwstr>_Toc395688660</vt:lpwstr>
      </vt:variant>
      <vt:variant>
        <vt:i4>1376312</vt:i4>
      </vt:variant>
      <vt:variant>
        <vt:i4>65</vt:i4>
      </vt:variant>
      <vt:variant>
        <vt:i4>0</vt:i4>
      </vt:variant>
      <vt:variant>
        <vt:i4>5</vt:i4>
      </vt:variant>
      <vt:variant>
        <vt:lpwstr/>
      </vt:variant>
      <vt:variant>
        <vt:lpwstr>_Toc395688659</vt:lpwstr>
      </vt:variant>
      <vt:variant>
        <vt:i4>1376312</vt:i4>
      </vt:variant>
      <vt:variant>
        <vt:i4>59</vt:i4>
      </vt:variant>
      <vt:variant>
        <vt:i4>0</vt:i4>
      </vt:variant>
      <vt:variant>
        <vt:i4>5</vt:i4>
      </vt:variant>
      <vt:variant>
        <vt:lpwstr/>
      </vt:variant>
      <vt:variant>
        <vt:lpwstr>_Toc395688658</vt:lpwstr>
      </vt:variant>
      <vt:variant>
        <vt:i4>1376312</vt:i4>
      </vt:variant>
      <vt:variant>
        <vt:i4>53</vt:i4>
      </vt:variant>
      <vt:variant>
        <vt:i4>0</vt:i4>
      </vt:variant>
      <vt:variant>
        <vt:i4>5</vt:i4>
      </vt:variant>
      <vt:variant>
        <vt:lpwstr/>
      </vt:variant>
      <vt:variant>
        <vt:lpwstr>_Toc395688657</vt:lpwstr>
      </vt:variant>
      <vt:variant>
        <vt:i4>1376312</vt:i4>
      </vt:variant>
      <vt:variant>
        <vt:i4>47</vt:i4>
      </vt:variant>
      <vt:variant>
        <vt:i4>0</vt:i4>
      </vt:variant>
      <vt:variant>
        <vt:i4>5</vt:i4>
      </vt:variant>
      <vt:variant>
        <vt:lpwstr/>
      </vt:variant>
      <vt:variant>
        <vt:lpwstr>_Toc395688656</vt:lpwstr>
      </vt:variant>
      <vt:variant>
        <vt:i4>1376312</vt:i4>
      </vt:variant>
      <vt:variant>
        <vt:i4>41</vt:i4>
      </vt:variant>
      <vt:variant>
        <vt:i4>0</vt:i4>
      </vt:variant>
      <vt:variant>
        <vt:i4>5</vt:i4>
      </vt:variant>
      <vt:variant>
        <vt:lpwstr/>
      </vt:variant>
      <vt:variant>
        <vt:lpwstr>_Toc395688655</vt:lpwstr>
      </vt:variant>
      <vt:variant>
        <vt:i4>1376312</vt:i4>
      </vt:variant>
      <vt:variant>
        <vt:i4>35</vt:i4>
      </vt:variant>
      <vt:variant>
        <vt:i4>0</vt:i4>
      </vt:variant>
      <vt:variant>
        <vt:i4>5</vt:i4>
      </vt:variant>
      <vt:variant>
        <vt:lpwstr/>
      </vt:variant>
      <vt:variant>
        <vt:lpwstr>_Toc395688654</vt:lpwstr>
      </vt:variant>
      <vt:variant>
        <vt:i4>1376312</vt:i4>
      </vt:variant>
      <vt:variant>
        <vt:i4>29</vt:i4>
      </vt:variant>
      <vt:variant>
        <vt:i4>0</vt:i4>
      </vt:variant>
      <vt:variant>
        <vt:i4>5</vt:i4>
      </vt:variant>
      <vt:variant>
        <vt:lpwstr/>
      </vt:variant>
      <vt:variant>
        <vt:lpwstr>_Toc395688653</vt:lpwstr>
      </vt:variant>
      <vt:variant>
        <vt:i4>1376312</vt:i4>
      </vt:variant>
      <vt:variant>
        <vt:i4>23</vt:i4>
      </vt:variant>
      <vt:variant>
        <vt:i4>0</vt:i4>
      </vt:variant>
      <vt:variant>
        <vt:i4>5</vt:i4>
      </vt:variant>
      <vt:variant>
        <vt:lpwstr/>
      </vt:variant>
      <vt:variant>
        <vt:lpwstr>_Toc395688652</vt:lpwstr>
      </vt:variant>
      <vt:variant>
        <vt:i4>852055</vt:i4>
      </vt:variant>
      <vt:variant>
        <vt:i4>18</vt:i4>
      </vt:variant>
      <vt:variant>
        <vt:i4>0</vt:i4>
      </vt:variant>
      <vt:variant>
        <vt:i4>5</vt:i4>
      </vt:variant>
      <vt:variant>
        <vt:lpwstr>http://icinspector.independent.gov.uk/country-information-reviews</vt:lpwstr>
      </vt:variant>
      <vt:variant>
        <vt:lpwstr/>
      </vt:variant>
      <vt:variant>
        <vt:i4>6488142</vt:i4>
      </vt:variant>
      <vt:variant>
        <vt:i4>15</vt:i4>
      </vt:variant>
      <vt:variant>
        <vt:i4>0</vt:i4>
      </vt:variant>
      <vt:variant>
        <vt:i4>5</vt:i4>
      </vt:variant>
      <vt:variant>
        <vt:lpwstr>mailto:chiefinspectorukba@icinspector.gsi.gov.uk</vt:lpwstr>
      </vt:variant>
      <vt:variant>
        <vt:lpwstr/>
      </vt:variant>
      <vt:variant>
        <vt:i4>2228260</vt:i4>
      </vt:variant>
      <vt:variant>
        <vt:i4>12</vt:i4>
      </vt:variant>
      <vt:variant>
        <vt:i4>0</vt:i4>
      </vt:variant>
      <vt:variant>
        <vt:i4>5</vt:i4>
      </vt:variant>
      <vt:variant>
        <vt:lpwstr>http://icinspector.independent.gov.uk/country-information-reviews/</vt:lpwstr>
      </vt:variant>
      <vt:variant>
        <vt:lpwstr/>
      </vt:variant>
      <vt:variant>
        <vt:i4>6160496</vt:i4>
      </vt:variant>
      <vt:variant>
        <vt:i4>9</vt:i4>
      </vt:variant>
      <vt:variant>
        <vt:i4>0</vt:i4>
      </vt:variant>
      <vt:variant>
        <vt:i4>5</vt:i4>
      </vt:variant>
      <vt:variant>
        <vt:lpwstr>mailto:cpi@homeoffice.gsi.gov.uk</vt:lpwstr>
      </vt:variant>
      <vt:variant>
        <vt:lpwstr/>
      </vt:variant>
      <vt:variant>
        <vt:i4>196704</vt:i4>
      </vt:variant>
      <vt:variant>
        <vt:i4>6</vt:i4>
      </vt:variant>
      <vt:variant>
        <vt:i4>0</vt:i4>
      </vt:variant>
      <vt:variant>
        <vt:i4>5</vt:i4>
      </vt:variant>
      <vt:variant>
        <vt:lpwstr>http://ec.europa.eu/dgs/home-affairs/what-we-do/policies/asylum/european-asylum-support-office/coireportmethodologyfinallayout_en.pdf</vt:lpwstr>
      </vt:variant>
      <vt:variant>
        <vt:lpwstr/>
      </vt:variant>
      <vt:variant>
        <vt:i4>786440</vt:i4>
      </vt:variant>
      <vt:variant>
        <vt:i4>3</vt:i4>
      </vt:variant>
      <vt:variant>
        <vt:i4>0</vt:i4>
      </vt:variant>
      <vt:variant>
        <vt:i4>5</vt:i4>
      </vt:variant>
      <vt:variant>
        <vt:lpwstr>http://www.refworld.org/cgi-bin/texis/vtx/rwmain?page=search&amp;docid=48493f7f2&amp;skip=0&amp;query=eu%20common%20guidelines%20on%20COi</vt:lpwstr>
      </vt:variant>
      <vt:variant>
        <vt:lpwstr/>
      </vt:variant>
      <vt:variant>
        <vt:i4>4784194</vt:i4>
      </vt:variant>
      <vt:variant>
        <vt:i4>0</vt:i4>
      </vt:variant>
      <vt:variant>
        <vt:i4>0</vt:i4>
      </vt:variant>
      <vt:variant>
        <vt:i4>5</vt:i4>
      </vt:variant>
      <vt:variant>
        <vt:lpwstr>https://www.gov.uk/immigration-operational-guidance/asylum-policy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Country Policy &amp; Information Team</dc:creator>
  <cp:lastModifiedBy>Crichlow Pauline</cp:lastModifiedBy>
  <cp:revision>3</cp:revision>
  <cp:lastPrinted>2015-01-13T16:07:00Z</cp:lastPrinted>
  <dcterms:created xsi:type="dcterms:W3CDTF">2019-01-23T11:58:00Z</dcterms:created>
  <dcterms:modified xsi:type="dcterms:W3CDTF">2019-01-23T11:59:00Z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1c289bfb-2d7b-41b8-bef6-a849d5b176be</vt:lpwstr>
  </property>
  <property fmtid="{D5CDD505-2E9C-101B-9397-08002B2CF9AE}" pid="6" name="Directorate/Group Level">
    <vt:lpwstr>17;#International and Immigration Policy Group (IIPG)|735f7f42-fe9f-4010-aacd-a1eb934a590f</vt:lpwstr>
  </property>
  <property fmtid="{D5CDD505-2E9C-101B-9397-08002B2CF9AE}" pid="7" name="Business Function Level 2">
    <vt:lpwstr>20;#Legal Strategy|18819b29-8513-49fd-9377-3ca8f1cceb7e</vt:lpwstr>
  </property>
  <property fmtid="{D5CDD505-2E9C-101B-9397-08002B2CF9AE}" pid="8" name="Content Classification">
    <vt:lpwstr>1;#Non Specific|6e3be155-6747-46d3-ae25-d84508c9cef7</vt:lpwstr>
  </property>
  <property fmtid="{D5CDD505-2E9C-101B-9397-08002B2CF9AE}" pid="9" name="Business Function Level 1">
    <vt:lpwstr>19;#Immigration and Border Policy|46dec7cb-f001-4b60-baa7-77506345a87d</vt:lpwstr>
  </property>
  <property fmtid="{D5CDD505-2E9C-101B-9397-08002B2CF9AE}" pid="10" name="Business Unit Level">
    <vt:lpwstr>18;#Legal Strategy Unit|1edda194-f2ee-489c-bcdc-4f9edb9a41db</vt:lpwstr>
  </property>
  <property fmtid="{D5CDD505-2E9C-101B-9397-08002B2CF9AE}" pid="11" name="Prcs Site ID">
    <vt:lpwstr>16;#HOPROCBF-8-1|5f430f6b-b2cb-48dd-ad1b-905700a952d0</vt:lpwstr>
  </property>
  <property fmtid="{D5CDD505-2E9C-101B-9397-08002B2CF9AE}" pid="12" name="Order">
    <vt:r8>489700</vt:r8>
  </property>
  <property fmtid="{D5CDD505-2E9C-101B-9397-08002B2CF9AE}" pid="13" name="Business_x0020_Function_x0020_Level_x0020_3">
    <vt:lpwstr/>
  </property>
  <property fmtid="{D5CDD505-2E9C-101B-9397-08002B2CF9AE}" pid="14" name="Business Function Level 3">
    <vt:lpwstr/>
  </property>
</Properties>
</file>