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5FBB" w14:textId="77777777" w:rsidR="007200E5" w:rsidRPr="00246211" w:rsidRDefault="007200E5" w:rsidP="00246211">
      <w:pPr>
        <w:pStyle w:val="CPITProduct"/>
      </w:pPr>
      <w:bookmarkStart w:id="0" w:name="_GoBack"/>
      <w:bookmarkEnd w:id="0"/>
      <w:r w:rsidRPr="00246211">
        <w:t>Country Information and Guidance</w:t>
      </w:r>
    </w:p>
    <w:p w14:paraId="71D45FBC" w14:textId="77777777" w:rsidR="007200E5" w:rsidRDefault="002A5E27" w:rsidP="00246211">
      <w:pPr>
        <w:pStyle w:val="CPITProduct-CategoryofClaim"/>
      </w:pPr>
      <w:r>
        <w:t>Bangladesh</w:t>
      </w:r>
      <w:r w:rsidR="007200E5" w:rsidRPr="00E133D8">
        <w:t xml:space="preserve">: </w:t>
      </w:r>
      <w:r w:rsidR="00D34346">
        <w:t>Prison Conditions</w:t>
      </w:r>
    </w:p>
    <w:p w14:paraId="71D45FBD" w14:textId="77777777" w:rsidR="00356B34" w:rsidRDefault="00356B34" w:rsidP="00246211">
      <w:pPr>
        <w:pStyle w:val="CPITProduct-CategoryofClaim"/>
        <w:rPr>
          <w:sz w:val="32"/>
          <w:szCs w:val="32"/>
          <w:highlight w:val="yellow"/>
        </w:rPr>
      </w:pPr>
    </w:p>
    <w:p w14:paraId="71D45FBE" w14:textId="77777777" w:rsidR="004E5268" w:rsidRPr="00B93C38" w:rsidRDefault="009B0EF5" w:rsidP="00246211">
      <w:pPr>
        <w:pStyle w:val="CPITProduct-CategoryofClaim"/>
        <w:rPr>
          <w:sz w:val="40"/>
          <w:szCs w:val="40"/>
        </w:rPr>
      </w:pPr>
      <w:r>
        <w:rPr>
          <w:sz w:val="40"/>
          <w:szCs w:val="40"/>
        </w:rPr>
        <w:t>March</w:t>
      </w:r>
      <w:r w:rsidR="00B93C38" w:rsidRPr="00B93C38">
        <w:rPr>
          <w:sz w:val="40"/>
          <w:szCs w:val="40"/>
        </w:rPr>
        <w:t xml:space="preserve"> 2015</w:t>
      </w:r>
    </w:p>
    <w:p w14:paraId="71D45FBF" w14:textId="77777777" w:rsidR="007200E5" w:rsidRDefault="007200E5" w:rsidP="00C32C73">
      <w:pPr>
        <w:rPr>
          <w:highlight w:val="yellow"/>
        </w:rPr>
      </w:pPr>
    </w:p>
    <w:p w14:paraId="71D45FC0" w14:textId="77777777" w:rsidR="007200E5" w:rsidRPr="00C96CF8" w:rsidRDefault="007200E5" w:rsidP="00C96CF8">
      <w:pPr>
        <w:pStyle w:val="CPITNonLinkedHeader"/>
      </w:pPr>
      <w:r w:rsidRPr="00246211">
        <w:br w:type="page"/>
      </w:r>
      <w:r w:rsidRPr="00C96CF8">
        <w:lastRenderedPageBreak/>
        <w:t>Prefa</w:t>
      </w:r>
      <w:bookmarkStart w:id="1" w:name="preface"/>
      <w:bookmarkEnd w:id="1"/>
      <w:r w:rsidRPr="00C96CF8">
        <w:t>ce</w:t>
      </w:r>
    </w:p>
    <w:p w14:paraId="71D45FC1" w14:textId="77777777" w:rsidR="007200E5" w:rsidRPr="00C96CF8" w:rsidRDefault="007200E5" w:rsidP="00C96CF8">
      <w:pPr>
        <w:pStyle w:val="CPITPrefaceText"/>
      </w:pPr>
      <w:r w:rsidRPr="00C96CF8">
        <w:t xml:space="preserve">This document provides guidance to Home Office decision makers on handling claims made by nationals/residents of – as well as country of origin information (COI) about – </w:t>
      </w:r>
      <w:r w:rsidR="002A5E27">
        <w:t>Bangladesh</w:t>
      </w:r>
      <w:r w:rsidRPr="00C96CF8">
        <w:t xml:space="preserve">.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71D45FC2" w14:textId="77777777" w:rsidR="007200E5" w:rsidRPr="00C96CF8" w:rsidRDefault="007200E5" w:rsidP="00C96CF8">
      <w:pPr>
        <w:pStyle w:val="CPITPrefaceText"/>
      </w:pPr>
      <w:r w:rsidRPr="00C96CF8">
        <w:t xml:space="preserve">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policies. </w:t>
      </w:r>
    </w:p>
    <w:p w14:paraId="71D45FC3" w14:textId="77777777" w:rsidR="00F56371" w:rsidRDefault="00F56371" w:rsidP="00246211">
      <w:pPr>
        <w:pStyle w:val="CPITPrefaceText"/>
        <w:rPr>
          <w:b/>
        </w:rPr>
      </w:pPr>
    </w:p>
    <w:p w14:paraId="71D45FC4" w14:textId="77777777" w:rsidR="007200E5" w:rsidRPr="00246211" w:rsidRDefault="007200E5" w:rsidP="00246211">
      <w:pPr>
        <w:pStyle w:val="CPITPrefaceText"/>
        <w:rPr>
          <w:b/>
        </w:rPr>
      </w:pPr>
      <w:r w:rsidRPr="00246211">
        <w:rPr>
          <w:b/>
        </w:rPr>
        <w:t>Country Information</w:t>
      </w:r>
    </w:p>
    <w:p w14:paraId="71D45FC5" w14:textId="77777777" w:rsidR="007200E5" w:rsidRPr="00246211" w:rsidRDefault="007200E5" w:rsidP="00246211">
      <w:pPr>
        <w:pStyle w:val="CPITPrefaceText"/>
      </w:pPr>
      <w:r w:rsidRPr="00246211">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6D3DAA">
          <w:rPr>
            <w:rStyle w:val="CPITCOI-Link"/>
          </w:rPr>
          <w:t>Common EU [European Union] Guidelines for Processing Country of Origin Information (COI)</w:t>
        </w:r>
      </w:hyperlink>
      <w:r w:rsidRPr="00246211">
        <w:t xml:space="preserve">, dated April 2008, and the European Asylum Support Office’s research guidelines, </w:t>
      </w:r>
      <w:hyperlink r:id="rId15" w:history="1">
        <w:r w:rsidRPr="006D3DAA">
          <w:rPr>
            <w:rStyle w:val="CPITCOI-Link"/>
          </w:rPr>
          <w:t>Country of Origin Information report methodology</w:t>
        </w:r>
      </w:hyperlink>
      <w:r w:rsidRPr="00246211">
        <w:t>, dated July 2012.</w:t>
      </w:r>
    </w:p>
    <w:p w14:paraId="71D45FC6" w14:textId="77777777" w:rsidR="007200E5" w:rsidRPr="006D3DAA" w:rsidRDefault="007200E5" w:rsidP="00990861"/>
    <w:p w14:paraId="71D45FC7" w14:textId="77777777" w:rsidR="007200E5" w:rsidRPr="00C96CF8" w:rsidRDefault="007200E5" w:rsidP="00C96CF8">
      <w:pPr>
        <w:pStyle w:val="CPITPrefaceText"/>
        <w:rPr>
          <w:b/>
          <w:bCs/>
        </w:rPr>
      </w:pPr>
      <w:r w:rsidRPr="00C96CF8">
        <w:rPr>
          <w:b/>
          <w:bCs/>
        </w:rPr>
        <w:t>Feedback</w:t>
      </w:r>
    </w:p>
    <w:p w14:paraId="71D45FC8" w14:textId="77777777" w:rsidR="004D4637" w:rsidRDefault="004D4637" w:rsidP="004D4637">
      <w:pPr>
        <w:pStyle w:val="CPITPrefaceText"/>
      </w:pPr>
      <w:r>
        <w:t xml:space="preserve">Our goal is to continuously improve the guidance and information we provide.  Therefore, if you would like to comment on this document, please </w:t>
      </w:r>
      <w:hyperlink r:id="rId16" w:history="1">
        <w:r>
          <w:rPr>
            <w:rStyle w:val="CPITCOI-Link"/>
          </w:rPr>
          <w:t>e-mail us</w:t>
        </w:r>
      </w:hyperlink>
      <w:r>
        <w:t>.</w:t>
      </w:r>
    </w:p>
    <w:p w14:paraId="71D45FC9" w14:textId="77777777" w:rsidR="007200E5" w:rsidRPr="006D3DAA" w:rsidRDefault="007200E5" w:rsidP="00246211">
      <w:pPr>
        <w:pStyle w:val="CPITPrefaceText"/>
      </w:pPr>
      <w:r w:rsidRPr="006D3DAA">
        <w:t xml:space="preserve"> </w:t>
      </w:r>
    </w:p>
    <w:p w14:paraId="71D45FCA" w14:textId="77777777" w:rsidR="007200E5" w:rsidRPr="00C96CF8" w:rsidRDefault="007200E5" w:rsidP="00C96CF8">
      <w:pPr>
        <w:pStyle w:val="CPITPrefaceText"/>
        <w:rPr>
          <w:b/>
          <w:bCs/>
        </w:rPr>
      </w:pPr>
      <w:r w:rsidRPr="00C96CF8">
        <w:rPr>
          <w:b/>
          <w:bCs/>
        </w:rPr>
        <w:t>Independent Advisory Group on Country Information</w:t>
      </w:r>
    </w:p>
    <w:p w14:paraId="71D45FCB" w14:textId="77777777" w:rsidR="007200E5" w:rsidRPr="006D3DAA" w:rsidRDefault="007200E5" w:rsidP="00C96CF8">
      <w:pPr>
        <w:pStyle w:val="CPITPrefaceText"/>
        <w:rPr>
          <w:rStyle w:val="CPITCOI-Link"/>
        </w:rPr>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Information about the IAGCI‘s work and a list of the COI documents which have been reviewed by the IAGCI can be found on the Independent Chief Inspector‘s website at </w:t>
      </w:r>
      <w:hyperlink r:id="rId17" w:history="1">
        <w:r w:rsidRPr="006D3DAA">
          <w:rPr>
            <w:rStyle w:val="CPITCOI-Link"/>
          </w:rPr>
          <w:t>http://icinspector.independent.gov.uk/country-information-reviews/</w:t>
        </w:r>
      </w:hyperlink>
      <w:r w:rsidRPr="006D3DAA">
        <w:rPr>
          <w:rStyle w:val="CPITCOI-Link"/>
        </w:rPr>
        <w:t xml:space="preserve"> </w:t>
      </w:r>
    </w:p>
    <w:p w14:paraId="71D45FCC" w14:textId="77777777" w:rsidR="007200E5" w:rsidRPr="006D3DAA" w:rsidRDefault="007200E5" w:rsidP="00C96CF8">
      <w:pPr>
        <w:pStyle w:val="CPITPrefaceText"/>
      </w:pPr>
      <w:r w:rsidRPr="006D3DAA">
        <w:t xml:space="preserve">It is not the function of the IAGCI to endorse any Home Office material, procedures or policy. </w:t>
      </w:r>
    </w:p>
    <w:p w14:paraId="71D45FCD" w14:textId="77777777" w:rsidR="007200E5" w:rsidRPr="006D3DAA" w:rsidRDefault="007200E5" w:rsidP="00C96CF8">
      <w:pPr>
        <w:pStyle w:val="CPITPrefaceText"/>
      </w:pPr>
      <w:r w:rsidRPr="006D3DAA">
        <w:t xml:space="preserve">IAGCI may be contacted at: </w:t>
      </w:r>
    </w:p>
    <w:p w14:paraId="71D45FCE" w14:textId="77777777" w:rsidR="007200E5" w:rsidRPr="006D3DAA" w:rsidRDefault="007200E5" w:rsidP="00C96CF8">
      <w:pPr>
        <w:pStyle w:val="CPITPrefaceText"/>
        <w:rPr>
          <w:rFonts w:cs="Arial"/>
        </w:rPr>
      </w:pPr>
      <w:r w:rsidRPr="006D3DAA">
        <w:rPr>
          <w:rFonts w:cs="Arial"/>
        </w:rPr>
        <w:t xml:space="preserve">Independent Chief Inspector of Borders and Immigration, </w:t>
      </w:r>
    </w:p>
    <w:p w14:paraId="71D45FCF" w14:textId="77777777" w:rsidR="007200E5" w:rsidRPr="006D3DAA" w:rsidRDefault="007200E5" w:rsidP="00C96CF8">
      <w:pPr>
        <w:pStyle w:val="CPITPrefaceText"/>
        <w:rPr>
          <w:rFonts w:cs="Arial"/>
        </w:rPr>
      </w:pPr>
      <w:r w:rsidRPr="006D3DAA">
        <w:rPr>
          <w:rFonts w:cs="Arial"/>
        </w:rPr>
        <w:t>5th Floor, Globe House, 89 Eccleston Square, London, SW1V 1PN.</w:t>
      </w:r>
    </w:p>
    <w:p w14:paraId="71D45FD0" w14:textId="77777777" w:rsidR="007200E5" w:rsidRPr="00246211" w:rsidRDefault="007200E5" w:rsidP="00C96CF8">
      <w:pPr>
        <w:pStyle w:val="CPITPrefaceText"/>
      </w:pPr>
      <w:r w:rsidRPr="00246211">
        <w:t xml:space="preserve">Email: </w:t>
      </w:r>
      <w:hyperlink r:id="rId18" w:history="1">
        <w:r w:rsidRPr="00C96CF8">
          <w:rPr>
            <w:rStyle w:val="CPITCOI-Link"/>
          </w:rPr>
          <w:t>chiefinspectorukba@icinspector.gsi.gov.uk</w:t>
        </w:r>
      </w:hyperlink>
      <w:r w:rsidRPr="00246211">
        <w:t xml:space="preserve"> </w:t>
      </w:r>
    </w:p>
    <w:p w14:paraId="71D45FD1" w14:textId="77777777" w:rsidR="007200E5" w:rsidRPr="00246211" w:rsidRDefault="007200E5" w:rsidP="00C96CF8">
      <w:pPr>
        <w:pStyle w:val="CPITPrefaceText"/>
      </w:pPr>
      <w:r w:rsidRPr="00246211">
        <w:t xml:space="preserve">Website: </w:t>
      </w:r>
      <w:hyperlink r:id="rId19" w:history="1">
        <w:r w:rsidRPr="00C96CF8">
          <w:rPr>
            <w:rStyle w:val="CPITCOI-Link"/>
          </w:rPr>
          <w:t>http://icinspector.independent.gov.uk/country-information-reviews</w:t>
        </w:r>
      </w:hyperlink>
      <w:r w:rsidRPr="006D3DAA">
        <w:rPr>
          <w:rStyle w:val="CPITCOI-Link"/>
        </w:rPr>
        <w:t xml:space="preserve"> </w:t>
      </w:r>
    </w:p>
    <w:p w14:paraId="71D45FD2" w14:textId="77777777" w:rsidR="007200E5" w:rsidRPr="00C96CF8" w:rsidRDefault="00E0095A" w:rsidP="00C96CF8">
      <w:pPr>
        <w:pStyle w:val="CPITNonLinkedHeader"/>
      </w:pPr>
      <w:r w:rsidRPr="00246211">
        <w:br w:type="page"/>
      </w:r>
      <w:r w:rsidR="007200E5" w:rsidRPr="00C96CF8">
        <w:lastRenderedPageBreak/>
        <w:t>Conte</w:t>
      </w:r>
      <w:bookmarkStart w:id="2" w:name="Contents"/>
      <w:bookmarkEnd w:id="2"/>
      <w:r w:rsidR="007200E5" w:rsidRPr="00C96CF8">
        <w:t>nts</w:t>
      </w:r>
    </w:p>
    <w:p w14:paraId="71D45FD3" w14:textId="77777777" w:rsidR="009B0EF5" w:rsidRDefault="00D5393A">
      <w:pPr>
        <w:pStyle w:val="TOC1"/>
        <w:rPr>
          <w:rFonts w:asciiTheme="minorHAnsi" w:eastAsiaTheme="minorEastAsia" w:hAnsiTheme="minorHAnsi" w:cstheme="minorBidi"/>
          <w:b w:val="0"/>
          <w:noProof/>
          <w:color w:val="auto"/>
          <w:sz w:val="22"/>
          <w:szCs w:val="22"/>
        </w:rPr>
      </w:pPr>
      <w:r>
        <w:rPr>
          <w:noProof/>
          <w:szCs w:val="20"/>
        </w:rPr>
        <w:fldChar w:fldCharType="begin"/>
      </w:r>
      <w:r w:rsidR="00990861">
        <w:rPr>
          <w:noProof/>
          <w:szCs w:val="20"/>
        </w:rPr>
        <w:instrText xml:space="preserve"> TOC \o "1-3" \h \z \t "CPIT Section Header,1,CPIT Sub-header 1,2" </w:instrText>
      </w:r>
      <w:r>
        <w:rPr>
          <w:noProof/>
          <w:szCs w:val="20"/>
        </w:rPr>
        <w:fldChar w:fldCharType="separate"/>
      </w:r>
      <w:hyperlink w:anchor="_Toc413396451" w:history="1">
        <w:r w:rsidR="009B0EF5" w:rsidRPr="00451214">
          <w:rPr>
            <w:rStyle w:val="Hyperlink"/>
            <w:noProof/>
          </w:rPr>
          <w:t>Section 1: Guidance</w:t>
        </w:r>
        <w:r w:rsidR="009B0EF5">
          <w:rPr>
            <w:noProof/>
            <w:webHidden/>
          </w:rPr>
          <w:tab/>
        </w:r>
        <w:r>
          <w:rPr>
            <w:noProof/>
            <w:webHidden/>
          </w:rPr>
          <w:fldChar w:fldCharType="begin"/>
        </w:r>
        <w:r w:rsidR="009B0EF5">
          <w:rPr>
            <w:noProof/>
            <w:webHidden/>
          </w:rPr>
          <w:instrText xml:space="preserve"> PAGEREF _Toc413396451 \h </w:instrText>
        </w:r>
        <w:r>
          <w:rPr>
            <w:noProof/>
            <w:webHidden/>
          </w:rPr>
        </w:r>
        <w:r>
          <w:rPr>
            <w:noProof/>
            <w:webHidden/>
          </w:rPr>
          <w:fldChar w:fldCharType="separate"/>
        </w:r>
        <w:r w:rsidR="009B0EF5">
          <w:rPr>
            <w:noProof/>
            <w:webHidden/>
          </w:rPr>
          <w:t>4</w:t>
        </w:r>
        <w:r>
          <w:rPr>
            <w:noProof/>
            <w:webHidden/>
          </w:rPr>
          <w:fldChar w:fldCharType="end"/>
        </w:r>
      </w:hyperlink>
    </w:p>
    <w:p w14:paraId="71D45FD4" w14:textId="77777777" w:rsidR="009B0EF5" w:rsidRDefault="00235A40">
      <w:pPr>
        <w:pStyle w:val="TOC2"/>
        <w:rPr>
          <w:rFonts w:asciiTheme="minorHAnsi" w:eastAsiaTheme="minorEastAsia" w:hAnsiTheme="minorHAnsi" w:cstheme="minorBidi"/>
          <w:noProof/>
          <w:color w:val="auto"/>
          <w:sz w:val="22"/>
          <w:szCs w:val="22"/>
        </w:rPr>
      </w:pPr>
      <w:hyperlink w:anchor="_Toc413396452" w:history="1">
        <w:r w:rsidR="009B0EF5" w:rsidRPr="00451214">
          <w:rPr>
            <w:rStyle w:val="Hyperlink"/>
            <w:noProof/>
          </w:rPr>
          <w:t>1.1</w:t>
        </w:r>
        <w:r w:rsidR="009B0EF5">
          <w:rPr>
            <w:rFonts w:asciiTheme="minorHAnsi" w:eastAsiaTheme="minorEastAsia" w:hAnsiTheme="minorHAnsi" w:cstheme="minorBidi"/>
            <w:noProof/>
            <w:color w:val="auto"/>
            <w:sz w:val="22"/>
            <w:szCs w:val="22"/>
          </w:rPr>
          <w:tab/>
        </w:r>
        <w:r w:rsidR="009B0EF5" w:rsidRPr="00451214">
          <w:rPr>
            <w:rStyle w:val="Hyperlink"/>
            <w:noProof/>
          </w:rPr>
          <w:t>Basis of Claim</w:t>
        </w:r>
        <w:r w:rsidR="009B0EF5">
          <w:rPr>
            <w:noProof/>
            <w:webHidden/>
          </w:rPr>
          <w:tab/>
        </w:r>
        <w:r w:rsidR="00D5393A">
          <w:rPr>
            <w:noProof/>
            <w:webHidden/>
          </w:rPr>
          <w:fldChar w:fldCharType="begin"/>
        </w:r>
        <w:r w:rsidR="009B0EF5">
          <w:rPr>
            <w:noProof/>
            <w:webHidden/>
          </w:rPr>
          <w:instrText xml:space="preserve"> PAGEREF _Toc413396452 \h </w:instrText>
        </w:r>
        <w:r w:rsidR="00D5393A">
          <w:rPr>
            <w:noProof/>
            <w:webHidden/>
          </w:rPr>
        </w:r>
        <w:r w:rsidR="00D5393A">
          <w:rPr>
            <w:noProof/>
            <w:webHidden/>
          </w:rPr>
          <w:fldChar w:fldCharType="separate"/>
        </w:r>
        <w:r w:rsidR="009B0EF5">
          <w:rPr>
            <w:noProof/>
            <w:webHidden/>
          </w:rPr>
          <w:t>4</w:t>
        </w:r>
        <w:r w:rsidR="00D5393A">
          <w:rPr>
            <w:noProof/>
            <w:webHidden/>
          </w:rPr>
          <w:fldChar w:fldCharType="end"/>
        </w:r>
      </w:hyperlink>
    </w:p>
    <w:p w14:paraId="71D45FD5" w14:textId="77777777" w:rsidR="009B0EF5" w:rsidRDefault="00235A40">
      <w:pPr>
        <w:pStyle w:val="TOC2"/>
        <w:rPr>
          <w:rFonts w:asciiTheme="minorHAnsi" w:eastAsiaTheme="minorEastAsia" w:hAnsiTheme="minorHAnsi" w:cstheme="minorBidi"/>
          <w:noProof/>
          <w:color w:val="auto"/>
          <w:sz w:val="22"/>
          <w:szCs w:val="22"/>
        </w:rPr>
      </w:pPr>
      <w:hyperlink w:anchor="_Toc413396453" w:history="1">
        <w:r w:rsidR="009B0EF5" w:rsidRPr="00451214">
          <w:rPr>
            <w:rStyle w:val="Hyperlink"/>
            <w:noProof/>
          </w:rPr>
          <w:t>1.2</w:t>
        </w:r>
        <w:r w:rsidR="009B0EF5">
          <w:rPr>
            <w:rFonts w:asciiTheme="minorHAnsi" w:eastAsiaTheme="minorEastAsia" w:hAnsiTheme="minorHAnsi" w:cstheme="minorBidi"/>
            <w:noProof/>
            <w:color w:val="auto"/>
            <w:sz w:val="22"/>
            <w:szCs w:val="22"/>
          </w:rPr>
          <w:tab/>
        </w:r>
        <w:r w:rsidR="009B0EF5" w:rsidRPr="00451214">
          <w:rPr>
            <w:rStyle w:val="Hyperlink"/>
            <w:noProof/>
          </w:rPr>
          <w:t>Summary of Issues</w:t>
        </w:r>
        <w:r w:rsidR="009B0EF5">
          <w:rPr>
            <w:noProof/>
            <w:webHidden/>
          </w:rPr>
          <w:tab/>
        </w:r>
        <w:r w:rsidR="00D5393A">
          <w:rPr>
            <w:noProof/>
            <w:webHidden/>
          </w:rPr>
          <w:fldChar w:fldCharType="begin"/>
        </w:r>
        <w:r w:rsidR="009B0EF5">
          <w:rPr>
            <w:noProof/>
            <w:webHidden/>
          </w:rPr>
          <w:instrText xml:space="preserve"> PAGEREF _Toc413396453 \h </w:instrText>
        </w:r>
        <w:r w:rsidR="00D5393A">
          <w:rPr>
            <w:noProof/>
            <w:webHidden/>
          </w:rPr>
        </w:r>
        <w:r w:rsidR="00D5393A">
          <w:rPr>
            <w:noProof/>
            <w:webHidden/>
          </w:rPr>
          <w:fldChar w:fldCharType="separate"/>
        </w:r>
        <w:r w:rsidR="009B0EF5">
          <w:rPr>
            <w:noProof/>
            <w:webHidden/>
          </w:rPr>
          <w:t>4</w:t>
        </w:r>
        <w:r w:rsidR="00D5393A">
          <w:rPr>
            <w:noProof/>
            <w:webHidden/>
          </w:rPr>
          <w:fldChar w:fldCharType="end"/>
        </w:r>
      </w:hyperlink>
    </w:p>
    <w:p w14:paraId="71D45FD6" w14:textId="77777777" w:rsidR="009B0EF5" w:rsidRDefault="00235A40">
      <w:pPr>
        <w:pStyle w:val="TOC2"/>
        <w:rPr>
          <w:rFonts w:asciiTheme="minorHAnsi" w:eastAsiaTheme="minorEastAsia" w:hAnsiTheme="minorHAnsi" w:cstheme="minorBidi"/>
          <w:noProof/>
          <w:color w:val="auto"/>
          <w:sz w:val="22"/>
          <w:szCs w:val="22"/>
        </w:rPr>
      </w:pPr>
      <w:hyperlink w:anchor="_Toc413396454" w:history="1">
        <w:r w:rsidR="009B0EF5" w:rsidRPr="00451214">
          <w:rPr>
            <w:rStyle w:val="Hyperlink"/>
            <w:noProof/>
          </w:rPr>
          <w:t>1.3</w:t>
        </w:r>
        <w:r w:rsidR="009B0EF5">
          <w:rPr>
            <w:rFonts w:asciiTheme="minorHAnsi" w:eastAsiaTheme="minorEastAsia" w:hAnsiTheme="minorHAnsi" w:cstheme="minorBidi"/>
            <w:noProof/>
            <w:color w:val="auto"/>
            <w:sz w:val="22"/>
            <w:szCs w:val="22"/>
          </w:rPr>
          <w:tab/>
        </w:r>
        <w:r w:rsidR="009B0EF5" w:rsidRPr="00451214">
          <w:rPr>
            <w:rStyle w:val="Hyperlink"/>
            <w:noProof/>
          </w:rPr>
          <w:t>Consideration of Issues</w:t>
        </w:r>
        <w:r w:rsidR="009B0EF5">
          <w:rPr>
            <w:noProof/>
            <w:webHidden/>
          </w:rPr>
          <w:tab/>
        </w:r>
        <w:r w:rsidR="00D5393A">
          <w:rPr>
            <w:noProof/>
            <w:webHidden/>
          </w:rPr>
          <w:fldChar w:fldCharType="begin"/>
        </w:r>
        <w:r w:rsidR="009B0EF5">
          <w:rPr>
            <w:noProof/>
            <w:webHidden/>
          </w:rPr>
          <w:instrText xml:space="preserve"> PAGEREF _Toc413396454 \h </w:instrText>
        </w:r>
        <w:r w:rsidR="00D5393A">
          <w:rPr>
            <w:noProof/>
            <w:webHidden/>
          </w:rPr>
        </w:r>
        <w:r w:rsidR="00D5393A">
          <w:rPr>
            <w:noProof/>
            <w:webHidden/>
          </w:rPr>
          <w:fldChar w:fldCharType="separate"/>
        </w:r>
        <w:r w:rsidR="009B0EF5">
          <w:rPr>
            <w:noProof/>
            <w:webHidden/>
          </w:rPr>
          <w:t>4</w:t>
        </w:r>
        <w:r w:rsidR="00D5393A">
          <w:rPr>
            <w:noProof/>
            <w:webHidden/>
          </w:rPr>
          <w:fldChar w:fldCharType="end"/>
        </w:r>
      </w:hyperlink>
    </w:p>
    <w:p w14:paraId="71D45FD7" w14:textId="77777777" w:rsidR="009B0EF5" w:rsidRDefault="00235A40">
      <w:pPr>
        <w:pStyle w:val="TOC2"/>
        <w:rPr>
          <w:rFonts w:asciiTheme="minorHAnsi" w:eastAsiaTheme="minorEastAsia" w:hAnsiTheme="minorHAnsi" w:cstheme="minorBidi"/>
          <w:noProof/>
          <w:color w:val="auto"/>
          <w:sz w:val="22"/>
          <w:szCs w:val="22"/>
        </w:rPr>
      </w:pPr>
      <w:hyperlink w:anchor="_Toc413396455" w:history="1">
        <w:r w:rsidR="009B0EF5" w:rsidRPr="00451214">
          <w:rPr>
            <w:rStyle w:val="Hyperlink"/>
            <w:noProof/>
          </w:rPr>
          <w:t>1.4</w:t>
        </w:r>
        <w:r w:rsidR="009B0EF5">
          <w:rPr>
            <w:rFonts w:asciiTheme="minorHAnsi" w:eastAsiaTheme="minorEastAsia" w:hAnsiTheme="minorHAnsi" w:cstheme="minorBidi"/>
            <w:noProof/>
            <w:color w:val="auto"/>
            <w:sz w:val="22"/>
            <w:szCs w:val="22"/>
          </w:rPr>
          <w:tab/>
        </w:r>
        <w:r w:rsidR="009B0EF5" w:rsidRPr="00451214">
          <w:rPr>
            <w:rStyle w:val="Hyperlink"/>
            <w:noProof/>
          </w:rPr>
          <w:t>Policy Summary</w:t>
        </w:r>
        <w:r w:rsidR="009B0EF5">
          <w:rPr>
            <w:noProof/>
            <w:webHidden/>
          </w:rPr>
          <w:tab/>
        </w:r>
        <w:r w:rsidR="00D5393A">
          <w:rPr>
            <w:noProof/>
            <w:webHidden/>
          </w:rPr>
          <w:fldChar w:fldCharType="begin"/>
        </w:r>
        <w:r w:rsidR="009B0EF5">
          <w:rPr>
            <w:noProof/>
            <w:webHidden/>
          </w:rPr>
          <w:instrText xml:space="preserve"> PAGEREF _Toc413396455 \h </w:instrText>
        </w:r>
        <w:r w:rsidR="00D5393A">
          <w:rPr>
            <w:noProof/>
            <w:webHidden/>
          </w:rPr>
        </w:r>
        <w:r w:rsidR="00D5393A">
          <w:rPr>
            <w:noProof/>
            <w:webHidden/>
          </w:rPr>
          <w:fldChar w:fldCharType="separate"/>
        </w:r>
        <w:r w:rsidR="009B0EF5">
          <w:rPr>
            <w:noProof/>
            <w:webHidden/>
          </w:rPr>
          <w:t>5</w:t>
        </w:r>
        <w:r w:rsidR="00D5393A">
          <w:rPr>
            <w:noProof/>
            <w:webHidden/>
          </w:rPr>
          <w:fldChar w:fldCharType="end"/>
        </w:r>
      </w:hyperlink>
    </w:p>
    <w:p w14:paraId="71D45FD8" w14:textId="77777777" w:rsidR="009B0EF5" w:rsidRDefault="00235A40">
      <w:pPr>
        <w:pStyle w:val="TOC1"/>
        <w:rPr>
          <w:rFonts w:asciiTheme="minorHAnsi" w:eastAsiaTheme="minorEastAsia" w:hAnsiTheme="minorHAnsi" w:cstheme="minorBidi"/>
          <w:b w:val="0"/>
          <w:noProof/>
          <w:color w:val="auto"/>
          <w:sz w:val="22"/>
          <w:szCs w:val="22"/>
        </w:rPr>
      </w:pPr>
      <w:hyperlink w:anchor="_Toc413396456" w:history="1">
        <w:r w:rsidR="009B0EF5" w:rsidRPr="00451214">
          <w:rPr>
            <w:rStyle w:val="Hyperlink"/>
            <w:noProof/>
          </w:rPr>
          <w:t>Section 2: Information</w:t>
        </w:r>
        <w:r w:rsidR="009B0EF5">
          <w:rPr>
            <w:noProof/>
            <w:webHidden/>
          </w:rPr>
          <w:tab/>
        </w:r>
        <w:r w:rsidR="00D5393A">
          <w:rPr>
            <w:noProof/>
            <w:webHidden/>
          </w:rPr>
          <w:fldChar w:fldCharType="begin"/>
        </w:r>
        <w:r w:rsidR="009B0EF5">
          <w:rPr>
            <w:noProof/>
            <w:webHidden/>
          </w:rPr>
          <w:instrText xml:space="preserve"> PAGEREF _Toc413396456 \h </w:instrText>
        </w:r>
        <w:r w:rsidR="00D5393A">
          <w:rPr>
            <w:noProof/>
            <w:webHidden/>
          </w:rPr>
        </w:r>
        <w:r w:rsidR="00D5393A">
          <w:rPr>
            <w:noProof/>
            <w:webHidden/>
          </w:rPr>
          <w:fldChar w:fldCharType="separate"/>
        </w:r>
        <w:r w:rsidR="009B0EF5">
          <w:rPr>
            <w:noProof/>
            <w:webHidden/>
          </w:rPr>
          <w:t>6</w:t>
        </w:r>
        <w:r w:rsidR="00D5393A">
          <w:rPr>
            <w:noProof/>
            <w:webHidden/>
          </w:rPr>
          <w:fldChar w:fldCharType="end"/>
        </w:r>
      </w:hyperlink>
    </w:p>
    <w:p w14:paraId="71D45FD9" w14:textId="77777777" w:rsidR="009B0EF5" w:rsidRDefault="00235A40">
      <w:pPr>
        <w:pStyle w:val="TOC2"/>
        <w:rPr>
          <w:rFonts w:asciiTheme="minorHAnsi" w:eastAsiaTheme="minorEastAsia" w:hAnsiTheme="minorHAnsi" w:cstheme="minorBidi"/>
          <w:noProof/>
          <w:color w:val="auto"/>
          <w:sz w:val="22"/>
          <w:szCs w:val="22"/>
        </w:rPr>
      </w:pPr>
      <w:hyperlink w:anchor="_Toc413396457" w:history="1">
        <w:r w:rsidR="009B0EF5" w:rsidRPr="00451214">
          <w:rPr>
            <w:rStyle w:val="Hyperlink"/>
            <w:noProof/>
          </w:rPr>
          <w:t>2.1</w:t>
        </w:r>
        <w:r w:rsidR="009B0EF5">
          <w:rPr>
            <w:rFonts w:asciiTheme="minorHAnsi" w:eastAsiaTheme="minorEastAsia" w:hAnsiTheme="minorHAnsi" w:cstheme="minorBidi"/>
            <w:noProof/>
            <w:color w:val="auto"/>
            <w:sz w:val="22"/>
            <w:szCs w:val="22"/>
          </w:rPr>
          <w:tab/>
        </w:r>
        <w:r w:rsidR="009B0EF5" w:rsidRPr="00451214">
          <w:rPr>
            <w:rStyle w:val="Hyperlink"/>
            <w:noProof/>
          </w:rPr>
          <w:t>Prison conditions</w:t>
        </w:r>
        <w:r w:rsidR="009B0EF5">
          <w:rPr>
            <w:noProof/>
            <w:webHidden/>
          </w:rPr>
          <w:tab/>
        </w:r>
        <w:r w:rsidR="00D5393A">
          <w:rPr>
            <w:noProof/>
            <w:webHidden/>
          </w:rPr>
          <w:fldChar w:fldCharType="begin"/>
        </w:r>
        <w:r w:rsidR="009B0EF5">
          <w:rPr>
            <w:noProof/>
            <w:webHidden/>
          </w:rPr>
          <w:instrText xml:space="preserve"> PAGEREF _Toc413396457 \h </w:instrText>
        </w:r>
        <w:r w:rsidR="00D5393A">
          <w:rPr>
            <w:noProof/>
            <w:webHidden/>
          </w:rPr>
        </w:r>
        <w:r w:rsidR="00D5393A">
          <w:rPr>
            <w:noProof/>
            <w:webHidden/>
          </w:rPr>
          <w:fldChar w:fldCharType="separate"/>
        </w:r>
        <w:r w:rsidR="009B0EF5">
          <w:rPr>
            <w:noProof/>
            <w:webHidden/>
          </w:rPr>
          <w:t>6</w:t>
        </w:r>
        <w:r w:rsidR="00D5393A">
          <w:rPr>
            <w:noProof/>
            <w:webHidden/>
          </w:rPr>
          <w:fldChar w:fldCharType="end"/>
        </w:r>
      </w:hyperlink>
    </w:p>
    <w:p w14:paraId="71D45FDA" w14:textId="77777777" w:rsidR="009B0EF5" w:rsidRDefault="00235A40">
      <w:pPr>
        <w:pStyle w:val="TOC2"/>
        <w:rPr>
          <w:rFonts w:asciiTheme="minorHAnsi" w:eastAsiaTheme="minorEastAsia" w:hAnsiTheme="minorHAnsi" w:cstheme="minorBidi"/>
          <w:noProof/>
          <w:color w:val="auto"/>
          <w:sz w:val="22"/>
          <w:szCs w:val="22"/>
        </w:rPr>
      </w:pPr>
      <w:hyperlink w:anchor="_Toc413396458" w:history="1">
        <w:r w:rsidR="009B0EF5" w:rsidRPr="00451214">
          <w:rPr>
            <w:rStyle w:val="Hyperlink"/>
            <w:noProof/>
          </w:rPr>
          <w:t>2.2</w:t>
        </w:r>
        <w:r w:rsidR="009B0EF5">
          <w:rPr>
            <w:rFonts w:asciiTheme="minorHAnsi" w:eastAsiaTheme="minorEastAsia" w:hAnsiTheme="minorHAnsi" w:cstheme="minorBidi"/>
            <w:noProof/>
            <w:color w:val="auto"/>
            <w:sz w:val="22"/>
            <w:szCs w:val="22"/>
          </w:rPr>
          <w:tab/>
        </w:r>
        <w:r w:rsidR="009B0EF5" w:rsidRPr="00451214">
          <w:rPr>
            <w:rStyle w:val="Hyperlink"/>
            <w:noProof/>
          </w:rPr>
          <w:t>Death penalty</w:t>
        </w:r>
        <w:r w:rsidR="009B0EF5">
          <w:rPr>
            <w:noProof/>
            <w:webHidden/>
          </w:rPr>
          <w:tab/>
        </w:r>
        <w:r w:rsidR="00D5393A">
          <w:rPr>
            <w:noProof/>
            <w:webHidden/>
          </w:rPr>
          <w:fldChar w:fldCharType="begin"/>
        </w:r>
        <w:r w:rsidR="009B0EF5">
          <w:rPr>
            <w:noProof/>
            <w:webHidden/>
          </w:rPr>
          <w:instrText xml:space="preserve"> PAGEREF _Toc413396458 \h </w:instrText>
        </w:r>
        <w:r w:rsidR="00D5393A">
          <w:rPr>
            <w:noProof/>
            <w:webHidden/>
          </w:rPr>
        </w:r>
        <w:r w:rsidR="00D5393A">
          <w:rPr>
            <w:noProof/>
            <w:webHidden/>
          </w:rPr>
          <w:fldChar w:fldCharType="separate"/>
        </w:r>
        <w:r w:rsidR="009B0EF5">
          <w:rPr>
            <w:noProof/>
            <w:webHidden/>
          </w:rPr>
          <w:t>9</w:t>
        </w:r>
        <w:r w:rsidR="00D5393A">
          <w:rPr>
            <w:noProof/>
            <w:webHidden/>
          </w:rPr>
          <w:fldChar w:fldCharType="end"/>
        </w:r>
      </w:hyperlink>
    </w:p>
    <w:p w14:paraId="71D45FDB" w14:textId="77777777" w:rsidR="007200E5" w:rsidRDefault="00D5393A" w:rsidP="007200E5">
      <w:pPr>
        <w:pStyle w:val="CPITSectionHeader"/>
      </w:pPr>
      <w:r>
        <w:rPr>
          <w:rFonts w:cs="Times New Roman"/>
          <w:noProof/>
          <w:sz w:val="24"/>
          <w:szCs w:val="20"/>
        </w:rPr>
        <w:fldChar w:fldCharType="end"/>
      </w:r>
      <w:r w:rsidR="007200E5" w:rsidRPr="00431D0F">
        <w:t xml:space="preserve"> </w:t>
      </w:r>
    </w:p>
    <w:p w14:paraId="71D45FDC" w14:textId="77777777" w:rsidR="007E3141" w:rsidRDefault="007E3141" w:rsidP="00990861"/>
    <w:p w14:paraId="71D45FDD" w14:textId="77777777" w:rsidR="007200E5" w:rsidRPr="007C3D75" w:rsidRDefault="007200E5" w:rsidP="007C3D75">
      <w:pPr>
        <w:pStyle w:val="CPITSectionHeader"/>
        <w:spacing w:after="120"/>
      </w:pPr>
      <w:r w:rsidRPr="007C3D75">
        <w:br w:type="page"/>
      </w:r>
      <w:bookmarkStart w:id="3" w:name="_Toc413396451"/>
      <w:r w:rsidRPr="007C3D75">
        <w:lastRenderedPageBreak/>
        <w:t>Section 1: Guidance</w:t>
      </w:r>
      <w:bookmarkEnd w:id="3"/>
    </w:p>
    <w:p w14:paraId="71D45FDE" w14:textId="77777777" w:rsidR="00D163F9" w:rsidRPr="00D163F9" w:rsidRDefault="00D163F9" w:rsidP="00C96CF8">
      <w:pPr>
        <w:pStyle w:val="CPITDateUpdatedText"/>
      </w:pPr>
      <w:r w:rsidRPr="00D163F9">
        <w:t xml:space="preserve">Updated: </w:t>
      </w:r>
      <w:r w:rsidR="009B0EF5">
        <w:t>06 March</w:t>
      </w:r>
      <w:r w:rsidR="000F00DE">
        <w:t xml:space="preserve"> 2015</w:t>
      </w:r>
    </w:p>
    <w:p w14:paraId="71D45FDF" w14:textId="77777777" w:rsidR="007200E5" w:rsidRPr="006F42F4" w:rsidRDefault="007200E5" w:rsidP="00CF527B">
      <w:pPr>
        <w:pStyle w:val="CPITSub-header1"/>
        <w:numPr>
          <w:ilvl w:val="1"/>
          <w:numId w:val="3"/>
        </w:numPr>
      </w:pPr>
      <w:bookmarkStart w:id="4" w:name="_Toc413396452"/>
      <w:r>
        <w:t>Basis of Claim</w:t>
      </w:r>
      <w:bookmarkEnd w:id="4"/>
    </w:p>
    <w:p w14:paraId="71D45FE0" w14:textId="77777777" w:rsidR="009619AB" w:rsidRPr="00FB1A09" w:rsidRDefault="009619AB" w:rsidP="009619AB">
      <w:pPr>
        <w:pStyle w:val="ParagraphText"/>
        <w:numPr>
          <w:ilvl w:val="2"/>
          <w:numId w:val="2"/>
        </w:numPr>
        <w:ind w:left="851" w:hanging="851"/>
      </w:pPr>
      <w:r w:rsidRPr="00FB1A09">
        <w:t>Fear of bei</w:t>
      </w:r>
      <w:r>
        <w:t>ng imprisoned on return to Bangladesh</w:t>
      </w:r>
      <w:r w:rsidRPr="00FB1A09">
        <w:t xml:space="preserve"> and that prison conditions </w:t>
      </w:r>
      <w:r w:rsidR="008B5B16">
        <w:t xml:space="preserve">in Bangladesh </w:t>
      </w:r>
      <w:r w:rsidRPr="00FB1A09">
        <w:t xml:space="preserve">are so poor </w:t>
      </w:r>
      <w:r w:rsidR="008B5B16">
        <w:t xml:space="preserve">as to </w:t>
      </w:r>
      <w:r w:rsidRPr="00FB1A09">
        <w:t xml:space="preserve">amount to torture or inhuman </w:t>
      </w:r>
      <w:r w:rsidR="008B5B16">
        <w:t xml:space="preserve">or degrading </w:t>
      </w:r>
      <w:r w:rsidRPr="00FB1A09">
        <w:t xml:space="preserve">treatment or punishment. </w:t>
      </w:r>
    </w:p>
    <w:p w14:paraId="71D45FE1" w14:textId="77777777" w:rsidR="009619AB" w:rsidRPr="00FB1A09" w:rsidRDefault="009619AB" w:rsidP="009619AB">
      <w:pPr>
        <w:pStyle w:val="ParagraphText"/>
        <w:numPr>
          <w:ilvl w:val="2"/>
          <w:numId w:val="2"/>
        </w:numPr>
        <w:ind w:left="851" w:hanging="851"/>
      </w:pPr>
      <w:r w:rsidRPr="00FB1A09">
        <w:t>This guidance is concerned solely with whether prison conditions are such that they breach Article 3 of ECHR and warrant a grant of humanitarian protection.  Prison conditions which are systematically inhuman and life-threatening are always contrary to Article 3 ECHR. However, even if those conditions are not severe enough to meet that threshold</w:t>
      </w:r>
      <w:r>
        <w:t>,</w:t>
      </w:r>
      <w:r w:rsidRPr="00FB1A09">
        <w:t xml:space="preserve"> Article 3 </w:t>
      </w:r>
      <w:r>
        <w:t xml:space="preserve">may be breached </w:t>
      </w:r>
      <w:r w:rsidRPr="00FB1A09">
        <w:t xml:space="preserve">if, </w:t>
      </w:r>
      <w:r>
        <w:t>because of</w:t>
      </w:r>
      <w:r w:rsidRPr="00FB1A09">
        <w:t xml:space="preserve"> </w:t>
      </w:r>
      <w:r>
        <w:t>a</w:t>
      </w:r>
      <w:r w:rsidRPr="00FB1A09">
        <w:t xml:space="preserve"> person</w:t>
      </w:r>
      <w:r>
        <w:t>’s</w:t>
      </w:r>
      <w:r w:rsidRPr="00FB1A09">
        <w:t xml:space="preserve"> </w:t>
      </w:r>
      <w:r>
        <w:t>individual</w:t>
      </w:r>
      <w:r w:rsidRPr="00FB1A09">
        <w:t xml:space="preserve"> </w:t>
      </w:r>
      <w:r>
        <w:t xml:space="preserve">specific </w:t>
      </w:r>
      <w:r w:rsidRPr="00FB1A09">
        <w:t>circumstances, detention would amount to inhuman or degrading treatment</w:t>
      </w:r>
      <w:r w:rsidR="008B5B16">
        <w:t xml:space="preserve"> or punishment</w:t>
      </w:r>
      <w:r w:rsidRPr="00FB1A09">
        <w:t xml:space="preserve">. </w:t>
      </w:r>
    </w:p>
    <w:p w14:paraId="71D45FE2" w14:textId="77777777" w:rsidR="009619AB" w:rsidRPr="009619AB" w:rsidRDefault="009619AB" w:rsidP="009619AB">
      <w:pPr>
        <w:pStyle w:val="ParagraphText"/>
        <w:numPr>
          <w:ilvl w:val="2"/>
          <w:numId w:val="2"/>
        </w:numPr>
        <w:ind w:left="851" w:hanging="851"/>
        <w:rPr>
          <w:szCs w:val="22"/>
          <w:u w:val="single" w:color="8F23B3"/>
        </w:rPr>
      </w:pPr>
      <w:r w:rsidRPr="00FB1A09">
        <w:t xml:space="preserve">If the prison sentence or the prison regime, irrespective of its severity, is discriminatory or being disproportionately applied for reasons of race, religion, nationality, membership of a particular social group or political opinion, </w:t>
      </w:r>
      <w:r w:rsidR="00D13792" w:rsidRPr="0061712E">
        <w:t xml:space="preserve">the </w:t>
      </w:r>
      <w:r w:rsidR="00D13792">
        <w:t xml:space="preserve">imprisonment may amount to persecution and </w:t>
      </w:r>
      <w:r w:rsidRPr="00FB1A09">
        <w:t xml:space="preserve">the </w:t>
      </w:r>
      <w:r>
        <w:t>person</w:t>
      </w:r>
      <w:r w:rsidRPr="00FB1A09">
        <w:t xml:space="preserve"> </w:t>
      </w:r>
      <w:r>
        <w:t>may</w:t>
      </w:r>
      <w:r w:rsidRPr="00FB1A09">
        <w:t xml:space="preserve"> qualify as a refugee.</w:t>
      </w:r>
    </w:p>
    <w:p w14:paraId="71D45FE3" w14:textId="77777777" w:rsidR="00B50E2C" w:rsidRPr="00A46E3C" w:rsidRDefault="00235A40" w:rsidP="00990861">
      <w:pPr>
        <w:pStyle w:val="CPITBacktoContentsLinks"/>
        <w:rPr>
          <w:rStyle w:val="CPITCOI-Link"/>
        </w:rPr>
      </w:pPr>
      <w:hyperlink w:anchor="contents" w:history="1">
        <w:r w:rsidR="00B50E2C" w:rsidRPr="00A46E3C">
          <w:rPr>
            <w:rStyle w:val="CPITCOI-Link"/>
          </w:rPr>
          <w:t>Back to Contents</w:t>
        </w:r>
      </w:hyperlink>
    </w:p>
    <w:p w14:paraId="71D45FE4" w14:textId="77777777" w:rsidR="0003355F" w:rsidRDefault="0003355F" w:rsidP="00C32C73"/>
    <w:p w14:paraId="71D45FE5" w14:textId="77777777" w:rsidR="0003355F" w:rsidRPr="006F42F4" w:rsidRDefault="00A821C7" w:rsidP="00CF527B">
      <w:pPr>
        <w:pStyle w:val="CPITSub-header1"/>
        <w:numPr>
          <w:ilvl w:val="1"/>
          <w:numId w:val="3"/>
        </w:numPr>
      </w:pPr>
      <w:bookmarkStart w:id="5" w:name="_Toc413396453"/>
      <w:r>
        <w:t>Summary of Issues</w:t>
      </w:r>
      <w:bookmarkEnd w:id="5"/>
    </w:p>
    <w:p w14:paraId="71D45FE6" w14:textId="77777777" w:rsidR="00DA3FE5" w:rsidRDefault="00A46E3C" w:rsidP="00CF527B">
      <w:pPr>
        <w:pStyle w:val="CPITSummaryofIssuesText"/>
        <w:numPr>
          <w:ilvl w:val="0"/>
          <w:numId w:val="5"/>
        </w:numPr>
        <w:tabs>
          <w:tab w:val="left" w:pos="851"/>
        </w:tabs>
        <w:ind w:left="851" w:hanging="851"/>
      </w:pPr>
      <w:r w:rsidRPr="00A46E3C">
        <w:t>Is the person’s account a credible one?</w:t>
      </w:r>
    </w:p>
    <w:p w14:paraId="71D45FE7" w14:textId="77777777" w:rsidR="00DA3FE5" w:rsidRDefault="00DA3FE5" w:rsidP="00CF527B">
      <w:pPr>
        <w:pStyle w:val="CPITSummaryofIssuesText"/>
        <w:numPr>
          <w:ilvl w:val="0"/>
          <w:numId w:val="5"/>
        </w:numPr>
        <w:tabs>
          <w:tab w:val="left" w:pos="851"/>
        </w:tabs>
        <w:ind w:left="851" w:hanging="851"/>
      </w:pPr>
      <w:r>
        <w:t>Is the person</w:t>
      </w:r>
      <w:r w:rsidR="00700117">
        <w:t xml:space="preserve"> at real risk of being </w:t>
      </w:r>
      <w:r>
        <w:t>imprisoned?</w:t>
      </w:r>
    </w:p>
    <w:p w14:paraId="71D45FE8" w14:textId="77777777" w:rsidR="00DA3FE5" w:rsidRDefault="00DA3FE5" w:rsidP="00CF527B">
      <w:pPr>
        <w:pStyle w:val="CPITSummaryofIssuesText"/>
        <w:numPr>
          <w:ilvl w:val="0"/>
          <w:numId w:val="5"/>
        </w:numPr>
        <w:tabs>
          <w:tab w:val="left" w:pos="851"/>
        </w:tabs>
        <w:ind w:left="851" w:hanging="851"/>
      </w:pPr>
      <w:r>
        <w:t xml:space="preserve">Are prison conditions in </w:t>
      </w:r>
      <w:r w:rsidR="00282BE3">
        <w:t>Bangladesh</w:t>
      </w:r>
      <w:r w:rsidR="00C915D8">
        <w:t xml:space="preserve"> </w:t>
      </w:r>
      <w:r>
        <w:t xml:space="preserve">so severe that prisoners suffer treatment contrary to Article 3 ECHR? </w:t>
      </w:r>
    </w:p>
    <w:p w14:paraId="71D45FE9" w14:textId="77777777" w:rsidR="00A821C7" w:rsidRDefault="00235A40" w:rsidP="00990861">
      <w:pPr>
        <w:pStyle w:val="CPITBacktoContentsLinks"/>
        <w:rPr>
          <w:rStyle w:val="CPITCOI-Link"/>
        </w:rPr>
      </w:pPr>
      <w:hyperlink w:anchor="contents" w:history="1">
        <w:r w:rsidR="00A46E3C" w:rsidRPr="00A46E3C">
          <w:rPr>
            <w:rStyle w:val="CPITCOI-Link"/>
          </w:rPr>
          <w:t>Back to Contents</w:t>
        </w:r>
      </w:hyperlink>
    </w:p>
    <w:p w14:paraId="71D45FEA" w14:textId="77777777" w:rsidR="00A821C7" w:rsidRPr="006F42F4" w:rsidRDefault="00A821C7" w:rsidP="00CF527B">
      <w:pPr>
        <w:pStyle w:val="CPITSub-header1"/>
        <w:numPr>
          <w:ilvl w:val="1"/>
          <w:numId w:val="3"/>
        </w:numPr>
      </w:pPr>
      <w:bookmarkStart w:id="6" w:name="_Toc413396454"/>
      <w:r>
        <w:t>Consideration of Issues</w:t>
      </w:r>
      <w:bookmarkEnd w:id="6"/>
    </w:p>
    <w:p w14:paraId="71D45FEB" w14:textId="77777777" w:rsidR="00A46E3C" w:rsidRPr="00A46E3C" w:rsidRDefault="00A46E3C" w:rsidP="007037F7">
      <w:pPr>
        <w:pStyle w:val="CPITIssuetoConsider"/>
      </w:pPr>
      <w:r w:rsidRPr="00A46E3C">
        <w:t>Is the person’s account a credible one?</w:t>
      </w:r>
    </w:p>
    <w:p w14:paraId="71D45FEC" w14:textId="77777777" w:rsidR="000A6226" w:rsidRPr="00646617" w:rsidRDefault="009A3268" w:rsidP="000A6226">
      <w:pPr>
        <w:pStyle w:val="CPITNumberedParagraphText"/>
      </w:pPr>
      <w:r w:rsidRPr="00A46E3C">
        <w:t xml:space="preserve">Decision makers must consider whether the </w:t>
      </w:r>
      <w:r w:rsidR="008B5B16">
        <w:t>material facts relating to the person’s account of their fear</w:t>
      </w:r>
      <w:r>
        <w:t xml:space="preserve"> of </w:t>
      </w:r>
      <w:r w:rsidR="008B5B16">
        <w:t>being</w:t>
      </w:r>
      <w:r>
        <w:t xml:space="preserve"> imprison</w:t>
      </w:r>
      <w:r w:rsidR="008B5B16">
        <w:t>ed</w:t>
      </w:r>
      <w:r>
        <w:t xml:space="preserve"> </w:t>
      </w:r>
      <w:r w:rsidR="008B5B16">
        <w:t xml:space="preserve">upon </w:t>
      </w:r>
      <w:r>
        <w:t>return is</w:t>
      </w:r>
      <w:r w:rsidRPr="00A46E3C">
        <w:t xml:space="preserve"> reasonably detailed, internally consistent </w:t>
      </w:r>
      <w:r w:rsidR="008B5B16">
        <w:t xml:space="preserve">(e.g. oral testimony, written statements) </w:t>
      </w:r>
      <w:r w:rsidRPr="00A46E3C">
        <w:t xml:space="preserve">as well as being externally credible (i.e. consistent with generally known facts and the </w:t>
      </w:r>
      <w:hyperlink w:anchor="Prisonconditions" w:history="1">
        <w:r w:rsidRPr="004B393C">
          <w:rPr>
            <w:rStyle w:val="CPITCOI-Link"/>
          </w:rPr>
          <w:t>country information</w:t>
        </w:r>
      </w:hyperlink>
      <w:r w:rsidRPr="00A46E3C">
        <w:t>).</w:t>
      </w:r>
      <w:r w:rsidR="00F56371">
        <w:t xml:space="preserve"> </w:t>
      </w:r>
      <w:r w:rsidR="004B393C" w:rsidRPr="004B393C">
        <w:t>Decision makers should take into account the possible underlying factors as to why a person may be inconsistent or unable to provide details of material facts.</w:t>
      </w:r>
    </w:p>
    <w:p w14:paraId="71D45FED" w14:textId="77777777" w:rsidR="00053CBB" w:rsidRPr="00646617" w:rsidRDefault="00DD1B77" w:rsidP="00053CBB">
      <w:pPr>
        <w:pStyle w:val="CPITNumberedParagraphText"/>
      </w:pPr>
      <w:r>
        <w:t>For further information and guidance see</w:t>
      </w:r>
      <w:r w:rsidR="00053CBB" w:rsidRPr="00646617">
        <w:t xml:space="preserve"> </w:t>
      </w:r>
      <w:hyperlink r:id="rId20" w:history="1">
        <w:r w:rsidR="00053CBB" w:rsidRPr="00646617">
          <w:rPr>
            <w:rStyle w:val="CPITCOI-Link"/>
          </w:rPr>
          <w:t>Country Information and Guidance. Bangladesh: Background information</w:t>
        </w:r>
        <w:r w:rsidR="00D13792">
          <w:rPr>
            <w:rStyle w:val="CPITCOI-Link"/>
          </w:rPr>
          <w:t>,</w:t>
        </w:r>
        <w:r w:rsidR="00053CBB" w:rsidRPr="00646617">
          <w:rPr>
            <w:rStyle w:val="CPITCOI-Link"/>
          </w:rPr>
          <w:t xml:space="preserve"> including actors of protection and internal relocation</w:t>
        </w:r>
      </w:hyperlink>
      <w:r w:rsidR="00D13792">
        <w:t>,</w:t>
      </w:r>
      <w:r w:rsidR="00053CBB" w:rsidRPr="000A6226">
        <w:rPr>
          <w:rStyle w:val="CPITCOI-Link"/>
          <w:u w:val="none"/>
        </w:rPr>
        <w:t xml:space="preserve"> and</w:t>
      </w:r>
      <w:r w:rsidRPr="00DD1B77">
        <w:t xml:space="preserve"> </w:t>
      </w:r>
      <w:r w:rsidR="004B393C">
        <w:t xml:space="preserve">section 5 of the </w:t>
      </w:r>
      <w:r w:rsidR="00053CBB">
        <w:t>Asylum Instruction</w:t>
      </w:r>
      <w:r w:rsidR="00D13792">
        <w:t xml:space="preserve">: </w:t>
      </w:r>
      <w:hyperlink r:id="rId21" w:history="1">
        <w:r w:rsidR="00053CBB" w:rsidRPr="00F56371">
          <w:rPr>
            <w:rStyle w:val="CPITCOI-Link"/>
          </w:rPr>
          <w:t>Assessing credibility and refugee status</w:t>
        </w:r>
      </w:hyperlink>
    </w:p>
    <w:p w14:paraId="71D45FEE" w14:textId="77777777" w:rsidR="00DA3FE5" w:rsidRDefault="00DA3FE5" w:rsidP="00DA3FE5">
      <w:pPr>
        <w:pStyle w:val="CPITIssuetoConsider"/>
      </w:pPr>
      <w:r>
        <w:t xml:space="preserve">Is the person </w:t>
      </w:r>
      <w:r w:rsidR="00700117">
        <w:t xml:space="preserve">at real risk of being </w:t>
      </w:r>
      <w:r>
        <w:t>imprisoned?</w:t>
      </w:r>
    </w:p>
    <w:p w14:paraId="71D45FEF" w14:textId="77777777" w:rsidR="009A3268" w:rsidRDefault="009A3268" w:rsidP="00DD1B77">
      <w:pPr>
        <w:pStyle w:val="ParagraphText"/>
        <w:numPr>
          <w:ilvl w:val="2"/>
          <w:numId w:val="2"/>
        </w:numPr>
        <w:ind w:left="851" w:hanging="851"/>
      </w:pPr>
      <w:r w:rsidRPr="004B393C">
        <w:rPr>
          <w:snapToGrid w:val="0"/>
        </w:rPr>
        <w:t xml:space="preserve">Decision makers must establish the likelihood that the person will be imprisoned on return including if necessary whether the alleged offence constitutes an offence under </w:t>
      </w:r>
      <w:r w:rsidR="00D13792" w:rsidRPr="004B393C">
        <w:rPr>
          <w:snapToGrid w:val="0"/>
        </w:rPr>
        <w:t xml:space="preserve">Bangladesh </w:t>
      </w:r>
      <w:r w:rsidRPr="004B393C">
        <w:rPr>
          <w:snapToGrid w:val="0"/>
        </w:rPr>
        <w:t>law and, if so, is one which is likely to be punishable by a term of imprisonment</w:t>
      </w:r>
      <w:r w:rsidR="004B393C">
        <w:rPr>
          <w:snapToGrid w:val="0"/>
        </w:rPr>
        <w:t xml:space="preserve"> </w:t>
      </w:r>
      <w:r w:rsidR="004B393C" w:rsidRPr="004B393C">
        <w:rPr>
          <w:snapToGrid w:val="0"/>
        </w:rPr>
        <w:t>(</w:t>
      </w:r>
      <w:r w:rsidR="00DD1B77">
        <w:t>see</w:t>
      </w:r>
      <w:r w:rsidR="004B393C">
        <w:t xml:space="preserve"> the</w:t>
      </w:r>
      <w:r w:rsidR="00DD1B77">
        <w:t xml:space="preserve"> </w:t>
      </w:r>
      <w:hyperlink r:id="rId22" w:history="1">
        <w:r w:rsidR="00DD1B77" w:rsidRPr="00403DAF">
          <w:rPr>
            <w:rStyle w:val="CPITCOI-Link"/>
          </w:rPr>
          <w:t>Bangladesh Penal Code 1860</w:t>
        </w:r>
      </w:hyperlink>
      <w:r w:rsidR="00DD1B77" w:rsidRPr="004B393C">
        <w:rPr>
          <w:rStyle w:val="CPITCOI-Link"/>
          <w:u w:val="none"/>
        </w:rPr>
        <w:t xml:space="preserve"> for prescribed penalties for criminal offences</w:t>
      </w:r>
      <w:r w:rsidR="004B393C">
        <w:rPr>
          <w:rStyle w:val="CPITCOI-Link"/>
          <w:u w:val="none"/>
        </w:rPr>
        <w:t>).</w:t>
      </w:r>
    </w:p>
    <w:p w14:paraId="71D45FF0" w14:textId="77777777" w:rsidR="004B393C" w:rsidRDefault="004B393C" w:rsidP="00DD1B77">
      <w:pPr>
        <w:pStyle w:val="ParagraphText"/>
        <w:numPr>
          <w:ilvl w:val="2"/>
          <w:numId w:val="2"/>
        </w:numPr>
        <w:ind w:left="851" w:hanging="851"/>
      </w:pPr>
      <w:r w:rsidRPr="004B393C">
        <w:lastRenderedPageBreak/>
        <w:t>If so, decision makers must also consider whether the law is discriminatory or being disproportionately applied.</w:t>
      </w:r>
    </w:p>
    <w:p w14:paraId="71D45FF1" w14:textId="77777777" w:rsidR="00DA3FE5" w:rsidRDefault="00DA3FE5" w:rsidP="00DA3FE5">
      <w:pPr>
        <w:pStyle w:val="CPITIssuetoConsider"/>
      </w:pPr>
      <w:r>
        <w:t xml:space="preserve">Are prison conditions in </w:t>
      </w:r>
      <w:r w:rsidR="009A3268">
        <w:t>Bangladesh</w:t>
      </w:r>
      <w:r>
        <w:t xml:space="preserve"> so severe that prisoners suffer treatment contrary to Article 3 ECHR? </w:t>
      </w:r>
    </w:p>
    <w:p w14:paraId="71D45FF2" w14:textId="77777777" w:rsidR="00F149B7" w:rsidRDefault="00403DAF" w:rsidP="00DE4CF0">
      <w:pPr>
        <w:pStyle w:val="ParagraphText"/>
        <w:numPr>
          <w:ilvl w:val="2"/>
          <w:numId w:val="2"/>
        </w:numPr>
        <w:ind w:left="851" w:hanging="851"/>
      </w:pPr>
      <w:r>
        <w:t>Prison conditions</w:t>
      </w:r>
      <w:r w:rsidR="007423F6">
        <w:t xml:space="preserve"> in Bangladesh</w:t>
      </w:r>
      <w:r>
        <w:t xml:space="preserve"> </w:t>
      </w:r>
      <w:r w:rsidR="00F149B7">
        <w:t xml:space="preserve">are harsh and at times life threatening due to overcrowding, lack of medical facilities and lack of proper sanitation contributing to custodial deaths. </w:t>
      </w:r>
      <w:r w:rsidR="007423F6">
        <w:t>The Country Guidance case</w:t>
      </w:r>
      <w:r w:rsidR="00DD1B77" w:rsidRPr="00DD1B77">
        <w:t xml:space="preserve"> </w:t>
      </w:r>
      <w:r w:rsidR="00DE4CF0" w:rsidRPr="00DD1B77">
        <w:t>of</w:t>
      </w:r>
      <w:r w:rsidR="00DE4CF0">
        <w:t xml:space="preserve"> </w:t>
      </w:r>
      <w:hyperlink r:id="rId23" w:history="1">
        <w:r w:rsidR="007423F6" w:rsidRPr="007423F6">
          <w:rPr>
            <w:rStyle w:val="CPITCOI-Link"/>
          </w:rPr>
          <w:t>SH (prison conditions) Bangladesh CG [2008]</w:t>
        </w:r>
      </w:hyperlink>
      <w:r w:rsidR="007423F6">
        <w:t xml:space="preserve"> (13 October 2008)</w:t>
      </w:r>
      <w:r w:rsidR="00FD4546">
        <w:t xml:space="preserve"> found</w:t>
      </w:r>
      <w:r w:rsidR="007423F6">
        <w:t xml:space="preserve"> ‘Prison conditions in Bangladesh, at least for ordinary prisoners, do not violate Article 3 ECHR. This conclusion does not mean that an individual who faces prison on return to Bangladesh can never succeed in showing a violation of Article 3 in the particular circumstances of his case. The individual facts of each case should be considered to determine whether detention will cause a particular individual in his particular circumstances to suffer treatment contrary to Article 3.’</w:t>
      </w:r>
      <w:r>
        <w:t xml:space="preserve"> </w:t>
      </w:r>
      <w:r w:rsidR="00193500">
        <w:t xml:space="preserve">(See country information on </w:t>
      </w:r>
      <w:hyperlink w:anchor="Prisonconditions" w:history="1">
        <w:r w:rsidR="004B393C" w:rsidRPr="00C00B70">
          <w:rPr>
            <w:rStyle w:val="CPITCOI-Link"/>
          </w:rPr>
          <w:t>Prison conditions</w:t>
        </w:r>
      </w:hyperlink>
      <w:r w:rsidR="00193500">
        <w:t>)</w:t>
      </w:r>
      <w:r w:rsidR="00F149B7">
        <w:t>.</w:t>
      </w:r>
    </w:p>
    <w:p w14:paraId="71D45FF3" w14:textId="77777777" w:rsidR="00403DAF" w:rsidRDefault="00FD4546" w:rsidP="00FD4546">
      <w:pPr>
        <w:pStyle w:val="CPITNumberedParagraphText"/>
      </w:pPr>
      <w:r w:rsidRPr="00B520F6">
        <w:t xml:space="preserve">Decision makers must therefore carefully consider the individual factors of each case. </w:t>
      </w:r>
      <w:r w:rsidR="00403DAF">
        <w:t xml:space="preserve">The relevant factors include: </w:t>
      </w:r>
    </w:p>
    <w:p w14:paraId="71D45FF4" w14:textId="77777777" w:rsidR="00403DAF" w:rsidRPr="00001BD2" w:rsidRDefault="00403DAF" w:rsidP="00403DAF">
      <w:pPr>
        <w:pStyle w:val="ParagraphText"/>
        <w:numPr>
          <w:ilvl w:val="0"/>
          <w:numId w:val="4"/>
        </w:numPr>
        <w:ind w:left="851" w:firstLine="0"/>
      </w:pPr>
      <w:r>
        <w:t>the reason for detention;</w:t>
      </w:r>
    </w:p>
    <w:p w14:paraId="71D45FF5" w14:textId="77777777" w:rsidR="00403DAF" w:rsidRPr="00001BD2" w:rsidRDefault="00403DAF" w:rsidP="00403DAF">
      <w:pPr>
        <w:pStyle w:val="ParagraphText"/>
        <w:numPr>
          <w:ilvl w:val="0"/>
          <w:numId w:val="4"/>
        </w:numPr>
        <w:ind w:left="851" w:firstLine="0"/>
      </w:pPr>
      <w:r>
        <w:t>the likely length of detention;</w:t>
      </w:r>
    </w:p>
    <w:p w14:paraId="71D45FF6" w14:textId="77777777" w:rsidR="00403DAF" w:rsidRPr="00001BD2" w:rsidRDefault="00403DAF" w:rsidP="00403DAF">
      <w:pPr>
        <w:pStyle w:val="ParagraphText"/>
        <w:numPr>
          <w:ilvl w:val="0"/>
          <w:numId w:val="4"/>
        </w:numPr>
        <w:ind w:left="851" w:firstLine="0"/>
      </w:pPr>
      <w:r>
        <w:t xml:space="preserve">the likely type of detention facility; </w:t>
      </w:r>
    </w:p>
    <w:p w14:paraId="71D45FF7" w14:textId="77777777" w:rsidR="00745186" w:rsidRDefault="00403DAF" w:rsidP="00403DAF">
      <w:pPr>
        <w:pStyle w:val="ParagraphText"/>
        <w:numPr>
          <w:ilvl w:val="0"/>
          <w:numId w:val="4"/>
        </w:numPr>
        <w:ind w:left="851" w:firstLine="0"/>
      </w:pPr>
      <w:r>
        <w:t>the person’s age, gender</w:t>
      </w:r>
      <w:r w:rsidR="00745186">
        <w:t>, socio-economic status</w:t>
      </w:r>
      <w:r>
        <w:t xml:space="preserve"> and state of health</w:t>
      </w:r>
      <w:r w:rsidR="00745186">
        <w:t>; and</w:t>
      </w:r>
    </w:p>
    <w:p w14:paraId="71D45FF8" w14:textId="77777777" w:rsidR="00745186" w:rsidRDefault="00745186" w:rsidP="00403DAF">
      <w:pPr>
        <w:pStyle w:val="ParagraphText"/>
        <w:numPr>
          <w:ilvl w:val="0"/>
          <w:numId w:val="4"/>
        </w:numPr>
        <w:ind w:left="851" w:firstLine="0"/>
      </w:pPr>
      <w:r>
        <w:t>whether they have family or friends to support them and, for example provide food, etc.</w:t>
      </w:r>
    </w:p>
    <w:p w14:paraId="71D45FF9" w14:textId="77777777" w:rsidR="00403DAF" w:rsidRPr="00BD13D3" w:rsidRDefault="00DE4CF0" w:rsidP="00F56371">
      <w:pPr>
        <w:pStyle w:val="CPITQuote"/>
        <w:rPr>
          <w:rStyle w:val="COI-Link"/>
        </w:rPr>
      </w:pPr>
      <w:r>
        <w:t>For further information and guidance s</w:t>
      </w:r>
      <w:r w:rsidR="00403DAF">
        <w:t xml:space="preserve">ee </w:t>
      </w:r>
      <w:hyperlink w:anchor="Prisonconditions" w:history="1">
        <w:r w:rsidR="00403DAF" w:rsidRPr="00B719DB">
          <w:rPr>
            <w:rStyle w:val="CPITCOI-Link"/>
          </w:rPr>
          <w:t>Prison conditions</w:t>
        </w:r>
      </w:hyperlink>
      <w:r w:rsidR="00F56371" w:rsidRPr="00F56371">
        <w:rPr>
          <w:rStyle w:val="CPITCOI-Link"/>
          <w:u w:val="none"/>
        </w:rPr>
        <w:t xml:space="preserve"> </w:t>
      </w:r>
      <w:r>
        <w:rPr>
          <w:rStyle w:val="CPITCOI-Link"/>
          <w:u w:val="none"/>
        </w:rPr>
        <w:t xml:space="preserve">in Country Information section </w:t>
      </w:r>
      <w:r w:rsidR="000B3F43">
        <w:t>and</w:t>
      </w:r>
      <w:r w:rsidR="00403DAF">
        <w:t xml:space="preserve"> </w:t>
      </w:r>
      <w:r w:rsidR="00F56371">
        <w:t xml:space="preserve">the Asylum Instructions on </w:t>
      </w:r>
      <w:hyperlink r:id="rId24" w:history="1">
        <w:r w:rsidR="00F56371" w:rsidRPr="00F56371">
          <w:rPr>
            <w:rStyle w:val="CPITCOI-Link"/>
          </w:rPr>
          <w:t>Assessing credibility and refugee status</w:t>
        </w:r>
      </w:hyperlink>
      <w:r w:rsidR="00F56371" w:rsidRPr="00F56371">
        <w:rPr>
          <w:rStyle w:val="CPITCOI-Link"/>
          <w:u w:val="none"/>
        </w:rPr>
        <w:t xml:space="preserve"> and </w:t>
      </w:r>
      <w:hyperlink r:id="rId25" w:history="1">
        <w:r w:rsidR="00403DAF" w:rsidRPr="00BD13D3">
          <w:rPr>
            <w:rStyle w:val="COI-Link"/>
          </w:rPr>
          <w:t>Humanitarian Protection</w:t>
        </w:r>
      </w:hyperlink>
    </w:p>
    <w:p w14:paraId="71D45FFA" w14:textId="77777777" w:rsidR="00A821C7" w:rsidRDefault="00235A40" w:rsidP="0076536E">
      <w:pPr>
        <w:pStyle w:val="CPITBacktoContentsLinks"/>
        <w:rPr>
          <w:rStyle w:val="CPITCOI-Link"/>
        </w:rPr>
      </w:pPr>
      <w:hyperlink w:anchor="contents" w:history="1">
        <w:r w:rsidR="00A46E3C" w:rsidRPr="00A46E3C">
          <w:rPr>
            <w:rStyle w:val="CPITCOI-Link"/>
          </w:rPr>
          <w:t>Back to Contents</w:t>
        </w:r>
      </w:hyperlink>
    </w:p>
    <w:p w14:paraId="71D45FFB" w14:textId="77777777" w:rsidR="00A821C7" w:rsidRDefault="00A821C7" w:rsidP="00CF527B">
      <w:pPr>
        <w:pStyle w:val="CPITSub-header1"/>
        <w:numPr>
          <w:ilvl w:val="1"/>
          <w:numId w:val="3"/>
        </w:numPr>
      </w:pPr>
      <w:bookmarkStart w:id="7" w:name="_Toc413396455"/>
      <w:r>
        <w:t>Policy Summary</w:t>
      </w:r>
      <w:bookmarkEnd w:id="7"/>
    </w:p>
    <w:p w14:paraId="71D45FFC" w14:textId="77777777" w:rsidR="009C5662" w:rsidRPr="009C5662" w:rsidRDefault="009C5662" w:rsidP="009C5662">
      <w:pPr>
        <w:pStyle w:val="CPITQuote"/>
        <w:numPr>
          <w:ilvl w:val="0"/>
          <w:numId w:val="5"/>
        </w:numPr>
        <w:ind w:left="851" w:hanging="851"/>
        <w:rPr>
          <w:b/>
        </w:rPr>
      </w:pPr>
      <w:r w:rsidRPr="009C5662">
        <w:rPr>
          <w:b/>
        </w:rPr>
        <w:t xml:space="preserve">Prison conditions in </w:t>
      </w:r>
      <w:r w:rsidR="00457DC9">
        <w:rPr>
          <w:b/>
        </w:rPr>
        <w:t>Bangladesh</w:t>
      </w:r>
      <w:r w:rsidR="002B4B19" w:rsidRPr="009C5662">
        <w:rPr>
          <w:b/>
        </w:rPr>
        <w:t xml:space="preserve"> </w:t>
      </w:r>
      <w:r w:rsidR="002B4B19" w:rsidRPr="009B0EF5">
        <w:rPr>
          <w:b/>
        </w:rPr>
        <w:t>are harsh and at times life threatening due to overcrowding, inadequate facilities, and lack of proper sanitation</w:t>
      </w:r>
      <w:r w:rsidRPr="009B0EF5">
        <w:rPr>
          <w:b/>
        </w:rPr>
        <w:t>.</w:t>
      </w:r>
    </w:p>
    <w:p w14:paraId="71D45FFD" w14:textId="77777777" w:rsidR="009C5662" w:rsidRDefault="002B4B19" w:rsidP="009C5662">
      <w:pPr>
        <w:pStyle w:val="CPITQuote"/>
        <w:numPr>
          <w:ilvl w:val="0"/>
          <w:numId w:val="5"/>
        </w:numPr>
        <w:ind w:left="851" w:hanging="851"/>
        <w:rPr>
          <w:b/>
        </w:rPr>
      </w:pPr>
      <w:r>
        <w:rPr>
          <w:b/>
        </w:rPr>
        <w:t xml:space="preserve">There is </w:t>
      </w:r>
      <w:r w:rsidR="00F149B7">
        <w:rPr>
          <w:b/>
        </w:rPr>
        <w:t>recent reporting of torture and ill-treatment being committed against ordinary and political prisoners</w:t>
      </w:r>
      <w:r w:rsidR="00112C0A">
        <w:rPr>
          <w:b/>
        </w:rPr>
        <w:t xml:space="preserve">. Conditions </w:t>
      </w:r>
      <w:r w:rsidR="00CC3912">
        <w:rPr>
          <w:b/>
        </w:rPr>
        <w:t xml:space="preserve">may </w:t>
      </w:r>
      <w:r w:rsidR="009C5662" w:rsidRPr="009C5662">
        <w:rPr>
          <w:b/>
        </w:rPr>
        <w:t>reach the Article 3 ECHR threshold in individual cases, depend</w:t>
      </w:r>
      <w:r w:rsidR="006A426E">
        <w:rPr>
          <w:b/>
        </w:rPr>
        <w:t>ing</w:t>
      </w:r>
      <w:r w:rsidR="009C5662" w:rsidRPr="009C5662">
        <w:rPr>
          <w:b/>
        </w:rPr>
        <w:t xml:space="preserve"> on the particular circumstances of the person concerned. </w:t>
      </w:r>
      <w:r w:rsidR="009C5662" w:rsidRPr="00FD4546">
        <w:rPr>
          <w:b/>
        </w:rPr>
        <w:t>Where treatment does reach the Article 3 ECHR threshold, a grant of Humanitarian Protection</w:t>
      </w:r>
      <w:r w:rsidR="00341C97">
        <w:rPr>
          <w:b/>
        </w:rPr>
        <w:t xml:space="preserve"> (HP)</w:t>
      </w:r>
      <w:r w:rsidR="009C5662" w:rsidRPr="00FD4546">
        <w:rPr>
          <w:b/>
        </w:rPr>
        <w:t xml:space="preserve"> will normally be appropriate</w:t>
      </w:r>
      <w:r w:rsidR="00341C97">
        <w:rPr>
          <w:b/>
        </w:rPr>
        <w:t xml:space="preserve">, unless </w:t>
      </w:r>
      <w:r>
        <w:rPr>
          <w:b/>
        </w:rPr>
        <w:t>the treatment is discriminatory or disproportionately applied for a Convention reason, where a grant of asylum may be appropriate.</w:t>
      </w:r>
    </w:p>
    <w:p w14:paraId="71D45FFE" w14:textId="77777777" w:rsidR="002B4B19" w:rsidRPr="00FD4546" w:rsidRDefault="002B4B19" w:rsidP="009C5662">
      <w:pPr>
        <w:pStyle w:val="CPITQuote"/>
        <w:numPr>
          <w:ilvl w:val="0"/>
          <w:numId w:val="5"/>
        </w:numPr>
        <w:ind w:left="851" w:hanging="851"/>
        <w:rPr>
          <w:b/>
        </w:rPr>
      </w:pPr>
      <w:r>
        <w:rPr>
          <w:b/>
        </w:rPr>
        <w:t>Consideration must be given to whether any exclusions apply.</w:t>
      </w:r>
    </w:p>
    <w:p w14:paraId="71D45FFF" w14:textId="77777777" w:rsidR="009E2A30" w:rsidRPr="00FD4546" w:rsidRDefault="009E2A30" w:rsidP="009C5662">
      <w:pPr>
        <w:pStyle w:val="CPITQuote"/>
        <w:numPr>
          <w:ilvl w:val="0"/>
          <w:numId w:val="5"/>
        </w:numPr>
        <w:ind w:left="851" w:hanging="851"/>
        <w:rPr>
          <w:b/>
        </w:rPr>
      </w:pPr>
      <w:r w:rsidRPr="00FD4546">
        <w:rPr>
          <w:b/>
        </w:rPr>
        <w:t xml:space="preserve">Where a claim falls to be refused, it is unlikely to be certifiable as ‘clearly unfounded’ under section 94 of the Nationality, Immigration and Asylum Act 2002. </w:t>
      </w:r>
    </w:p>
    <w:p w14:paraId="71D46000" w14:textId="77777777" w:rsidR="001A4C77" w:rsidRPr="001A4C77" w:rsidRDefault="009E2A30" w:rsidP="00F56371">
      <w:pPr>
        <w:pStyle w:val="CPITQuote"/>
        <w:rPr>
          <w:u w:color="8F23B3"/>
        </w:rPr>
      </w:pPr>
      <w:r w:rsidRPr="006A426E">
        <w:rPr>
          <w:rStyle w:val="CPITNumberedParagraphTextChar"/>
        </w:rPr>
        <w:t>See</w:t>
      </w:r>
      <w:r w:rsidR="001A4C77" w:rsidRPr="006A426E">
        <w:rPr>
          <w:rStyle w:val="CPITNumberedParagraphTextChar"/>
        </w:rPr>
        <w:t xml:space="preserve"> also</w:t>
      </w:r>
      <w:r w:rsidRPr="006A426E">
        <w:rPr>
          <w:rStyle w:val="CPITNumberedParagraphTextChar"/>
        </w:rPr>
        <w:t xml:space="preserve"> the Asylum</w:t>
      </w:r>
      <w:r w:rsidRPr="009E2A30">
        <w:rPr>
          <w:rStyle w:val="CPITNumberedParagraphTextChar"/>
        </w:rPr>
        <w:t xml:space="preserve"> Instruction</w:t>
      </w:r>
      <w:r w:rsidR="008A14AC">
        <w:rPr>
          <w:rStyle w:val="CPITNumberedParagraphTextChar"/>
        </w:rPr>
        <w:t>(</w:t>
      </w:r>
      <w:r w:rsidR="001A4C77">
        <w:rPr>
          <w:rStyle w:val="CPITNumberedParagraphTextChar"/>
        </w:rPr>
        <w:t>s</w:t>
      </w:r>
      <w:r w:rsidR="008A14AC">
        <w:rPr>
          <w:rStyle w:val="CPITNumberedParagraphTextChar"/>
        </w:rPr>
        <w:t>)</w:t>
      </w:r>
      <w:r w:rsidRPr="009E2A30">
        <w:rPr>
          <w:rStyle w:val="CPITNumberedParagraphTextChar"/>
        </w:rPr>
        <w:t xml:space="preserve"> on</w:t>
      </w:r>
      <w:r w:rsidR="00F56371">
        <w:rPr>
          <w:rStyle w:val="CPITNumberedParagraphTextChar"/>
        </w:rPr>
        <w:t xml:space="preserve"> </w:t>
      </w:r>
      <w:hyperlink r:id="rId26" w:history="1">
        <w:r w:rsidRPr="009E2A30">
          <w:rPr>
            <w:rStyle w:val="CPITCOI-Link"/>
          </w:rPr>
          <w:t>Non-Suspensive Appeals: Certification Under Section 94 of the NIA Act 2002</w:t>
        </w:r>
      </w:hyperlink>
      <w:r w:rsidR="00F56371">
        <w:rPr>
          <w:rStyle w:val="CPITCOI-Link"/>
        </w:rPr>
        <w:t>,</w:t>
      </w:r>
      <w:r w:rsidR="00F56371" w:rsidRPr="00F56371">
        <w:rPr>
          <w:rStyle w:val="CPITCOI-Link"/>
          <w:u w:val="none"/>
        </w:rPr>
        <w:t xml:space="preserve"> </w:t>
      </w:r>
      <w:hyperlink r:id="rId27" w:history="1">
        <w:r w:rsidR="001A4C77" w:rsidRPr="006D61FD">
          <w:rPr>
            <w:rStyle w:val="CPITCOI-Link"/>
          </w:rPr>
          <w:t>Humanitarian Protection</w:t>
        </w:r>
      </w:hyperlink>
      <w:r w:rsidR="00F56371" w:rsidRPr="00F56371">
        <w:rPr>
          <w:rStyle w:val="CPITCOI-Link"/>
          <w:u w:val="none"/>
        </w:rPr>
        <w:t xml:space="preserve"> and</w:t>
      </w:r>
      <w:r w:rsidR="00F56371">
        <w:rPr>
          <w:rStyle w:val="CPITCOI-Link"/>
          <w:u w:val="none"/>
        </w:rPr>
        <w:t xml:space="preserve"> </w:t>
      </w:r>
      <w:hyperlink r:id="rId28" w:history="1">
        <w:r w:rsidR="001A4C77">
          <w:rPr>
            <w:rStyle w:val="CPITCOI-Link"/>
          </w:rPr>
          <w:t>Discretionary Leave</w:t>
        </w:r>
      </w:hyperlink>
    </w:p>
    <w:p w14:paraId="71D46001" w14:textId="77777777" w:rsidR="009E2A30" w:rsidRDefault="009E2A30" w:rsidP="00990861"/>
    <w:p w14:paraId="71D46002" w14:textId="77777777" w:rsidR="0076536E" w:rsidRDefault="0076536E" w:rsidP="00990861"/>
    <w:p w14:paraId="71D46003" w14:textId="77777777" w:rsidR="00A821C7" w:rsidRPr="00A46E3C" w:rsidRDefault="00235A40" w:rsidP="00990861">
      <w:pPr>
        <w:pStyle w:val="CPITBacktoContentsLinks"/>
        <w:rPr>
          <w:rStyle w:val="CPITCOI-Link"/>
        </w:rPr>
      </w:pPr>
      <w:hyperlink w:anchor="contents" w:history="1">
        <w:r w:rsidR="00A821C7" w:rsidRPr="00A46E3C">
          <w:rPr>
            <w:rStyle w:val="CPITCOI-Link"/>
          </w:rPr>
          <w:t>Back to Contents</w:t>
        </w:r>
      </w:hyperlink>
    </w:p>
    <w:p w14:paraId="71D46004" w14:textId="77777777" w:rsidR="007200E5" w:rsidRDefault="007200E5" w:rsidP="007C3D75">
      <w:pPr>
        <w:pStyle w:val="CPITSectionHeader"/>
        <w:spacing w:after="120"/>
      </w:pPr>
      <w:r w:rsidRPr="007C3D75">
        <w:br w:type="page"/>
      </w:r>
      <w:bookmarkStart w:id="8" w:name="_Toc413396456"/>
      <w:r w:rsidRPr="007C3D75">
        <w:lastRenderedPageBreak/>
        <w:t>Section 2: Information</w:t>
      </w:r>
      <w:bookmarkEnd w:id="8"/>
    </w:p>
    <w:p w14:paraId="71D46005" w14:textId="77777777" w:rsidR="004E5268" w:rsidRDefault="004E5268" w:rsidP="004E5268">
      <w:pPr>
        <w:pStyle w:val="CPITNumberedParagraphText"/>
        <w:numPr>
          <w:ilvl w:val="0"/>
          <w:numId w:val="0"/>
        </w:numPr>
        <w:ind w:left="851"/>
        <w:jc w:val="right"/>
        <w:rPr>
          <w:color w:val="8F23B3"/>
        </w:rPr>
      </w:pPr>
      <w:r>
        <w:rPr>
          <w:color w:val="8F23B3"/>
        </w:rPr>
        <w:t xml:space="preserve"> Updated: </w:t>
      </w:r>
      <w:r w:rsidR="00932C76">
        <w:rPr>
          <w:color w:val="8F23B3"/>
        </w:rPr>
        <w:t>23</w:t>
      </w:r>
      <w:r w:rsidR="006F3430">
        <w:rPr>
          <w:color w:val="8F23B3"/>
        </w:rPr>
        <w:t xml:space="preserve"> February</w:t>
      </w:r>
      <w:r w:rsidR="003730F7">
        <w:rPr>
          <w:color w:val="8F23B3"/>
        </w:rPr>
        <w:t xml:space="preserve"> 2015</w:t>
      </w:r>
    </w:p>
    <w:p w14:paraId="71D46006" w14:textId="77777777" w:rsidR="00F56371" w:rsidRPr="004E5268" w:rsidRDefault="00F56371" w:rsidP="00F56371">
      <w:pPr>
        <w:pStyle w:val="CPITQuote"/>
      </w:pPr>
      <w:r>
        <w:t xml:space="preserve">For information on the judicial system, see Country Information and Guidance: </w:t>
      </w:r>
      <w:hyperlink r:id="rId29" w:history="1">
        <w:r w:rsidRPr="003730F7">
          <w:rPr>
            <w:rStyle w:val="CPITCOI-Link"/>
          </w:rPr>
          <w:t>Bangladesh – Background information including actors of protection and internal relocation</w:t>
        </w:r>
      </w:hyperlink>
      <w:r>
        <w:t>.</w:t>
      </w:r>
    </w:p>
    <w:p w14:paraId="71D46007" w14:textId="77777777" w:rsidR="00387B70" w:rsidRPr="00387B70" w:rsidRDefault="00387B70" w:rsidP="00CF527B">
      <w:pPr>
        <w:pStyle w:val="ListParagraph"/>
        <w:numPr>
          <w:ilvl w:val="0"/>
          <w:numId w:val="2"/>
        </w:numPr>
        <w:tabs>
          <w:tab w:val="left" w:pos="851"/>
        </w:tabs>
        <w:spacing w:after="120"/>
        <w:rPr>
          <w:rFonts w:ascii="Arial" w:hAnsi="Arial"/>
          <w:b/>
          <w:bCs/>
          <w:vanish/>
          <w:color w:val="8F23B3"/>
          <w:sz w:val="32"/>
          <w:szCs w:val="20"/>
        </w:rPr>
      </w:pPr>
    </w:p>
    <w:p w14:paraId="71D46008" w14:textId="77777777" w:rsidR="00990861" w:rsidRPr="006F42F4" w:rsidRDefault="00B719DB" w:rsidP="00CF527B">
      <w:pPr>
        <w:pStyle w:val="CPITSub-header1"/>
        <w:numPr>
          <w:ilvl w:val="1"/>
          <w:numId w:val="2"/>
        </w:numPr>
      </w:pPr>
      <w:bookmarkStart w:id="9" w:name="_Toc413396457"/>
      <w:r>
        <w:t xml:space="preserve">Prison </w:t>
      </w:r>
      <w:bookmarkStart w:id="10" w:name="Prisonconditions"/>
      <w:bookmarkEnd w:id="10"/>
      <w:r>
        <w:t>conditions</w:t>
      </w:r>
      <w:bookmarkEnd w:id="9"/>
    </w:p>
    <w:p w14:paraId="71D46009" w14:textId="77777777" w:rsidR="003D4C8D" w:rsidRDefault="003D4C8D" w:rsidP="003D4C8D">
      <w:pPr>
        <w:pStyle w:val="Subheading4"/>
      </w:pPr>
      <w:r>
        <w:t>Overcrowding</w:t>
      </w:r>
    </w:p>
    <w:p w14:paraId="71D4600A" w14:textId="77777777" w:rsidR="009C65F4" w:rsidRDefault="009C65F4" w:rsidP="00387B70">
      <w:pPr>
        <w:pStyle w:val="CPITNumberedParagraphText"/>
      </w:pPr>
      <w:r w:rsidRPr="009C65F4">
        <w:t xml:space="preserve">The International Centre for Prison Studies (ICPS) recorded in </w:t>
      </w:r>
      <w:r>
        <w:t>its World</w:t>
      </w:r>
      <w:r w:rsidRPr="009C65F4">
        <w:t xml:space="preserve"> Prison Brief that</w:t>
      </w:r>
      <w:r w:rsidR="00D524FB">
        <w:t>,</w:t>
      </w:r>
      <w:r>
        <w:t xml:space="preserve"> as at </w:t>
      </w:r>
      <w:r w:rsidR="00112C0A">
        <w:t xml:space="preserve"> </w:t>
      </w:r>
      <w:r w:rsidR="00B70E8C">
        <w:t>20 January 2015</w:t>
      </w:r>
      <w:r>
        <w:t>,</w:t>
      </w:r>
      <w:r w:rsidRPr="009C65F4">
        <w:t xml:space="preserve"> the total prison population</w:t>
      </w:r>
      <w:r>
        <w:t xml:space="preserve"> of Bangladesh</w:t>
      </w:r>
      <w:r w:rsidRPr="009C65F4">
        <w:t xml:space="preserve"> stood at </w:t>
      </w:r>
      <w:r w:rsidR="00760CB1">
        <w:t>69</w:t>
      </w:r>
      <w:r w:rsidR="009B0EF5">
        <w:t>,</w:t>
      </w:r>
      <w:r w:rsidR="00760CB1">
        <w:t>852</w:t>
      </w:r>
      <w:r w:rsidR="006A426E">
        <w:t xml:space="preserve"> in</w:t>
      </w:r>
      <w:r w:rsidR="00C00B70">
        <w:t xml:space="preserve"> </w:t>
      </w:r>
      <w:r w:rsidR="006A426E">
        <w:t>t</w:t>
      </w:r>
      <w:r w:rsidRPr="009C65F4">
        <w:t>he country’s 68 prison establishments</w:t>
      </w:r>
      <w:r w:rsidR="006A426E">
        <w:t>, which</w:t>
      </w:r>
      <w:r w:rsidRPr="009C65F4">
        <w:t xml:space="preserve"> had an official capacity of </w:t>
      </w:r>
      <w:r>
        <w:rPr>
          <w:bCs/>
        </w:rPr>
        <w:t>34,167</w:t>
      </w:r>
      <w:r w:rsidRPr="009C65F4">
        <w:t>,</w:t>
      </w:r>
      <w:r w:rsidR="006A426E">
        <w:t xml:space="preserve"> resulting in</w:t>
      </w:r>
      <w:r w:rsidRPr="009C65F4">
        <w:t xml:space="preserve"> an occupancy level of </w:t>
      </w:r>
      <w:r w:rsidR="00760CB1">
        <w:t>204.4</w:t>
      </w:r>
      <w:r>
        <w:t xml:space="preserve"> </w:t>
      </w:r>
      <w:r w:rsidRPr="009C65F4">
        <w:t xml:space="preserve">per cent. ICPS noted that pre-trial detainees/remand prisoners comprised </w:t>
      </w:r>
      <w:r w:rsidR="002339AF">
        <w:t>69</w:t>
      </w:r>
      <w:r w:rsidRPr="009C65F4">
        <w:t xml:space="preserve"> per cent of the prison population in </w:t>
      </w:r>
      <w:r w:rsidR="002339AF">
        <w:t>March 2014; female prisoners made up 3.4</w:t>
      </w:r>
      <w:r w:rsidRPr="009C65F4">
        <w:t xml:space="preserve"> per cent of the prison population</w:t>
      </w:r>
      <w:r w:rsidR="00760CB1">
        <w:t xml:space="preserve"> in March 2014</w:t>
      </w:r>
      <w:r w:rsidRPr="009C65F4">
        <w:t xml:space="preserve"> and minors (under the age of 18) accounted for 0.4 per cent</w:t>
      </w:r>
      <w:r w:rsidR="00760CB1">
        <w:t xml:space="preserve"> in September 2008</w:t>
      </w:r>
      <w:r w:rsidRPr="009C65F4">
        <w:t>.</w:t>
      </w:r>
      <w:r w:rsidR="002339AF" w:rsidRPr="002339AF">
        <w:t xml:space="preserve"> </w:t>
      </w:r>
      <w:r w:rsidR="002339AF" w:rsidRPr="002339AF">
        <w:rPr>
          <w:rStyle w:val="FootnoteReference"/>
        </w:rPr>
        <w:footnoteReference w:id="1"/>
      </w:r>
    </w:p>
    <w:p w14:paraId="71D4600B" w14:textId="77777777" w:rsidR="009A7E69" w:rsidRDefault="009A7E69" w:rsidP="009A7E69">
      <w:pPr>
        <w:pStyle w:val="CPITNumberedParagraphText"/>
      </w:pPr>
      <w:r>
        <w:t>The NGO Odhikar stated in its 2013 Human Rights report that:</w:t>
      </w:r>
    </w:p>
    <w:p w14:paraId="71D4600C" w14:textId="77777777" w:rsidR="009A7E69" w:rsidRDefault="009A7E69" w:rsidP="009A7E69">
      <w:pPr>
        <w:pStyle w:val="CPITQuote"/>
      </w:pPr>
      <w:r>
        <w:t>‘</w:t>
      </w:r>
      <w:r w:rsidR="00760CB1">
        <w:t xml:space="preserve">Odhikar conducted a research into the condition of 10 jails of Bangladesh […] in 2012 and 2013 […] Overcrowding and the health and sanitation problems that come with it, remains the most important internal factors. </w:t>
      </w:r>
      <w:r>
        <w:t>The number of detainees in most Bangladeshi prisons grossly outnumbers the actual capacity of the prison. This is particularly obvious in Khulna District Jail, which has a number of detainees 6 times the capacity of the prison. The number of detainees’ staying in the jails are 3.5 times, 2.5 times, 2.5 times, 2.3 times, 2 times and 2 times more than the actual capacity in Feni, Chittagong, Narayangonj, Rajbari, Sylhet, Thakurgaon and Pabna jails respectively</w:t>
      </w:r>
      <w:r w:rsidR="00760CB1">
        <w:t>. This overcrowding impacts on other human rights issues, like the prisons’ unhealthy environment, lack of medical facilities and inadequate aeration</w:t>
      </w:r>
      <w:r>
        <w:t>.’</w:t>
      </w:r>
      <w:r>
        <w:rPr>
          <w:rStyle w:val="FootnoteReference"/>
        </w:rPr>
        <w:footnoteReference w:id="2"/>
      </w:r>
    </w:p>
    <w:p w14:paraId="71D4600D" w14:textId="77777777" w:rsidR="00E45D1C" w:rsidRDefault="00E45D1C" w:rsidP="00E45D1C">
      <w:pPr>
        <w:pStyle w:val="CPITNumberedParagraphText"/>
      </w:pPr>
      <w:r>
        <w:t xml:space="preserve">The US Department of State reported in its 2013 Country Report on Human Rights Practices </w:t>
      </w:r>
      <w:r w:rsidR="007E3D1D">
        <w:t xml:space="preserve">(USSD report 2013) </w:t>
      </w:r>
      <w:r w:rsidR="009B0EF5">
        <w:t xml:space="preserve">that </w:t>
      </w:r>
      <w:r w:rsidR="00B51EBA">
        <w:t>‘</w:t>
      </w:r>
      <w:r>
        <w:t>Prison conditions remained harsh and at times life threatening due to overcrowding, inadequate facilities, and lack of proper sanitation. Odhikar stated that these conditions contributed to custodial deaths.</w:t>
      </w:r>
      <w:r w:rsidR="009B0EF5">
        <w:t>’</w:t>
      </w:r>
      <w:r w:rsidR="003D4C8D" w:rsidRPr="007A6EED">
        <w:rPr>
          <w:rStyle w:val="FootnoteReference"/>
        </w:rPr>
        <w:footnoteReference w:id="3"/>
      </w:r>
    </w:p>
    <w:p w14:paraId="71D4600E" w14:textId="77777777" w:rsidR="003D4C8D" w:rsidRDefault="00BB1CB0" w:rsidP="003D4C8D">
      <w:pPr>
        <w:pStyle w:val="Subheading4"/>
      </w:pPr>
      <w:r>
        <w:t>Physical conditions</w:t>
      </w:r>
    </w:p>
    <w:p w14:paraId="71D4600F" w14:textId="77777777" w:rsidR="003D4C8D" w:rsidRDefault="003D4C8D" w:rsidP="003D4C8D">
      <w:pPr>
        <w:pStyle w:val="CPITNumberedParagraphText"/>
      </w:pPr>
      <w:r>
        <w:t>The USSD report 2013 stated:</w:t>
      </w:r>
    </w:p>
    <w:p w14:paraId="71D46010" w14:textId="77777777" w:rsidR="00E45D1C" w:rsidRDefault="00D524FB" w:rsidP="00E45D1C">
      <w:pPr>
        <w:pStyle w:val="CPITQuote"/>
      </w:pPr>
      <w:r>
        <w:t>‘</w:t>
      </w:r>
      <w:r w:rsidR="00E45D1C">
        <w:t>Due to overcrowding, prisoners slept in shifts and did not have adequate toilet facilities. All prisoners have the right to medical care and water. Human rights organizations and the media stated that some prisoners did not enjoy these rights. Water available in prisons was comparable with water available in the rest of the country, which was often not potable.</w:t>
      </w:r>
    </w:p>
    <w:p w14:paraId="71D46011" w14:textId="77777777" w:rsidR="00E45D1C" w:rsidRDefault="00D524FB" w:rsidP="00E45D1C">
      <w:pPr>
        <w:pStyle w:val="CPITQuote"/>
      </w:pPr>
      <w:r>
        <w:t>‘</w:t>
      </w:r>
      <w:r w:rsidR="00E45D1C">
        <w:t xml:space="preserve">Conditions in prisons and often within the same prison complex varied widely because authorities lodged some prisoners in areas subject to high temperatures, poor ventilation, and overcrowding. The law allows persons with certain educational and </w:t>
      </w:r>
      <w:r w:rsidR="00E45D1C">
        <w:lastRenderedPageBreak/>
        <w:t>social standing to serve their jail sentences in “divisional” custody, which features better conditions, including increased family visitation rights and access to household staff.</w:t>
      </w:r>
      <w:r w:rsidR="003D4C8D">
        <w:t>’</w:t>
      </w:r>
      <w:r w:rsidR="003D4C8D" w:rsidRPr="003D4C8D">
        <w:rPr>
          <w:rStyle w:val="FootnoteReference"/>
        </w:rPr>
        <w:t xml:space="preserve"> </w:t>
      </w:r>
      <w:r w:rsidR="003D4C8D" w:rsidRPr="007A6EED">
        <w:rPr>
          <w:rStyle w:val="FootnoteReference"/>
        </w:rPr>
        <w:footnoteReference w:id="4"/>
      </w:r>
    </w:p>
    <w:p w14:paraId="71D46012" w14:textId="77777777" w:rsidR="00433C97" w:rsidRDefault="00433C97" w:rsidP="00433C97">
      <w:pPr>
        <w:pStyle w:val="CPITNumberedParagraphText"/>
      </w:pPr>
      <w:r>
        <w:t>Od</w:t>
      </w:r>
      <w:r w:rsidR="00800C13">
        <w:t>h</w:t>
      </w:r>
      <w:r>
        <w:t>ikar reported in its 2013 Human Rights report that:</w:t>
      </w:r>
    </w:p>
    <w:p w14:paraId="71D46013" w14:textId="77777777" w:rsidR="00433C97" w:rsidRDefault="00433C97" w:rsidP="00433C97">
      <w:pPr>
        <w:pStyle w:val="CPITQuote"/>
        <w:rPr>
          <w:rStyle w:val="FootnoteReference"/>
        </w:rPr>
      </w:pPr>
      <w:r>
        <w:t>‘Despite the fact that the Prisons Act, 1894 has specific provisions binding medical officers or their subordinate to give treatment without delay, there are not enough doctors in the prisons of Bangladesh. According to section 94 of the Jail Code, there should be separate hospitals for the male and female prisoners which is not always followed in the prisons of Bangladesh. On the other hand, section 129 of the Jail Code illustrates that there should be enough space for sleeping for the prisoners but gross overcrowding makes this impossible... The food supply is also inadequate and sub standard. According to the Jail Code, every prisoner is entitled to 116 grams of bread; 291 grams of rice; 233.28 grams of vegetable; 145.48 grams of pulse; 14.58 grams of date-palm; 36.45 grams of meat or fish every day. The research made by Odhikar's team underlines that food provided in jail is often less than the amount described in the Government rule. As a result, inmates suffer from malnutrition and become victims of infectious disease. Without proper treatment, proper food and decent living conditions, prisoners fall ill and weak, while those who can afford to pay, enjoy basic services.’</w:t>
      </w:r>
      <w:r w:rsidRPr="00433C97">
        <w:rPr>
          <w:rStyle w:val="FootnoteReference"/>
        </w:rPr>
        <w:t xml:space="preserve"> </w:t>
      </w:r>
      <w:r>
        <w:rPr>
          <w:rStyle w:val="FootnoteReference"/>
        </w:rPr>
        <w:footnoteReference w:id="5"/>
      </w:r>
    </w:p>
    <w:p w14:paraId="71D46014" w14:textId="77777777" w:rsidR="00597963" w:rsidRPr="00A46E3C" w:rsidRDefault="00235A40" w:rsidP="00597963">
      <w:pPr>
        <w:pStyle w:val="CPITBacktoContentsLinks"/>
        <w:rPr>
          <w:rStyle w:val="CPITCOI-Link"/>
        </w:rPr>
      </w:pPr>
      <w:hyperlink w:anchor="contents" w:history="1">
        <w:r w:rsidR="00597963" w:rsidRPr="00A46E3C">
          <w:rPr>
            <w:rStyle w:val="CPITCOI-Link"/>
          </w:rPr>
          <w:t>Back to Contents</w:t>
        </w:r>
      </w:hyperlink>
    </w:p>
    <w:p w14:paraId="71D46015" w14:textId="77777777" w:rsidR="003D4C8D" w:rsidRDefault="003D4C8D" w:rsidP="003D4C8D">
      <w:pPr>
        <w:pStyle w:val="Subheading4"/>
      </w:pPr>
      <w:r>
        <w:t>Women and children</w:t>
      </w:r>
    </w:p>
    <w:p w14:paraId="71D46016" w14:textId="77777777" w:rsidR="003D4C8D" w:rsidRDefault="003D4C8D" w:rsidP="003D4C8D">
      <w:pPr>
        <w:pStyle w:val="CPITNumberedParagraphText"/>
      </w:pPr>
      <w:r>
        <w:t>The USSD report 2013 noted:</w:t>
      </w:r>
    </w:p>
    <w:p w14:paraId="71D46017" w14:textId="77777777" w:rsidR="00E45D1C" w:rsidRDefault="00D524FB" w:rsidP="00E45D1C">
      <w:pPr>
        <w:pStyle w:val="CPITQuote"/>
      </w:pPr>
      <w:r>
        <w:t>‘</w:t>
      </w:r>
      <w:r w:rsidR="00E45D1C">
        <w:t>While the law requires holding juveniles separately from adults, many juveniles were incarcerated with adults. Children were sometimes imprisoned (occasionally with their mothers) despite laws and court decisions prohibiting the imprisonment of minors.</w:t>
      </w:r>
    </w:p>
    <w:p w14:paraId="71D46018" w14:textId="77777777" w:rsidR="00E45D1C" w:rsidRDefault="00D524FB" w:rsidP="00E45D1C">
      <w:pPr>
        <w:pStyle w:val="CPITQuote"/>
      </w:pPr>
      <w:r>
        <w:t>‘</w:t>
      </w:r>
      <w:r w:rsidR="00E45D1C">
        <w:t>Authorities routinely housed female prisoners separately from men. Although the law prohibits women in “safe custody” (usually victims of rape, trafficking, and domestic violence) from being housed with criminals, officials did not always provide separate facilities.</w:t>
      </w:r>
      <w:r w:rsidRPr="007A6EED">
        <w:rPr>
          <w:rStyle w:val="FootnoteReference"/>
        </w:rPr>
        <w:footnoteReference w:id="6"/>
      </w:r>
    </w:p>
    <w:p w14:paraId="71D46019" w14:textId="77777777" w:rsidR="00A6246B" w:rsidRDefault="00A6246B" w:rsidP="00A6246B">
      <w:pPr>
        <w:pStyle w:val="CPITNumberedParagraphText"/>
      </w:pPr>
      <w:r>
        <w:t>With regards to women in detention, the</w:t>
      </w:r>
      <w:r w:rsidR="006A426E">
        <w:t xml:space="preserve"> UN</w:t>
      </w:r>
      <w:r>
        <w:t xml:space="preserve"> Special Rapporteur </w:t>
      </w:r>
      <w:r w:rsidR="006A426E">
        <w:t xml:space="preserve">on violence against women </w:t>
      </w:r>
      <w:r>
        <w:t>reported</w:t>
      </w:r>
      <w:r w:rsidR="006A426E">
        <w:t xml:space="preserve"> on 1 April 2014</w:t>
      </w:r>
      <w:r>
        <w:t>:</w:t>
      </w:r>
    </w:p>
    <w:p w14:paraId="71D4601A" w14:textId="77777777" w:rsidR="00A6246B" w:rsidRDefault="00A6246B" w:rsidP="00A6246B">
      <w:pPr>
        <w:pStyle w:val="CPITQuote"/>
      </w:pPr>
      <w:r>
        <w:t>‘</w:t>
      </w:r>
      <w:r w:rsidRPr="00A6246B">
        <w:t>During the visit to the women’s ward in the Dhaka Central Jail, the Special Rapporteur noted shortcomings in the conditions of detention, especially with regard to detainees’ access to health care and hygiene. She was informed that incarcerated women did not have adequate legal representation or contact with their families. The lack of privacy resulting from the overcrowded facilities, and also the overt scrutiny by the authorities, make it difficult to hold confidential meetings, including during the visit of the Special Rapporteur. Nevertheless, she heard various testimonies from women, including those on death row. In the latter category, the interviews reflect incarceration for crimes that do not amount to “the most serious crimes” under applicable international standards. They also revealed deficiencies in the safeguards guaranteeing protection of the rights of those facing the death penalty</w:t>
      </w:r>
      <w:r>
        <w:t>.’</w:t>
      </w:r>
      <w:r w:rsidR="002E0606">
        <w:rPr>
          <w:rStyle w:val="FootnoteReference"/>
        </w:rPr>
        <w:footnoteReference w:id="7"/>
      </w:r>
    </w:p>
    <w:p w14:paraId="71D4601B" w14:textId="77777777" w:rsidR="00591E0C" w:rsidRDefault="0078415E" w:rsidP="00591E0C">
      <w:pPr>
        <w:pStyle w:val="CPITNumberedParagraphText"/>
      </w:pPr>
      <w:r>
        <w:lastRenderedPageBreak/>
        <w:t>Citing information provided by Bangladesh’s Ministry of Women and Children Affairs (MWCA), the UN Committee on the Rights of the Child (UNCRC) reported on 17 December 2014 that:</w:t>
      </w:r>
    </w:p>
    <w:p w14:paraId="71D4601C" w14:textId="77777777" w:rsidR="00591E0C" w:rsidRDefault="0078415E" w:rsidP="00591E0C">
      <w:pPr>
        <w:pStyle w:val="CPITQuote"/>
      </w:pPr>
      <w:r>
        <w:t>‘</w:t>
      </w:r>
      <w:r w:rsidR="00591E0C" w:rsidRPr="00591E0C">
        <w:t>The draft Children Act, 2012 has proposed to use detention of children coming in conflict with the law as a measure of last resort. A national task force has been working to ensure that children do not go to adult prison and those who are already there are released without delay. As of May 2012, a total of 53 children under 18 years of age were in various prisons of the country, of them 5 were girls. As of May 2012, there were a total of 447 children including 42 girls in three Kishore Unnayan Kendra (previously known as Juvenile Correction Centers) of the country. According to the draft law, diversionary measures can be taken at any stage of legal proceedings. Victim offender mediation and family-group conference can be organized as restorative justice measures as per the draft law.</w:t>
      </w:r>
      <w:r>
        <w:t>’</w:t>
      </w:r>
      <w:r w:rsidR="001044B0">
        <w:rPr>
          <w:rStyle w:val="FootnoteReference"/>
        </w:rPr>
        <w:footnoteReference w:id="8"/>
      </w:r>
    </w:p>
    <w:p w14:paraId="71D4601D" w14:textId="77777777" w:rsidR="00932C76" w:rsidRDefault="00932C76" w:rsidP="00932C76">
      <w:pPr>
        <w:pStyle w:val="CPITNumberedParagraphText"/>
      </w:pPr>
      <w:r>
        <w:t>Citing the MWCA, the UNCRC added:</w:t>
      </w:r>
    </w:p>
    <w:p w14:paraId="71D4601E" w14:textId="77777777" w:rsidR="00932C76" w:rsidRDefault="00932C76" w:rsidP="00932C76">
      <w:pPr>
        <w:pStyle w:val="CPITQuote"/>
      </w:pPr>
      <w:r>
        <w:t>‘</w:t>
      </w:r>
      <w:r w:rsidRPr="0078415E">
        <w:t>The death penalty and life imprisonment with possibility of release for children have been prohibited in the draft law</w:t>
      </w:r>
      <w:r>
        <w:t xml:space="preserve"> [Children Act 2012]</w:t>
      </w:r>
      <w:r w:rsidRPr="0078415E">
        <w:t>. Alternative sanctions such as probation for good conduct, and release at the care of fit persons have been introduced. Although the death penalty and life imprisonment without possibility of release can be imposed on children between 16 and 18 years as the definition of child according to the existing law is any person below the age of 16, no child below the age of 18 years has so far been executed.</w:t>
      </w:r>
      <w:r>
        <w:t>’</w:t>
      </w:r>
      <w:r w:rsidRPr="0078415E">
        <w:rPr>
          <w:rStyle w:val="FootnoteReference"/>
        </w:rPr>
        <w:t xml:space="preserve"> </w:t>
      </w:r>
      <w:r>
        <w:rPr>
          <w:rStyle w:val="FootnoteReference"/>
        </w:rPr>
        <w:footnoteReference w:id="9"/>
      </w:r>
      <w:r>
        <w:t xml:space="preserve"> (See also </w:t>
      </w:r>
      <w:hyperlink w:anchor="Deathpenalty" w:history="1">
        <w:r w:rsidRPr="00932C76">
          <w:rPr>
            <w:rStyle w:val="CPITCOI-Link"/>
          </w:rPr>
          <w:t>Death penalty</w:t>
        </w:r>
      </w:hyperlink>
      <w:r>
        <w:t>)</w:t>
      </w:r>
    </w:p>
    <w:p w14:paraId="71D4601F" w14:textId="77777777" w:rsidR="00597963" w:rsidRPr="00A46E3C" w:rsidRDefault="00235A40" w:rsidP="00597963">
      <w:pPr>
        <w:pStyle w:val="CPITBacktoContentsLinks"/>
        <w:rPr>
          <w:rStyle w:val="CPITCOI-Link"/>
        </w:rPr>
      </w:pPr>
      <w:hyperlink w:anchor="contents" w:history="1">
        <w:r w:rsidR="00597963" w:rsidRPr="00A46E3C">
          <w:rPr>
            <w:rStyle w:val="CPITCOI-Link"/>
          </w:rPr>
          <w:t>Back to Contents</w:t>
        </w:r>
      </w:hyperlink>
    </w:p>
    <w:p w14:paraId="71D46020" w14:textId="77777777" w:rsidR="003D4C8D" w:rsidRDefault="005910BE" w:rsidP="003D4C8D">
      <w:pPr>
        <w:pStyle w:val="Subheading4"/>
      </w:pPr>
      <w:r>
        <w:t>Deaths</w:t>
      </w:r>
      <w:r w:rsidR="00932C76">
        <w:t xml:space="preserve"> in</w:t>
      </w:r>
      <w:r>
        <w:t xml:space="preserve"> prisons</w:t>
      </w:r>
    </w:p>
    <w:p w14:paraId="71D46021" w14:textId="77777777" w:rsidR="009A7F9D" w:rsidRDefault="00112C0A" w:rsidP="009A7F9D">
      <w:pPr>
        <w:pStyle w:val="CPITNumberedParagraphText"/>
        <w:numPr>
          <w:ilvl w:val="0"/>
          <w:numId w:val="0"/>
        </w:numPr>
        <w:ind w:left="851" w:hanging="851"/>
      </w:pPr>
      <w:r>
        <w:tab/>
      </w:r>
      <w:r w:rsidR="009A7F9D">
        <w:t>For</w:t>
      </w:r>
      <w:r w:rsidR="00F149B7">
        <w:t xml:space="preserve"> </w:t>
      </w:r>
      <w:r w:rsidR="009A7F9D">
        <w:t xml:space="preserve">information on the prevalence of torture against people in </w:t>
      </w:r>
      <w:r w:rsidR="00932C76">
        <w:t>police detention</w:t>
      </w:r>
      <w:r w:rsidR="009A7F9D">
        <w:t>, p</w:t>
      </w:r>
      <w:r w:rsidR="005910BE">
        <w:t xml:space="preserve">lease consult </w:t>
      </w:r>
      <w:r w:rsidR="009A7F9D">
        <w:t xml:space="preserve"> the </w:t>
      </w:r>
      <w:r w:rsidR="005910BE">
        <w:t>Country Information and Guidance:</w:t>
      </w:r>
      <w:r w:rsidR="009A7F9D">
        <w:t xml:space="preserve"> </w:t>
      </w:r>
      <w:hyperlink r:id="rId30" w:history="1">
        <w:r w:rsidR="009A7F9D" w:rsidRPr="005910BE">
          <w:rPr>
            <w:rStyle w:val="CPITCOI-Link"/>
          </w:rPr>
          <w:t>Bangladesh: Background information, including actors of protection and internal relocation</w:t>
        </w:r>
      </w:hyperlink>
    </w:p>
    <w:p w14:paraId="71D46022" w14:textId="77777777" w:rsidR="00E7376A" w:rsidRDefault="0034467E" w:rsidP="009A7F9D">
      <w:pPr>
        <w:pStyle w:val="CPITNumberedParagraphText"/>
      </w:pPr>
      <w:r>
        <w:t xml:space="preserve">Odhikar reported that </w:t>
      </w:r>
      <w:r w:rsidRPr="0034467E">
        <w:t>59</w:t>
      </w:r>
      <w:r>
        <w:t xml:space="preserve"> </w:t>
      </w:r>
      <w:r w:rsidRPr="0034467E">
        <w:t>prisoners died in jail in 2013</w:t>
      </w:r>
      <w:r>
        <w:t>, compared to 63 in 2012 and 105 in 2011.</w:t>
      </w:r>
      <w:r w:rsidRPr="0034467E">
        <w:t xml:space="preserve"> </w:t>
      </w:r>
      <w:r>
        <w:t xml:space="preserve">According to reports regarding the deaths in 2013, </w:t>
      </w:r>
      <w:r w:rsidRPr="0034467E">
        <w:t xml:space="preserve">54 died due to illness; three allegedly committed suicide and two were died </w:t>
      </w:r>
      <w:r>
        <w:t>for</w:t>
      </w:r>
      <w:r w:rsidRPr="0034467E">
        <w:t xml:space="preserve"> other reasons</w:t>
      </w:r>
      <w:r w:rsidR="0060616A">
        <w:t xml:space="preserve"> [sic]</w:t>
      </w:r>
      <w:r w:rsidRPr="0034467E">
        <w:t>.</w:t>
      </w:r>
      <w:r w:rsidRPr="0034467E">
        <w:rPr>
          <w:rStyle w:val="FootnoteReference"/>
        </w:rPr>
        <w:t xml:space="preserve"> </w:t>
      </w:r>
      <w:r>
        <w:rPr>
          <w:rStyle w:val="FootnoteReference"/>
        </w:rPr>
        <w:footnoteReference w:id="10"/>
      </w:r>
      <w:r>
        <w:t xml:space="preserve"> </w:t>
      </w:r>
    </w:p>
    <w:p w14:paraId="71D46023" w14:textId="77777777" w:rsidR="00B9480E" w:rsidRPr="00E7376A" w:rsidRDefault="00B9480E" w:rsidP="00B9480E">
      <w:pPr>
        <w:pStyle w:val="CPITNumberedParagraphText"/>
        <w:numPr>
          <w:ilvl w:val="0"/>
          <w:numId w:val="0"/>
        </w:numPr>
        <w:ind w:left="851"/>
      </w:pPr>
      <w:r>
        <w:t>In July 2014 Odhikar reported that between January and June 2014 ‘</w:t>
      </w:r>
      <w:r w:rsidRPr="00B9480E">
        <w:t>26 persons reportedly died in jail. Among them 23 persons died allegedly due to ‘illnesses’, three persons allegedly committed suicide</w:t>
      </w:r>
      <w:r>
        <w:t>’.</w:t>
      </w:r>
      <w:r>
        <w:rPr>
          <w:rStyle w:val="FootnoteReference"/>
        </w:rPr>
        <w:footnoteReference w:id="11"/>
      </w:r>
      <w:r w:rsidR="003278DC">
        <w:t xml:space="preserve"> </w:t>
      </w:r>
    </w:p>
    <w:p w14:paraId="71D46024" w14:textId="77777777" w:rsidR="0070422D" w:rsidRDefault="0034467E" w:rsidP="0070422D">
      <w:pPr>
        <w:pStyle w:val="CPITNumberedParagraphText"/>
      </w:pPr>
      <w:r>
        <w:t xml:space="preserve">According to the human rights organisation </w:t>
      </w:r>
      <w:r w:rsidR="00800C13">
        <w:t>Ain o Salish Kendra (</w:t>
      </w:r>
      <w:r>
        <w:t>ASK</w:t>
      </w:r>
      <w:r w:rsidR="00800C13">
        <w:t>)</w:t>
      </w:r>
      <w:r>
        <w:t>, there were 44 deaths in custody between January and 30 September 2014.</w:t>
      </w:r>
      <w:r>
        <w:rPr>
          <w:rStyle w:val="FootnoteReference"/>
        </w:rPr>
        <w:footnoteReference w:id="12"/>
      </w:r>
      <w:r>
        <w:t xml:space="preserve"> ASK</w:t>
      </w:r>
      <w:r w:rsidRPr="0034467E">
        <w:t xml:space="preserve"> did not provide an analysis of the causes of deaths or say how the mortality rate compared with that of the Bangladeshi population in general.</w:t>
      </w:r>
    </w:p>
    <w:p w14:paraId="71D46025" w14:textId="77777777" w:rsidR="00B9714D" w:rsidRDefault="00B9714D" w:rsidP="00B9714D">
      <w:pPr>
        <w:pStyle w:val="Subheading4"/>
      </w:pPr>
      <w:r>
        <w:lastRenderedPageBreak/>
        <w:t>Prison monitoring</w:t>
      </w:r>
    </w:p>
    <w:p w14:paraId="71D46026" w14:textId="77777777" w:rsidR="00B719DB" w:rsidRDefault="007E3D1D" w:rsidP="00CE1E11">
      <w:pPr>
        <w:pStyle w:val="CPITNumberedParagraphText"/>
      </w:pPr>
      <w:r>
        <w:t>The USSD report 2013</w:t>
      </w:r>
      <w:r w:rsidR="009008DD">
        <w:t xml:space="preserve"> </w:t>
      </w:r>
      <w:r w:rsidR="00CE1E11">
        <w:t>observed that</w:t>
      </w:r>
      <w:r w:rsidR="00B719DB">
        <w:t>:</w:t>
      </w:r>
    </w:p>
    <w:p w14:paraId="71D46027" w14:textId="77777777" w:rsidR="00B719DB" w:rsidRDefault="00B719DB" w:rsidP="00B719DB">
      <w:pPr>
        <w:pStyle w:val="CPITQuote"/>
      </w:pPr>
      <w:r>
        <w:t>‘Prison recordkeeping was adequate. Prison officials allowed prisoners to submit uncensored complaints and occasionally investigated such complaints. Authorities did not use alternatives to sentencing for nonviolent offenders, and prison ombudsmen were not available to prisoners. Authorities permitted religious observance for prisoners.</w:t>
      </w:r>
    </w:p>
    <w:p w14:paraId="71D46028" w14:textId="77777777" w:rsidR="00CE1E11" w:rsidRDefault="00B719DB" w:rsidP="00B719DB">
      <w:pPr>
        <w:pStyle w:val="CPITQuote"/>
      </w:pPr>
      <w:r>
        <w:t>‘</w:t>
      </w:r>
      <w:r w:rsidR="00CE1E11">
        <w:t>The government did not permit prison visits by the International Committee of the Red Cross or any other independent human rights monitors. The government allowed the Bangladesh Red Crescent Society to visit foreign detainees. Government-appointed committees composed of prominent private citizens in each prison locality monitored prisons monthly but did not publicly release their findings. District judges occasionally visited prisons.’</w:t>
      </w:r>
      <w:r w:rsidR="00CE1E11" w:rsidRPr="007A6EED">
        <w:rPr>
          <w:rStyle w:val="FootnoteReference"/>
        </w:rPr>
        <w:footnoteReference w:id="13"/>
      </w:r>
    </w:p>
    <w:p w14:paraId="71D46029" w14:textId="77777777" w:rsidR="00CE1E11" w:rsidRPr="00A46E3C" w:rsidRDefault="00235A40" w:rsidP="00CE1E11">
      <w:pPr>
        <w:pStyle w:val="CPITBacktoContentsLinks"/>
        <w:rPr>
          <w:rStyle w:val="CPITCOI-Link"/>
        </w:rPr>
      </w:pPr>
      <w:hyperlink w:anchor="contents" w:history="1">
        <w:r w:rsidR="00CE1E11" w:rsidRPr="00A46E3C">
          <w:rPr>
            <w:rStyle w:val="CPITCOI-Link"/>
          </w:rPr>
          <w:t>Back to Contents</w:t>
        </w:r>
      </w:hyperlink>
    </w:p>
    <w:p w14:paraId="71D4602A" w14:textId="77777777" w:rsidR="004F6FD9" w:rsidRDefault="004F6FD9" w:rsidP="004F6FD9">
      <w:pPr>
        <w:pStyle w:val="CPITSub-header1"/>
        <w:ind w:left="390"/>
      </w:pPr>
    </w:p>
    <w:p w14:paraId="71D4602B" w14:textId="77777777" w:rsidR="00B719DB" w:rsidRPr="006F42F4" w:rsidRDefault="00B719DB" w:rsidP="00B719DB">
      <w:pPr>
        <w:pStyle w:val="CPITSub-header1"/>
        <w:numPr>
          <w:ilvl w:val="1"/>
          <w:numId w:val="2"/>
        </w:numPr>
      </w:pPr>
      <w:bookmarkStart w:id="11" w:name="_Toc413396458"/>
      <w:r>
        <w:t>Death p</w:t>
      </w:r>
      <w:bookmarkStart w:id="12" w:name="Deathpenalty"/>
      <w:bookmarkEnd w:id="12"/>
      <w:r>
        <w:t>enalty</w:t>
      </w:r>
      <w:bookmarkEnd w:id="11"/>
    </w:p>
    <w:p w14:paraId="71D4602C" w14:textId="77777777" w:rsidR="00A136B6" w:rsidRDefault="00A136B6" w:rsidP="0034467E">
      <w:pPr>
        <w:pStyle w:val="CPITNumberedParagraphText"/>
      </w:pPr>
      <w:r>
        <w:t>The NGO Hands Off Cain, which campaigns for the end of the death penalty worldwide, noted that, according to the Ministry of Home Affairs, there were 1,071 prisoners on death row as of 8 June 2014. Hands Off Cain reported:</w:t>
      </w:r>
    </w:p>
    <w:p w14:paraId="71D4602D" w14:textId="77777777" w:rsidR="00A136B6" w:rsidRPr="00A136B6" w:rsidRDefault="000F7ED9" w:rsidP="00A136B6">
      <w:pPr>
        <w:pStyle w:val="CPITQuote"/>
      </w:pPr>
      <w:r>
        <w:t>‘</w:t>
      </w:r>
      <w:r w:rsidR="00A136B6" w:rsidRPr="00A136B6">
        <w:t xml:space="preserve">Bangladesh applies the death penalty for such crimes as murder, sedition, offenses related to possession and drug trafficking, treason, espionage, military crimes ... In March 1998 the Bangladesh Cabinet has approved the death penalty for crimes against women and children including trafficking, rape and murder ... On 19 February 2009, the government approved [the Anti-Terrorism Ordinance of 2008] which provides the death sentence or life imprisonment or maximum 20 years and a minimum of 3 years rigorous imprisonment ... </w:t>
      </w:r>
    </w:p>
    <w:p w14:paraId="71D4602E" w14:textId="77777777" w:rsidR="00A136B6" w:rsidRDefault="00A136B6" w:rsidP="00A136B6">
      <w:pPr>
        <w:pStyle w:val="CPITQuote"/>
      </w:pPr>
      <w:r w:rsidRPr="00A136B6">
        <w:t>‘On March 2, 2010, the judges of the High Court...</w:t>
      </w:r>
      <w:r w:rsidR="000F7ED9">
        <w:t xml:space="preserve"> </w:t>
      </w:r>
      <w:r w:rsidRPr="00A136B6">
        <w:t>declared unconstitutional legislation in the country that provides for the mandatory death penalty</w:t>
      </w:r>
      <w:r w:rsidR="00C42C52">
        <w:t>…</w:t>
      </w:r>
    </w:p>
    <w:p w14:paraId="71D4602F" w14:textId="77777777" w:rsidR="00C42C52" w:rsidRDefault="00C42C52" w:rsidP="00A136B6">
      <w:pPr>
        <w:pStyle w:val="CPITQuote"/>
      </w:pPr>
      <w:r w:rsidRPr="00A136B6">
        <w:t>On 26 December 2011, the cabinet approved the final draft of the Anti-terrorism (amendment) Act, 2011 with a provision for the death penalty for getting involved in, supporting or financing militancy and terrorist activities in the country</w:t>
      </w:r>
      <w:r>
        <w:t>…</w:t>
      </w:r>
    </w:p>
    <w:p w14:paraId="71D46030" w14:textId="77777777" w:rsidR="00A136B6" w:rsidRDefault="00112C0A" w:rsidP="00A136B6">
      <w:pPr>
        <w:pStyle w:val="CPITQuote"/>
      </w:pPr>
      <w:r w:rsidRPr="00A136B6">
        <w:t xml:space="preserve"> </w:t>
      </w:r>
      <w:r w:rsidR="00A136B6" w:rsidRPr="00A136B6">
        <w:t>‘On December 20, 2012, Bangladesh voted against the Resolution on a Moratorium on the Use of the Death Penalty at the UN General Assembly.</w:t>
      </w:r>
      <w:r w:rsidR="000F7ED9">
        <w:t>’</w:t>
      </w:r>
      <w:r w:rsidR="000F7ED9" w:rsidRPr="000F7ED9">
        <w:rPr>
          <w:rStyle w:val="FootnoteReference"/>
        </w:rPr>
        <w:footnoteReference w:id="14"/>
      </w:r>
    </w:p>
    <w:p w14:paraId="71D46031" w14:textId="77777777" w:rsidR="00DD4F73" w:rsidRDefault="00DD4F73" w:rsidP="00A136B6">
      <w:pPr>
        <w:pStyle w:val="CPITQuote"/>
      </w:pPr>
      <w:r>
        <w:t>Hands off Cain lists instances where the death penalty has been imposed in Bangladesh in 2015 and to date (17 February) this has been done three times.</w:t>
      </w:r>
      <w:r w:rsidRPr="000F7ED9">
        <w:rPr>
          <w:rStyle w:val="FootnoteReference"/>
        </w:rPr>
        <w:footnoteReference w:id="15"/>
      </w:r>
    </w:p>
    <w:p w14:paraId="71D46032" w14:textId="77777777" w:rsidR="00707BF5" w:rsidRDefault="009A7E69" w:rsidP="00CE1E11">
      <w:pPr>
        <w:pStyle w:val="CPITNumberedParagraphText"/>
      </w:pPr>
      <w:r>
        <w:t xml:space="preserve">Amnesty International reported that in 2013 </w:t>
      </w:r>
      <w:r w:rsidR="00CE1E11">
        <w:t>‘</w:t>
      </w:r>
      <w:r w:rsidR="00CE1E11" w:rsidRPr="00CE1E11">
        <w:t>The scope of the death penalty was reportedly expanded on 16 June, when the Parliament adopted the Children Act 2013 allowing for the death penalty to be imposed against adults</w:t>
      </w:r>
      <w:r w:rsidR="00CE1E11">
        <w:t xml:space="preserve"> </w:t>
      </w:r>
      <w:r w:rsidR="00CE1E11" w:rsidRPr="00CE1E11">
        <w:t xml:space="preserve">using children to carry out </w:t>
      </w:r>
      <w:r w:rsidR="00CE1E11" w:rsidRPr="00CE1E11">
        <w:lastRenderedPageBreak/>
        <w:t>terrorist activities, as defined under the Anti-Terrorism Act 2009</w:t>
      </w:r>
      <w:r w:rsidR="00CE1E11">
        <w:t>.’</w:t>
      </w:r>
      <w:r w:rsidR="00CE1E11" w:rsidRPr="00CE1E11">
        <w:rPr>
          <w:rStyle w:val="FootnoteReference"/>
        </w:rPr>
        <w:t xml:space="preserve"> </w:t>
      </w:r>
      <w:r w:rsidR="00CE1E11">
        <w:rPr>
          <w:rStyle w:val="FootnoteReference"/>
        </w:rPr>
        <w:footnoteReference w:id="16"/>
      </w:r>
      <w:r w:rsidR="00CE1E11">
        <w:t xml:space="preserve"> The same report added that ‘</w:t>
      </w:r>
      <w:r w:rsidR="00CE1E11" w:rsidRPr="00CE1E11">
        <w:t>Bangladesh carried out two executions and imposed at least 220 death sentences. Of the death sentences, 152 were handed down in a single case related to a 2009 mutiny, following</w:t>
      </w:r>
      <w:r w:rsidR="00CE1E11">
        <w:t xml:space="preserve"> </w:t>
      </w:r>
      <w:r w:rsidR="00CE1E11" w:rsidRPr="00CE1E11">
        <w:t>which the accused were allegedly tortured during their pre-trial detention.</w:t>
      </w:r>
      <w:r w:rsidR="00DD4F73">
        <w:t xml:space="preserve"> At least 1,100 people were reported to be on death row at the end of the year.</w:t>
      </w:r>
      <w:r w:rsidR="00CE1E11">
        <w:t>’</w:t>
      </w:r>
      <w:r w:rsidR="00CE1E11">
        <w:rPr>
          <w:rStyle w:val="FootnoteReference"/>
        </w:rPr>
        <w:footnoteReference w:id="17"/>
      </w:r>
    </w:p>
    <w:p w14:paraId="71D46033" w14:textId="77777777" w:rsidR="00B51EBA" w:rsidRDefault="00E60C49" w:rsidP="00881424">
      <w:pPr>
        <w:pStyle w:val="CPITNumberedParagraphText"/>
      </w:pPr>
      <w:r w:rsidRPr="00E60C49">
        <w:t>The International Crimes Tribunal</w:t>
      </w:r>
      <w:r>
        <w:t>,</w:t>
      </w:r>
      <w:r w:rsidRPr="00E60C49">
        <w:t xml:space="preserve"> a national </w:t>
      </w:r>
      <w:r>
        <w:t>court</w:t>
      </w:r>
      <w:r w:rsidRPr="00E60C49">
        <w:t xml:space="preserve"> set up in Bangladesh in 2009 to try people accused of </w:t>
      </w:r>
      <w:r>
        <w:t>killings and</w:t>
      </w:r>
      <w:r w:rsidRPr="00E60C49">
        <w:t xml:space="preserve"> human rights violations during the 1971 Independence War</w:t>
      </w:r>
      <w:r>
        <w:t>, sentenced ten people to death. Amnesty International reported that ‘</w:t>
      </w:r>
      <w:r w:rsidRPr="00E60C49">
        <w:t xml:space="preserve">One of the convicted prisoners, Abdul Quader Mollah, was executed </w:t>
      </w:r>
      <w:r>
        <w:t xml:space="preserve">[in December 2013] </w:t>
      </w:r>
      <w:r w:rsidRPr="00E60C49">
        <w:t>after a judicial process that denied the prisoner the right to appeal his death sentence. He had been sentenced to life imprisonment, but on appeal the Supreme Court increased it to the death sentence.</w:t>
      </w:r>
      <w:r>
        <w:t>’</w:t>
      </w:r>
      <w:r>
        <w:rPr>
          <w:rStyle w:val="FootnoteReference"/>
        </w:rPr>
        <w:footnoteReference w:id="18"/>
      </w:r>
      <w:r w:rsidRPr="00E60C49">
        <w:t xml:space="preserve"> </w:t>
      </w:r>
      <w:r w:rsidRPr="00E60C49">
        <w:cr/>
      </w:r>
    </w:p>
    <w:p w14:paraId="71D46034" w14:textId="77777777" w:rsidR="00D151A3" w:rsidRPr="00387B70" w:rsidRDefault="00235A40" w:rsidP="009008DD">
      <w:pPr>
        <w:pStyle w:val="CPITBacktoContentsLinks"/>
        <w:rPr>
          <w:b/>
          <w:bCs/>
          <w:vanish/>
          <w:color w:val="8F23B3"/>
          <w:sz w:val="32"/>
        </w:rPr>
      </w:pPr>
      <w:hyperlink w:anchor="contents" w:history="1">
        <w:r w:rsidR="007C3D75" w:rsidRPr="00A46E3C">
          <w:rPr>
            <w:rStyle w:val="CPITCOI-Link"/>
          </w:rPr>
          <w:t>Back to Contents</w:t>
        </w:r>
      </w:hyperlink>
    </w:p>
    <w:p w14:paraId="71D46035" w14:textId="77777777" w:rsidR="00F93B70" w:rsidRPr="00387B70" w:rsidRDefault="00F93B70" w:rsidP="009008DD">
      <w:pPr>
        <w:pStyle w:val="CPITSectionHeader"/>
        <w:spacing w:after="120"/>
        <w:rPr>
          <w:b/>
          <w:bCs/>
          <w:vanish/>
          <w:sz w:val="32"/>
          <w:szCs w:val="20"/>
        </w:rPr>
      </w:pPr>
      <w:r>
        <w:br w:type="page"/>
      </w:r>
    </w:p>
    <w:p w14:paraId="71D46036" w14:textId="77777777" w:rsidR="003764B9" w:rsidRPr="007C3D75" w:rsidRDefault="00085117" w:rsidP="00990861">
      <w:pPr>
        <w:pStyle w:val="CPITNonLinkedHeader"/>
      </w:pPr>
      <w:r w:rsidRPr="007C3D75">
        <w:lastRenderedPageBreak/>
        <w:t>Change Record</w:t>
      </w:r>
    </w:p>
    <w:tbl>
      <w:tblPr>
        <w:tblW w:w="0" w:type="auto"/>
        <w:tblInd w:w="113"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1243"/>
        <w:gridCol w:w="1592"/>
        <w:gridCol w:w="7371"/>
      </w:tblGrid>
      <w:tr w:rsidR="0084411F" w:rsidRPr="002A2177" w14:paraId="71D4603A" w14:textId="77777777" w:rsidTr="0084411F">
        <w:tc>
          <w:tcPr>
            <w:tcW w:w="1243" w:type="dxa"/>
            <w:shd w:val="clear" w:color="auto" w:fill="D2A7E1"/>
          </w:tcPr>
          <w:p w14:paraId="71D46037" w14:textId="77777777" w:rsidR="0084411F" w:rsidRPr="00990861" w:rsidRDefault="0084411F" w:rsidP="00990861">
            <w:pPr>
              <w:pStyle w:val="CPITChangeRecordText"/>
              <w:rPr>
                <w:b/>
              </w:rPr>
            </w:pPr>
            <w:r w:rsidRPr="00990861">
              <w:rPr>
                <w:b/>
              </w:rPr>
              <w:t>Version</w:t>
            </w:r>
          </w:p>
        </w:tc>
        <w:tc>
          <w:tcPr>
            <w:tcW w:w="1592" w:type="dxa"/>
            <w:shd w:val="clear" w:color="auto" w:fill="D2A7E1"/>
          </w:tcPr>
          <w:p w14:paraId="71D46038" w14:textId="77777777" w:rsidR="0084411F" w:rsidRPr="00990861" w:rsidRDefault="0084411F" w:rsidP="00990861">
            <w:pPr>
              <w:pStyle w:val="CPITChangeRecordText"/>
              <w:rPr>
                <w:b/>
              </w:rPr>
            </w:pPr>
            <w:r w:rsidRPr="00990861">
              <w:rPr>
                <w:b/>
              </w:rPr>
              <w:t>Date</w:t>
            </w:r>
          </w:p>
        </w:tc>
        <w:tc>
          <w:tcPr>
            <w:tcW w:w="7371" w:type="dxa"/>
            <w:shd w:val="clear" w:color="auto" w:fill="D2A7E1"/>
          </w:tcPr>
          <w:p w14:paraId="71D46039" w14:textId="77777777" w:rsidR="0084411F" w:rsidRPr="00990861" w:rsidRDefault="0084411F" w:rsidP="00990861">
            <w:pPr>
              <w:pStyle w:val="CPITChangeRecordText"/>
              <w:rPr>
                <w:b/>
              </w:rPr>
            </w:pPr>
            <w:r w:rsidRPr="00990861">
              <w:rPr>
                <w:b/>
              </w:rPr>
              <w:t>Change References</w:t>
            </w:r>
          </w:p>
        </w:tc>
      </w:tr>
      <w:tr w:rsidR="0084411F" w:rsidRPr="002A2177" w14:paraId="71D4603E" w14:textId="77777777" w:rsidTr="0084411F">
        <w:tc>
          <w:tcPr>
            <w:tcW w:w="1243" w:type="dxa"/>
            <w:shd w:val="clear" w:color="auto" w:fill="F4E9F7"/>
            <w:vAlign w:val="center"/>
          </w:tcPr>
          <w:p w14:paraId="71D4603B" w14:textId="77777777" w:rsidR="0084411F" w:rsidRPr="0084411F" w:rsidRDefault="0084411F" w:rsidP="00C96CF8">
            <w:pPr>
              <w:pStyle w:val="CPITChangeRecordText"/>
            </w:pPr>
            <w:r w:rsidRPr="0084411F">
              <w:t>1.0</w:t>
            </w:r>
          </w:p>
        </w:tc>
        <w:tc>
          <w:tcPr>
            <w:tcW w:w="1592" w:type="dxa"/>
            <w:shd w:val="clear" w:color="auto" w:fill="F4E9F7"/>
            <w:vAlign w:val="center"/>
          </w:tcPr>
          <w:p w14:paraId="71D4603C" w14:textId="77777777" w:rsidR="0084411F" w:rsidRPr="0084411F" w:rsidRDefault="009B0EF5" w:rsidP="00246211">
            <w:pPr>
              <w:pStyle w:val="CPITChangeRecordText"/>
              <w:rPr>
                <w:highlight w:val="yellow"/>
              </w:rPr>
            </w:pPr>
            <w:r w:rsidRPr="009B0EF5">
              <w:t>06/03/2015</w:t>
            </w:r>
          </w:p>
        </w:tc>
        <w:tc>
          <w:tcPr>
            <w:tcW w:w="7371" w:type="dxa"/>
            <w:shd w:val="clear" w:color="auto" w:fill="F4E9F7"/>
            <w:vAlign w:val="center"/>
          </w:tcPr>
          <w:p w14:paraId="71D4603D" w14:textId="77777777" w:rsidR="0084411F" w:rsidRPr="0084411F" w:rsidRDefault="0084411F" w:rsidP="00246211">
            <w:pPr>
              <w:pStyle w:val="CPITChangeRecordText"/>
            </w:pPr>
            <w:r w:rsidRPr="00246211">
              <w:t>F</w:t>
            </w:r>
            <w:r w:rsidRPr="0084411F">
              <w:t>irst version of updated template.</w:t>
            </w:r>
          </w:p>
        </w:tc>
      </w:tr>
    </w:tbl>
    <w:p w14:paraId="71D4603F" w14:textId="77777777" w:rsidR="00085117" w:rsidRDefault="00085117" w:rsidP="00C96CF8"/>
    <w:p w14:paraId="71D46040" w14:textId="77777777" w:rsidR="00085117" w:rsidRPr="00A46E3C" w:rsidRDefault="00235A40" w:rsidP="00990861">
      <w:pPr>
        <w:pStyle w:val="CPITBacktoContentsLinks"/>
        <w:rPr>
          <w:rStyle w:val="CPITCOI-Link"/>
        </w:rPr>
      </w:pPr>
      <w:hyperlink w:anchor="contents" w:history="1">
        <w:r w:rsidR="00085117" w:rsidRPr="00A46E3C">
          <w:rPr>
            <w:rStyle w:val="CPITCOI-Link"/>
          </w:rPr>
          <w:t>Back to Contents</w:t>
        </w:r>
      </w:hyperlink>
    </w:p>
    <w:p w14:paraId="71D46041" w14:textId="77777777" w:rsidR="007200E5" w:rsidRDefault="007200E5" w:rsidP="00990861"/>
    <w:sectPr w:rsidR="007200E5" w:rsidSect="00B47058">
      <w:headerReference w:type="even" r:id="rId31"/>
      <w:headerReference w:type="default" r:id="rId32"/>
      <w:footerReference w:type="even" r:id="rId33"/>
      <w:footerReference w:type="default" r:id="rId34"/>
      <w:headerReference w:type="first" r:id="rId35"/>
      <w:footerReference w:type="first" r:id="rId36"/>
      <w:pgSz w:w="11906" w:h="16838"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6044" w14:textId="77777777" w:rsidR="00932C76" w:rsidRDefault="00932C76" w:rsidP="0075056B">
      <w:r>
        <w:separator/>
      </w:r>
    </w:p>
  </w:endnote>
  <w:endnote w:type="continuationSeparator" w:id="0">
    <w:p w14:paraId="71D46045" w14:textId="77777777" w:rsidR="00932C76" w:rsidRDefault="00932C76" w:rsidP="007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8B0E" w14:textId="77777777" w:rsidR="00412CC1" w:rsidRDefault="00412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6047" w14:textId="77777777" w:rsidR="00932C76" w:rsidRDefault="00235A40" w:rsidP="001A4C77">
    <w:pPr>
      <w:pStyle w:val="Footer"/>
      <w:tabs>
        <w:tab w:val="left" w:pos="11199"/>
        <w:tab w:val="right" w:pos="11340"/>
      </w:tabs>
      <w:ind w:left="-851" w:right="-144"/>
      <w:jc w:val="center"/>
      <w:rPr>
        <w:color w:val="999999"/>
        <w:sz w:val="16"/>
        <w:szCs w:val="16"/>
      </w:rPr>
    </w:pPr>
    <w:r>
      <w:rPr>
        <w:color w:val="999999"/>
        <w:sz w:val="16"/>
        <w:szCs w:val="16"/>
      </w:rPr>
      <w:pict w14:anchorId="71D4605A">
        <v:rect id="_x0000_i1025" style="width:537.1pt;height:1pt" o:hrpct="991" o:hralign="center" o:hrstd="t" o:hrnoshade="t" o:hr="t" fillcolor="#8f23b3" stroked="f"/>
      </w:pict>
    </w:r>
  </w:p>
  <w:p w14:paraId="71D46048" w14:textId="77777777" w:rsidR="00932C76" w:rsidRPr="005125D9" w:rsidRDefault="00932C76" w:rsidP="000E4858">
    <w:pPr>
      <w:pStyle w:val="Footer"/>
      <w:spacing w:before="60" w:after="60"/>
      <w:ind w:right="6"/>
      <w:jc w:val="center"/>
      <w:rPr>
        <w:rFonts w:ascii="Arial" w:hAnsi="Arial" w:cs="Arial"/>
        <w:color w:val="999999"/>
        <w:sz w:val="16"/>
        <w:szCs w:val="16"/>
      </w:rPr>
    </w:pPr>
    <w:r w:rsidRPr="005125D9">
      <w:rPr>
        <w:rFonts w:ascii="Arial" w:hAnsi="Arial" w:cs="Arial"/>
        <w:color w:val="999999"/>
        <w:sz w:val="16"/>
        <w:szCs w:val="16"/>
      </w:rPr>
      <w:t xml:space="preserve">Page </w:t>
    </w:r>
    <w:r w:rsidR="00D5393A"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PAGE </w:instrText>
    </w:r>
    <w:r w:rsidR="00D5393A" w:rsidRPr="005125D9">
      <w:rPr>
        <w:rFonts w:ascii="Arial" w:hAnsi="Arial" w:cs="Arial"/>
        <w:color w:val="999999"/>
        <w:sz w:val="16"/>
        <w:szCs w:val="16"/>
      </w:rPr>
      <w:fldChar w:fldCharType="separate"/>
    </w:r>
    <w:r w:rsidR="00457DC9">
      <w:rPr>
        <w:rFonts w:ascii="Arial" w:hAnsi="Arial" w:cs="Arial"/>
        <w:noProof/>
        <w:color w:val="999999"/>
        <w:sz w:val="16"/>
        <w:szCs w:val="16"/>
      </w:rPr>
      <w:t>5</w:t>
    </w:r>
    <w:r w:rsidR="00D5393A" w:rsidRPr="005125D9">
      <w:rPr>
        <w:rFonts w:ascii="Arial" w:hAnsi="Arial" w:cs="Arial"/>
        <w:color w:val="999999"/>
        <w:sz w:val="16"/>
        <w:szCs w:val="16"/>
      </w:rPr>
      <w:fldChar w:fldCharType="end"/>
    </w:r>
    <w:r w:rsidRPr="005125D9">
      <w:rPr>
        <w:rFonts w:ascii="Arial" w:hAnsi="Arial" w:cs="Arial"/>
        <w:color w:val="999999"/>
        <w:sz w:val="16"/>
        <w:szCs w:val="16"/>
      </w:rPr>
      <w:t xml:space="preserve"> of </w:t>
    </w:r>
    <w:r w:rsidR="00D5393A"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NUMPAGES </w:instrText>
    </w:r>
    <w:r w:rsidR="00D5393A" w:rsidRPr="005125D9">
      <w:rPr>
        <w:rFonts w:ascii="Arial" w:hAnsi="Arial" w:cs="Arial"/>
        <w:color w:val="999999"/>
        <w:sz w:val="16"/>
        <w:szCs w:val="16"/>
      </w:rPr>
      <w:fldChar w:fldCharType="separate"/>
    </w:r>
    <w:r w:rsidR="00457DC9">
      <w:rPr>
        <w:rFonts w:ascii="Arial" w:hAnsi="Arial" w:cs="Arial"/>
        <w:noProof/>
        <w:color w:val="999999"/>
        <w:sz w:val="16"/>
        <w:szCs w:val="16"/>
      </w:rPr>
      <w:t>11</w:t>
    </w:r>
    <w:r w:rsidR="00D5393A" w:rsidRPr="005125D9">
      <w:rPr>
        <w:rFonts w:ascii="Arial" w:hAnsi="Arial"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892A" w14:textId="77777777" w:rsidR="00412CC1" w:rsidRDefault="0041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46042" w14:textId="77777777" w:rsidR="00932C76" w:rsidRDefault="00932C76" w:rsidP="0075056B">
      <w:r>
        <w:separator/>
      </w:r>
    </w:p>
  </w:footnote>
  <w:footnote w:type="continuationSeparator" w:id="0">
    <w:p w14:paraId="71D46043" w14:textId="77777777" w:rsidR="00932C76" w:rsidRDefault="00932C76" w:rsidP="0075056B">
      <w:r>
        <w:continuationSeparator/>
      </w:r>
    </w:p>
  </w:footnote>
  <w:footnote w:id="1">
    <w:p w14:paraId="71D4605E" w14:textId="77777777" w:rsidR="00932C76" w:rsidRPr="002339AF" w:rsidRDefault="00932C76" w:rsidP="002339AF">
      <w:pPr>
        <w:pStyle w:val="FootnoteText"/>
        <w:rPr>
          <w:rFonts w:ascii="Arial" w:hAnsi="Arial" w:cs="Arial"/>
        </w:rPr>
      </w:pPr>
      <w:r w:rsidRPr="002339AF">
        <w:rPr>
          <w:rStyle w:val="FootnoteReference"/>
          <w:rFonts w:cs="Arial"/>
        </w:rPr>
        <w:footnoteRef/>
      </w:r>
      <w:r w:rsidRPr="002339AF">
        <w:rPr>
          <w:rFonts w:ascii="Arial" w:hAnsi="Arial" w:cs="Arial"/>
        </w:rPr>
        <w:t xml:space="preserve"> International Centre for Prison Studies (ICPS) based at the University of Essex, Wor</w:t>
      </w:r>
      <w:r>
        <w:rPr>
          <w:rFonts w:ascii="Arial" w:hAnsi="Arial" w:cs="Arial"/>
        </w:rPr>
        <w:t>ld Prison Brief – Bangladesh: un</w:t>
      </w:r>
      <w:r w:rsidRPr="002339AF">
        <w:rPr>
          <w:rFonts w:ascii="Arial" w:hAnsi="Arial" w:cs="Arial"/>
        </w:rPr>
        <w:t xml:space="preserve">dated </w:t>
      </w:r>
      <w:hyperlink r:id="rId1" w:history="1">
        <w:r w:rsidRPr="002339AF">
          <w:rPr>
            <w:rStyle w:val="COI-FootnoteLinkChar"/>
          </w:rPr>
          <w:t>http://www.prisonstudies.org/country/bangladesh</w:t>
        </w:r>
      </w:hyperlink>
      <w:r>
        <w:rPr>
          <w:rFonts w:ascii="Arial" w:hAnsi="Arial" w:cs="Arial"/>
        </w:rPr>
        <w:t>, date a</w:t>
      </w:r>
      <w:r w:rsidRPr="002339AF">
        <w:rPr>
          <w:rFonts w:ascii="Arial" w:hAnsi="Arial" w:cs="Arial"/>
        </w:rPr>
        <w:t xml:space="preserve">ccessed </w:t>
      </w:r>
      <w:r>
        <w:rPr>
          <w:rFonts w:ascii="Arial" w:hAnsi="Arial" w:cs="Arial"/>
        </w:rPr>
        <w:t xml:space="preserve">17 February 2015 </w:t>
      </w:r>
    </w:p>
  </w:footnote>
  <w:footnote w:id="2">
    <w:p w14:paraId="71D4605F" w14:textId="77777777" w:rsidR="00932C76" w:rsidRPr="00493B86" w:rsidRDefault="00932C76" w:rsidP="009A7E69">
      <w:pPr>
        <w:pStyle w:val="FootnoteText"/>
        <w:rPr>
          <w:rFonts w:ascii="Arial" w:hAnsi="Arial" w:cs="Arial"/>
        </w:rPr>
      </w:pPr>
      <w:r w:rsidRPr="00493B86">
        <w:rPr>
          <w:rStyle w:val="FootnoteReference"/>
          <w:rFonts w:cs="Arial"/>
        </w:rPr>
        <w:footnoteRef/>
      </w:r>
      <w:r w:rsidRPr="00493B86">
        <w:rPr>
          <w:rFonts w:ascii="Arial" w:hAnsi="Arial" w:cs="Arial"/>
        </w:rPr>
        <w:t xml:space="preserve"> Odhikar, Human Rights Report 2013, 15 April 2014, paragraph </w:t>
      </w:r>
      <w:r>
        <w:rPr>
          <w:rFonts w:ascii="Arial" w:hAnsi="Arial" w:cs="Arial"/>
        </w:rPr>
        <w:t>26</w:t>
      </w:r>
      <w:r w:rsidRPr="00493B86">
        <w:rPr>
          <w:rFonts w:ascii="Arial" w:hAnsi="Arial" w:cs="Arial"/>
        </w:rPr>
        <w:t>5</w:t>
      </w:r>
      <w:r>
        <w:rPr>
          <w:rFonts w:ascii="Arial" w:hAnsi="Arial" w:cs="Arial"/>
        </w:rPr>
        <w:t xml:space="preserve"> and 266</w:t>
      </w:r>
      <w:r w:rsidRPr="00493B86">
        <w:rPr>
          <w:rFonts w:ascii="Arial" w:hAnsi="Arial" w:cs="Arial"/>
        </w:rPr>
        <w:t xml:space="preserve">, </w:t>
      </w:r>
      <w:hyperlink r:id="rId2" w:history="1">
        <w:r w:rsidRPr="00493B86">
          <w:rPr>
            <w:rStyle w:val="CPIT-FootnoteLinkChar"/>
            <w:rFonts w:cs="Arial"/>
          </w:rPr>
          <w:t>http://odhikar.org/human-rights-report-2013-odhikar-report-on-bangladesh/</w:t>
        </w:r>
      </w:hyperlink>
      <w:r w:rsidRPr="00493B86">
        <w:rPr>
          <w:rFonts w:ascii="Arial" w:hAnsi="Arial" w:cs="Arial"/>
        </w:rPr>
        <w:t xml:space="preserve">, date accessed </w:t>
      </w:r>
      <w:r>
        <w:rPr>
          <w:rFonts w:ascii="Arial" w:hAnsi="Arial" w:cs="Arial"/>
        </w:rPr>
        <w:t>16 January 2015</w:t>
      </w:r>
    </w:p>
  </w:footnote>
  <w:footnote w:id="3">
    <w:p w14:paraId="71D46060" w14:textId="77777777" w:rsidR="00932C76" w:rsidRPr="007A6EED" w:rsidRDefault="00932C76" w:rsidP="003D4C8D">
      <w:pPr>
        <w:pStyle w:val="FootnoteText"/>
        <w:rPr>
          <w:rFonts w:ascii="Arial" w:hAnsi="Arial" w:cs="Arial"/>
        </w:rPr>
      </w:pPr>
      <w:r w:rsidRPr="007A6EED">
        <w:rPr>
          <w:rStyle w:val="FootnoteReference"/>
          <w:rFonts w:cs="Arial"/>
        </w:rPr>
        <w:footnoteRef/>
      </w:r>
      <w:r w:rsidRPr="007A6EED">
        <w:rPr>
          <w:rFonts w:ascii="Arial" w:hAnsi="Arial" w:cs="Arial"/>
        </w:rPr>
        <w:t xml:space="preserve"> US</w:t>
      </w:r>
      <w:r>
        <w:rPr>
          <w:rFonts w:ascii="Arial" w:hAnsi="Arial" w:cs="Arial"/>
        </w:rPr>
        <w:t xml:space="preserve"> Department of State, Country Report on Human Rights Practices for 2013 – Bangladesh, 27 February 2014, Section 1c, </w:t>
      </w:r>
      <w:hyperlink r:id="rId3" w:history="1">
        <w:r w:rsidRPr="007A6EED">
          <w:rPr>
            <w:rStyle w:val="COI-FootnoteLinkChar"/>
          </w:rPr>
          <w:t>http://www.state.gov/j/drl/rls/hrrpt/humanrightsreport/index.htm?year=2013&amp;dlid=220388</w:t>
        </w:r>
      </w:hyperlink>
      <w:r>
        <w:rPr>
          <w:rFonts w:ascii="Arial" w:hAnsi="Arial" w:cs="Arial"/>
        </w:rPr>
        <w:t xml:space="preserve">, date accessed 16 January 2015 </w:t>
      </w:r>
      <w:r w:rsidRPr="007A6EED">
        <w:rPr>
          <w:rFonts w:ascii="Arial" w:hAnsi="Arial" w:cs="Arial"/>
        </w:rPr>
        <w:t xml:space="preserve"> </w:t>
      </w:r>
    </w:p>
  </w:footnote>
  <w:footnote w:id="4">
    <w:p w14:paraId="71D46061" w14:textId="77777777" w:rsidR="00932C76" w:rsidRPr="00112C0A" w:rsidRDefault="00932C76" w:rsidP="003D4C8D">
      <w:pPr>
        <w:pStyle w:val="FootnoteText"/>
        <w:rPr>
          <w:rFonts w:ascii="Arial" w:hAnsi="Arial" w:cs="Arial"/>
        </w:rPr>
      </w:pPr>
      <w:r w:rsidRPr="00112C0A">
        <w:rPr>
          <w:rStyle w:val="FootnoteReference"/>
          <w:rFonts w:cs="Arial"/>
        </w:rPr>
        <w:footnoteRef/>
      </w:r>
      <w:r w:rsidRPr="00112C0A">
        <w:rPr>
          <w:rFonts w:ascii="Arial" w:hAnsi="Arial" w:cs="Arial"/>
        </w:rPr>
        <w:t xml:space="preserve"> US Department of State, Country Report on Human Rights Practices for 2013 – Bangladesh, 27 February 2014, Section 1c, </w:t>
      </w:r>
      <w:hyperlink r:id="rId4" w:history="1">
        <w:r w:rsidRPr="00112C0A">
          <w:rPr>
            <w:rStyle w:val="COI-FootnoteLinkChar"/>
            <w:rFonts w:cs="Arial"/>
          </w:rPr>
          <w:t>http://www.state.gov/j/drl/rls/hrrpt/humanrightsreport/index.htm?year=2013&amp;dlid=220388</w:t>
        </w:r>
      </w:hyperlink>
      <w:r w:rsidRPr="00112C0A">
        <w:rPr>
          <w:rFonts w:ascii="Arial" w:hAnsi="Arial" w:cs="Arial"/>
        </w:rPr>
        <w:t xml:space="preserve">, date accessed 16 January 2015  </w:t>
      </w:r>
    </w:p>
  </w:footnote>
  <w:footnote w:id="5">
    <w:p w14:paraId="71D46062" w14:textId="77777777" w:rsidR="00932C76" w:rsidRPr="00112C0A" w:rsidRDefault="00932C76" w:rsidP="00433C97">
      <w:pPr>
        <w:pStyle w:val="FootnoteText"/>
        <w:rPr>
          <w:rFonts w:ascii="Arial" w:hAnsi="Arial" w:cs="Arial"/>
        </w:rPr>
      </w:pPr>
      <w:r w:rsidRPr="00112C0A">
        <w:rPr>
          <w:rStyle w:val="FootnoteReference"/>
          <w:rFonts w:cs="Arial"/>
        </w:rPr>
        <w:footnoteRef/>
      </w:r>
      <w:r w:rsidRPr="00112C0A">
        <w:rPr>
          <w:rFonts w:ascii="Arial" w:hAnsi="Arial" w:cs="Arial"/>
        </w:rPr>
        <w:t xml:space="preserve"> Odhikar, Human Rights Report 2013, 15 April 2014, paragraph 266, </w:t>
      </w:r>
      <w:hyperlink r:id="rId5" w:history="1">
        <w:r w:rsidRPr="00112C0A">
          <w:rPr>
            <w:rStyle w:val="CPIT-FootnoteLinkChar"/>
            <w:rFonts w:cs="Arial"/>
          </w:rPr>
          <w:t>http://odhikar.org/human-rights-report-2013-odhikar-report-on-bangladesh/</w:t>
        </w:r>
      </w:hyperlink>
      <w:r w:rsidRPr="00112C0A">
        <w:rPr>
          <w:rFonts w:ascii="Arial" w:hAnsi="Arial" w:cs="Arial"/>
        </w:rPr>
        <w:t>, date accessed 16 January 2015</w:t>
      </w:r>
    </w:p>
  </w:footnote>
  <w:footnote w:id="6">
    <w:p w14:paraId="71D46063" w14:textId="77777777" w:rsidR="00932C76" w:rsidRPr="00112C0A" w:rsidRDefault="00932C76" w:rsidP="00D524FB">
      <w:pPr>
        <w:pStyle w:val="FootnoteText"/>
        <w:rPr>
          <w:rFonts w:ascii="Arial" w:hAnsi="Arial" w:cs="Arial"/>
        </w:rPr>
      </w:pPr>
      <w:r w:rsidRPr="00112C0A">
        <w:rPr>
          <w:rStyle w:val="FootnoteReference"/>
          <w:rFonts w:cs="Arial"/>
        </w:rPr>
        <w:footnoteRef/>
      </w:r>
      <w:r w:rsidRPr="00112C0A">
        <w:rPr>
          <w:rFonts w:ascii="Arial" w:hAnsi="Arial" w:cs="Arial"/>
        </w:rPr>
        <w:t xml:space="preserve"> US Department of State, Country Report on Human Rights Practices for 2013 – Bangladesh, 27 February 2014, Section 1c, </w:t>
      </w:r>
      <w:hyperlink r:id="rId6" w:history="1">
        <w:r w:rsidRPr="00112C0A">
          <w:rPr>
            <w:rStyle w:val="COI-FootnoteLinkChar"/>
            <w:rFonts w:cs="Arial"/>
          </w:rPr>
          <w:t>http://www.state.gov/j/drl/rls/hrrpt/humanrightsreport/index.htm?year=2013&amp;dlid=220388</w:t>
        </w:r>
      </w:hyperlink>
      <w:r w:rsidRPr="00112C0A">
        <w:rPr>
          <w:rFonts w:ascii="Arial" w:hAnsi="Arial" w:cs="Arial"/>
        </w:rPr>
        <w:t xml:space="preserve">, date accessed 16 January 2015  </w:t>
      </w:r>
    </w:p>
  </w:footnote>
  <w:footnote w:id="7">
    <w:p w14:paraId="71D46064" w14:textId="77777777" w:rsidR="00932C76" w:rsidRPr="00112C0A" w:rsidRDefault="00932C76">
      <w:pPr>
        <w:pStyle w:val="FootnoteText"/>
        <w:rPr>
          <w:rFonts w:ascii="Arial" w:hAnsi="Arial" w:cs="Arial"/>
        </w:rPr>
      </w:pPr>
      <w:r w:rsidRPr="00112C0A">
        <w:rPr>
          <w:rStyle w:val="FootnoteReference"/>
          <w:rFonts w:cs="Arial"/>
        </w:rPr>
        <w:footnoteRef/>
      </w:r>
      <w:r w:rsidRPr="00112C0A">
        <w:rPr>
          <w:rFonts w:ascii="Arial" w:hAnsi="Arial" w:cs="Arial"/>
        </w:rPr>
        <w:t xml:space="preserve"> UN Human Rights Council, Report of the Special Rapporteur on violence against women, its causes and consequences, Addendum : Mission to Bangladesh (20–29 May 2013) , 1 April 2014, A/HRC/26/38/Add.2, paragraph 19, available at: </w:t>
      </w:r>
      <w:hyperlink r:id="rId7" w:history="1">
        <w:r w:rsidRPr="00112C0A">
          <w:rPr>
            <w:rStyle w:val="COI-FootnoteLinkChar"/>
            <w:rFonts w:cs="Arial"/>
          </w:rPr>
          <w:t>http://www.refworld.org/docid/539831154.html</w:t>
        </w:r>
      </w:hyperlink>
      <w:r w:rsidRPr="00112C0A">
        <w:rPr>
          <w:rFonts w:ascii="Arial" w:hAnsi="Arial" w:cs="Arial"/>
        </w:rPr>
        <w:t>, date accessed 20 January 2015</w:t>
      </w:r>
    </w:p>
  </w:footnote>
  <w:footnote w:id="8">
    <w:p w14:paraId="71D46065" w14:textId="77777777" w:rsidR="00932C76" w:rsidRPr="00112C0A" w:rsidRDefault="00932C76" w:rsidP="001044B0">
      <w:pPr>
        <w:pStyle w:val="FootnoteText"/>
        <w:rPr>
          <w:rFonts w:ascii="Arial" w:hAnsi="Arial" w:cs="Arial"/>
        </w:rPr>
      </w:pPr>
      <w:r w:rsidRPr="00112C0A">
        <w:rPr>
          <w:rStyle w:val="FootnoteReference"/>
          <w:rFonts w:cs="Arial"/>
        </w:rPr>
        <w:footnoteRef/>
      </w:r>
      <w:r w:rsidRPr="00112C0A">
        <w:rPr>
          <w:rFonts w:ascii="Arial" w:hAnsi="Arial" w:cs="Arial"/>
        </w:rPr>
        <w:t xml:space="preserve"> Ministry of Women and Children Affairs Bangladesh: Consideration of reports submitted by States parties under article 44 of the Convention; Fifth periodic reports of States parties due in 2012; Bangladesh [23 October 2012] [CRC/C/BGD/5], 17 December 2014, paragraph 324, (published by CRC, available at ecoi.net)</w:t>
      </w:r>
    </w:p>
    <w:p w14:paraId="71D46066" w14:textId="77777777" w:rsidR="00932C76" w:rsidRPr="00112C0A" w:rsidRDefault="00235A40" w:rsidP="001044B0">
      <w:pPr>
        <w:pStyle w:val="FootnoteText"/>
        <w:rPr>
          <w:rFonts w:ascii="Arial" w:hAnsi="Arial" w:cs="Arial"/>
        </w:rPr>
      </w:pPr>
      <w:hyperlink r:id="rId8" w:history="1">
        <w:r w:rsidR="00932C76" w:rsidRPr="00112C0A">
          <w:rPr>
            <w:rStyle w:val="COI-FootnoteLinkChar"/>
            <w:rFonts w:cs="Arial"/>
          </w:rPr>
          <w:t>http://www.ecoi.net/file_upload/1930_1419956333_crc-c-bgd-5-6115-e.doc</w:t>
        </w:r>
      </w:hyperlink>
      <w:r w:rsidR="00932C76" w:rsidRPr="00112C0A">
        <w:rPr>
          <w:rStyle w:val="COI-FootnoteLinkChar"/>
          <w:rFonts w:cs="Arial"/>
        </w:rPr>
        <w:t>,</w:t>
      </w:r>
      <w:r w:rsidR="00932C76" w:rsidRPr="00112C0A">
        <w:rPr>
          <w:rFonts w:ascii="Arial" w:hAnsi="Arial" w:cs="Arial"/>
        </w:rPr>
        <w:t xml:space="preserve"> date accessed 13 February 2015</w:t>
      </w:r>
    </w:p>
  </w:footnote>
  <w:footnote w:id="9">
    <w:p w14:paraId="71D46067" w14:textId="77777777" w:rsidR="00932C76" w:rsidRPr="00112C0A" w:rsidRDefault="00932C76" w:rsidP="00932C76">
      <w:pPr>
        <w:pStyle w:val="FootnoteText"/>
        <w:rPr>
          <w:rFonts w:ascii="Arial" w:hAnsi="Arial" w:cs="Arial"/>
        </w:rPr>
      </w:pPr>
      <w:r w:rsidRPr="00112C0A">
        <w:rPr>
          <w:rStyle w:val="FootnoteReference"/>
          <w:rFonts w:cs="Arial"/>
        </w:rPr>
        <w:footnoteRef/>
      </w:r>
      <w:r w:rsidRPr="00112C0A">
        <w:rPr>
          <w:rFonts w:ascii="Arial" w:hAnsi="Arial" w:cs="Arial"/>
        </w:rPr>
        <w:t xml:space="preserve"> Ministry of Women and Children Affairs Bangladesh: Consideration of reports submitted by States parties under article 44 of the Convention; Fifth periodic reports of States parties due in 2012; Bangladesh [23 October 2012] [CRC/C/BGD/5], 17 December 2014, paragraph 325, (published by CRC, available at ecoi.net)</w:t>
      </w:r>
    </w:p>
    <w:p w14:paraId="71D46068" w14:textId="77777777" w:rsidR="00932C76" w:rsidRPr="00112C0A" w:rsidRDefault="00235A40" w:rsidP="00932C76">
      <w:pPr>
        <w:pStyle w:val="FootnoteText"/>
        <w:rPr>
          <w:rFonts w:ascii="Arial" w:hAnsi="Arial" w:cs="Arial"/>
        </w:rPr>
      </w:pPr>
      <w:hyperlink r:id="rId9" w:history="1">
        <w:r w:rsidR="00932C76" w:rsidRPr="00112C0A">
          <w:rPr>
            <w:rStyle w:val="COI-FootnoteLinkChar"/>
            <w:rFonts w:cs="Arial"/>
          </w:rPr>
          <w:t>http://www.ecoi.net/file_upload/1930_1419956333_crc-c-bgd-5-6115-e.doc</w:t>
        </w:r>
      </w:hyperlink>
      <w:r w:rsidR="00932C76" w:rsidRPr="00112C0A">
        <w:rPr>
          <w:rStyle w:val="COI-FootnoteLinkChar"/>
          <w:rFonts w:cs="Arial"/>
        </w:rPr>
        <w:t>,</w:t>
      </w:r>
      <w:r w:rsidR="00932C76" w:rsidRPr="00112C0A">
        <w:rPr>
          <w:rFonts w:ascii="Arial" w:hAnsi="Arial" w:cs="Arial"/>
        </w:rPr>
        <w:t xml:space="preserve"> date accessed 13 February 2015</w:t>
      </w:r>
    </w:p>
  </w:footnote>
  <w:footnote w:id="10">
    <w:p w14:paraId="71D46069" w14:textId="77777777" w:rsidR="00932C76" w:rsidRPr="00112C0A" w:rsidRDefault="00932C76" w:rsidP="0034467E">
      <w:pPr>
        <w:pStyle w:val="FootnoteText"/>
        <w:rPr>
          <w:rFonts w:ascii="Arial" w:hAnsi="Arial" w:cs="Arial"/>
        </w:rPr>
      </w:pPr>
      <w:r w:rsidRPr="00112C0A">
        <w:rPr>
          <w:rStyle w:val="FootnoteReference"/>
          <w:rFonts w:cs="Arial"/>
        </w:rPr>
        <w:footnoteRef/>
      </w:r>
      <w:r w:rsidRPr="00112C0A">
        <w:rPr>
          <w:rFonts w:ascii="Arial" w:hAnsi="Arial" w:cs="Arial"/>
        </w:rPr>
        <w:t xml:space="preserve"> Odhikar, Human Rights Report 2013, 15 April 2014, paragraph 266, </w:t>
      </w:r>
      <w:hyperlink r:id="rId10" w:history="1">
        <w:r w:rsidRPr="00112C0A">
          <w:rPr>
            <w:rStyle w:val="CPIT-FootnoteLinkChar"/>
            <w:rFonts w:cs="Arial"/>
          </w:rPr>
          <w:t>http://odhikar.org/human-rights-report-2013-odhikar-report-on-bangladesh/</w:t>
        </w:r>
      </w:hyperlink>
      <w:r w:rsidRPr="00112C0A">
        <w:rPr>
          <w:rFonts w:ascii="Arial" w:hAnsi="Arial" w:cs="Arial"/>
        </w:rPr>
        <w:t>, date accessed 16 January 2015</w:t>
      </w:r>
    </w:p>
  </w:footnote>
  <w:footnote w:id="11">
    <w:p w14:paraId="71D4606A" w14:textId="77777777" w:rsidR="00932C76" w:rsidRPr="00112C0A" w:rsidRDefault="00932C76">
      <w:pPr>
        <w:pStyle w:val="FootnoteText"/>
        <w:rPr>
          <w:rFonts w:ascii="Arial" w:hAnsi="Arial" w:cs="Arial"/>
          <w:lang w:val="en-US"/>
        </w:rPr>
      </w:pPr>
      <w:r w:rsidRPr="00112C0A">
        <w:rPr>
          <w:rStyle w:val="FootnoteReference"/>
          <w:rFonts w:cs="Arial"/>
        </w:rPr>
        <w:footnoteRef/>
      </w:r>
      <w:r w:rsidRPr="00112C0A">
        <w:rPr>
          <w:rFonts w:ascii="Arial" w:hAnsi="Arial" w:cs="Arial"/>
        </w:rPr>
        <w:t xml:space="preserve"> </w:t>
      </w:r>
      <w:r w:rsidRPr="00112C0A">
        <w:rPr>
          <w:rFonts w:ascii="Arial" w:hAnsi="Arial" w:cs="Arial"/>
          <w:lang w:val="en-US"/>
        </w:rPr>
        <w:t xml:space="preserve">Odhikar, Six-Months Human Rights monitoring Report: January 1 – June 30, 2014, 1 July 2014, Death in Jail, paragraph 23, </w:t>
      </w:r>
      <w:hyperlink r:id="rId11" w:history="1">
        <w:r w:rsidRPr="00932C76">
          <w:rPr>
            <w:rStyle w:val="COI-FootnoteLinkChar"/>
          </w:rPr>
          <w:t>http://www.omct.org/files/2014/07/22773/hr_report_jan_june_2014_en.pdf</w:t>
        </w:r>
      </w:hyperlink>
      <w:r w:rsidRPr="00112C0A">
        <w:rPr>
          <w:rFonts w:ascii="Arial" w:hAnsi="Arial" w:cs="Arial"/>
          <w:lang w:val="en-US"/>
        </w:rPr>
        <w:t>, date accessed 17 February 2014</w:t>
      </w:r>
    </w:p>
  </w:footnote>
  <w:footnote w:id="12">
    <w:p w14:paraId="71D4606B" w14:textId="77777777" w:rsidR="00932C76" w:rsidRPr="00112C0A" w:rsidRDefault="00932C76">
      <w:pPr>
        <w:pStyle w:val="FootnoteText"/>
        <w:rPr>
          <w:rFonts w:ascii="Arial" w:hAnsi="Arial" w:cs="Arial"/>
        </w:rPr>
      </w:pPr>
      <w:r w:rsidRPr="00112C0A">
        <w:rPr>
          <w:rStyle w:val="FootnoteReference"/>
          <w:rFonts w:cs="Arial"/>
        </w:rPr>
        <w:footnoteRef/>
      </w:r>
      <w:r w:rsidRPr="00112C0A">
        <w:rPr>
          <w:rFonts w:ascii="Arial" w:hAnsi="Arial" w:cs="Arial"/>
        </w:rPr>
        <w:t xml:space="preserve"> Ain o Salish Kendra (ASK), Incidents of Death in Jail Custody Between January and 30 September 2014, 13 October 2014, </w:t>
      </w:r>
      <w:hyperlink r:id="rId12" w:history="1">
        <w:r w:rsidRPr="00112C0A">
          <w:rPr>
            <w:rStyle w:val="COI-FootnoteLinkChar"/>
            <w:rFonts w:cs="Arial"/>
          </w:rPr>
          <w:t>http://www.askbd.org/ask/2014/10/13/incidents-death-jail-custody-third-quarter-2014/</w:t>
        </w:r>
      </w:hyperlink>
      <w:r w:rsidRPr="00112C0A">
        <w:rPr>
          <w:rFonts w:ascii="Arial" w:hAnsi="Arial" w:cs="Arial"/>
        </w:rPr>
        <w:t>, date accessed 16 January 2015</w:t>
      </w:r>
    </w:p>
  </w:footnote>
  <w:footnote w:id="13">
    <w:p w14:paraId="71D4606C" w14:textId="77777777" w:rsidR="00932C76" w:rsidRPr="00112C0A" w:rsidRDefault="00932C76" w:rsidP="00CE1E11">
      <w:pPr>
        <w:pStyle w:val="FootnoteText"/>
        <w:rPr>
          <w:rFonts w:ascii="Arial" w:hAnsi="Arial" w:cs="Arial"/>
        </w:rPr>
      </w:pPr>
      <w:r w:rsidRPr="00112C0A">
        <w:rPr>
          <w:rStyle w:val="FootnoteReference"/>
          <w:rFonts w:cs="Arial"/>
        </w:rPr>
        <w:footnoteRef/>
      </w:r>
      <w:r w:rsidRPr="00112C0A">
        <w:rPr>
          <w:rFonts w:ascii="Arial" w:hAnsi="Arial" w:cs="Arial"/>
        </w:rPr>
        <w:t xml:space="preserve"> US Department of State, Country Report on Human Rights Practices for 2013 – Bangladesh, 27 February 2014, Section 1c, </w:t>
      </w:r>
      <w:hyperlink r:id="rId13" w:history="1">
        <w:r w:rsidRPr="00112C0A">
          <w:rPr>
            <w:rStyle w:val="COI-FootnoteLinkChar"/>
            <w:rFonts w:cs="Arial"/>
          </w:rPr>
          <w:t>http://www.state.gov/j/drl/rls/hrrpt/humanrightsreport/index.htm?year=2013&amp;dlid=220388</w:t>
        </w:r>
      </w:hyperlink>
      <w:r w:rsidRPr="00112C0A">
        <w:rPr>
          <w:rFonts w:ascii="Arial" w:hAnsi="Arial" w:cs="Arial"/>
        </w:rPr>
        <w:t xml:space="preserve">, date accessed 16 January 2015  </w:t>
      </w:r>
    </w:p>
  </w:footnote>
  <w:footnote w:id="14">
    <w:p w14:paraId="71D4606D" w14:textId="77777777" w:rsidR="00932C76" w:rsidRPr="00112C0A" w:rsidRDefault="00932C76" w:rsidP="000F7ED9">
      <w:pPr>
        <w:pStyle w:val="FootnoteText"/>
        <w:rPr>
          <w:rFonts w:ascii="Arial" w:hAnsi="Arial" w:cs="Arial"/>
        </w:rPr>
      </w:pPr>
      <w:r w:rsidRPr="00112C0A">
        <w:rPr>
          <w:rStyle w:val="FootnoteReference"/>
          <w:rFonts w:cs="Arial"/>
        </w:rPr>
        <w:footnoteRef/>
      </w:r>
      <w:r w:rsidRPr="00112C0A">
        <w:rPr>
          <w:rFonts w:ascii="Arial" w:hAnsi="Arial" w:cs="Arial"/>
        </w:rPr>
        <w:t xml:space="preserve"> Hands Off Cain, Bangladesh (2014), </w:t>
      </w:r>
      <w:hyperlink r:id="rId14" w:history="1">
        <w:r w:rsidRPr="00112C0A">
          <w:rPr>
            <w:rStyle w:val="COI-Link"/>
            <w:sz w:val="20"/>
            <w:szCs w:val="20"/>
          </w:rPr>
          <w:t>http://www.handsoffcain.info/bancadati/schedastato.php?idcontinente=23&amp;nome=bangladesh</w:t>
        </w:r>
      </w:hyperlink>
      <w:r w:rsidRPr="00112C0A">
        <w:rPr>
          <w:rFonts w:ascii="Arial" w:hAnsi="Arial" w:cs="Arial"/>
        </w:rPr>
        <w:t>, date accessed 19 January 2015</w:t>
      </w:r>
    </w:p>
  </w:footnote>
  <w:footnote w:id="15">
    <w:p w14:paraId="71D4606E" w14:textId="77777777" w:rsidR="00932C76" w:rsidRPr="00112C0A" w:rsidRDefault="00932C76" w:rsidP="00DD4F73">
      <w:pPr>
        <w:pStyle w:val="FootnoteText"/>
        <w:rPr>
          <w:rFonts w:ascii="Arial" w:hAnsi="Arial" w:cs="Arial"/>
        </w:rPr>
      </w:pPr>
      <w:r w:rsidRPr="00112C0A">
        <w:rPr>
          <w:rStyle w:val="FootnoteReference"/>
          <w:rFonts w:cs="Arial"/>
        </w:rPr>
        <w:footnoteRef/>
      </w:r>
      <w:r w:rsidRPr="00112C0A">
        <w:rPr>
          <w:rFonts w:ascii="Arial" w:hAnsi="Arial" w:cs="Arial"/>
        </w:rPr>
        <w:t xml:space="preserve"> Hands Off Cain, Bangladesh (2014), </w:t>
      </w:r>
      <w:hyperlink r:id="rId15" w:history="1">
        <w:r w:rsidRPr="00112C0A">
          <w:rPr>
            <w:rStyle w:val="COI-Link"/>
            <w:sz w:val="20"/>
            <w:szCs w:val="20"/>
          </w:rPr>
          <w:t>http://www.handsoffcain.info/bancadati/schedastato.php?idcontinente=23&amp;nome=bangladesh</w:t>
        </w:r>
      </w:hyperlink>
      <w:r w:rsidRPr="00112C0A">
        <w:rPr>
          <w:rFonts w:ascii="Arial" w:hAnsi="Arial" w:cs="Arial"/>
        </w:rPr>
        <w:t>, date accessed 19 January 2015</w:t>
      </w:r>
    </w:p>
  </w:footnote>
  <w:footnote w:id="16">
    <w:p w14:paraId="71D4606F" w14:textId="77777777" w:rsidR="00932C76" w:rsidRPr="00112C0A" w:rsidRDefault="00932C76" w:rsidP="00CE1E11">
      <w:pPr>
        <w:pStyle w:val="FootnoteText"/>
        <w:rPr>
          <w:rFonts w:ascii="Arial" w:hAnsi="Arial" w:cs="Arial"/>
        </w:rPr>
      </w:pPr>
      <w:r w:rsidRPr="00112C0A">
        <w:rPr>
          <w:rStyle w:val="FootnoteReference"/>
          <w:rFonts w:cs="Arial"/>
        </w:rPr>
        <w:footnoteRef/>
      </w:r>
      <w:r w:rsidRPr="00112C0A">
        <w:rPr>
          <w:rFonts w:ascii="Arial" w:hAnsi="Arial" w:cs="Arial"/>
        </w:rPr>
        <w:t xml:space="preserve"> Amnesty International, Death Sentences and Executions in 2013, March 2014, Regional Overviews, Asia-Pacific, page 19, </w:t>
      </w:r>
      <w:hyperlink r:id="rId16" w:history="1">
        <w:r w:rsidRPr="00112C0A">
          <w:rPr>
            <w:rStyle w:val="COI-FootnoteLinkChar"/>
            <w:rFonts w:cs="Arial"/>
          </w:rPr>
          <w:t>http://www.amnesty.org/en/library/asset/ACT50/001/2014/en/652ac5b3-3979-43e2-b1a1-6c4919e7a518/act500012014en.pdf</w:t>
        </w:r>
      </w:hyperlink>
      <w:r w:rsidRPr="00112C0A">
        <w:rPr>
          <w:rFonts w:ascii="Arial" w:hAnsi="Arial" w:cs="Arial"/>
        </w:rPr>
        <w:t xml:space="preserve">, date accessed 20 January 2015 </w:t>
      </w:r>
    </w:p>
  </w:footnote>
  <w:footnote w:id="17">
    <w:p w14:paraId="71D46070" w14:textId="77777777" w:rsidR="00932C76" w:rsidRPr="00112C0A" w:rsidRDefault="00932C76">
      <w:pPr>
        <w:pStyle w:val="FootnoteText"/>
        <w:rPr>
          <w:rFonts w:ascii="Arial" w:hAnsi="Arial" w:cs="Arial"/>
        </w:rPr>
      </w:pPr>
      <w:r w:rsidRPr="00112C0A">
        <w:rPr>
          <w:rStyle w:val="FootnoteReference"/>
          <w:rFonts w:cs="Arial"/>
        </w:rPr>
        <w:footnoteRef/>
      </w:r>
      <w:r w:rsidRPr="00112C0A">
        <w:rPr>
          <w:rFonts w:ascii="Arial" w:hAnsi="Arial" w:cs="Arial"/>
        </w:rPr>
        <w:t xml:space="preserve"> Amnesty International, Death Sentences and Executions in 2013, March 2014, Regional overviews, Asia-Pacific, page 19, </w:t>
      </w:r>
      <w:hyperlink r:id="rId17" w:history="1">
        <w:r w:rsidRPr="00112C0A">
          <w:rPr>
            <w:rStyle w:val="COI-FootnoteLinkChar"/>
            <w:rFonts w:cs="Arial"/>
          </w:rPr>
          <w:t>http://www.amnesty.org/en/library/asset/ACT50/001/2014/en/652ac5b3-3979-43e2-b1a1-6c4919e7a518/act500012014en.pdf</w:t>
        </w:r>
      </w:hyperlink>
      <w:r w:rsidRPr="00112C0A">
        <w:rPr>
          <w:rFonts w:ascii="Arial" w:hAnsi="Arial" w:cs="Arial"/>
        </w:rPr>
        <w:t xml:space="preserve">, date accessed 20 January 2015 </w:t>
      </w:r>
    </w:p>
  </w:footnote>
  <w:footnote w:id="18">
    <w:p w14:paraId="71D46071" w14:textId="77777777" w:rsidR="00932C76" w:rsidRPr="00E60C49" w:rsidRDefault="00932C76">
      <w:pPr>
        <w:pStyle w:val="FootnoteText"/>
        <w:rPr>
          <w:rFonts w:ascii="Arial" w:hAnsi="Arial" w:cs="Arial"/>
        </w:rPr>
      </w:pPr>
      <w:r w:rsidRPr="00112C0A">
        <w:rPr>
          <w:rStyle w:val="FootnoteReference"/>
          <w:rFonts w:cs="Arial"/>
        </w:rPr>
        <w:footnoteRef/>
      </w:r>
      <w:r w:rsidRPr="00112C0A">
        <w:rPr>
          <w:rFonts w:ascii="Arial" w:hAnsi="Arial" w:cs="Arial"/>
        </w:rPr>
        <w:t xml:space="preserve"> Amnesty International, Bangladesh: Execution of opposition leader 'within days', 14 November 2014, ASA 13/007/2014, </w:t>
      </w:r>
      <w:hyperlink r:id="rId18" w:history="1">
        <w:r w:rsidRPr="00112C0A">
          <w:rPr>
            <w:rStyle w:val="COI-FootnoteLinkChar"/>
            <w:rFonts w:cs="Arial"/>
          </w:rPr>
          <w:t>http://www.amnesty.org/en/library/asset/ASA13/007/2014/en/3c679632-a480-4c44-888e-5739e56db3a3/asa130072014en.html</w:t>
        </w:r>
      </w:hyperlink>
      <w:r>
        <w:rPr>
          <w:rFonts w:ascii="Arial" w:hAnsi="Arial" w:cs="Arial"/>
        </w:rPr>
        <w:t xml:space="preserve">, date accessed 20 January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9BC7" w14:textId="51352F9E" w:rsidR="00412CC1" w:rsidRDefault="00235A40">
    <w:pPr>
      <w:pStyle w:val="Header"/>
    </w:pPr>
    <w:r>
      <w:rPr>
        <w:noProof/>
      </w:rPr>
      <w:pict w14:anchorId="1DA80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02922" o:spid="_x0000_s2074" type="#_x0000_t136" style="position:absolute;margin-left:0;margin-top:0;width:560.55pt;height:158.8pt;rotation:315;z-index:-251654144;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6046" w14:textId="676B518A" w:rsidR="00932C76" w:rsidRDefault="00235A40">
    <w:pPr>
      <w:pStyle w:val="Header"/>
    </w:pPr>
    <w:r>
      <w:rPr>
        <w:noProof/>
      </w:rPr>
      <w:pict w14:anchorId="36FC1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02923" o:spid="_x0000_s2075" type="#_x0000_t136" style="position:absolute;margin-left:0;margin-top:0;width:560.55pt;height:158.8pt;rotation:315;z-index:-251652096;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r>
      <w:rPr>
        <w:noProof/>
      </w:rPr>
      <mc:AlternateContent>
        <mc:Choice Requires="wps">
          <w:drawing>
            <wp:anchor distT="0" distB="0" distL="114300" distR="114300" simplePos="0" relativeHeight="251658240" behindDoc="0" locked="0" layoutInCell="1" allowOverlap="1" wp14:anchorId="71D46059" wp14:editId="6254B9DD">
              <wp:simplePos x="0" y="0"/>
              <wp:positionH relativeFrom="column">
                <wp:posOffset>-553085</wp:posOffset>
              </wp:positionH>
              <wp:positionV relativeFrom="paragraph">
                <wp:posOffset>-287020</wp:posOffset>
              </wp:positionV>
              <wp:extent cx="288290" cy="1081659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xmln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9869" id="Rectangle 19" o:spid="_x0000_s1026" style="position:absolute;margin-left:-43.55pt;margin-top:-22.6pt;width:22.7pt;height:8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" fillcolor="#8f23b3"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6049" w14:textId="144EA5F2" w:rsidR="00932C76" w:rsidRPr="00185E9C" w:rsidRDefault="00235A40" w:rsidP="00185E9C">
    <w:pPr>
      <w:pStyle w:val="Header"/>
      <w:jc w:val="center"/>
      <w:rPr>
        <w:rFonts w:ascii="Arial" w:hAnsi="Arial" w:cs="Arial"/>
      </w:rPr>
    </w:pPr>
    <w:r>
      <w:rPr>
        <w:noProof/>
      </w:rPr>
      <w:pict w14:anchorId="2671B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602921" o:spid="_x0000_s2073" type="#_x0000_t136" style="position:absolute;left:0;text-align:left;margin-left:0;margin-top:0;width:560.55pt;height:158.8pt;rotation:315;z-index:-251656192;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r>
      <w:rPr>
        <w:rFonts w:ascii="Arial" w:hAnsi="Arial" w:cs="Arial"/>
        <w:noProof/>
      </w:rPr>
      <mc:AlternateContent>
        <mc:Choice Requires="wps">
          <w:drawing>
            <wp:anchor distT="0" distB="0" distL="114300" distR="114300" simplePos="0" relativeHeight="251656192" behindDoc="0" locked="0" layoutInCell="1" allowOverlap="1" wp14:anchorId="71D4605B" wp14:editId="6FFB3C8B">
              <wp:simplePos x="0" y="0"/>
              <wp:positionH relativeFrom="column">
                <wp:posOffset>-538480</wp:posOffset>
              </wp:positionH>
              <wp:positionV relativeFrom="paragraph">
                <wp:posOffset>-316230</wp:posOffset>
              </wp:positionV>
              <wp:extent cx="288290" cy="108165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xmln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1940" id="Rectangle 12" o:spid="_x0000_s1026" style="position:absolute;margin-left:-42.4pt;margin-top:-24.9pt;width:22.7pt;height:85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" fillcolor="#8f23b3" stroked="f"/>
          </w:pict>
        </mc:Fallback>
      </mc:AlternateContent>
    </w:r>
  </w:p>
  <w:p w14:paraId="71D4604A" w14:textId="77777777" w:rsidR="00932C76" w:rsidRDefault="00932C76" w:rsidP="00185E9C">
    <w:pPr>
      <w:pStyle w:val="Header"/>
      <w:jc w:val="center"/>
      <w:rPr>
        <w:rFonts w:ascii="Arial" w:hAnsi="Arial" w:cs="Arial"/>
      </w:rPr>
    </w:pPr>
    <w:r>
      <w:rPr>
        <w:noProof/>
      </w:rPr>
      <w:drawing>
        <wp:anchor distT="0" distB="0" distL="114300" distR="114300" simplePos="0" relativeHeight="251657216" behindDoc="1" locked="0" layoutInCell="1" allowOverlap="1" wp14:anchorId="71D4605C" wp14:editId="71D4605D">
          <wp:simplePos x="0" y="0"/>
          <wp:positionH relativeFrom="column">
            <wp:posOffset>306070</wp:posOffset>
          </wp:positionH>
          <wp:positionV relativeFrom="paragraph">
            <wp:posOffset>109855</wp:posOffset>
          </wp:positionV>
          <wp:extent cx="1910715" cy="825500"/>
          <wp:effectExtent l="0" t="0" r="0" b="12700"/>
          <wp:wrapNone/>
          <wp:docPr id="18" name="Picture 18"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me-Office_RGB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825500"/>
                  </a:xfrm>
                  <a:prstGeom prst="rect">
                    <a:avLst/>
                  </a:prstGeom>
                  <a:noFill/>
                  <a:ln>
                    <a:noFill/>
                  </a:ln>
                </pic:spPr>
              </pic:pic>
            </a:graphicData>
          </a:graphic>
        </wp:anchor>
      </w:drawing>
    </w:r>
  </w:p>
  <w:p w14:paraId="71D4604B" w14:textId="77777777" w:rsidR="00932C76" w:rsidRDefault="00932C76" w:rsidP="00185E9C">
    <w:pPr>
      <w:pStyle w:val="Header"/>
      <w:jc w:val="center"/>
      <w:rPr>
        <w:rFonts w:ascii="Arial" w:hAnsi="Arial" w:cs="Arial"/>
      </w:rPr>
    </w:pPr>
  </w:p>
  <w:p w14:paraId="71D4604C" w14:textId="77777777" w:rsidR="00932C76" w:rsidRDefault="00932C76" w:rsidP="00185E9C">
    <w:pPr>
      <w:pStyle w:val="Header"/>
      <w:jc w:val="center"/>
      <w:rPr>
        <w:rFonts w:ascii="Arial" w:hAnsi="Arial" w:cs="Arial"/>
      </w:rPr>
    </w:pPr>
  </w:p>
  <w:p w14:paraId="71D4604D" w14:textId="77777777" w:rsidR="00932C76" w:rsidRDefault="00932C76" w:rsidP="00C44F7A">
    <w:pPr>
      <w:pStyle w:val="Header"/>
      <w:rPr>
        <w:rFonts w:ascii="Arial" w:hAnsi="Arial" w:cs="Arial"/>
      </w:rPr>
    </w:pPr>
  </w:p>
  <w:p w14:paraId="71D4604E" w14:textId="77777777" w:rsidR="00932C76" w:rsidRDefault="00932C76" w:rsidP="004A2949">
    <w:pPr>
      <w:pStyle w:val="Header"/>
      <w:rPr>
        <w:rFonts w:ascii="Arial" w:hAnsi="Arial" w:cs="Arial"/>
      </w:rPr>
    </w:pPr>
  </w:p>
  <w:p w14:paraId="71D4604F" w14:textId="77777777" w:rsidR="00932C76" w:rsidRDefault="00932C76" w:rsidP="00185E9C">
    <w:pPr>
      <w:pStyle w:val="Header"/>
      <w:jc w:val="center"/>
      <w:rPr>
        <w:rFonts w:ascii="Arial" w:hAnsi="Arial" w:cs="Arial"/>
      </w:rPr>
    </w:pPr>
  </w:p>
  <w:p w14:paraId="71D46050" w14:textId="77777777" w:rsidR="00932C76" w:rsidRDefault="00932C76" w:rsidP="00185E9C">
    <w:pPr>
      <w:pStyle w:val="Header"/>
      <w:jc w:val="center"/>
      <w:rPr>
        <w:rFonts w:ascii="Arial" w:hAnsi="Arial" w:cs="Arial"/>
      </w:rPr>
    </w:pPr>
  </w:p>
  <w:p w14:paraId="71D46051" w14:textId="77777777" w:rsidR="00932C76" w:rsidRDefault="00932C76" w:rsidP="00185E9C">
    <w:pPr>
      <w:pStyle w:val="Header"/>
      <w:jc w:val="center"/>
      <w:rPr>
        <w:rFonts w:ascii="Arial" w:hAnsi="Arial" w:cs="Arial"/>
      </w:rPr>
    </w:pPr>
  </w:p>
  <w:p w14:paraId="71D46052" w14:textId="77777777" w:rsidR="00932C76" w:rsidRDefault="00932C76" w:rsidP="00185E9C">
    <w:pPr>
      <w:pStyle w:val="Header"/>
      <w:jc w:val="center"/>
      <w:rPr>
        <w:rFonts w:ascii="Arial" w:hAnsi="Arial" w:cs="Arial"/>
      </w:rPr>
    </w:pPr>
  </w:p>
  <w:p w14:paraId="71D46053" w14:textId="77777777" w:rsidR="00932C76" w:rsidRPr="00185E9C" w:rsidRDefault="00932C76" w:rsidP="00185E9C">
    <w:pPr>
      <w:pStyle w:val="Header"/>
      <w:jc w:val="center"/>
      <w:rPr>
        <w:rFonts w:ascii="Arial" w:hAnsi="Arial" w:cs="Arial"/>
      </w:rPr>
    </w:pPr>
  </w:p>
  <w:p w14:paraId="71D46054" w14:textId="77777777" w:rsidR="00932C76" w:rsidRPr="00185E9C" w:rsidRDefault="00932C76" w:rsidP="00185E9C">
    <w:pPr>
      <w:pStyle w:val="Header"/>
      <w:jc w:val="center"/>
      <w:rPr>
        <w:rFonts w:ascii="Arial" w:hAnsi="Arial" w:cs="Arial"/>
      </w:rPr>
    </w:pPr>
  </w:p>
  <w:p w14:paraId="71D46055" w14:textId="77777777" w:rsidR="00932C76" w:rsidRPr="00185E9C" w:rsidRDefault="00932C76" w:rsidP="00185E9C">
    <w:pPr>
      <w:pStyle w:val="Header"/>
      <w:jc w:val="center"/>
      <w:rPr>
        <w:rFonts w:ascii="Arial" w:hAnsi="Arial" w:cs="Arial"/>
      </w:rPr>
    </w:pPr>
  </w:p>
  <w:p w14:paraId="71D46056" w14:textId="77777777" w:rsidR="00932C76" w:rsidRPr="00185E9C" w:rsidRDefault="00932C76" w:rsidP="00185E9C">
    <w:pPr>
      <w:pStyle w:val="Header"/>
      <w:jc w:val="center"/>
      <w:rPr>
        <w:rFonts w:ascii="Arial" w:hAnsi="Arial" w:cs="Arial"/>
      </w:rPr>
    </w:pPr>
  </w:p>
  <w:p w14:paraId="71D46057" w14:textId="77777777" w:rsidR="00932C76" w:rsidRPr="00185E9C" w:rsidRDefault="00932C76" w:rsidP="00185E9C">
    <w:pPr>
      <w:pStyle w:val="Header"/>
      <w:jc w:val="center"/>
      <w:rPr>
        <w:rFonts w:ascii="Arial" w:hAnsi="Arial" w:cs="Arial"/>
      </w:rPr>
    </w:pPr>
  </w:p>
  <w:p w14:paraId="71D46058" w14:textId="77777777" w:rsidR="00932C76" w:rsidRPr="00185E9C" w:rsidRDefault="00932C76" w:rsidP="00185E9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F00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17B3F"/>
    <w:multiLevelType w:val="hybridMultilevel"/>
    <w:tmpl w:val="61CE9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679C1"/>
    <w:multiLevelType w:val="hybridMultilevel"/>
    <w:tmpl w:val="280A7EE0"/>
    <w:lvl w:ilvl="0" w:tplc="08090001">
      <w:start w:val="1"/>
      <w:numFmt w:val="bullet"/>
      <w:lvlText w:val=""/>
      <w:lvlJc w:val="left"/>
      <w:pPr>
        <w:ind w:left="720" w:hanging="360"/>
      </w:pPr>
      <w:rPr>
        <w:rFonts w:ascii="Symbol" w:hAnsi="Symbol" w:hint="default"/>
        <w:color w:val="8F3594"/>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24E7B82"/>
    <w:multiLevelType w:val="hybridMultilevel"/>
    <w:tmpl w:val="6EA659C0"/>
    <w:lvl w:ilvl="0" w:tplc="67E06E58">
      <w:start w:val="1"/>
      <w:numFmt w:val="bullet"/>
      <w:lvlText w:val="●"/>
      <w:lvlJc w:val="left"/>
      <w:pPr>
        <w:ind w:left="1140" w:hanging="360"/>
      </w:pPr>
      <w:rPr>
        <w:rFonts w:ascii="Arial" w:hAnsi="Arial" w:hint="default"/>
        <w:color w:val="7030A0"/>
        <w:sz w:val="20"/>
        <w:szCs w:val="20"/>
      </w:rPr>
    </w:lvl>
    <w:lvl w:ilvl="1" w:tplc="08090003">
      <w:start w:val="1"/>
      <w:numFmt w:val="decimal"/>
      <w:lvlText w:val="%2."/>
      <w:lvlJc w:val="left"/>
      <w:pPr>
        <w:tabs>
          <w:tab w:val="num" w:pos="1860"/>
        </w:tabs>
        <w:ind w:left="1860" w:hanging="360"/>
      </w:pPr>
    </w:lvl>
    <w:lvl w:ilvl="2" w:tplc="08090005">
      <w:start w:val="1"/>
      <w:numFmt w:val="decimal"/>
      <w:lvlText w:val="%3."/>
      <w:lvlJc w:val="left"/>
      <w:pPr>
        <w:tabs>
          <w:tab w:val="num" w:pos="2580"/>
        </w:tabs>
        <w:ind w:left="2580" w:hanging="360"/>
      </w:pPr>
    </w:lvl>
    <w:lvl w:ilvl="3" w:tplc="08090001">
      <w:start w:val="1"/>
      <w:numFmt w:val="decimal"/>
      <w:lvlText w:val="%4."/>
      <w:lvlJc w:val="left"/>
      <w:pPr>
        <w:tabs>
          <w:tab w:val="num" w:pos="3300"/>
        </w:tabs>
        <w:ind w:left="3300" w:hanging="360"/>
      </w:pPr>
    </w:lvl>
    <w:lvl w:ilvl="4" w:tplc="08090003">
      <w:start w:val="1"/>
      <w:numFmt w:val="decimal"/>
      <w:lvlText w:val="%5."/>
      <w:lvlJc w:val="left"/>
      <w:pPr>
        <w:tabs>
          <w:tab w:val="num" w:pos="4020"/>
        </w:tabs>
        <w:ind w:left="4020" w:hanging="360"/>
      </w:pPr>
    </w:lvl>
    <w:lvl w:ilvl="5" w:tplc="08090005">
      <w:start w:val="1"/>
      <w:numFmt w:val="decimal"/>
      <w:lvlText w:val="%6."/>
      <w:lvlJc w:val="left"/>
      <w:pPr>
        <w:tabs>
          <w:tab w:val="num" w:pos="4740"/>
        </w:tabs>
        <w:ind w:left="4740" w:hanging="360"/>
      </w:pPr>
    </w:lvl>
    <w:lvl w:ilvl="6" w:tplc="08090001">
      <w:start w:val="1"/>
      <w:numFmt w:val="decimal"/>
      <w:lvlText w:val="%7."/>
      <w:lvlJc w:val="left"/>
      <w:pPr>
        <w:tabs>
          <w:tab w:val="num" w:pos="5460"/>
        </w:tabs>
        <w:ind w:left="5460" w:hanging="360"/>
      </w:pPr>
    </w:lvl>
    <w:lvl w:ilvl="7" w:tplc="08090003">
      <w:start w:val="1"/>
      <w:numFmt w:val="decimal"/>
      <w:lvlText w:val="%8."/>
      <w:lvlJc w:val="left"/>
      <w:pPr>
        <w:tabs>
          <w:tab w:val="num" w:pos="6180"/>
        </w:tabs>
        <w:ind w:left="6180" w:hanging="360"/>
      </w:pPr>
    </w:lvl>
    <w:lvl w:ilvl="8" w:tplc="08090005">
      <w:start w:val="1"/>
      <w:numFmt w:val="decimal"/>
      <w:lvlText w:val="%9."/>
      <w:lvlJc w:val="left"/>
      <w:pPr>
        <w:tabs>
          <w:tab w:val="num" w:pos="6900"/>
        </w:tabs>
        <w:ind w:left="6900" w:hanging="360"/>
      </w:pPr>
    </w:lvl>
  </w:abstractNum>
  <w:abstractNum w:abstractNumId="4" w15:restartNumberingAfterBreak="0">
    <w:nsid w:val="1A3A4C23"/>
    <w:multiLevelType w:val="hybridMultilevel"/>
    <w:tmpl w:val="88849ABC"/>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F6751"/>
    <w:multiLevelType w:val="hybridMultilevel"/>
    <w:tmpl w:val="4636F336"/>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C703F"/>
    <w:multiLevelType w:val="hybridMultilevel"/>
    <w:tmpl w:val="ED72EDBA"/>
    <w:lvl w:ilvl="0" w:tplc="67E06E58">
      <w:start w:val="1"/>
      <w:numFmt w:val="bullet"/>
      <w:lvlText w:val="●"/>
      <w:lvlJc w:val="left"/>
      <w:pPr>
        <w:ind w:left="360" w:hanging="360"/>
      </w:pPr>
      <w:rPr>
        <w:rFonts w:ascii="Arial" w:hAnsi="Arial" w:hint="default"/>
        <w:color w:val="7030A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611E39"/>
    <w:multiLevelType w:val="multilevel"/>
    <w:tmpl w:val="5E66CF20"/>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8" w15:restartNumberingAfterBreak="0">
    <w:nsid w:val="2C696AFF"/>
    <w:multiLevelType w:val="hybridMultilevel"/>
    <w:tmpl w:val="A552CF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57159C"/>
    <w:multiLevelType w:val="hybridMultilevel"/>
    <w:tmpl w:val="568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B1168"/>
    <w:multiLevelType w:val="hybridMultilevel"/>
    <w:tmpl w:val="4B0A2504"/>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91E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4C52B8"/>
    <w:multiLevelType w:val="multilevel"/>
    <w:tmpl w:val="A2D0AD3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pStyle w:val="CPITNumberedParagraphTex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2E1FDF"/>
    <w:multiLevelType w:val="hybridMultilevel"/>
    <w:tmpl w:val="CE4E21DE"/>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3"/>
  </w:num>
  <w:num w:numId="7">
    <w:abstractNumId w:val="8"/>
  </w:num>
  <w:num w:numId="8">
    <w:abstractNumId w:val="2"/>
  </w:num>
  <w:num w:numId="9">
    <w:abstractNumId w:val="10"/>
  </w:num>
  <w:num w:numId="10">
    <w:abstractNumId w:val="5"/>
  </w:num>
  <w:num w:numId="11">
    <w:abstractNumId w:val="4"/>
  </w:num>
  <w:num w:numId="12">
    <w:abstractNumId w:val="11"/>
  </w:num>
  <w:num w:numId="13">
    <w:abstractNumId w:val="1"/>
  </w:num>
  <w:num w:numId="14">
    <w:abstractNumId w:val="9"/>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30"/>
    <w:rsid w:val="000011BE"/>
    <w:rsid w:val="00015F09"/>
    <w:rsid w:val="00017373"/>
    <w:rsid w:val="00031D27"/>
    <w:rsid w:val="0003355F"/>
    <w:rsid w:val="00033759"/>
    <w:rsid w:val="00034CBF"/>
    <w:rsid w:val="00040007"/>
    <w:rsid w:val="000428D4"/>
    <w:rsid w:val="00043592"/>
    <w:rsid w:val="00046BE4"/>
    <w:rsid w:val="0005009F"/>
    <w:rsid w:val="00053CBB"/>
    <w:rsid w:val="00054F29"/>
    <w:rsid w:val="000616B4"/>
    <w:rsid w:val="000725D8"/>
    <w:rsid w:val="00080941"/>
    <w:rsid w:val="0008312A"/>
    <w:rsid w:val="00084F65"/>
    <w:rsid w:val="00085117"/>
    <w:rsid w:val="000861D6"/>
    <w:rsid w:val="0009011A"/>
    <w:rsid w:val="000A1245"/>
    <w:rsid w:val="000A236D"/>
    <w:rsid w:val="000A246A"/>
    <w:rsid w:val="000A54D8"/>
    <w:rsid w:val="000A5CCF"/>
    <w:rsid w:val="000A6226"/>
    <w:rsid w:val="000B3F43"/>
    <w:rsid w:val="000B6299"/>
    <w:rsid w:val="000B78CA"/>
    <w:rsid w:val="000C2131"/>
    <w:rsid w:val="000C4A60"/>
    <w:rsid w:val="000C5BB9"/>
    <w:rsid w:val="000C7569"/>
    <w:rsid w:val="000C7B1D"/>
    <w:rsid w:val="000D2492"/>
    <w:rsid w:val="000E3A77"/>
    <w:rsid w:val="000E4858"/>
    <w:rsid w:val="000E7152"/>
    <w:rsid w:val="000F00DE"/>
    <w:rsid w:val="000F2DC2"/>
    <w:rsid w:val="000F3C6B"/>
    <w:rsid w:val="000F715D"/>
    <w:rsid w:val="000F7ED9"/>
    <w:rsid w:val="001044B0"/>
    <w:rsid w:val="001073AD"/>
    <w:rsid w:val="00107988"/>
    <w:rsid w:val="00112C0A"/>
    <w:rsid w:val="001236BD"/>
    <w:rsid w:val="00123FD8"/>
    <w:rsid w:val="00124877"/>
    <w:rsid w:val="0015152E"/>
    <w:rsid w:val="001651AB"/>
    <w:rsid w:val="00166142"/>
    <w:rsid w:val="001766D9"/>
    <w:rsid w:val="00185E9C"/>
    <w:rsid w:val="00193500"/>
    <w:rsid w:val="001A0656"/>
    <w:rsid w:val="001A18F0"/>
    <w:rsid w:val="001A4C77"/>
    <w:rsid w:val="001A7CBC"/>
    <w:rsid w:val="001B20E5"/>
    <w:rsid w:val="001B65F2"/>
    <w:rsid w:val="001B6A5C"/>
    <w:rsid w:val="001C22CE"/>
    <w:rsid w:val="001D029C"/>
    <w:rsid w:val="001D25B1"/>
    <w:rsid w:val="001D42CC"/>
    <w:rsid w:val="001E08C6"/>
    <w:rsid w:val="001E1AC6"/>
    <w:rsid w:val="001F114E"/>
    <w:rsid w:val="001F1BB7"/>
    <w:rsid w:val="00207BFA"/>
    <w:rsid w:val="002119EF"/>
    <w:rsid w:val="0021431D"/>
    <w:rsid w:val="00216635"/>
    <w:rsid w:val="00222B3B"/>
    <w:rsid w:val="00223112"/>
    <w:rsid w:val="00226719"/>
    <w:rsid w:val="002308B3"/>
    <w:rsid w:val="002339AF"/>
    <w:rsid w:val="002339D0"/>
    <w:rsid w:val="00235A40"/>
    <w:rsid w:val="00242210"/>
    <w:rsid w:val="00246211"/>
    <w:rsid w:val="002501D2"/>
    <w:rsid w:val="00250C71"/>
    <w:rsid w:val="00272CD6"/>
    <w:rsid w:val="00273191"/>
    <w:rsid w:val="00273323"/>
    <w:rsid w:val="00274B86"/>
    <w:rsid w:val="00276339"/>
    <w:rsid w:val="0027719F"/>
    <w:rsid w:val="00280BCD"/>
    <w:rsid w:val="00282752"/>
    <w:rsid w:val="00282BE3"/>
    <w:rsid w:val="00290425"/>
    <w:rsid w:val="00294107"/>
    <w:rsid w:val="002A1DDC"/>
    <w:rsid w:val="002A2177"/>
    <w:rsid w:val="002A5E27"/>
    <w:rsid w:val="002A64BE"/>
    <w:rsid w:val="002A77C0"/>
    <w:rsid w:val="002B20B5"/>
    <w:rsid w:val="002B4B19"/>
    <w:rsid w:val="002B5A09"/>
    <w:rsid w:val="002C204B"/>
    <w:rsid w:val="002C6DAB"/>
    <w:rsid w:val="002E0606"/>
    <w:rsid w:val="002E71BA"/>
    <w:rsid w:val="002F03EA"/>
    <w:rsid w:val="002F6D30"/>
    <w:rsid w:val="0030549A"/>
    <w:rsid w:val="0030588F"/>
    <w:rsid w:val="00310FF7"/>
    <w:rsid w:val="003147C7"/>
    <w:rsid w:val="00314F7C"/>
    <w:rsid w:val="00316BA2"/>
    <w:rsid w:val="00321345"/>
    <w:rsid w:val="00321F8A"/>
    <w:rsid w:val="0032374A"/>
    <w:rsid w:val="003278DC"/>
    <w:rsid w:val="00341C97"/>
    <w:rsid w:val="0034467E"/>
    <w:rsid w:val="00345E98"/>
    <w:rsid w:val="0035443A"/>
    <w:rsid w:val="00354C99"/>
    <w:rsid w:val="00356B34"/>
    <w:rsid w:val="00362F4B"/>
    <w:rsid w:val="00365754"/>
    <w:rsid w:val="003661E9"/>
    <w:rsid w:val="00367B90"/>
    <w:rsid w:val="003730F7"/>
    <w:rsid w:val="003764B9"/>
    <w:rsid w:val="0037657A"/>
    <w:rsid w:val="00384CF9"/>
    <w:rsid w:val="003876D1"/>
    <w:rsid w:val="00387B70"/>
    <w:rsid w:val="003A2AA0"/>
    <w:rsid w:val="003A5490"/>
    <w:rsid w:val="003A59FB"/>
    <w:rsid w:val="003C1B6A"/>
    <w:rsid w:val="003C714B"/>
    <w:rsid w:val="003C772B"/>
    <w:rsid w:val="003D0F20"/>
    <w:rsid w:val="003D4C8D"/>
    <w:rsid w:val="003D63C3"/>
    <w:rsid w:val="003E1D5A"/>
    <w:rsid w:val="003E2FC4"/>
    <w:rsid w:val="003E502D"/>
    <w:rsid w:val="003E55B7"/>
    <w:rsid w:val="003F051E"/>
    <w:rsid w:val="003F5873"/>
    <w:rsid w:val="00403DAF"/>
    <w:rsid w:val="00405759"/>
    <w:rsid w:val="004061C0"/>
    <w:rsid w:val="00411F0B"/>
    <w:rsid w:val="00412CC1"/>
    <w:rsid w:val="00413375"/>
    <w:rsid w:val="00413CDC"/>
    <w:rsid w:val="004174E9"/>
    <w:rsid w:val="00427DAA"/>
    <w:rsid w:val="00431D0F"/>
    <w:rsid w:val="00433C97"/>
    <w:rsid w:val="00435E35"/>
    <w:rsid w:val="00445044"/>
    <w:rsid w:val="00445B61"/>
    <w:rsid w:val="004575AB"/>
    <w:rsid w:val="00457DC9"/>
    <w:rsid w:val="00463822"/>
    <w:rsid w:val="00463A76"/>
    <w:rsid w:val="0047112D"/>
    <w:rsid w:val="00473F2C"/>
    <w:rsid w:val="00475D40"/>
    <w:rsid w:val="004816E8"/>
    <w:rsid w:val="00491C3A"/>
    <w:rsid w:val="00493B86"/>
    <w:rsid w:val="00493F1B"/>
    <w:rsid w:val="004A07CC"/>
    <w:rsid w:val="004A0A05"/>
    <w:rsid w:val="004A2949"/>
    <w:rsid w:val="004A5CD2"/>
    <w:rsid w:val="004B393C"/>
    <w:rsid w:val="004C1545"/>
    <w:rsid w:val="004C7581"/>
    <w:rsid w:val="004D4637"/>
    <w:rsid w:val="004D4B85"/>
    <w:rsid w:val="004E0C8D"/>
    <w:rsid w:val="004E4E08"/>
    <w:rsid w:val="004E5268"/>
    <w:rsid w:val="004F0A87"/>
    <w:rsid w:val="004F450B"/>
    <w:rsid w:val="004F6FD9"/>
    <w:rsid w:val="00504ADB"/>
    <w:rsid w:val="00506A41"/>
    <w:rsid w:val="00512DED"/>
    <w:rsid w:val="00523585"/>
    <w:rsid w:val="00525E22"/>
    <w:rsid w:val="00530F64"/>
    <w:rsid w:val="00531F4E"/>
    <w:rsid w:val="00534E27"/>
    <w:rsid w:val="00546BF0"/>
    <w:rsid w:val="0054723E"/>
    <w:rsid w:val="0055501E"/>
    <w:rsid w:val="0056350B"/>
    <w:rsid w:val="00565154"/>
    <w:rsid w:val="0056653A"/>
    <w:rsid w:val="00567054"/>
    <w:rsid w:val="00570D75"/>
    <w:rsid w:val="00577B0C"/>
    <w:rsid w:val="005847A4"/>
    <w:rsid w:val="005864D1"/>
    <w:rsid w:val="005910BE"/>
    <w:rsid w:val="00591E0C"/>
    <w:rsid w:val="00593B91"/>
    <w:rsid w:val="00597963"/>
    <w:rsid w:val="005A2525"/>
    <w:rsid w:val="005A4B43"/>
    <w:rsid w:val="005B4149"/>
    <w:rsid w:val="005B795D"/>
    <w:rsid w:val="005C580A"/>
    <w:rsid w:val="005D44CF"/>
    <w:rsid w:val="005D70EE"/>
    <w:rsid w:val="005D76B9"/>
    <w:rsid w:val="005E3249"/>
    <w:rsid w:val="005E42D1"/>
    <w:rsid w:val="005F2593"/>
    <w:rsid w:val="005F43B5"/>
    <w:rsid w:val="005F70AC"/>
    <w:rsid w:val="0060616A"/>
    <w:rsid w:val="00607B0A"/>
    <w:rsid w:val="00610125"/>
    <w:rsid w:val="00610D22"/>
    <w:rsid w:val="00615942"/>
    <w:rsid w:val="00631444"/>
    <w:rsid w:val="00635654"/>
    <w:rsid w:val="00635E03"/>
    <w:rsid w:val="00636624"/>
    <w:rsid w:val="00645184"/>
    <w:rsid w:val="00646757"/>
    <w:rsid w:val="00662F49"/>
    <w:rsid w:val="006660BA"/>
    <w:rsid w:val="00676FFC"/>
    <w:rsid w:val="00684159"/>
    <w:rsid w:val="00685DE2"/>
    <w:rsid w:val="006958B2"/>
    <w:rsid w:val="00696483"/>
    <w:rsid w:val="006A0CB1"/>
    <w:rsid w:val="006A0CC7"/>
    <w:rsid w:val="006A426E"/>
    <w:rsid w:val="006B12E3"/>
    <w:rsid w:val="006B1718"/>
    <w:rsid w:val="006B1F0C"/>
    <w:rsid w:val="006B45A2"/>
    <w:rsid w:val="006C14F8"/>
    <w:rsid w:val="006C2A3F"/>
    <w:rsid w:val="006C5E1D"/>
    <w:rsid w:val="006D41CE"/>
    <w:rsid w:val="006D65BF"/>
    <w:rsid w:val="006D75BA"/>
    <w:rsid w:val="006E04BE"/>
    <w:rsid w:val="006E4D21"/>
    <w:rsid w:val="006E6B16"/>
    <w:rsid w:val="006F28AB"/>
    <w:rsid w:val="006F3430"/>
    <w:rsid w:val="006F42F4"/>
    <w:rsid w:val="006F63D8"/>
    <w:rsid w:val="00700117"/>
    <w:rsid w:val="007037F7"/>
    <w:rsid w:val="0070422D"/>
    <w:rsid w:val="00707BF5"/>
    <w:rsid w:val="00715EA8"/>
    <w:rsid w:val="007200E5"/>
    <w:rsid w:val="007321B0"/>
    <w:rsid w:val="00737786"/>
    <w:rsid w:val="007423F6"/>
    <w:rsid w:val="0074348E"/>
    <w:rsid w:val="007447EB"/>
    <w:rsid w:val="00745186"/>
    <w:rsid w:val="0075056B"/>
    <w:rsid w:val="007556B3"/>
    <w:rsid w:val="00760CB1"/>
    <w:rsid w:val="0076536E"/>
    <w:rsid w:val="00766444"/>
    <w:rsid w:val="00780A40"/>
    <w:rsid w:val="0078415E"/>
    <w:rsid w:val="00785280"/>
    <w:rsid w:val="007A2B8D"/>
    <w:rsid w:val="007A42D9"/>
    <w:rsid w:val="007A6EED"/>
    <w:rsid w:val="007C10E9"/>
    <w:rsid w:val="007C2462"/>
    <w:rsid w:val="007C3D75"/>
    <w:rsid w:val="007D0E69"/>
    <w:rsid w:val="007D4C9B"/>
    <w:rsid w:val="007E3141"/>
    <w:rsid w:val="007E3D1D"/>
    <w:rsid w:val="007E4E6D"/>
    <w:rsid w:val="007F4E29"/>
    <w:rsid w:val="007F6552"/>
    <w:rsid w:val="00800C13"/>
    <w:rsid w:val="00802980"/>
    <w:rsid w:val="00803405"/>
    <w:rsid w:val="0081513A"/>
    <w:rsid w:val="00815690"/>
    <w:rsid w:val="0081677C"/>
    <w:rsid w:val="00836282"/>
    <w:rsid w:val="00836B10"/>
    <w:rsid w:val="00843B3D"/>
    <w:rsid w:val="0084411F"/>
    <w:rsid w:val="0084679D"/>
    <w:rsid w:val="00852E58"/>
    <w:rsid w:val="0085683F"/>
    <w:rsid w:val="008653D0"/>
    <w:rsid w:val="00881424"/>
    <w:rsid w:val="00891131"/>
    <w:rsid w:val="00891746"/>
    <w:rsid w:val="00891B5F"/>
    <w:rsid w:val="00894500"/>
    <w:rsid w:val="00896DFC"/>
    <w:rsid w:val="008A14AC"/>
    <w:rsid w:val="008A38DA"/>
    <w:rsid w:val="008A42A8"/>
    <w:rsid w:val="008A7706"/>
    <w:rsid w:val="008B5B16"/>
    <w:rsid w:val="008C263C"/>
    <w:rsid w:val="008C503E"/>
    <w:rsid w:val="008C6526"/>
    <w:rsid w:val="008C656E"/>
    <w:rsid w:val="008C79C1"/>
    <w:rsid w:val="008C7A49"/>
    <w:rsid w:val="008D1D45"/>
    <w:rsid w:val="008D3107"/>
    <w:rsid w:val="008D5FEA"/>
    <w:rsid w:val="008E2B7D"/>
    <w:rsid w:val="008E38A4"/>
    <w:rsid w:val="008E6625"/>
    <w:rsid w:val="008E6B99"/>
    <w:rsid w:val="009008DD"/>
    <w:rsid w:val="00905AA3"/>
    <w:rsid w:val="00907D7C"/>
    <w:rsid w:val="00915FB2"/>
    <w:rsid w:val="00932C76"/>
    <w:rsid w:val="00943C9C"/>
    <w:rsid w:val="00946345"/>
    <w:rsid w:val="009500AB"/>
    <w:rsid w:val="00950E1B"/>
    <w:rsid w:val="009558B8"/>
    <w:rsid w:val="009619AB"/>
    <w:rsid w:val="00962A90"/>
    <w:rsid w:val="00963756"/>
    <w:rsid w:val="00964844"/>
    <w:rsid w:val="00972F17"/>
    <w:rsid w:val="009801FC"/>
    <w:rsid w:val="00982C19"/>
    <w:rsid w:val="00983CB1"/>
    <w:rsid w:val="00984D55"/>
    <w:rsid w:val="00985866"/>
    <w:rsid w:val="00990861"/>
    <w:rsid w:val="009A01AD"/>
    <w:rsid w:val="009A2FD5"/>
    <w:rsid w:val="009A3268"/>
    <w:rsid w:val="009A6B7F"/>
    <w:rsid w:val="009A7875"/>
    <w:rsid w:val="009A7E69"/>
    <w:rsid w:val="009A7F9D"/>
    <w:rsid w:val="009B0EF5"/>
    <w:rsid w:val="009B2955"/>
    <w:rsid w:val="009B5516"/>
    <w:rsid w:val="009B5A10"/>
    <w:rsid w:val="009B738D"/>
    <w:rsid w:val="009C4378"/>
    <w:rsid w:val="009C5662"/>
    <w:rsid w:val="009C65F4"/>
    <w:rsid w:val="009D6C34"/>
    <w:rsid w:val="009E2A30"/>
    <w:rsid w:val="009E5686"/>
    <w:rsid w:val="009E5987"/>
    <w:rsid w:val="009E5DD9"/>
    <w:rsid w:val="009F0E11"/>
    <w:rsid w:val="009F7D53"/>
    <w:rsid w:val="00A00687"/>
    <w:rsid w:val="00A06B5E"/>
    <w:rsid w:val="00A1239D"/>
    <w:rsid w:val="00A136B6"/>
    <w:rsid w:val="00A136D7"/>
    <w:rsid w:val="00A14019"/>
    <w:rsid w:val="00A25E35"/>
    <w:rsid w:val="00A26BFF"/>
    <w:rsid w:val="00A42DC4"/>
    <w:rsid w:val="00A46E3C"/>
    <w:rsid w:val="00A5112D"/>
    <w:rsid w:val="00A52DAE"/>
    <w:rsid w:val="00A5532F"/>
    <w:rsid w:val="00A60ADF"/>
    <w:rsid w:val="00A6246B"/>
    <w:rsid w:val="00A63C01"/>
    <w:rsid w:val="00A821C7"/>
    <w:rsid w:val="00A85D67"/>
    <w:rsid w:val="00A954C3"/>
    <w:rsid w:val="00AB4F7A"/>
    <w:rsid w:val="00AB78B5"/>
    <w:rsid w:val="00AC443D"/>
    <w:rsid w:val="00AD3463"/>
    <w:rsid w:val="00AD6B1D"/>
    <w:rsid w:val="00AE2DAF"/>
    <w:rsid w:val="00AE4B25"/>
    <w:rsid w:val="00AE5629"/>
    <w:rsid w:val="00AF6349"/>
    <w:rsid w:val="00B0154B"/>
    <w:rsid w:val="00B031AA"/>
    <w:rsid w:val="00B03B30"/>
    <w:rsid w:val="00B136D9"/>
    <w:rsid w:val="00B16792"/>
    <w:rsid w:val="00B173AB"/>
    <w:rsid w:val="00B25165"/>
    <w:rsid w:val="00B322FC"/>
    <w:rsid w:val="00B3471A"/>
    <w:rsid w:val="00B42352"/>
    <w:rsid w:val="00B42958"/>
    <w:rsid w:val="00B43DCF"/>
    <w:rsid w:val="00B47058"/>
    <w:rsid w:val="00B50E2C"/>
    <w:rsid w:val="00B50FE3"/>
    <w:rsid w:val="00B51EBA"/>
    <w:rsid w:val="00B55A7E"/>
    <w:rsid w:val="00B55FA7"/>
    <w:rsid w:val="00B57F33"/>
    <w:rsid w:val="00B66045"/>
    <w:rsid w:val="00B70E8C"/>
    <w:rsid w:val="00B719DB"/>
    <w:rsid w:val="00B93C38"/>
    <w:rsid w:val="00B9480E"/>
    <w:rsid w:val="00B9714D"/>
    <w:rsid w:val="00BA1422"/>
    <w:rsid w:val="00BA2A18"/>
    <w:rsid w:val="00BA7609"/>
    <w:rsid w:val="00BB1CB0"/>
    <w:rsid w:val="00BB44DF"/>
    <w:rsid w:val="00BD01AD"/>
    <w:rsid w:val="00BE2D0F"/>
    <w:rsid w:val="00BF0D42"/>
    <w:rsid w:val="00BF3BEF"/>
    <w:rsid w:val="00C00B70"/>
    <w:rsid w:val="00C055EF"/>
    <w:rsid w:val="00C072F5"/>
    <w:rsid w:val="00C10F71"/>
    <w:rsid w:val="00C11C18"/>
    <w:rsid w:val="00C20607"/>
    <w:rsid w:val="00C231F5"/>
    <w:rsid w:val="00C24EF8"/>
    <w:rsid w:val="00C30615"/>
    <w:rsid w:val="00C32C73"/>
    <w:rsid w:val="00C4020E"/>
    <w:rsid w:val="00C42C52"/>
    <w:rsid w:val="00C44F7A"/>
    <w:rsid w:val="00C45238"/>
    <w:rsid w:val="00C55C27"/>
    <w:rsid w:val="00C61242"/>
    <w:rsid w:val="00C62008"/>
    <w:rsid w:val="00C6267E"/>
    <w:rsid w:val="00C637AD"/>
    <w:rsid w:val="00C64B73"/>
    <w:rsid w:val="00C65D7F"/>
    <w:rsid w:val="00C8440F"/>
    <w:rsid w:val="00C86694"/>
    <w:rsid w:val="00C86876"/>
    <w:rsid w:val="00C915D8"/>
    <w:rsid w:val="00C96215"/>
    <w:rsid w:val="00C96CF8"/>
    <w:rsid w:val="00CA1A95"/>
    <w:rsid w:val="00CB6A12"/>
    <w:rsid w:val="00CC3912"/>
    <w:rsid w:val="00CC6A15"/>
    <w:rsid w:val="00CD0AB7"/>
    <w:rsid w:val="00CD214F"/>
    <w:rsid w:val="00CE1E11"/>
    <w:rsid w:val="00CE4A84"/>
    <w:rsid w:val="00CE4EB9"/>
    <w:rsid w:val="00CF527B"/>
    <w:rsid w:val="00D01D14"/>
    <w:rsid w:val="00D02BE0"/>
    <w:rsid w:val="00D04A44"/>
    <w:rsid w:val="00D05853"/>
    <w:rsid w:val="00D10F5C"/>
    <w:rsid w:val="00D13792"/>
    <w:rsid w:val="00D151A3"/>
    <w:rsid w:val="00D163F9"/>
    <w:rsid w:val="00D2648A"/>
    <w:rsid w:val="00D27CE4"/>
    <w:rsid w:val="00D34346"/>
    <w:rsid w:val="00D445F6"/>
    <w:rsid w:val="00D524FB"/>
    <w:rsid w:val="00D5393A"/>
    <w:rsid w:val="00D608EA"/>
    <w:rsid w:val="00D622C1"/>
    <w:rsid w:val="00D840EC"/>
    <w:rsid w:val="00D87DD3"/>
    <w:rsid w:val="00D91CA6"/>
    <w:rsid w:val="00D93C20"/>
    <w:rsid w:val="00D958B1"/>
    <w:rsid w:val="00DA3FE5"/>
    <w:rsid w:val="00DC173E"/>
    <w:rsid w:val="00DC2A5B"/>
    <w:rsid w:val="00DC3C20"/>
    <w:rsid w:val="00DC4CB6"/>
    <w:rsid w:val="00DC5E2C"/>
    <w:rsid w:val="00DD1B77"/>
    <w:rsid w:val="00DD2803"/>
    <w:rsid w:val="00DD3197"/>
    <w:rsid w:val="00DD3965"/>
    <w:rsid w:val="00DD4F73"/>
    <w:rsid w:val="00DE4CF0"/>
    <w:rsid w:val="00DF5296"/>
    <w:rsid w:val="00DF7DC5"/>
    <w:rsid w:val="00E00741"/>
    <w:rsid w:val="00E0095A"/>
    <w:rsid w:val="00E03116"/>
    <w:rsid w:val="00E11DD2"/>
    <w:rsid w:val="00E133D8"/>
    <w:rsid w:val="00E14061"/>
    <w:rsid w:val="00E16CE1"/>
    <w:rsid w:val="00E1759F"/>
    <w:rsid w:val="00E23BE4"/>
    <w:rsid w:val="00E27B66"/>
    <w:rsid w:val="00E362F1"/>
    <w:rsid w:val="00E37C92"/>
    <w:rsid w:val="00E4142C"/>
    <w:rsid w:val="00E459EE"/>
    <w:rsid w:val="00E45D1C"/>
    <w:rsid w:val="00E515E2"/>
    <w:rsid w:val="00E51B55"/>
    <w:rsid w:val="00E60460"/>
    <w:rsid w:val="00E60C49"/>
    <w:rsid w:val="00E62983"/>
    <w:rsid w:val="00E65B87"/>
    <w:rsid w:val="00E66E9C"/>
    <w:rsid w:val="00E67EAE"/>
    <w:rsid w:val="00E72616"/>
    <w:rsid w:val="00E7376A"/>
    <w:rsid w:val="00E75F7B"/>
    <w:rsid w:val="00E76113"/>
    <w:rsid w:val="00E80D4C"/>
    <w:rsid w:val="00E84CA4"/>
    <w:rsid w:val="00E930E4"/>
    <w:rsid w:val="00E945A8"/>
    <w:rsid w:val="00E9500B"/>
    <w:rsid w:val="00E96417"/>
    <w:rsid w:val="00EA31E6"/>
    <w:rsid w:val="00EA5E99"/>
    <w:rsid w:val="00EB2313"/>
    <w:rsid w:val="00EB2A98"/>
    <w:rsid w:val="00EC488B"/>
    <w:rsid w:val="00ED3ABD"/>
    <w:rsid w:val="00ED3E91"/>
    <w:rsid w:val="00ED41D8"/>
    <w:rsid w:val="00ED427E"/>
    <w:rsid w:val="00ED5A4B"/>
    <w:rsid w:val="00EE0533"/>
    <w:rsid w:val="00EE2381"/>
    <w:rsid w:val="00EE45CE"/>
    <w:rsid w:val="00EF5F3B"/>
    <w:rsid w:val="00F038B3"/>
    <w:rsid w:val="00F12D21"/>
    <w:rsid w:val="00F149B7"/>
    <w:rsid w:val="00F14CB9"/>
    <w:rsid w:val="00F2058C"/>
    <w:rsid w:val="00F22E41"/>
    <w:rsid w:val="00F2346C"/>
    <w:rsid w:val="00F23857"/>
    <w:rsid w:val="00F41703"/>
    <w:rsid w:val="00F4216E"/>
    <w:rsid w:val="00F45EA4"/>
    <w:rsid w:val="00F46354"/>
    <w:rsid w:val="00F54AC8"/>
    <w:rsid w:val="00F550B2"/>
    <w:rsid w:val="00F56371"/>
    <w:rsid w:val="00F60A13"/>
    <w:rsid w:val="00F6660A"/>
    <w:rsid w:val="00F70450"/>
    <w:rsid w:val="00F70F25"/>
    <w:rsid w:val="00F76FDC"/>
    <w:rsid w:val="00F810A6"/>
    <w:rsid w:val="00F8374A"/>
    <w:rsid w:val="00F85EA3"/>
    <w:rsid w:val="00F91A3A"/>
    <w:rsid w:val="00F93B70"/>
    <w:rsid w:val="00F9421E"/>
    <w:rsid w:val="00F973BD"/>
    <w:rsid w:val="00F976B2"/>
    <w:rsid w:val="00FA5EA5"/>
    <w:rsid w:val="00FC1095"/>
    <w:rsid w:val="00FC5444"/>
    <w:rsid w:val="00FD4546"/>
    <w:rsid w:val="00FE783F"/>
    <w:rsid w:val="00FF30F5"/>
    <w:rsid w:val="00FF363F"/>
    <w:rsid w:val="00FF41B5"/>
    <w:rsid w:val="00FF5A9E"/>
    <w:rsid w:val="00FF6B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7"/>
    <o:shapelayout v:ext="edit">
      <o:idmap v:ext="edit" data="1"/>
    </o:shapelayout>
  </w:shapeDefaults>
  <w:decimalSymbol w:val="."/>
  <w:listSeparator w:val=","/>
  <w14:docId w14:val="71D45FBB"/>
  <w15:docId w15:val="{134D5081-B75C-4881-A174-217B284B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D840EC"/>
    <w:rPr>
      <w:sz w:val="24"/>
      <w:szCs w:val="24"/>
      <w:lang w:eastAsia="en-GB"/>
    </w:rPr>
  </w:style>
  <w:style w:type="paragraph" w:styleId="Heading1">
    <w:name w:val="heading 1"/>
    <w:next w:val="CPITNumberedParagraphText"/>
    <w:link w:val="Heading1Char"/>
    <w:uiPriority w:val="9"/>
    <w:rsid w:val="00FE783F"/>
    <w:pPr>
      <w:keepNext/>
      <w:spacing w:before="240" w:after="60"/>
      <w:outlineLvl w:val="0"/>
    </w:pPr>
    <w:rPr>
      <w:rFonts w:ascii="Cambria" w:hAnsi="Cambria"/>
      <w:b/>
      <w:bCs/>
      <w:kern w:val="32"/>
      <w:sz w:val="32"/>
      <w:szCs w:val="32"/>
      <w:lang w:eastAsia="en-GB"/>
    </w:rPr>
  </w:style>
  <w:style w:type="paragraph" w:styleId="Heading2">
    <w:name w:val="heading 2"/>
    <w:basedOn w:val="Normal"/>
    <w:next w:val="Normal"/>
    <w:link w:val="Heading2Char"/>
    <w:uiPriority w:val="9"/>
    <w:semiHidden/>
    <w:unhideWhenUsed/>
    <w:qFormat/>
    <w:rsid w:val="000335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335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F"/>
    <w:rPr>
      <w:rFonts w:ascii="Cambria" w:hAnsi="Cambria"/>
      <w:b/>
      <w:bCs/>
      <w:kern w:val="32"/>
      <w:sz w:val="32"/>
      <w:szCs w:val="32"/>
      <w:lang w:val="en-GB" w:eastAsia="en-GB" w:bidi="ar-SA"/>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CPITNumberedParagraphText">
    <w:name w:val="CPIT Numbered Paragraph Text"/>
    <w:link w:val="CPITNumberedParagraphTextChar"/>
    <w:rsid w:val="00A821C7"/>
    <w:pPr>
      <w:numPr>
        <w:ilvl w:val="2"/>
        <w:numId w:val="2"/>
      </w:numPr>
      <w:tabs>
        <w:tab w:val="left" w:pos="851"/>
      </w:tabs>
      <w:spacing w:after="120"/>
      <w:ind w:left="851" w:hanging="851"/>
    </w:pPr>
    <w:rPr>
      <w:rFonts w:ascii="Arial" w:hAnsi="Arial" w:cs="Arial"/>
      <w:sz w:val="24"/>
      <w:szCs w:val="24"/>
      <w:lang w:eastAsia="en-GB"/>
    </w:rPr>
  </w:style>
  <w:style w:type="paragraph" w:customStyle="1" w:styleId="Subheading3">
    <w:name w:val="Subheading 3"/>
    <w:next w:val="CPITNumberedParagraphText"/>
    <w:qFormat/>
    <w:rsid w:val="00C20607"/>
    <w:rPr>
      <w:rFonts w:ascii="Arial" w:hAnsi="Arial" w:cs="Arial"/>
      <w:b/>
      <w:color w:val="7030A0"/>
      <w:sz w:val="28"/>
      <w:szCs w:val="28"/>
      <w:lang w:eastAsia="en-GB"/>
    </w:rPr>
  </w:style>
  <w:style w:type="character" w:customStyle="1" w:styleId="CPITNumberedParagraphTextChar">
    <w:name w:val="CPIT Numbered Paragraph Text Char"/>
    <w:basedOn w:val="DefaultParagraphFont"/>
    <w:link w:val="CPITNumberedParagraphText"/>
    <w:rsid w:val="00A821C7"/>
    <w:rPr>
      <w:rFonts w:ascii="Arial" w:hAnsi="Arial" w:cs="Arial"/>
      <w:sz w:val="24"/>
      <w:szCs w:val="24"/>
      <w:lang w:val="en-GB" w:eastAsia="en-GB" w:bidi="ar-SA"/>
    </w:rPr>
  </w:style>
  <w:style w:type="paragraph" w:customStyle="1" w:styleId="Subheading1">
    <w:name w:val="Subheading 1"/>
    <w:next w:val="CPITNumberedParagraphText"/>
    <w:qFormat/>
    <w:rsid w:val="00C20607"/>
    <w:rPr>
      <w:rFonts w:ascii="Arial" w:hAnsi="Arial" w:cs="Arial"/>
      <w:b/>
      <w:color w:val="8F23B3"/>
      <w:sz w:val="32"/>
      <w:szCs w:val="32"/>
      <w:lang w:eastAsia="en-GB"/>
    </w:rPr>
  </w:style>
  <w:style w:type="paragraph" w:customStyle="1" w:styleId="CPITSectionHeader">
    <w:name w:val="CPIT Section Header"/>
    <w:next w:val="CPITNumberedParagraphText"/>
    <w:qFormat/>
    <w:rsid w:val="00FE783F"/>
    <w:rPr>
      <w:rFonts w:ascii="Arial" w:hAnsi="Arial" w:cs="Arial"/>
      <w:color w:val="8F23B3"/>
      <w:sz w:val="52"/>
      <w:szCs w:val="52"/>
      <w:lang w:eastAsia="en-GB"/>
    </w:rPr>
  </w:style>
  <w:style w:type="paragraph" w:styleId="NormalWeb">
    <w:name w:val="Normal (Web)"/>
    <w:basedOn w:val="Normal"/>
    <w:uiPriority w:val="99"/>
    <w:semiHidden/>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CPITNumberedParagraphText"/>
    <w:rsid w:val="00C20607"/>
    <w:rPr>
      <w:b w:val="0"/>
      <w:bCs/>
      <w:color w:val="7030A0"/>
    </w:rPr>
  </w:style>
  <w:style w:type="paragraph" w:customStyle="1" w:styleId="Subheading4">
    <w:name w:val="Subheading 4"/>
    <w:basedOn w:val="Subheading1"/>
    <w:next w:val="CPITNumberedParagraphText"/>
    <w:rsid w:val="003D4C8D"/>
    <w:pPr>
      <w:spacing w:after="120"/>
    </w:pPr>
    <w:rPr>
      <w:b w:val="0"/>
      <w:color w:val="7030A0"/>
      <w:sz w:val="28"/>
      <w:szCs w:val="28"/>
    </w:rPr>
  </w:style>
  <w:style w:type="paragraph" w:customStyle="1" w:styleId="COI-Body-Sectionhead">
    <w:name w:val="COI-Body-Section head"/>
    <w:basedOn w:val="Normal"/>
    <w:next w:val="Normal"/>
    <w:qFormat/>
    <w:rsid w:val="007200E5"/>
    <w:pPr>
      <w:numPr>
        <w:ilvl w:val="1"/>
        <w:numId w:val="1"/>
      </w:numPr>
      <w:spacing w:after="200" w:line="276" w:lineRule="auto"/>
    </w:pPr>
    <w:rPr>
      <w:rFonts w:ascii="Arial" w:eastAsia="Calibri" w:hAnsi="Arial" w:cs="Arial"/>
      <w:b/>
      <w:color w:val="8F23B3"/>
      <w:sz w:val="32"/>
      <w:szCs w:val="22"/>
      <w:lang w:eastAsia="en-US"/>
    </w:rPr>
  </w:style>
  <w:style w:type="paragraph" w:customStyle="1" w:styleId="CPITProduct">
    <w:name w:val="CPIT Product"/>
    <w:basedOn w:val="Normal"/>
    <w:qFormat/>
    <w:rsid w:val="00246211"/>
    <w:pPr>
      <w:spacing w:after="200" w:line="276" w:lineRule="auto"/>
    </w:pPr>
    <w:rPr>
      <w:rFonts w:ascii="Arial" w:eastAsia="Calibri" w:hAnsi="Arial" w:cs="Arial"/>
      <w:b/>
      <w:color w:val="8F23B3"/>
      <w:sz w:val="52"/>
      <w:szCs w:val="22"/>
      <w:lang w:eastAsia="en-US"/>
    </w:rPr>
  </w:style>
  <w:style w:type="paragraph" w:customStyle="1" w:styleId="COI-Body-Chapterheads">
    <w:name w:val="COI-Body-Chapter heads"/>
    <w:basedOn w:val="Normal"/>
    <w:link w:val="COI-Body-ChapterheadsChar"/>
    <w:rsid w:val="007200E5"/>
    <w:pPr>
      <w:numPr>
        <w:numId w:val="1"/>
      </w:numPr>
      <w:spacing w:after="240"/>
    </w:pPr>
    <w:rPr>
      <w:rFonts w:ascii="Arial" w:eastAsia="Calibri" w:hAnsi="Arial"/>
      <w:color w:val="8F23B3"/>
      <w:sz w:val="52"/>
      <w:szCs w:val="32"/>
      <w:lang w:eastAsia="en-US"/>
    </w:rPr>
  </w:style>
  <w:style w:type="character" w:customStyle="1" w:styleId="COI-Body-ChapterheadsChar">
    <w:name w:val="COI-Body-Chapter heads Char"/>
    <w:link w:val="COI-Body-Chapterheads"/>
    <w:rsid w:val="007200E5"/>
    <w:rPr>
      <w:rFonts w:ascii="Arial" w:eastAsia="Calibri" w:hAnsi="Arial"/>
      <w:color w:val="8F23B3"/>
      <w:sz w:val="52"/>
      <w:szCs w:val="32"/>
      <w:lang w:eastAsia="en-US"/>
    </w:rPr>
  </w:style>
  <w:style w:type="paragraph" w:customStyle="1" w:styleId="CPITSummaryofIssuesText">
    <w:name w:val="CPIT Summary of Issues Text"/>
    <w:basedOn w:val="Normal"/>
    <w:qFormat/>
    <w:rsid w:val="007200E5"/>
    <w:pPr>
      <w:numPr>
        <w:ilvl w:val="2"/>
        <w:numId w:val="1"/>
      </w:numPr>
      <w:spacing w:after="240"/>
    </w:pPr>
    <w:rPr>
      <w:rFonts w:ascii="Arial" w:hAnsi="Arial"/>
      <w:color w:val="000000"/>
    </w:rPr>
  </w:style>
  <w:style w:type="character" w:customStyle="1" w:styleId="CPITCOI-Link">
    <w:name w:val="CPIT COI-Link"/>
    <w:rsid w:val="007200E5"/>
    <w:rPr>
      <w:rFonts w:ascii="Arial" w:hAnsi="Arial" w:cs="Arial"/>
      <w:color w:val="auto"/>
      <w:sz w:val="24"/>
      <w:szCs w:val="22"/>
      <w:u w:val="single" w:color="8F23B3"/>
    </w:rPr>
  </w:style>
  <w:style w:type="paragraph" w:styleId="TOC2">
    <w:name w:val="toc 2"/>
    <w:basedOn w:val="Normal"/>
    <w:next w:val="Normal"/>
    <w:autoRedefine/>
    <w:uiPriority w:val="39"/>
    <w:unhideWhenUsed/>
    <w:rsid w:val="0003355F"/>
    <w:pPr>
      <w:tabs>
        <w:tab w:val="left" w:pos="660"/>
        <w:tab w:val="right" w:pos="10206"/>
      </w:tabs>
      <w:spacing w:line="360" w:lineRule="auto"/>
    </w:pPr>
    <w:rPr>
      <w:rFonts w:ascii="Arial" w:hAnsi="Arial"/>
      <w:color w:val="8F23B3"/>
    </w:rPr>
  </w:style>
  <w:style w:type="paragraph" w:styleId="TOC1">
    <w:name w:val="toc 1"/>
    <w:basedOn w:val="Normal"/>
    <w:next w:val="Normal"/>
    <w:autoRedefine/>
    <w:uiPriority w:val="39"/>
    <w:unhideWhenUsed/>
    <w:qFormat/>
    <w:rsid w:val="0003355F"/>
    <w:pPr>
      <w:tabs>
        <w:tab w:val="right" w:pos="10194"/>
      </w:tabs>
      <w:spacing w:line="360" w:lineRule="auto"/>
    </w:pPr>
    <w:rPr>
      <w:rFonts w:ascii="Arial" w:hAnsi="Arial"/>
      <w:b/>
      <w:color w:val="8F23B3"/>
    </w:rPr>
  </w:style>
  <w:style w:type="character" w:styleId="FollowedHyperlink">
    <w:name w:val="FollowedHyperlink"/>
    <w:basedOn w:val="DefaultParagraphFont"/>
    <w:uiPriority w:val="99"/>
    <w:semiHidden/>
    <w:unhideWhenUsed/>
    <w:rsid w:val="00B50E2C"/>
    <w:rPr>
      <w:color w:val="800080"/>
      <w:u w:val="single"/>
    </w:rPr>
  </w:style>
  <w:style w:type="paragraph" w:customStyle="1" w:styleId="CPITSub-header1">
    <w:name w:val="CPIT Sub-header 1"/>
    <w:basedOn w:val="Subheading1"/>
    <w:rsid w:val="0003355F"/>
    <w:pPr>
      <w:tabs>
        <w:tab w:val="left" w:pos="851"/>
      </w:tabs>
      <w:spacing w:after="120"/>
    </w:pPr>
    <w:rPr>
      <w:rFonts w:cs="Times New Roman"/>
      <w:bCs/>
      <w:szCs w:val="20"/>
    </w:rPr>
  </w:style>
  <w:style w:type="character" w:customStyle="1" w:styleId="Heading2Char">
    <w:name w:val="Heading 2 Char"/>
    <w:basedOn w:val="DefaultParagraphFont"/>
    <w:link w:val="Heading2"/>
    <w:uiPriority w:val="9"/>
    <w:semiHidden/>
    <w:rsid w:val="0003355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3355F"/>
    <w:rPr>
      <w:rFonts w:ascii="Cambria" w:eastAsia="Times New Roman" w:hAnsi="Cambria" w:cs="Times New Roman"/>
      <w:b/>
      <w:bCs/>
      <w:sz w:val="26"/>
      <w:szCs w:val="26"/>
    </w:rPr>
  </w:style>
  <w:style w:type="paragraph" w:styleId="ListParagraph">
    <w:name w:val="List Paragraph"/>
    <w:basedOn w:val="Normal"/>
    <w:uiPriority w:val="34"/>
    <w:qFormat/>
    <w:rsid w:val="00387B70"/>
    <w:pPr>
      <w:ind w:left="720"/>
    </w:pPr>
  </w:style>
  <w:style w:type="character" w:styleId="CommentReference">
    <w:name w:val="annotation reference"/>
    <w:basedOn w:val="DefaultParagraphFont"/>
    <w:uiPriority w:val="99"/>
    <w:semiHidden/>
    <w:unhideWhenUsed/>
    <w:rsid w:val="005A2525"/>
    <w:rPr>
      <w:sz w:val="16"/>
      <w:szCs w:val="16"/>
    </w:rPr>
  </w:style>
  <w:style w:type="paragraph" w:styleId="CommentText">
    <w:name w:val="annotation text"/>
    <w:basedOn w:val="Normal"/>
    <w:link w:val="CommentTextChar"/>
    <w:uiPriority w:val="99"/>
    <w:unhideWhenUsed/>
    <w:rsid w:val="005A2525"/>
    <w:pPr>
      <w:spacing w:after="200" w:line="276" w:lineRule="auto"/>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rsid w:val="005A2525"/>
    <w:rPr>
      <w:rFonts w:ascii="Arial" w:eastAsia="Calibri" w:hAnsi="Arial" w:cs="Arial"/>
      <w:lang w:eastAsia="en-US"/>
    </w:rPr>
  </w:style>
  <w:style w:type="character" w:customStyle="1" w:styleId="COI-Link-Margin">
    <w:name w:val="COI-Link-Margin"/>
    <w:uiPriority w:val="1"/>
    <w:rsid w:val="009E2A30"/>
    <w:rPr>
      <w:rFonts w:ascii="Arial" w:hAnsi="Arial" w:cs="Times New Roman"/>
      <w:sz w:val="22"/>
      <w:u w:val="single" w:color="8F23B3"/>
    </w:rPr>
  </w:style>
  <w:style w:type="paragraph" w:customStyle="1" w:styleId="Default">
    <w:name w:val="Default"/>
    <w:rsid w:val="00B47058"/>
    <w:pPr>
      <w:autoSpaceDE w:val="0"/>
      <w:autoSpaceDN w:val="0"/>
      <w:adjustRightInd w:val="0"/>
    </w:pPr>
    <w:rPr>
      <w:rFonts w:ascii="Arial"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1A4C77"/>
    <w:pPr>
      <w:spacing w:after="0" w:line="240" w:lineRule="auto"/>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A4C77"/>
    <w:rPr>
      <w:rFonts w:ascii="Arial" w:eastAsia="Calibri" w:hAnsi="Arial" w:cs="Arial"/>
      <w:b/>
      <w:bCs/>
      <w:lang w:eastAsia="en-US"/>
    </w:rPr>
  </w:style>
  <w:style w:type="paragraph" w:customStyle="1" w:styleId="CPITDateUpdatedText">
    <w:name w:val="CPIT Date Updated Text"/>
    <w:basedOn w:val="Normal"/>
    <w:rsid w:val="00C96CF8"/>
    <w:pPr>
      <w:spacing w:before="120" w:after="120"/>
      <w:jc w:val="right"/>
    </w:pPr>
    <w:rPr>
      <w:rFonts w:ascii="Arial" w:hAnsi="Arial"/>
      <w:color w:val="8F23B3"/>
      <w:szCs w:val="20"/>
    </w:rPr>
  </w:style>
  <w:style w:type="paragraph" w:customStyle="1" w:styleId="CPITInstructionalHelpText">
    <w:name w:val="CPIT Instructional/Help Text"/>
    <w:basedOn w:val="Normal"/>
    <w:rsid w:val="00C96CF8"/>
    <w:pPr>
      <w:spacing w:after="120" w:line="23" w:lineRule="atLeast"/>
    </w:pPr>
    <w:rPr>
      <w:rFonts w:ascii="Arial" w:hAnsi="Arial"/>
      <w:color w:val="0070C0"/>
      <w:szCs w:val="20"/>
    </w:rPr>
  </w:style>
  <w:style w:type="paragraph" w:customStyle="1" w:styleId="CPITIssuetoConsider">
    <w:name w:val="CPIT Issue to Consider"/>
    <w:basedOn w:val="Normal"/>
    <w:rsid w:val="007037F7"/>
    <w:pPr>
      <w:spacing w:before="120" w:after="120"/>
    </w:pPr>
    <w:rPr>
      <w:rFonts w:ascii="Arial" w:hAnsi="Arial"/>
      <w:color w:val="8F23B3"/>
      <w:szCs w:val="20"/>
    </w:rPr>
  </w:style>
  <w:style w:type="paragraph" w:customStyle="1" w:styleId="CPITBacktoContentsLinks">
    <w:name w:val="CPIT Back to Contents Links"/>
    <w:basedOn w:val="Normal"/>
    <w:rsid w:val="00990861"/>
    <w:pPr>
      <w:spacing w:after="120"/>
      <w:ind w:left="720" w:right="-1"/>
      <w:jc w:val="right"/>
    </w:pPr>
    <w:rPr>
      <w:rFonts w:ascii="Arial" w:hAnsi="Arial"/>
      <w:szCs w:val="20"/>
      <w:u w:val="single" w:color="8F23B3"/>
    </w:rPr>
  </w:style>
  <w:style w:type="paragraph" w:customStyle="1" w:styleId="CPITProduct-CategoryofClaim">
    <w:name w:val="CPIT Product - Category of Claim"/>
    <w:basedOn w:val="CPITProduct"/>
    <w:rsid w:val="00246211"/>
    <w:pPr>
      <w:spacing w:after="120"/>
    </w:pPr>
    <w:rPr>
      <w:rFonts w:eastAsia="Times New Roman" w:cs="Times New Roman"/>
      <w:b w:val="0"/>
      <w:szCs w:val="20"/>
    </w:rPr>
  </w:style>
  <w:style w:type="paragraph" w:customStyle="1" w:styleId="CPITChangeRecordText">
    <w:name w:val="CPIT Change Record Text"/>
    <w:basedOn w:val="Normal"/>
    <w:qFormat/>
    <w:rsid w:val="00246211"/>
    <w:pPr>
      <w:spacing w:before="60" w:after="60" w:line="276" w:lineRule="auto"/>
    </w:pPr>
    <w:rPr>
      <w:rFonts w:ascii="Arial" w:hAnsi="Arial"/>
      <w:szCs w:val="20"/>
    </w:rPr>
  </w:style>
  <w:style w:type="paragraph" w:customStyle="1" w:styleId="CPITPrefaceText">
    <w:name w:val="CPIT Preface Text"/>
    <w:basedOn w:val="Normal"/>
    <w:rsid w:val="00246211"/>
    <w:pPr>
      <w:spacing w:after="120"/>
    </w:pPr>
    <w:rPr>
      <w:rFonts w:ascii="Arial" w:hAnsi="Arial"/>
      <w:szCs w:val="20"/>
    </w:rPr>
  </w:style>
  <w:style w:type="paragraph" w:customStyle="1" w:styleId="CPITNonLinkedHeader">
    <w:name w:val="CPIT Non Linked Header"/>
    <w:basedOn w:val="Normal"/>
    <w:rsid w:val="00C96CF8"/>
    <w:pPr>
      <w:spacing w:after="120"/>
    </w:pPr>
    <w:rPr>
      <w:rFonts w:ascii="Arial" w:hAnsi="Arial"/>
      <w:color w:val="8F23B3"/>
      <w:sz w:val="52"/>
      <w:szCs w:val="20"/>
    </w:rPr>
  </w:style>
  <w:style w:type="paragraph" w:customStyle="1" w:styleId="CPITNon-NumberedParagraphText">
    <w:name w:val="CPIT Non-Numbered Paragraph Text"/>
    <w:basedOn w:val="CPITNumberedParagraphText"/>
    <w:rsid w:val="00990861"/>
    <w:pPr>
      <w:ind w:left="0" w:firstLine="0"/>
    </w:pPr>
    <w:rPr>
      <w:rFonts w:cs="Times New Roman"/>
      <w:szCs w:val="20"/>
    </w:rPr>
  </w:style>
  <w:style w:type="paragraph" w:customStyle="1" w:styleId="COI-Body-Numpara">
    <w:name w:val="COI-Body-Num para"/>
    <w:basedOn w:val="Normal"/>
    <w:qFormat/>
    <w:rsid w:val="00DA3FE5"/>
    <w:pPr>
      <w:spacing w:after="240"/>
      <w:ind w:left="851" w:hanging="851"/>
    </w:pPr>
    <w:rPr>
      <w:rFonts w:ascii="Arial" w:hAnsi="Arial"/>
      <w:color w:val="000000"/>
    </w:rPr>
  </w:style>
  <w:style w:type="paragraph" w:styleId="FootnoteText">
    <w:name w:val="footnote text"/>
    <w:aliases w:val="5_G"/>
    <w:basedOn w:val="Normal"/>
    <w:link w:val="FootnoteTextChar"/>
    <w:uiPriority w:val="99"/>
    <w:unhideWhenUsed/>
    <w:qFormat/>
    <w:rsid w:val="00D840EC"/>
    <w:rPr>
      <w:sz w:val="20"/>
      <w:szCs w:val="20"/>
    </w:rPr>
  </w:style>
  <w:style w:type="character" w:customStyle="1" w:styleId="FootnoteTextChar">
    <w:name w:val="Footnote Text Char"/>
    <w:aliases w:val="5_G Char"/>
    <w:basedOn w:val="DefaultParagraphFont"/>
    <w:link w:val="FootnoteText"/>
    <w:uiPriority w:val="99"/>
    <w:rsid w:val="00D840EC"/>
  </w:style>
  <w:style w:type="character" w:styleId="FootnoteReference">
    <w:name w:val="footnote reference"/>
    <w:basedOn w:val="DefaultParagraphFont"/>
    <w:uiPriority w:val="99"/>
    <w:unhideWhenUsed/>
    <w:rsid w:val="007A6EED"/>
    <w:rPr>
      <w:rFonts w:ascii="Arial" w:hAnsi="Arial"/>
      <w:sz w:val="20"/>
      <w:vertAlign w:val="superscript"/>
    </w:rPr>
  </w:style>
  <w:style w:type="paragraph" w:customStyle="1" w:styleId="CPITQuote">
    <w:name w:val="CPIT Quote"/>
    <w:basedOn w:val="CPITNumberedParagraphText"/>
    <w:rsid w:val="00B51EBA"/>
    <w:pPr>
      <w:numPr>
        <w:ilvl w:val="0"/>
        <w:numId w:val="0"/>
      </w:numPr>
      <w:ind w:left="851"/>
    </w:pPr>
  </w:style>
  <w:style w:type="paragraph" w:customStyle="1" w:styleId="COI-FootnoteLink">
    <w:name w:val="COI-Footnote Link"/>
    <w:basedOn w:val="FootnoteText"/>
    <w:link w:val="COI-FootnoteLinkChar"/>
    <w:qFormat/>
    <w:rsid w:val="000C4A60"/>
    <w:rPr>
      <w:rFonts w:ascii="Arial" w:hAnsi="Arial"/>
      <w:color w:val="000000"/>
      <w:u w:val="single" w:color="8F23B3"/>
    </w:rPr>
  </w:style>
  <w:style w:type="character" w:customStyle="1" w:styleId="COI-FootnoteLinkChar">
    <w:name w:val="COI-Footnote Link Char"/>
    <w:link w:val="COI-FootnoteLink"/>
    <w:rsid w:val="000C4A60"/>
    <w:rPr>
      <w:rFonts w:ascii="Arial" w:hAnsi="Arial"/>
      <w:color w:val="000000"/>
      <w:u w:val="single" w:color="8F23B3"/>
    </w:rPr>
  </w:style>
  <w:style w:type="paragraph" w:customStyle="1" w:styleId="CPIT-FootnoteLink">
    <w:name w:val="CPIT-Footnote Link"/>
    <w:basedOn w:val="FootnoteText"/>
    <w:link w:val="CPIT-FootnoteLinkChar"/>
    <w:qFormat/>
    <w:rsid w:val="00493B86"/>
    <w:rPr>
      <w:rFonts w:ascii="Arial" w:hAnsi="Arial"/>
      <w:color w:val="000000"/>
      <w:u w:val="single" w:color="8F23B3"/>
    </w:rPr>
  </w:style>
  <w:style w:type="character" w:customStyle="1" w:styleId="CPIT-FootnoteLinkChar">
    <w:name w:val="CPIT-Footnote Link Char"/>
    <w:link w:val="CPIT-FootnoteLink"/>
    <w:rsid w:val="00493B86"/>
    <w:rPr>
      <w:rFonts w:ascii="Arial" w:hAnsi="Arial"/>
      <w:color w:val="000000"/>
      <w:u w:val="single" w:color="8F23B3"/>
    </w:rPr>
  </w:style>
  <w:style w:type="character" w:customStyle="1" w:styleId="COI-Link">
    <w:name w:val="COI-Link"/>
    <w:basedOn w:val="DefaultParagraphFont"/>
    <w:qFormat/>
    <w:rsid w:val="002339AF"/>
    <w:rPr>
      <w:rFonts w:ascii="Arial" w:hAnsi="Arial" w:cs="Arial"/>
      <w:color w:val="auto"/>
      <w:sz w:val="24"/>
      <w:szCs w:val="22"/>
      <w:u w:val="single" w:color="8F23B3"/>
    </w:rPr>
  </w:style>
  <w:style w:type="paragraph" w:customStyle="1" w:styleId="ParagraphText">
    <w:name w:val="Paragraph Text"/>
    <w:link w:val="ParagraphTextChar"/>
    <w:rsid w:val="009619AB"/>
    <w:pPr>
      <w:tabs>
        <w:tab w:val="left" w:pos="851"/>
      </w:tabs>
      <w:spacing w:after="120"/>
      <w:ind w:left="851" w:hanging="851"/>
    </w:pPr>
    <w:rPr>
      <w:rFonts w:ascii="Arial" w:hAnsi="Arial" w:cs="Arial"/>
      <w:sz w:val="24"/>
      <w:szCs w:val="24"/>
      <w:lang w:eastAsia="en-GB"/>
    </w:rPr>
  </w:style>
  <w:style w:type="character" w:customStyle="1" w:styleId="ParagraphTextChar">
    <w:name w:val="Paragraph Text Char"/>
    <w:basedOn w:val="DefaultParagraphFont"/>
    <w:link w:val="ParagraphText"/>
    <w:rsid w:val="009619AB"/>
    <w:rPr>
      <w:rFonts w:ascii="Arial" w:hAnsi="Arial" w:cs="Arial"/>
      <w:sz w:val="24"/>
      <w:szCs w:val="24"/>
      <w:lang w:val="en-GB" w:eastAsia="en-GB" w:bidi="ar-SA"/>
    </w:rPr>
  </w:style>
  <w:style w:type="paragraph" w:customStyle="1" w:styleId="COI-SourceIndent">
    <w:name w:val="COI-Source Indent"/>
    <w:rsid w:val="00881424"/>
    <w:pPr>
      <w:ind w:left="851"/>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007">
      <w:bodyDiv w:val="1"/>
      <w:marLeft w:val="0"/>
      <w:marRight w:val="0"/>
      <w:marTop w:val="0"/>
      <w:marBottom w:val="0"/>
      <w:divBdr>
        <w:top w:val="none" w:sz="0" w:space="0" w:color="auto"/>
        <w:left w:val="none" w:sz="0" w:space="0" w:color="auto"/>
        <w:bottom w:val="none" w:sz="0" w:space="0" w:color="auto"/>
        <w:right w:val="none" w:sz="0" w:space="0" w:color="auto"/>
      </w:divBdr>
    </w:div>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564026658">
      <w:bodyDiv w:val="1"/>
      <w:marLeft w:val="0"/>
      <w:marRight w:val="0"/>
      <w:marTop w:val="0"/>
      <w:marBottom w:val="0"/>
      <w:divBdr>
        <w:top w:val="none" w:sz="0" w:space="0" w:color="auto"/>
        <w:left w:val="none" w:sz="0" w:space="0" w:color="auto"/>
        <w:bottom w:val="none" w:sz="0" w:space="0" w:color="auto"/>
        <w:right w:val="none" w:sz="0" w:space="0" w:color="auto"/>
      </w:divBdr>
    </w:div>
    <w:div w:id="657612818">
      <w:bodyDiv w:val="1"/>
      <w:marLeft w:val="0"/>
      <w:marRight w:val="0"/>
      <w:marTop w:val="0"/>
      <w:marBottom w:val="0"/>
      <w:divBdr>
        <w:top w:val="none" w:sz="0" w:space="0" w:color="auto"/>
        <w:left w:val="none" w:sz="0" w:space="0" w:color="auto"/>
        <w:bottom w:val="none" w:sz="0" w:space="0" w:color="auto"/>
        <w:right w:val="none" w:sz="0" w:space="0" w:color="auto"/>
      </w:divBdr>
    </w:div>
    <w:div w:id="1177572438">
      <w:bodyDiv w:val="1"/>
      <w:marLeft w:val="0"/>
      <w:marRight w:val="0"/>
      <w:marTop w:val="0"/>
      <w:marBottom w:val="0"/>
      <w:divBdr>
        <w:top w:val="none" w:sz="0" w:space="0" w:color="auto"/>
        <w:left w:val="none" w:sz="0" w:space="0" w:color="auto"/>
        <w:bottom w:val="none" w:sz="0" w:space="0" w:color="auto"/>
        <w:right w:val="none" w:sz="0" w:space="0" w:color="auto"/>
      </w:divBdr>
    </w:div>
    <w:div w:id="1276668186">
      <w:bodyDiv w:val="1"/>
      <w:marLeft w:val="0"/>
      <w:marRight w:val="0"/>
      <w:marTop w:val="0"/>
      <w:marBottom w:val="0"/>
      <w:divBdr>
        <w:top w:val="none" w:sz="0" w:space="0" w:color="auto"/>
        <w:left w:val="none" w:sz="0" w:space="0" w:color="auto"/>
        <w:bottom w:val="none" w:sz="0" w:space="0" w:color="auto"/>
        <w:right w:val="none" w:sz="0" w:space="0" w:color="auto"/>
      </w:divBdr>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537658">
      <w:bodyDiv w:val="1"/>
      <w:marLeft w:val="0"/>
      <w:marRight w:val="0"/>
      <w:marTop w:val="0"/>
      <w:marBottom w:val="0"/>
      <w:divBdr>
        <w:top w:val="none" w:sz="0" w:space="0" w:color="auto"/>
        <w:left w:val="none" w:sz="0" w:space="0" w:color="auto"/>
        <w:bottom w:val="none" w:sz="0" w:space="0" w:color="auto"/>
        <w:right w:val="none" w:sz="0" w:space="0" w:color="auto"/>
      </w:divBdr>
    </w:div>
    <w:div w:id="1965118405">
      <w:bodyDiv w:val="1"/>
      <w:marLeft w:val="0"/>
      <w:marRight w:val="0"/>
      <w:marTop w:val="0"/>
      <w:marBottom w:val="0"/>
      <w:divBdr>
        <w:top w:val="none" w:sz="0" w:space="0" w:color="auto"/>
        <w:left w:val="none" w:sz="0" w:space="0" w:color="auto"/>
        <w:bottom w:val="none" w:sz="0" w:space="0" w:color="auto"/>
        <w:right w:val="none" w:sz="0" w:space="0" w:color="auto"/>
      </w:divBdr>
    </w:div>
    <w:div w:id="1986813026">
      <w:bodyDiv w:val="1"/>
      <w:marLeft w:val="0"/>
      <w:marRight w:val="0"/>
      <w:marTop w:val="0"/>
      <w:marBottom w:val="0"/>
      <w:divBdr>
        <w:top w:val="none" w:sz="0" w:space="0" w:color="auto"/>
        <w:left w:val="none" w:sz="0" w:space="0" w:color="auto"/>
        <w:bottom w:val="none" w:sz="0" w:space="0" w:color="auto"/>
        <w:right w:val="none" w:sz="0" w:space="0" w:color="auto"/>
      </w:divBdr>
    </w:div>
    <w:div w:id="1993487332">
      <w:bodyDiv w:val="1"/>
      <w:marLeft w:val="0"/>
      <w:marRight w:val="0"/>
      <w:marTop w:val="0"/>
      <w:marBottom w:val="0"/>
      <w:divBdr>
        <w:top w:val="none" w:sz="0" w:space="0" w:color="auto"/>
        <w:left w:val="none" w:sz="0" w:space="0" w:color="auto"/>
        <w:bottom w:val="none" w:sz="0" w:space="0" w:color="auto"/>
        <w:right w:val="none" w:sz="0" w:space="0" w:color="auto"/>
      </w:divBdr>
    </w:div>
    <w:div w:id="211578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publications/non-suspensive-appeals-certification-under-section-94-of-the-nia-act-2002-process" TargetMode="External"/><Relationship Id="rId3" Type="http://schemas.openxmlformats.org/officeDocument/2006/relationships/customXml" Target="../customXml/item3.xm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icinspector.independent.gov.uk/country-information-reviews/" TargetMode="External"/><Relationship Id="rId25" Type="http://schemas.openxmlformats.org/officeDocument/2006/relationships/hyperlink" Target="https://www.gov.uk/government/publications/humanitarian-protection-instruc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uploads/system/uploads/attachment_data/file/381421/BGD_CIG_Background_2014_11_28_v1_0.pdf" TargetMode="External"/><Relationship Id="rId29" Type="http://schemas.openxmlformats.org/officeDocument/2006/relationships/hyperlink" Target="https://www.gov.uk/government/publications/bangladesh-country-information-and-guid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www.bailii.org/uk/cases/UKIAT/2008/00076.html" TargetMode="External"/><Relationship Id="rId28" Type="http://schemas.openxmlformats.org/officeDocument/2006/relationships/hyperlink" Target="https://www.gov.uk/government/publications/granting-discretionary-leave"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bdlaws.minlaw.gov.bd/pdf_part.php?id=11" TargetMode="External"/><Relationship Id="rId27" Type="http://schemas.openxmlformats.org/officeDocument/2006/relationships/hyperlink" Target="https://www.gov.uk/government/publications/humanitarian-protection-instruction" TargetMode="External"/><Relationship Id="rId30" Type="http://schemas.openxmlformats.org/officeDocument/2006/relationships/hyperlink" Target="https://www.gov.uk/government/uploads/system/uploads/attachment_data/file/381421/BGD_CIG_Background_2014_11_28_v1_0.pdf"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ecoi.net/file_upload/1930_1419956333_crc-c-bgd-5-6115-e.doc" TargetMode="External"/><Relationship Id="rId13" Type="http://schemas.openxmlformats.org/officeDocument/2006/relationships/hyperlink" Target="http://www.state.gov/j/drl/rls/hrrpt/humanrightsreport/index.htm?year=2013&amp;dlid=220388" TargetMode="External"/><Relationship Id="rId18" Type="http://schemas.openxmlformats.org/officeDocument/2006/relationships/hyperlink" Target="http://www.amnesty.org/en/library/asset/ASA13/007/2014/en/3c679632-a480-4c44-888e-5739e56db3a3/asa130072014en.html" TargetMode="External"/><Relationship Id="rId3" Type="http://schemas.openxmlformats.org/officeDocument/2006/relationships/hyperlink" Target="http://www.state.gov/j/drl/rls/hrrpt/humanrightsreport/index.htm?year=2013&amp;dlid=220388" TargetMode="External"/><Relationship Id="rId7" Type="http://schemas.openxmlformats.org/officeDocument/2006/relationships/hyperlink" Target="http://www.refworld.org/docid/539831154.html" TargetMode="External"/><Relationship Id="rId12" Type="http://schemas.openxmlformats.org/officeDocument/2006/relationships/hyperlink" Target="http://www.askbd.org/ask/2014/10/13/incidents-death-jail-custody-third-quarter-2014/" TargetMode="External"/><Relationship Id="rId17" Type="http://schemas.openxmlformats.org/officeDocument/2006/relationships/hyperlink" Target="http://www.amnesty.org/en/library/asset/ACT50/001/2014/en/652ac5b3-3979-43e2-b1a1-6c4919e7a518/act500012014en.pdf" TargetMode="External"/><Relationship Id="rId2" Type="http://schemas.openxmlformats.org/officeDocument/2006/relationships/hyperlink" Target="http://odhikar.org/human-rights-report-2013-odhikar-report-on-bangladesh/" TargetMode="External"/><Relationship Id="rId16" Type="http://schemas.openxmlformats.org/officeDocument/2006/relationships/hyperlink" Target="http://www.amnesty.org/en/library/asset/ACT50/001/2014/en/652ac5b3-3979-43e2-b1a1-6c4919e7a518/act500012014en.pdf" TargetMode="External"/><Relationship Id="rId1" Type="http://schemas.openxmlformats.org/officeDocument/2006/relationships/hyperlink" Target="http://www.prisonstudies.org/country/bangladesh" TargetMode="External"/><Relationship Id="rId6" Type="http://schemas.openxmlformats.org/officeDocument/2006/relationships/hyperlink" Target="http://www.state.gov/j/drl/rls/hrrpt/humanrightsreport/index.htm?year=2013&amp;dlid=220388" TargetMode="External"/><Relationship Id="rId11" Type="http://schemas.openxmlformats.org/officeDocument/2006/relationships/hyperlink" Target="http://www.omct.org/files/2014/07/22773/hr_report_jan_june_2014_en.pdf" TargetMode="External"/><Relationship Id="rId5" Type="http://schemas.openxmlformats.org/officeDocument/2006/relationships/hyperlink" Target="http://odhikar.org/human-rights-report-2013-odhikar-report-on-bangladesh/" TargetMode="External"/><Relationship Id="rId15" Type="http://schemas.openxmlformats.org/officeDocument/2006/relationships/hyperlink" Target="http://www.handsoffcain.info/bancadati/schedastato.php?idcontinente=23&amp;nome=bangladesh" TargetMode="External"/><Relationship Id="rId10" Type="http://schemas.openxmlformats.org/officeDocument/2006/relationships/hyperlink" Target="http://odhikar.org/human-rights-report-2013-odhikar-report-on-bangladesh/" TargetMode="External"/><Relationship Id="rId4" Type="http://schemas.openxmlformats.org/officeDocument/2006/relationships/hyperlink" Target="http://www.state.gov/j/drl/rls/hrrpt/humanrightsreport/index.htm?year=2013&amp;dlid=220388" TargetMode="External"/><Relationship Id="rId9" Type="http://schemas.openxmlformats.org/officeDocument/2006/relationships/hyperlink" Target="http://www.ecoi.net/file_upload/1930_1419956333_crc-c-bgd-5-6115-e.doc" TargetMode="External"/><Relationship Id="rId14" Type="http://schemas.openxmlformats.org/officeDocument/2006/relationships/hyperlink" Target="http://www.handsoffcain.info/bancadati/schedastato.php?idcontinente=23&amp;nome=banglades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2019-10-31T10:34:06+00:00</_dlc_ExpireDate>
    <_dlc_DocId xmlns="6118b057-8ff5-44e4-b1de-321b26ad5719">HOPROCBF-12-2971</_dlc_DocId>
    <_dlc_DocIdUrl xmlns="6118b057-8ff5-44e4-b1de-321b26ad5719">
      <Url>https://teams.ho.cedrm.fgs-cloud.com/sites/PROCBF/CPIPROC/_layouts/DocIdRedir.aspx?ID=HOPROCBF-12-2971</Url>
      <Description>HOPROCBF-12-2971</Description>
    </_dlc_DocIdUrl>
  </documentManagement>
</p:properties>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A394B-BC44-467B-AAAA-EAB31B0FBC6C}">
  <ds:schemaRefs>
    <ds:schemaRef ds:uri="http://schemas.microsoft.com/sharepoint/v3/contenttype/forms"/>
  </ds:schemaRefs>
</ds:datastoreItem>
</file>

<file path=customXml/itemProps2.xml><?xml version="1.0" encoding="utf-8"?>
<ds:datastoreItem xmlns:ds="http://schemas.openxmlformats.org/officeDocument/2006/customXml" ds:itemID="{B78423CA-2DE7-413C-9197-B7A69733CA02}">
  <ds:schemaRef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5CA84FA-1B47-4A7E-A645-7288A5C970BA}">
  <ds:schemaRefs>
    <ds:schemaRef ds:uri="Microsoft.SharePoint.Taxonomy.ContentTypeSync"/>
  </ds:schemaRefs>
</ds:datastoreItem>
</file>

<file path=customXml/itemProps4.xml><?xml version="1.0" encoding="utf-8"?>
<ds:datastoreItem xmlns:ds="http://schemas.openxmlformats.org/officeDocument/2006/customXml" ds:itemID="{C2B0AD8F-8F49-48A6-8364-6224A9229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57E451-46D4-4815-9FB8-350E4DE31BD1}">
  <ds:schemaRefs>
    <ds:schemaRef ds:uri="http://schemas.microsoft.com/sharepoint/events"/>
  </ds:schemaRefs>
</ds:datastoreItem>
</file>

<file path=customXml/itemProps6.xml><?xml version="1.0" encoding="utf-8"?>
<ds:datastoreItem xmlns:ds="http://schemas.openxmlformats.org/officeDocument/2006/customXml" ds:itemID="{88403BC1-E78D-4FFA-A632-69D388A0C91D}">
  <ds:schemaRefs>
    <ds:schemaRef ds:uri="office.server.policy"/>
  </ds:schemaRefs>
</ds:datastoreItem>
</file>

<file path=customXml/itemProps7.xml><?xml version="1.0" encoding="utf-8"?>
<ds:datastoreItem xmlns:ds="http://schemas.openxmlformats.org/officeDocument/2006/customXml" ds:itemID="{721B1AC7-56DA-4891-89BF-97CC2CD0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22876</CharactersWithSpaces>
  <SharedDoc>false</SharedDoc>
  <HLinks>
    <vt:vector size="312" baseType="variant">
      <vt:variant>
        <vt:i4>393244</vt:i4>
      </vt:variant>
      <vt:variant>
        <vt:i4>129</vt:i4>
      </vt:variant>
      <vt:variant>
        <vt:i4>0</vt:i4>
      </vt:variant>
      <vt:variant>
        <vt:i4>5</vt:i4>
      </vt:variant>
      <vt:variant>
        <vt:lpwstr/>
      </vt:variant>
      <vt:variant>
        <vt:lpwstr>contents</vt:lpwstr>
      </vt:variant>
      <vt:variant>
        <vt:i4>393244</vt:i4>
      </vt:variant>
      <vt:variant>
        <vt:i4>126</vt:i4>
      </vt:variant>
      <vt:variant>
        <vt:i4>0</vt:i4>
      </vt:variant>
      <vt:variant>
        <vt:i4>5</vt:i4>
      </vt:variant>
      <vt:variant>
        <vt:lpwstr/>
      </vt:variant>
      <vt:variant>
        <vt:lpwstr>contents</vt:lpwstr>
      </vt:variant>
      <vt:variant>
        <vt:i4>393244</vt:i4>
      </vt:variant>
      <vt:variant>
        <vt:i4>123</vt:i4>
      </vt:variant>
      <vt:variant>
        <vt:i4>0</vt:i4>
      </vt:variant>
      <vt:variant>
        <vt:i4>5</vt:i4>
      </vt:variant>
      <vt:variant>
        <vt:lpwstr/>
      </vt:variant>
      <vt:variant>
        <vt:lpwstr>contents</vt:lpwstr>
      </vt:variant>
      <vt:variant>
        <vt:i4>393244</vt:i4>
      </vt:variant>
      <vt:variant>
        <vt:i4>120</vt:i4>
      </vt:variant>
      <vt:variant>
        <vt:i4>0</vt:i4>
      </vt:variant>
      <vt:variant>
        <vt:i4>5</vt:i4>
      </vt:variant>
      <vt:variant>
        <vt:lpwstr/>
      </vt:variant>
      <vt:variant>
        <vt:lpwstr>contents</vt:lpwstr>
      </vt:variant>
      <vt:variant>
        <vt:i4>393244</vt:i4>
      </vt:variant>
      <vt:variant>
        <vt:i4>117</vt:i4>
      </vt:variant>
      <vt:variant>
        <vt:i4>0</vt:i4>
      </vt:variant>
      <vt:variant>
        <vt:i4>5</vt:i4>
      </vt:variant>
      <vt:variant>
        <vt:lpwstr/>
      </vt:variant>
      <vt:variant>
        <vt:lpwstr>contents</vt:lpwstr>
      </vt:variant>
      <vt:variant>
        <vt:i4>3670063</vt:i4>
      </vt:variant>
      <vt:variant>
        <vt:i4>114</vt:i4>
      </vt:variant>
      <vt:variant>
        <vt:i4>0</vt:i4>
      </vt:variant>
      <vt:variant>
        <vt:i4>5</vt:i4>
      </vt:variant>
      <vt:variant>
        <vt:lpwstr>https://www.gov.uk/government/publications/bangladesh-country-information-and-guidance</vt:lpwstr>
      </vt:variant>
      <vt:variant>
        <vt:lpwstr/>
      </vt:variant>
      <vt:variant>
        <vt:i4>393244</vt:i4>
      </vt:variant>
      <vt:variant>
        <vt:i4>111</vt:i4>
      </vt:variant>
      <vt:variant>
        <vt:i4>0</vt:i4>
      </vt:variant>
      <vt:variant>
        <vt:i4>5</vt:i4>
      </vt:variant>
      <vt:variant>
        <vt:lpwstr/>
      </vt:variant>
      <vt:variant>
        <vt:lpwstr>contents</vt:lpwstr>
      </vt:variant>
      <vt:variant>
        <vt:i4>2752565</vt:i4>
      </vt:variant>
      <vt:variant>
        <vt:i4>108</vt:i4>
      </vt:variant>
      <vt:variant>
        <vt:i4>0</vt:i4>
      </vt:variant>
      <vt:variant>
        <vt:i4>5</vt:i4>
      </vt:variant>
      <vt:variant>
        <vt:lpwstr>https://www.gov.uk/government/publications/granting-discretionary-leave</vt:lpwstr>
      </vt:variant>
      <vt:variant>
        <vt:lpwstr/>
      </vt:variant>
      <vt:variant>
        <vt:i4>7340143</vt:i4>
      </vt:variant>
      <vt:variant>
        <vt:i4>105</vt:i4>
      </vt:variant>
      <vt:variant>
        <vt:i4>0</vt:i4>
      </vt:variant>
      <vt:variant>
        <vt:i4>5</vt:i4>
      </vt:variant>
      <vt:variant>
        <vt:lpwstr>https://www.gov.uk/government/publications/humanitarian-protection-instruction</vt:lpwstr>
      </vt:variant>
      <vt:variant>
        <vt:lpwstr/>
      </vt:variant>
      <vt:variant>
        <vt:i4>4391005</vt:i4>
      </vt:variant>
      <vt:variant>
        <vt:i4>102</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99</vt:i4>
      </vt:variant>
      <vt:variant>
        <vt:i4>0</vt:i4>
      </vt:variant>
      <vt:variant>
        <vt:i4>5</vt:i4>
      </vt:variant>
      <vt:variant>
        <vt:lpwstr/>
      </vt:variant>
      <vt:variant>
        <vt:lpwstr>contents</vt:lpwstr>
      </vt:variant>
      <vt:variant>
        <vt:i4>7340143</vt:i4>
      </vt:variant>
      <vt:variant>
        <vt:i4>96</vt:i4>
      </vt:variant>
      <vt:variant>
        <vt:i4>0</vt:i4>
      </vt:variant>
      <vt:variant>
        <vt:i4>5</vt:i4>
      </vt:variant>
      <vt:variant>
        <vt:lpwstr>https://www.gov.uk/government/publications/humanitarian-protection-instruction</vt:lpwstr>
      </vt:variant>
      <vt:variant>
        <vt:lpwstr/>
      </vt:variant>
      <vt:variant>
        <vt:i4>7733349</vt:i4>
      </vt:variant>
      <vt:variant>
        <vt:i4>93</vt:i4>
      </vt:variant>
      <vt:variant>
        <vt:i4>0</vt:i4>
      </vt:variant>
      <vt:variant>
        <vt:i4>5</vt:i4>
      </vt:variant>
      <vt:variant>
        <vt:lpwstr>https://www.gov.uk/government/publications/considering-asylum-claims-and-assessing-credibility-instruction</vt:lpwstr>
      </vt:variant>
      <vt:variant>
        <vt:lpwstr/>
      </vt:variant>
      <vt:variant>
        <vt:i4>786453</vt:i4>
      </vt:variant>
      <vt:variant>
        <vt:i4>90</vt:i4>
      </vt:variant>
      <vt:variant>
        <vt:i4>0</vt:i4>
      </vt:variant>
      <vt:variant>
        <vt:i4>5</vt:i4>
      </vt:variant>
      <vt:variant>
        <vt:lpwstr/>
      </vt:variant>
      <vt:variant>
        <vt:lpwstr>Prisonconditions</vt:lpwstr>
      </vt:variant>
      <vt:variant>
        <vt:i4>4587603</vt:i4>
      </vt:variant>
      <vt:variant>
        <vt:i4>87</vt:i4>
      </vt:variant>
      <vt:variant>
        <vt:i4>0</vt:i4>
      </vt:variant>
      <vt:variant>
        <vt:i4>5</vt:i4>
      </vt:variant>
      <vt:variant>
        <vt:lpwstr>http://www.bailii.org/uk/cases/UKIAT/2008/00076.html</vt:lpwstr>
      </vt:variant>
      <vt:variant>
        <vt:lpwstr/>
      </vt:variant>
      <vt:variant>
        <vt:i4>7340143</vt:i4>
      </vt:variant>
      <vt:variant>
        <vt:i4>84</vt:i4>
      </vt:variant>
      <vt:variant>
        <vt:i4>0</vt:i4>
      </vt:variant>
      <vt:variant>
        <vt:i4>5</vt:i4>
      </vt:variant>
      <vt:variant>
        <vt:lpwstr>https://www.gov.uk/government/publications/humanitarian-protection-instruction</vt:lpwstr>
      </vt:variant>
      <vt:variant>
        <vt:lpwstr/>
      </vt:variant>
      <vt:variant>
        <vt:i4>1638446</vt:i4>
      </vt:variant>
      <vt:variant>
        <vt:i4>81</vt:i4>
      </vt:variant>
      <vt:variant>
        <vt:i4>0</vt:i4>
      </vt:variant>
      <vt:variant>
        <vt:i4>5</vt:i4>
      </vt:variant>
      <vt:variant>
        <vt:lpwstr>http://bdlaws.minlaw.gov.bd/pdf_part.php?id=11</vt:lpwstr>
      </vt:variant>
      <vt:variant>
        <vt:lpwstr/>
      </vt:variant>
      <vt:variant>
        <vt:i4>7733349</vt:i4>
      </vt:variant>
      <vt:variant>
        <vt:i4>78</vt:i4>
      </vt:variant>
      <vt:variant>
        <vt:i4>0</vt:i4>
      </vt:variant>
      <vt:variant>
        <vt:i4>5</vt:i4>
      </vt:variant>
      <vt:variant>
        <vt:lpwstr>https://www.gov.uk/government/publications/considering-asylum-claims-and-assessing-credibility-instruction</vt:lpwstr>
      </vt:variant>
      <vt:variant>
        <vt:lpwstr/>
      </vt:variant>
      <vt:variant>
        <vt:i4>2818109</vt:i4>
      </vt:variant>
      <vt:variant>
        <vt:i4>75</vt:i4>
      </vt:variant>
      <vt:variant>
        <vt:i4>0</vt:i4>
      </vt:variant>
      <vt:variant>
        <vt:i4>5</vt:i4>
      </vt:variant>
      <vt:variant>
        <vt:lpwstr>https://www.gov.uk/government/uploads/system/uploads/attachment_data/file/381421/BGD_CIG_Background_2014_11_28_v1_0.pdf</vt:lpwstr>
      </vt:variant>
      <vt:variant>
        <vt:lpwstr/>
      </vt:variant>
      <vt:variant>
        <vt:i4>393244</vt:i4>
      </vt:variant>
      <vt:variant>
        <vt:i4>72</vt:i4>
      </vt:variant>
      <vt:variant>
        <vt:i4>0</vt:i4>
      </vt:variant>
      <vt:variant>
        <vt:i4>5</vt:i4>
      </vt:variant>
      <vt:variant>
        <vt:lpwstr/>
      </vt:variant>
      <vt:variant>
        <vt:lpwstr>contents</vt:lpwstr>
      </vt:variant>
      <vt:variant>
        <vt:i4>393244</vt:i4>
      </vt:variant>
      <vt:variant>
        <vt:i4>69</vt:i4>
      </vt:variant>
      <vt:variant>
        <vt:i4>0</vt:i4>
      </vt:variant>
      <vt:variant>
        <vt:i4>5</vt:i4>
      </vt:variant>
      <vt:variant>
        <vt:lpwstr/>
      </vt:variant>
      <vt:variant>
        <vt:lpwstr>contents</vt:lpwstr>
      </vt:variant>
      <vt:variant>
        <vt:i4>1376315</vt:i4>
      </vt:variant>
      <vt:variant>
        <vt:i4>62</vt:i4>
      </vt:variant>
      <vt:variant>
        <vt:i4>0</vt:i4>
      </vt:variant>
      <vt:variant>
        <vt:i4>5</vt:i4>
      </vt:variant>
      <vt:variant>
        <vt:lpwstr/>
      </vt:variant>
      <vt:variant>
        <vt:lpwstr>_Toc411592746</vt:lpwstr>
      </vt:variant>
      <vt:variant>
        <vt:i4>1376315</vt:i4>
      </vt:variant>
      <vt:variant>
        <vt:i4>56</vt:i4>
      </vt:variant>
      <vt:variant>
        <vt:i4>0</vt:i4>
      </vt:variant>
      <vt:variant>
        <vt:i4>5</vt:i4>
      </vt:variant>
      <vt:variant>
        <vt:lpwstr/>
      </vt:variant>
      <vt:variant>
        <vt:lpwstr>_Toc411592745</vt:lpwstr>
      </vt:variant>
      <vt:variant>
        <vt:i4>1376315</vt:i4>
      </vt:variant>
      <vt:variant>
        <vt:i4>50</vt:i4>
      </vt:variant>
      <vt:variant>
        <vt:i4>0</vt:i4>
      </vt:variant>
      <vt:variant>
        <vt:i4>5</vt:i4>
      </vt:variant>
      <vt:variant>
        <vt:lpwstr/>
      </vt:variant>
      <vt:variant>
        <vt:lpwstr>_Toc411592744</vt:lpwstr>
      </vt:variant>
      <vt:variant>
        <vt:i4>1376315</vt:i4>
      </vt:variant>
      <vt:variant>
        <vt:i4>44</vt:i4>
      </vt:variant>
      <vt:variant>
        <vt:i4>0</vt:i4>
      </vt:variant>
      <vt:variant>
        <vt:i4>5</vt:i4>
      </vt:variant>
      <vt:variant>
        <vt:lpwstr/>
      </vt:variant>
      <vt:variant>
        <vt:lpwstr>_Toc411592743</vt:lpwstr>
      </vt:variant>
      <vt:variant>
        <vt:i4>1376315</vt:i4>
      </vt:variant>
      <vt:variant>
        <vt:i4>38</vt:i4>
      </vt:variant>
      <vt:variant>
        <vt:i4>0</vt:i4>
      </vt:variant>
      <vt:variant>
        <vt:i4>5</vt:i4>
      </vt:variant>
      <vt:variant>
        <vt:lpwstr/>
      </vt:variant>
      <vt:variant>
        <vt:lpwstr>_Toc411592742</vt:lpwstr>
      </vt:variant>
      <vt:variant>
        <vt:i4>1376315</vt:i4>
      </vt:variant>
      <vt:variant>
        <vt:i4>32</vt:i4>
      </vt:variant>
      <vt:variant>
        <vt:i4>0</vt:i4>
      </vt:variant>
      <vt:variant>
        <vt:i4>5</vt:i4>
      </vt:variant>
      <vt:variant>
        <vt:lpwstr/>
      </vt:variant>
      <vt:variant>
        <vt:lpwstr>_Toc411592741</vt:lpwstr>
      </vt:variant>
      <vt:variant>
        <vt:i4>1376315</vt:i4>
      </vt:variant>
      <vt:variant>
        <vt:i4>26</vt:i4>
      </vt:variant>
      <vt:variant>
        <vt:i4>0</vt:i4>
      </vt:variant>
      <vt:variant>
        <vt:i4>5</vt:i4>
      </vt:variant>
      <vt:variant>
        <vt:lpwstr/>
      </vt:variant>
      <vt:variant>
        <vt:lpwstr>_Toc411592740</vt:lpwstr>
      </vt:variant>
      <vt:variant>
        <vt:i4>1179707</vt:i4>
      </vt:variant>
      <vt:variant>
        <vt:i4>20</vt:i4>
      </vt:variant>
      <vt:variant>
        <vt:i4>0</vt:i4>
      </vt:variant>
      <vt:variant>
        <vt:i4>5</vt:i4>
      </vt:variant>
      <vt:variant>
        <vt:lpwstr/>
      </vt:variant>
      <vt:variant>
        <vt:lpwstr>_Toc411592739</vt:lpwstr>
      </vt:variant>
      <vt:variant>
        <vt:i4>852055</vt:i4>
      </vt:variant>
      <vt:variant>
        <vt:i4>15</vt:i4>
      </vt:variant>
      <vt:variant>
        <vt:i4>0</vt:i4>
      </vt:variant>
      <vt:variant>
        <vt:i4>5</vt:i4>
      </vt:variant>
      <vt:variant>
        <vt:lpwstr>http://icinspector.independent.gov.uk/country-information-reviews</vt:lpwstr>
      </vt:variant>
      <vt:variant>
        <vt:lpwstr/>
      </vt:variant>
      <vt:variant>
        <vt:i4>6488142</vt:i4>
      </vt:variant>
      <vt:variant>
        <vt:i4>12</vt:i4>
      </vt:variant>
      <vt:variant>
        <vt:i4>0</vt:i4>
      </vt:variant>
      <vt:variant>
        <vt:i4>5</vt:i4>
      </vt:variant>
      <vt:variant>
        <vt:lpwstr>mailto:chiefinspectorukba@icinspector.gsi.gov.uk</vt:lpwstr>
      </vt:variant>
      <vt:variant>
        <vt:lpwstr/>
      </vt:variant>
      <vt:variant>
        <vt:i4>2228260</vt:i4>
      </vt:variant>
      <vt:variant>
        <vt:i4>9</vt:i4>
      </vt:variant>
      <vt:variant>
        <vt:i4>0</vt:i4>
      </vt:variant>
      <vt:variant>
        <vt:i4>5</vt:i4>
      </vt:variant>
      <vt:variant>
        <vt:lpwstr>http://icinspector.independent.gov.uk/country-information-reviews/</vt:lpwstr>
      </vt:variant>
      <vt:variant>
        <vt:lpwstr/>
      </vt:variant>
      <vt:variant>
        <vt:i4>7733320</vt:i4>
      </vt:variant>
      <vt:variant>
        <vt:i4>6</vt:i4>
      </vt:variant>
      <vt:variant>
        <vt:i4>0</vt:i4>
      </vt:variant>
      <vt:variant>
        <vt:i4>5</vt:i4>
      </vt:variant>
      <vt:variant>
        <vt:lpwstr>mailto:cois@homeoffice.gsi.gov.uk?subject=Feedback%20on%20CIG</vt:lpwstr>
      </vt:variant>
      <vt:variant>
        <vt:lpwstr/>
      </vt:variant>
      <vt:variant>
        <vt:i4>196704</vt:i4>
      </vt:variant>
      <vt:variant>
        <vt:i4>3</vt:i4>
      </vt:variant>
      <vt:variant>
        <vt:i4>0</vt:i4>
      </vt:variant>
      <vt:variant>
        <vt:i4>5</vt:i4>
      </vt:variant>
      <vt:variant>
        <vt:lpwstr>http://ec.europa.eu/dgs/home-affairs/what-we-do/policies/asylum/european-asylum-support-office/coireportmethodologyfinallayout_en.pdf</vt:lpwstr>
      </vt:variant>
      <vt:variant>
        <vt:lpwstr/>
      </vt:variant>
      <vt:variant>
        <vt:i4>786440</vt:i4>
      </vt:variant>
      <vt:variant>
        <vt:i4>0</vt:i4>
      </vt:variant>
      <vt:variant>
        <vt:i4>0</vt:i4>
      </vt:variant>
      <vt:variant>
        <vt:i4>5</vt:i4>
      </vt:variant>
      <vt:variant>
        <vt:lpwstr>http://www.refworld.org/cgi-bin/texis/vtx/rwmain?page=search&amp;docid=48493f7f2&amp;skip=0&amp;query=eu%20common%20guidelines%20on%20COi</vt:lpwstr>
      </vt:variant>
      <vt:variant>
        <vt:lpwstr/>
      </vt:variant>
      <vt:variant>
        <vt:i4>8192050</vt:i4>
      </vt:variant>
      <vt:variant>
        <vt:i4>48</vt:i4>
      </vt:variant>
      <vt:variant>
        <vt:i4>0</vt:i4>
      </vt:variant>
      <vt:variant>
        <vt:i4>5</vt:i4>
      </vt:variant>
      <vt:variant>
        <vt:lpwstr>http://www.amnesty.org/en/library/asset/ASA13/007/2014/en/3c679632-a480-4c44-888e-5739e56db3a3/asa130072014en.html</vt:lpwstr>
      </vt:variant>
      <vt:variant>
        <vt:lpwstr/>
      </vt:variant>
      <vt:variant>
        <vt:i4>983063</vt:i4>
      </vt:variant>
      <vt:variant>
        <vt:i4>45</vt:i4>
      </vt:variant>
      <vt:variant>
        <vt:i4>0</vt:i4>
      </vt:variant>
      <vt:variant>
        <vt:i4>5</vt:i4>
      </vt:variant>
      <vt:variant>
        <vt:lpwstr>http://www.amnesty.org/en/library/asset/ACT50/001/2014/en/652ac5b3-3979-43e2-b1a1-6c4919e7a518/act500012014en.pdf</vt:lpwstr>
      </vt:variant>
      <vt:variant>
        <vt:lpwstr/>
      </vt:variant>
      <vt:variant>
        <vt:i4>983063</vt:i4>
      </vt:variant>
      <vt:variant>
        <vt:i4>42</vt:i4>
      </vt:variant>
      <vt:variant>
        <vt:i4>0</vt:i4>
      </vt:variant>
      <vt:variant>
        <vt:i4>5</vt:i4>
      </vt:variant>
      <vt:variant>
        <vt:lpwstr>http://www.amnesty.org/en/library/asset/ACT50/001/2014/en/652ac5b3-3979-43e2-b1a1-6c4919e7a518/act500012014en.pdf</vt:lpwstr>
      </vt:variant>
      <vt:variant>
        <vt:lpwstr/>
      </vt:variant>
      <vt:variant>
        <vt:i4>3932195</vt:i4>
      </vt:variant>
      <vt:variant>
        <vt:i4>39</vt:i4>
      </vt:variant>
      <vt:variant>
        <vt:i4>0</vt:i4>
      </vt:variant>
      <vt:variant>
        <vt:i4>5</vt:i4>
      </vt:variant>
      <vt:variant>
        <vt:lpwstr>http://www.handsoffcain.info/bancadati/schedastato.php?idcontinente=23&amp;nome=bangladesh</vt:lpwstr>
      </vt:variant>
      <vt:variant>
        <vt:lpwstr/>
      </vt:variant>
      <vt:variant>
        <vt:i4>7864422</vt:i4>
      </vt:variant>
      <vt:variant>
        <vt:i4>36</vt:i4>
      </vt:variant>
      <vt:variant>
        <vt:i4>0</vt:i4>
      </vt:variant>
      <vt:variant>
        <vt:i4>5</vt:i4>
      </vt:variant>
      <vt:variant>
        <vt:lpwstr>http://www.state.gov/j/drl/rls/hrrpt/humanrightsreport/index.htm?year=2013&amp;dlid=220388</vt:lpwstr>
      </vt:variant>
      <vt:variant>
        <vt:lpwstr/>
      </vt:variant>
      <vt:variant>
        <vt:i4>458800</vt:i4>
      </vt:variant>
      <vt:variant>
        <vt:i4>33</vt:i4>
      </vt:variant>
      <vt:variant>
        <vt:i4>0</vt:i4>
      </vt:variant>
      <vt:variant>
        <vt:i4>5</vt:i4>
      </vt:variant>
      <vt:variant>
        <vt:lpwstr>http://www.ecoi.net/file_upload/1930_1419956333_crc-c-bgd-5-6115-e.doc</vt:lpwstr>
      </vt:variant>
      <vt:variant>
        <vt:lpwstr/>
      </vt:variant>
      <vt:variant>
        <vt:i4>655427</vt:i4>
      </vt:variant>
      <vt:variant>
        <vt:i4>30</vt:i4>
      </vt:variant>
      <vt:variant>
        <vt:i4>0</vt:i4>
      </vt:variant>
      <vt:variant>
        <vt:i4>5</vt:i4>
      </vt:variant>
      <vt:variant>
        <vt:lpwstr>http://www.askbd.org/ask/2014/10/13/incidents-death-jail-custody-third-quarter-2014/</vt:lpwstr>
      </vt:variant>
      <vt:variant>
        <vt:lpwstr/>
      </vt:variant>
      <vt:variant>
        <vt:i4>6094937</vt:i4>
      </vt:variant>
      <vt:variant>
        <vt:i4>27</vt:i4>
      </vt:variant>
      <vt:variant>
        <vt:i4>0</vt:i4>
      </vt:variant>
      <vt:variant>
        <vt:i4>5</vt:i4>
      </vt:variant>
      <vt:variant>
        <vt:lpwstr>http://odhikar.org/human-rights-report-2013-odhikar-report-on-bangladesh/</vt:lpwstr>
      </vt:variant>
      <vt:variant>
        <vt:lpwstr/>
      </vt:variant>
      <vt:variant>
        <vt:i4>5832775</vt:i4>
      </vt:variant>
      <vt:variant>
        <vt:i4>24</vt:i4>
      </vt:variant>
      <vt:variant>
        <vt:i4>0</vt:i4>
      </vt:variant>
      <vt:variant>
        <vt:i4>5</vt:i4>
      </vt:variant>
      <vt:variant>
        <vt:lpwstr>http://www.amnesty.org/en/library/asset/ASA13/005/2014/en/f162d376-6eda-49fd-8cf5-4c79fc2067b0/asa130052014en.pdf</vt:lpwstr>
      </vt:variant>
      <vt:variant>
        <vt:lpwstr/>
      </vt:variant>
      <vt:variant>
        <vt:i4>458800</vt:i4>
      </vt:variant>
      <vt:variant>
        <vt:i4>21</vt:i4>
      </vt:variant>
      <vt:variant>
        <vt:i4>0</vt:i4>
      </vt:variant>
      <vt:variant>
        <vt:i4>5</vt:i4>
      </vt:variant>
      <vt:variant>
        <vt:lpwstr>http://www.ecoi.net/file_upload/1930_1419956333_crc-c-bgd-5-6115-e.doc</vt:lpwstr>
      </vt:variant>
      <vt:variant>
        <vt:lpwstr/>
      </vt:variant>
      <vt:variant>
        <vt:i4>6225920</vt:i4>
      </vt:variant>
      <vt:variant>
        <vt:i4>18</vt:i4>
      </vt:variant>
      <vt:variant>
        <vt:i4>0</vt:i4>
      </vt:variant>
      <vt:variant>
        <vt:i4>5</vt:i4>
      </vt:variant>
      <vt:variant>
        <vt:lpwstr>http://www.refworld.org/docid/539831154.html</vt:lpwstr>
      </vt:variant>
      <vt:variant>
        <vt:lpwstr/>
      </vt:variant>
      <vt:variant>
        <vt:i4>7864422</vt:i4>
      </vt:variant>
      <vt:variant>
        <vt:i4>15</vt:i4>
      </vt:variant>
      <vt:variant>
        <vt:i4>0</vt:i4>
      </vt:variant>
      <vt:variant>
        <vt:i4>5</vt:i4>
      </vt:variant>
      <vt:variant>
        <vt:lpwstr>http://www.state.gov/j/drl/rls/hrrpt/humanrightsreport/index.htm?year=2013&amp;dlid=220388</vt:lpwstr>
      </vt:variant>
      <vt:variant>
        <vt:lpwstr/>
      </vt:variant>
      <vt:variant>
        <vt:i4>6094937</vt:i4>
      </vt:variant>
      <vt:variant>
        <vt:i4>12</vt:i4>
      </vt:variant>
      <vt:variant>
        <vt:i4>0</vt:i4>
      </vt:variant>
      <vt:variant>
        <vt:i4>5</vt:i4>
      </vt:variant>
      <vt:variant>
        <vt:lpwstr>http://odhikar.org/human-rights-report-2013-odhikar-report-on-bangladesh/</vt:lpwstr>
      </vt:variant>
      <vt:variant>
        <vt:lpwstr/>
      </vt:variant>
      <vt:variant>
        <vt:i4>7864422</vt:i4>
      </vt:variant>
      <vt:variant>
        <vt:i4>9</vt:i4>
      </vt:variant>
      <vt:variant>
        <vt:i4>0</vt:i4>
      </vt:variant>
      <vt:variant>
        <vt:i4>5</vt:i4>
      </vt:variant>
      <vt:variant>
        <vt:lpwstr>http://www.state.gov/j/drl/rls/hrrpt/humanrightsreport/index.htm?year=2013&amp;dlid=220388</vt:lpwstr>
      </vt:variant>
      <vt:variant>
        <vt:lpwstr/>
      </vt:variant>
      <vt:variant>
        <vt:i4>7864422</vt:i4>
      </vt:variant>
      <vt:variant>
        <vt:i4>6</vt:i4>
      </vt:variant>
      <vt:variant>
        <vt:i4>0</vt:i4>
      </vt:variant>
      <vt:variant>
        <vt:i4>5</vt:i4>
      </vt:variant>
      <vt:variant>
        <vt:lpwstr>http://www.state.gov/j/drl/rls/hrrpt/humanrightsreport/index.htm?year=2013&amp;dlid=220388</vt:lpwstr>
      </vt:variant>
      <vt:variant>
        <vt:lpwstr/>
      </vt:variant>
      <vt:variant>
        <vt:i4>6094937</vt:i4>
      </vt:variant>
      <vt:variant>
        <vt:i4>3</vt:i4>
      </vt:variant>
      <vt:variant>
        <vt:i4>0</vt:i4>
      </vt:variant>
      <vt:variant>
        <vt:i4>5</vt:i4>
      </vt:variant>
      <vt:variant>
        <vt:lpwstr>http://odhikar.org/human-rights-report-2013-odhikar-report-on-bangladesh/</vt:lpwstr>
      </vt:variant>
      <vt:variant>
        <vt:lpwstr/>
      </vt:variant>
      <vt:variant>
        <vt:i4>2424935</vt:i4>
      </vt:variant>
      <vt:variant>
        <vt:i4>0</vt:i4>
      </vt:variant>
      <vt:variant>
        <vt:i4>0</vt:i4>
      </vt:variant>
      <vt:variant>
        <vt:i4>5</vt:i4>
      </vt:variant>
      <vt:variant>
        <vt:lpwstr>http://www.prisonstudies.org/country/bangladesh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Country Policy &amp; Information Team</dc:creator>
  <cp:lastModifiedBy>Crichlow Pauline</cp:lastModifiedBy>
  <cp:revision>2</cp:revision>
  <cp:lastPrinted>2015-02-19T12:09:00Z</cp:lastPrinted>
  <dcterms:created xsi:type="dcterms:W3CDTF">2018-10-31T10:35:00Z</dcterms:created>
  <dcterms:modified xsi:type="dcterms:W3CDTF">2018-10-31T10:35:00Z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71e53e70-377a-4731-b7ab-c2b5df9c05c0</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Order">
    <vt:r8>297100</vt:r8>
  </property>
  <property fmtid="{D5CDD505-2E9C-101B-9397-08002B2CF9AE}" pid="13" name="Business_x0020_Function_x0020_Level_x0020_3">
    <vt:lpwstr/>
  </property>
  <property fmtid="{D5CDD505-2E9C-101B-9397-08002B2CF9AE}" pid="14" name="Business Function Level 3">
    <vt:lpwstr/>
  </property>
</Properties>
</file>