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3531" w:rsidRPr="009B0C7C" w:rsidRDefault="0027641F" w:rsidP="002319FF">
      <w:pPr>
        <w:pStyle w:val="Title"/>
        <w:rPr>
          <w:b/>
        </w:rPr>
      </w:pPr>
      <w:r>
        <w:rPr>
          <w:b/>
          <w:noProof/>
          <w:lang w:eastAsia="en-GB"/>
        </w:rPr>
        <mc:AlternateContent>
          <mc:Choice Requires="wps">
            <w:drawing>
              <wp:anchor distT="0" distB="0" distL="114300" distR="114300" simplePos="0" relativeHeight="251657216" behindDoc="0" locked="0" layoutInCell="1" allowOverlap="1">
                <wp:simplePos x="0" y="0"/>
                <wp:positionH relativeFrom="column">
                  <wp:posOffset>-913130</wp:posOffset>
                </wp:positionH>
                <wp:positionV relativeFrom="paragraph">
                  <wp:posOffset>-5474970</wp:posOffset>
                </wp:positionV>
                <wp:extent cx="288290" cy="12283440"/>
                <wp:effectExtent l="1270" t="381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FDF6B" id="Rectangle 2" o:spid="_x0000_s1026" style="position:absolute;margin-left:-71.9pt;margin-top:-431.1pt;width:22.7pt;height:96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" fillcolor="#8f23b3" stroked="f" strokecolor="#8f23b3"/>
            </w:pict>
          </mc:Fallback>
        </mc:AlternateContent>
      </w:r>
      <w:r w:rsidR="009B0C7C" w:rsidRPr="009B0C7C">
        <w:rPr>
          <w:b/>
          <w:noProof/>
          <w:lang w:eastAsia="en-GB"/>
        </w:rPr>
        <w:t>Country Information and Guidance</w:t>
      </w:r>
      <w:r w:rsidR="009B0C7C" w:rsidRPr="009B0C7C">
        <w:rPr>
          <w:b/>
        </w:rPr>
        <w:t xml:space="preserve"> </w:t>
      </w:r>
    </w:p>
    <w:p w:rsidR="00E3771E" w:rsidRPr="005C0745" w:rsidRDefault="0027641F" w:rsidP="00E3771E">
      <w:pPr>
        <w:pStyle w:val="Title"/>
        <w:contextualSpacing w:val="0"/>
        <w:rPr>
          <w:noProof/>
          <w:lang w:eastAsia="en-GB"/>
        </w:rPr>
      </w:pPr>
      <w:r>
        <w:rPr>
          <w:noProof/>
          <w:highlight w:val="yellow"/>
          <w:lang w:eastAsia="en-GB"/>
        </w:rPr>
        <mc:AlternateContent>
          <mc:Choice Requires="wps">
            <w:drawing>
              <wp:anchor distT="0" distB="0" distL="114300" distR="114300" simplePos="0" relativeHeight="251658240" behindDoc="0" locked="0" layoutInCell="1" allowOverlap="1">
                <wp:simplePos x="0" y="0"/>
                <wp:positionH relativeFrom="column">
                  <wp:posOffset>-913130</wp:posOffset>
                </wp:positionH>
                <wp:positionV relativeFrom="paragraph">
                  <wp:posOffset>-3893820</wp:posOffset>
                </wp:positionV>
                <wp:extent cx="288290" cy="10816590"/>
                <wp:effectExtent l="1270" t="1905" r="0" b="19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F27A8" id="Rectangle 4" o:spid="_x0000_s1026" style="position:absolute;margin-left:-71.9pt;margin-top:-306.6pt;width:22.7pt;height:8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E6eg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" fillcolor="#8f23b3" stroked="f" strokecolor="#8f23b3"/>
            </w:pict>
          </mc:Fallback>
        </mc:AlternateContent>
      </w:r>
      <w:r w:rsidR="00E3771E">
        <w:rPr>
          <w:noProof/>
          <w:lang w:eastAsia="en-GB"/>
        </w:rPr>
        <w:t>Turkey: Military Service</w:t>
      </w:r>
    </w:p>
    <w:p w:rsidR="009B0C7C" w:rsidRPr="009B0C7C" w:rsidRDefault="009B0C7C" w:rsidP="009B0C7C"/>
    <w:p w:rsidR="004F6C4A" w:rsidRDefault="004F6C4A" w:rsidP="004F6C4A"/>
    <w:p w:rsidR="004F6C4A" w:rsidRDefault="004F6C4A" w:rsidP="009B0C7C">
      <w:pPr>
        <w:pStyle w:val="Subheading"/>
        <w:contextualSpacing w:val="0"/>
      </w:pPr>
      <w:r>
        <w:t xml:space="preserve">Version </w:t>
      </w:r>
      <w:r w:rsidR="00E3771E">
        <w:t>1.0</w:t>
      </w:r>
    </w:p>
    <w:p w:rsidR="009B0C7C" w:rsidRPr="004F6C4A" w:rsidRDefault="00B746DD" w:rsidP="009B0C7C">
      <w:pPr>
        <w:pStyle w:val="Subheading"/>
        <w:contextualSpacing w:val="0"/>
      </w:pPr>
      <w:r>
        <w:t>March</w:t>
      </w:r>
      <w:r w:rsidR="00AF2D78">
        <w:t xml:space="preserve"> 2016</w:t>
      </w:r>
    </w:p>
    <w:p w:rsidR="00653531" w:rsidRDefault="00653531"/>
    <w:p w:rsidR="00EC7DF2" w:rsidRDefault="00EC7DF2">
      <w:r>
        <w:br w:type="page"/>
      </w:r>
    </w:p>
    <w:p w:rsidR="009B0C7C" w:rsidRDefault="009B0C7C" w:rsidP="009B0C7C">
      <w:pPr>
        <w:pStyle w:val="Heading1"/>
      </w:pPr>
      <w:bookmarkStart w:id="1" w:name="_Contents"/>
      <w:bookmarkStart w:id="2" w:name="_Toc444685789"/>
      <w:bookmarkStart w:id="3" w:name="_Toc409598707"/>
      <w:bookmarkEnd w:id="1"/>
      <w:r>
        <w:lastRenderedPageBreak/>
        <w:t>Preface</w:t>
      </w:r>
      <w:bookmarkEnd w:id="2"/>
    </w:p>
    <w:p w:rsidR="004C6A95" w:rsidRPr="00C96CF8" w:rsidRDefault="004C6A95" w:rsidP="004C6A95">
      <w:pPr>
        <w:pStyle w:val="CPITPrefaceText"/>
      </w:pPr>
      <w:r w:rsidRPr="00C96CF8">
        <w:t xml:space="preserve">This document provides </w:t>
      </w:r>
      <w:r w:rsidR="004D0D2A" w:rsidRPr="00C96CF8">
        <w:t xml:space="preserve">country of origin information (COI) </w:t>
      </w:r>
      <w:r w:rsidR="004D0D2A">
        <w:t xml:space="preserve">and </w:t>
      </w:r>
      <w:r w:rsidRPr="00C96CF8">
        <w:t xml:space="preserve">guidance to Home Office decision makers on handling </w:t>
      </w:r>
      <w:r w:rsidR="004D0D2A">
        <w:t xml:space="preserve">particular types of protection and human rights </w:t>
      </w:r>
      <w:r w:rsidRPr="00C96CF8">
        <w:t xml:space="preserve">claims. </w:t>
      </w:r>
      <w:r w:rsidR="004D0D2A">
        <w:t xml:space="preserve"> </w:t>
      </w:r>
      <w:r w:rsidRPr="00C96CF8">
        <w:t xml:space="preserve">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4C6A95" w:rsidRPr="00C96CF8" w:rsidRDefault="004C6A95" w:rsidP="004C6A95">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t>cies.</w:t>
      </w:r>
    </w:p>
    <w:p w:rsidR="004C6A95" w:rsidRDefault="004C6A95" w:rsidP="004C6A95">
      <w:pPr>
        <w:pStyle w:val="Subheading"/>
        <w:contextualSpacing w:val="0"/>
      </w:pPr>
    </w:p>
    <w:p w:rsidR="004C6A95" w:rsidRDefault="004C6A95" w:rsidP="004C6A95">
      <w:pPr>
        <w:pStyle w:val="Subheading"/>
        <w:contextualSpacing w:val="0"/>
      </w:pPr>
      <w:r w:rsidRPr="00246211">
        <w:t>Country Information</w:t>
      </w:r>
    </w:p>
    <w:p w:rsidR="004C6A95" w:rsidRPr="005C0745" w:rsidRDefault="004C6A95" w:rsidP="004C6A95">
      <w:pPr>
        <w:pStyle w:val="CPITPrefaceText"/>
      </w:pPr>
      <w:r w:rsidRPr="005C0745">
        <w:t xml:space="preserve">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4" w:history="1">
        <w:r w:rsidRPr="00FA707D">
          <w:rPr>
            <w:rStyle w:val="Hyperlink"/>
            <w:rFonts w:eastAsiaTheme="majorEastAsia"/>
          </w:rPr>
          <w:t>Common EU [European Union] Guidelines for Processing Country of Origin Information (COI)</w:t>
        </w:r>
      </w:hyperlink>
      <w:r w:rsidRPr="005C0745">
        <w:t xml:space="preserve">, dated April 2008, and the </w:t>
      </w:r>
      <w:r w:rsidRPr="00FA707D">
        <w:rPr>
          <w:rStyle w:val="Hyperlink"/>
        </w:rPr>
        <w:t xml:space="preserve">European Asylum Support Office’s research guidelines, </w:t>
      </w:r>
      <w:hyperlink r:id="rId15" w:history="1">
        <w:r w:rsidRPr="00FA707D">
          <w:rPr>
            <w:rStyle w:val="Hyperlink"/>
            <w:rFonts w:eastAsiaTheme="majorEastAsia"/>
          </w:rPr>
          <w:t>Country of Origin Information report methodology</w:t>
        </w:r>
      </w:hyperlink>
      <w:r w:rsidRPr="005C0745">
        <w:t>, dated July 2012.</w:t>
      </w:r>
    </w:p>
    <w:p w:rsidR="004C6A95" w:rsidRDefault="004C6A95" w:rsidP="004C6A95">
      <w:pPr>
        <w:pStyle w:val="Subheading"/>
        <w:contextualSpacing w:val="0"/>
      </w:pPr>
    </w:p>
    <w:p w:rsidR="004C6A95" w:rsidRPr="00C96CF8" w:rsidRDefault="004C6A95" w:rsidP="004C6A95">
      <w:pPr>
        <w:pStyle w:val="Subheading"/>
        <w:contextualSpacing w:val="0"/>
      </w:pPr>
      <w:r w:rsidRPr="00C96CF8">
        <w:t>Feedback</w:t>
      </w:r>
    </w:p>
    <w:p w:rsidR="004C6A95" w:rsidRPr="00246211" w:rsidRDefault="004C6A95" w:rsidP="004C6A95">
      <w:pPr>
        <w:pStyle w:val="CPITPrefaceText"/>
      </w:pPr>
      <w:r w:rsidRPr="00246211">
        <w:t xml:space="preserve">Our goal is to continuously improve the guidance and information we provide.  Therefore, if you would like to comment on this document, please </w:t>
      </w:r>
      <w:hyperlink r:id="rId16" w:history="1">
        <w:r w:rsidRPr="00281AF1">
          <w:rPr>
            <w:rStyle w:val="Hyperlink"/>
            <w:rFonts w:eastAsiaTheme="majorEastAsia"/>
          </w:rPr>
          <w:t>e-mail us</w:t>
        </w:r>
      </w:hyperlink>
      <w:r w:rsidRPr="00C96CF8">
        <w:t>.</w:t>
      </w:r>
    </w:p>
    <w:p w:rsidR="004C6A95" w:rsidRDefault="004C6A95" w:rsidP="004C6A95">
      <w:pPr>
        <w:pStyle w:val="Subheading"/>
        <w:contextualSpacing w:val="0"/>
      </w:pPr>
    </w:p>
    <w:p w:rsidR="004C6A95" w:rsidRPr="00C96CF8" w:rsidRDefault="004C6A95" w:rsidP="004C6A95">
      <w:pPr>
        <w:pStyle w:val="Subheading"/>
        <w:contextualSpacing w:val="0"/>
      </w:pPr>
      <w:r w:rsidRPr="00C96CF8">
        <w:t>Independent Advisory Group on Country Information</w:t>
      </w:r>
    </w:p>
    <w:p w:rsidR="004C6A95" w:rsidRPr="006D3DAA" w:rsidRDefault="004C6A95" w:rsidP="004C6A95">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w:t>
      </w:r>
    </w:p>
    <w:p w:rsidR="004C6A95" w:rsidRPr="006D3DAA" w:rsidRDefault="004C6A95" w:rsidP="004C6A95">
      <w:pPr>
        <w:pStyle w:val="CPITPrefaceText"/>
      </w:pPr>
      <w:r w:rsidRPr="006D3DAA">
        <w:t xml:space="preserve">IAGCI may be contacted at: </w:t>
      </w:r>
    </w:p>
    <w:p w:rsidR="004C6A95" w:rsidRPr="006D3DAA" w:rsidRDefault="004C6A95" w:rsidP="004C6A95">
      <w:pPr>
        <w:pStyle w:val="CPITPrefaceText"/>
        <w:rPr>
          <w:rFonts w:cs="Arial"/>
        </w:rPr>
      </w:pPr>
      <w:r w:rsidRPr="006D3DAA">
        <w:rPr>
          <w:rFonts w:cs="Arial"/>
        </w:rPr>
        <w:t xml:space="preserve">Independent Chief Inspector of Borders and Immigration, </w:t>
      </w:r>
    </w:p>
    <w:p w:rsidR="004C6A95" w:rsidRPr="006D3DAA" w:rsidRDefault="004C6A95" w:rsidP="004C6A95">
      <w:pPr>
        <w:pStyle w:val="CPITPrefaceText"/>
        <w:rPr>
          <w:rFonts w:cs="Arial"/>
        </w:rPr>
      </w:pPr>
      <w:r w:rsidRPr="006D3DAA">
        <w:rPr>
          <w:rFonts w:cs="Arial"/>
        </w:rPr>
        <w:t>5th Floor, Globe House, 89 Eccleston Square, London, SW1V 1PN.</w:t>
      </w:r>
    </w:p>
    <w:p w:rsidR="004C6A95" w:rsidRPr="00246211" w:rsidRDefault="004C6A95" w:rsidP="004C6A95">
      <w:pPr>
        <w:pStyle w:val="CPITPrefaceText"/>
      </w:pPr>
      <w:r w:rsidRPr="00246211">
        <w:t xml:space="preserve">Email: </w:t>
      </w:r>
      <w:hyperlink r:id="rId17" w:history="1">
        <w:r w:rsidRPr="00281AF1">
          <w:rPr>
            <w:rStyle w:val="Hyperlink"/>
            <w:rFonts w:eastAsiaTheme="majorEastAsia"/>
          </w:rPr>
          <w:t>chiefinspectorukba@icinspector.gsi.gov.uk</w:t>
        </w:r>
      </w:hyperlink>
      <w:r w:rsidRPr="00246211">
        <w:t xml:space="preserve"> </w:t>
      </w:r>
    </w:p>
    <w:p w:rsidR="009B0C7C" w:rsidRDefault="004C6A95" w:rsidP="004C6A95">
      <w:pPr>
        <w:pStyle w:val="CPITPrefaceText"/>
        <w:rPr>
          <w:rFonts w:eastAsiaTheme="majorEastAsia" w:cstheme="majorBidi"/>
          <w:bCs/>
          <w:color w:val="7030A0"/>
          <w:sz w:val="52"/>
          <w:szCs w:val="28"/>
        </w:rPr>
      </w:pPr>
      <w:r w:rsidRPr="00246211">
        <w:t xml:space="preserve">Information about the IAGCI‘s work and a list of the COI documents which have been reviewed by the IAGCI can be found on the Independent Chief Inspector‘s website at </w:t>
      </w:r>
      <w:hyperlink r:id="rId18" w:history="1">
        <w:r w:rsidRPr="00281AF1">
          <w:rPr>
            <w:rStyle w:val="Hyperlink"/>
            <w:rFonts w:eastAsiaTheme="majorEastAsia"/>
          </w:rPr>
          <w:t>http://icinspector.independent.gov.uk/country-information-reviews/</w:t>
        </w:r>
      </w:hyperlink>
      <w:r w:rsidRPr="006D3DAA">
        <w:rPr>
          <w:rStyle w:val="CPITCOI-Link"/>
          <w:rFonts w:eastAsiaTheme="majorEastAsia"/>
        </w:rPr>
        <w:t xml:space="preserve"> </w:t>
      </w:r>
      <w:r w:rsidR="009B0C7C">
        <w:br w:type="page"/>
      </w:r>
    </w:p>
    <w:p w:rsidR="00DA5094" w:rsidRDefault="00DA5094" w:rsidP="00DA5094">
      <w:pPr>
        <w:pStyle w:val="Heading1"/>
      </w:pPr>
      <w:bookmarkStart w:id="4" w:name="_Contents_1"/>
      <w:bookmarkStart w:id="5" w:name="_Toc444685790"/>
      <w:bookmarkEnd w:id="4"/>
      <w:r>
        <w:lastRenderedPageBreak/>
        <w:t>Contents</w:t>
      </w:r>
      <w:bookmarkEnd w:id="5"/>
    </w:p>
    <w:p w:rsidR="00DA5094" w:rsidRDefault="00DA5094">
      <w:pPr>
        <w:pStyle w:val="TOC1"/>
        <w:tabs>
          <w:tab w:val="right" w:leader="dot" w:pos="9016"/>
        </w:tabs>
      </w:pPr>
    </w:p>
    <w:p w:rsidR="001C21A8" w:rsidRDefault="006F1B89">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44685789" w:history="1">
        <w:r w:rsidR="001C21A8" w:rsidRPr="00604A5B">
          <w:rPr>
            <w:rStyle w:val="Hyperlink"/>
            <w:noProof/>
          </w:rPr>
          <w:t>Preface</w:t>
        </w:r>
        <w:r w:rsidR="001C21A8">
          <w:rPr>
            <w:noProof/>
            <w:webHidden/>
          </w:rPr>
          <w:tab/>
        </w:r>
        <w:r>
          <w:rPr>
            <w:noProof/>
            <w:webHidden/>
          </w:rPr>
          <w:fldChar w:fldCharType="begin"/>
        </w:r>
        <w:r w:rsidR="001C21A8">
          <w:rPr>
            <w:noProof/>
            <w:webHidden/>
          </w:rPr>
          <w:instrText xml:space="preserve"> PAGEREF _Toc444685789 \h </w:instrText>
        </w:r>
        <w:r>
          <w:rPr>
            <w:noProof/>
            <w:webHidden/>
          </w:rPr>
        </w:r>
        <w:r>
          <w:rPr>
            <w:noProof/>
            <w:webHidden/>
          </w:rPr>
          <w:fldChar w:fldCharType="separate"/>
        </w:r>
        <w:r w:rsidR="001C21A8">
          <w:rPr>
            <w:noProof/>
            <w:webHidden/>
          </w:rPr>
          <w:t>2</w:t>
        </w:r>
        <w:r>
          <w:rPr>
            <w:noProof/>
            <w:webHidden/>
          </w:rPr>
          <w:fldChar w:fldCharType="end"/>
        </w:r>
      </w:hyperlink>
    </w:p>
    <w:p w:rsidR="001C21A8" w:rsidRDefault="00140C6E">
      <w:pPr>
        <w:pStyle w:val="TOC1"/>
        <w:tabs>
          <w:tab w:val="right" w:leader="dot" w:pos="9016"/>
        </w:tabs>
        <w:rPr>
          <w:rFonts w:asciiTheme="minorHAnsi" w:eastAsiaTheme="minorEastAsia" w:hAnsiTheme="minorHAnsi" w:cstheme="minorBidi"/>
          <w:b w:val="0"/>
          <w:noProof/>
          <w:color w:val="auto"/>
          <w:sz w:val="22"/>
          <w:lang w:eastAsia="en-GB"/>
        </w:rPr>
      </w:pPr>
      <w:hyperlink w:anchor="_Toc444685790" w:history="1">
        <w:r w:rsidR="001C21A8" w:rsidRPr="00604A5B">
          <w:rPr>
            <w:rStyle w:val="Hyperlink"/>
            <w:noProof/>
          </w:rPr>
          <w:t>Contents</w:t>
        </w:r>
        <w:r w:rsidR="001C21A8">
          <w:rPr>
            <w:noProof/>
            <w:webHidden/>
          </w:rPr>
          <w:tab/>
        </w:r>
        <w:r w:rsidR="006F1B89">
          <w:rPr>
            <w:noProof/>
            <w:webHidden/>
          </w:rPr>
          <w:fldChar w:fldCharType="begin"/>
        </w:r>
        <w:r w:rsidR="001C21A8">
          <w:rPr>
            <w:noProof/>
            <w:webHidden/>
          </w:rPr>
          <w:instrText xml:space="preserve"> PAGEREF _Toc444685790 \h </w:instrText>
        </w:r>
        <w:r w:rsidR="006F1B89">
          <w:rPr>
            <w:noProof/>
            <w:webHidden/>
          </w:rPr>
        </w:r>
        <w:r w:rsidR="006F1B89">
          <w:rPr>
            <w:noProof/>
            <w:webHidden/>
          </w:rPr>
          <w:fldChar w:fldCharType="separate"/>
        </w:r>
        <w:r w:rsidR="001C21A8">
          <w:rPr>
            <w:noProof/>
            <w:webHidden/>
          </w:rPr>
          <w:t>3</w:t>
        </w:r>
        <w:r w:rsidR="006F1B89">
          <w:rPr>
            <w:noProof/>
            <w:webHidden/>
          </w:rPr>
          <w:fldChar w:fldCharType="end"/>
        </w:r>
      </w:hyperlink>
    </w:p>
    <w:p w:rsidR="001C21A8" w:rsidRDefault="00140C6E">
      <w:pPr>
        <w:pStyle w:val="TOC1"/>
        <w:tabs>
          <w:tab w:val="right" w:leader="dot" w:pos="9016"/>
        </w:tabs>
        <w:rPr>
          <w:rFonts w:asciiTheme="minorHAnsi" w:eastAsiaTheme="minorEastAsia" w:hAnsiTheme="minorHAnsi" w:cstheme="minorBidi"/>
          <w:b w:val="0"/>
          <w:noProof/>
          <w:color w:val="auto"/>
          <w:sz w:val="22"/>
          <w:lang w:eastAsia="en-GB"/>
        </w:rPr>
      </w:pPr>
      <w:hyperlink w:anchor="_Toc444685791" w:history="1">
        <w:r w:rsidR="001C21A8" w:rsidRPr="00604A5B">
          <w:rPr>
            <w:rStyle w:val="Hyperlink"/>
            <w:noProof/>
          </w:rPr>
          <w:t>Guidance</w:t>
        </w:r>
        <w:r w:rsidR="001C21A8">
          <w:rPr>
            <w:noProof/>
            <w:webHidden/>
          </w:rPr>
          <w:tab/>
        </w:r>
        <w:r w:rsidR="006F1B89">
          <w:rPr>
            <w:noProof/>
            <w:webHidden/>
          </w:rPr>
          <w:fldChar w:fldCharType="begin"/>
        </w:r>
        <w:r w:rsidR="001C21A8">
          <w:rPr>
            <w:noProof/>
            <w:webHidden/>
          </w:rPr>
          <w:instrText xml:space="preserve"> PAGEREF _Toc444685791 \h </w:instrText>
        </w:r>
        <w:r w:rsidR="006F1B89">
          <w:rPr>
            <w:noProof/>
            <w:webHidden/>
          </w:rPr>
        </w:r>
        <w:r w:rsidR="006F1B89">
          <w:rPr>
            <w:noProof/>
            <w:webHidden/>
          </w:rPr>
          <w:fldChar w:fldCharType="separate"/>
        </w:r>
        <w:r w:rsidR="001C21A8">
          <w:rPr>
            <w:noProof/>
            <w:webHidden/>
          </w:rPr>
          <w:t>5</w:t>
        </w:r>
        <w:r w:rsidR="006F1B89">
          <w:rPr>
            <w:noProof/>
            <w:webHidden/>
          </w:rPr>
          <w:fldChar w:fldCharType="end"/>
        </w:r>
      </w:hyperlink>
    </w:p>
    <w:p w:rsidR="001C21A8" w:rsidRDefault="00140C6E">
      <w:pPr>
        <w:pStyle w:val="TOC2"/>
        <w:rPr>
          <w:rFonts w:asciiTheme="minorHAnsi" w:eastAsiaTheme="minorEastAsia" w:hAnsiTheme="minorHAnsi" w:cstheme="minorBidi"/>
          <w:noProof/>
          <w:color w:val="auto"/>
          <w:sz w:val="22"/>
          <w:lang w:eastAsia="en-GB"/>
        </w:rPr>
      </w:pPr>
      <w:hyperlink w:anchor="_Toc444685792" w:history="1">
        <w:r w:rsidR="001C21A8" w:rsidRPr="00604A5B">
          <w:rPr>
            <w:rStyle w:val="Hyperlink"/>
            <w:noProof/>
          </w:rPr>
          <w:t>1.</w:t>
        </w:r>
        <w:r w:rsidR="001C21A8">
          <w:rPr>
            <w:rFonts w:asciiTheme="minorHAnsi" w:eastAsiaTheme="minorEastAsia" w:hAnsiTheme="minorHAnsi" w:cstheme="minorBidi"/>
            <w:noProof/>
            <w:color w:val="auto"/>
            <w:sz w:val="22"/>
            <w:lang w:eastAsia="en-GB"/>
          </w:rPr>
          <w:tab/>
        </w:r>
        <w:r w:rsidR="001C21A8" w:rsidRPr="00604A5B">
          <w:rPr>
            <w:rStyle w:val="Hyperlink"/>
            <w:noProof/>
          </w:rPr>
          <w:t>Basis of Claim</w:t>
        </w:r>
        <w:r w:rsidR="001C21A8">
          <w:rPr>
            <w:noProof/>
            <w:webHidden/>
          </w:rPr>
          <w:tab/>
        </w:r>
        <w:r w:rsidR="006F1B89">
          <w:rPr>
            <w:noProof/>
            <w:webHidden/>
          </w:rPr>
          <w:fldChar w:fldCharType="begin"/>
        </w:r>
        <w:r w:rsidR="001C21A8">
          <w:rPr>
            <w:noProof/>
            <w:webHidden/>
          </w:rPr>
          <w:instrText xml:space="preserve"> PAGEREF _Toc444685792 \h </w:instrText>
        </w:r>
        <w:r w:rsidR="006F1B89">
          <w:rPr>
            <w:noProof/>
            <w:webHidden/>
          </w:rPr>
        </w:r>
        <w:r w:rsidR="006F1B89">
          <w:rPr>
            <w:noProof/>
            <w:webHidden/>
          </w:rPr>
          <w:fldChar w:fldCharType="separate"/>
        </w:r>
        <w:r w:rsidR="001C21A8">
          <w:rPr>
            <w:noProof/>
            <w:webHidden/>
          </w:rPr>
          <w:t>5</w:t>
        </w:r>
        <w:r w:rsidR="006F1B89">
          <w:rPr>
            <w:noProof/>
            <w:webHidden/>
          </w:rPr>
          <w:fldChar w:fldCharType="end"/>
        </w:r>
      </w:hyperlink>
    </w:p>
    <w:p w:rsidR="001C21A8" w:rsidRDefault="00140C6E">
      <w:pPr>
        <w:pStyle w:val="TOC2"/>
        <w:rPr>
          <w:rFonts w:asciiTheme="minorHAnsi" w:eastAsiaTheme="minorEastAsia" w:hAnsiTheme="minorHAnsi" w:cstheme="minorBidi"/>
          <w:noProof/>
          <w:color w:val="auto"/>
          <w:sz w:val="22"/>
          <w:lang w:eastAsia="en-GB"/>
        </w:rPr>
      </w:pPr>
      <w:hyperlink w:anchor="_Toc444685793" w:history="1">
        <w:r w:rsidR="001C21A8" w:rsidRPr="00604A5B">
          <w:rPr>
            <w:rStyle w:val="Hyperlink"/>
            <w:noProof/>
          </w:rPr>
          <w:t>2.</w:t>
        </w:r>
        <w:r w:rsidR="001C21A8">
          <w:rPr>
            <w:rFonts w:asciiTheme="minorHAnsi" w:eastAsiaTheme="minorEastAsia" w:hAnsiTheme="minorHAnsi" w:cstheme="minorBidi"/>
            <w:noProof/>
            <w:color w:val="auto"/>
            <w:sz w:val="22"/>
            <w:lang w:eastAsia="en-GB"/>
          </w:rPr>
          <w:tab/>
        </w:r>
        <w:r w:rsidR="001C21A8" w:rsidRPr="00604A5B">
          <w:rPr>
            <w:rStyle w:val="Hyperlink"/>
            <w:noProof/>
          </w:rPr>
          <w:t>Consideration of Issues</w:t>
        </w:r>
        <w:r w:rsidR="001C21A8">
          <w:rPr>
            <w:noProof/>
            <w:webHidden/>
          </w:rPr>
          <w:tab/>
        </w:r>
        <w:r w:rsidR="006F1B89">
          <w:rPr>
            <w:noProof/>
            <w:webHidden/>
          </w:rPr>
          <w:fldChar w:fldCharType="begin"/>
        </w:r>
        <w:r w:rsidR="001C21A8">
          <w:rPr>
            <w:noProof/>
            <w:webHidden/>
          </w:rPr>
          <w:instrText xml:space="preserve"> PAGEREF _Toc444685793 \h </w:instrText>
        </w:r>
        <w:r w:rsidR="006F1B89">
          <w:rPr>
            <w:noProof/>
            <w:webHidden/>
          </w:rPr>
        </w:r>
        <w:r w:rsidR="006F1B89">
          <w:rPr>
            <w:noProof/>
            <w:webHidden/>
          </w:rPr>
          <w:fldChar w:fldCharType="separate"/>
        </w:r>
        <w:r w:rsidR="001C21A8">
          <w:rPr>
            <w:noProof/>
            <w:webHidden/>
          </w:rPr>
          <w:t>5</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794" w:history="1">
        <w:r w:rsidR="001C21A8" w:rsidRPr="00604A5B">
          <w:rPr>
            <w:rStyle w:val="Hyperlink"/>
            <w:noProof/>
          </w:rPr>
          <w:t>2.1</w:t>
        </w:r>
        <w:r w:rsidR="001C21A8">
          <w:rPr>
            <w:rFonts w:asciiTheme="minorHAnsi" w:eastAsiaTheme="minorEastAsia" w:hAnsiTheme="minorHAnsi" w:cstheme="minorBidi"/>
            <w:noProof/>
            <w:color w:val="auto"/>
            <w:sz w:val="22"/>
            <w:lang w:eastAsia="en-GB"/>
          </w:rPr>
          <w:tab/>
        </w:r>
        <w:r w:rsidR="001C21A8" w:rsidRPr="00604A5B">
          <w:rPr>
            <w:rStyle w:val="Hyperlink"/>
            <w:noProof/>
          </w:rPr>
          <w:t>Credibility</w:t>
        </w:r>
        <w:r w:rsidR="001C21A8">
          <w:rPr>
            <w:noProof/>
            <w:webHidden/>
          </w:rPr>
          <w:tab/>
        </w:r>
        <w:r w:rsidR="006F1B89">
          <w:rPr>
            <w:noProof/>
            <w:webHidden/>
          </w:rPr>
          <w:fldChar w:fldCharType="begin"/>
        </w:r>
        <w:r w:rsidR="001C21A8">
          <w:rPr>
            <w:noProof/>
            <w:webHidden/>
          </w:rPr>
          <w:instrText xml:space="preserve"> PAGEREF _Toc444685794 \h </w:instrText>
        </w:r>
        <w:r w:rsidR="006F1B89">
          <w:rPr>
            <w:noProof/>
            <w:webHidden/>
          </w:rPr>
        </w:r>
        <w:r w:rsidR="006F1B89">
          <w:rPr>
            <w:noProof/>
            <w:webHidden/>
          </w:rPr>
          <w:fldChar w:fldCharType="separate"/>
        </w:r>
        <w:r w:rsidR="001C21A8">
          <w:rPr>
            <w:noProof/>
            <w:webHidden/>
          </w:rPr>
          <w:t>5</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795" w:history="1">
        <w:r w:rsidR="001C21A8" w:rsidRPr="00604A5B">
          <w:rPr>
            <w:rStyle w:val="Hyperlink"/>
            <w:noProof/>
          </w:rPr>
          <w:t>2.2</w:t>
        </w:r>
        <w:r w:rsidR="001C21A8">
          <w:rPr>
            <w:rFonts w:asciiTheme="minorHAnsi" w:eastAsiaTheme="minorEastAsia" w:hAnsiTheme="minorHAnsi" w:cstheme="minorBidi"/>
            <w:noProof/>
            <w:color w:val="auto"/>
            <w:sz w:val="22"/>
            <w:lang w:eastAsia="en-GB"/>
          </w:rPr>
          <w:tab/>
        </w:r>
        <w:r w:rsidR="001C21A8" w:rsidRPr="00604A5B">
          <w:rPr>
            <w:rStyle w:val="Hyperlink"/>
            <w:noProof/>
          </w:rPr>
          <w:t>Does the requirement to undertake national/military service put the person at risk of serious harm or mistreatment?</w:t>
        </w:r>
        <w:r w:rsidR="001C21A8">
          <w:rPr>
            <w:noProof/>
            <w:webHidden/>
          </w:rPr>
          <w:tab/>
        </w:r>
        <w:r w:rsidR="006F1B89">
          <w:rPr>
            <w:noProof/>
            <w:webHidden/>
          </w:rPr>
          <w:fldChar w:fldCharType="begin"/>
        </w:r>
        <w:r w:rsidR="001C21A8">
          <w:rPr>
            <w:noProof/>
            <w:webHidden/>
          </w:rPr>
          <w:instrText xml:space="preserve"> PAGEREF _Toc444685795 \h </w:instrText>
        </w:r>
        <w:r w:rsidR="006F1B89">
          <w:rPr>
            <w:noProof/>
            <w:webHidden/>
          </w:rPr>
        </w:r>
        <w:r w:rsidR="006F1B89">
          <w:rPr>
            <w:noProof/>
            <w:webHidden/>
          </w:rPr>
          <w:fldChar w:fldCharType="separate"/>
        </w:r>
        <w:r w:rsidR="001C21A8">
          <w:rPr>
            <w:noProof/>
            <w:webHidden/>
          </w:rPr>
          <w:t>5</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796" w:history="1">
        <w:r w:rsidR="001C21A8" w:rsidRPr="00604A5B">
          <w:rPr>
            <w:rStyle w:val="Hyperlink"/>
            <w:noProof/>
          </w:rPr>
          <w:t>2.3</w:t>
        </w:r>
        <w:r w:rsidR="001C21A8">
          <w:rPr>
            <w:rFonts w:asciiTheme="minorHAnsi" w:eastAsiaTheme="minorEastAsia" w:hAnsiTheme="minorHAnsi" w:cstheme="minorBidi"/>
            <w:noProof/>
            <w:color w:val="auto"/>
            <w:sz w:val="22"/>
            <w:lang w:eastAsia="en-GB"/>
          </w:rPr>
          <w:tab/>
        </w:r>
        <w:r w:rsidR="001C21A8" w:rsidRPr="00604A5B">
          <w:rPr>
            <w:rStyle w:val="Hyperlink"/>
            <w:noProof/>
          </w:rPr>
          <w:t>Would military service in Turkey involve acts, with which the person may be associated, which are contrary to the basic rules of human conduct?</w:t>
        </w:r>
        <w:r w:rsidR="001C21A8">
          <w:rPr>
            <w:noProof/>
            <w:webHidden/>
          </w:rPr>
          <w:tab/>
        </w:r>
        <w:r w:rsidR="006F1B89">
          <w:rPr>
            <w:noProof/>
            <w:webHidden/>
          </w:rPr>
          <w:fldChar w:fldCharType="begin"/>
        </w:r>
        <w:r w:rsidR="001C21A8">
          <w:rPr>
            <w:noProof/>
            <w:webHidden/>
          </w:rPr>
          <w:instrText xml:space="preserve"> PAGEREF _Toc444685796 \h </w:instrText>
        </w:r>
        <w:r w:rsidR="006F1B89">
          <w:rPr>
            <w:noProof/>
            <w:webHidden/>
          </w:rPr>
        </w:r>
        <w:r w:rsidR="006F1B89">
          <w:rPr>
            <w:noProof/>
            <w:webHidden/>
          </w:rPr>
          <w:fldChar w:fldCharType="separate"/>
        </w:r>
        <w:r w:rsidR="001C21A8">
          <w:rPr>
            <w:noProof/>
            <w:webHidden/>
          </w:rPr>
          <w:t>6</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797" w:history="1">
        <w:r w:rsidR="001C21A8" w:rsidRPr="00604A5B">
          <w:rPr>
            <w:rStyle w:val="Hyperlink"/>
            <w:noProof/>
          </w:rPr>
          <w:t>2.4</w:t>
        </w:r>
        <w:r w:rsidR="001C21A8">
          <w:rPr>
            <w:rFonts w:asciiTheme="minorHAnsi" w:eastAsiaTheme="minorEastAsia" w:hAnsiTheme="minorHAnsi" w:cstheme="minorBidi"/>
            <w:noProof/>
            <w:color w:val="auto"/>
            <w:sz w:val="22"/>
            <w:lang w:eastAsia="en-GB"/>
          </w:rPr>
          <w:tab/>
        </w:r>
        <w:r w:rsidR="001C21A8" w:rsidRPr="00604A5B">
          <w:rPr>
            <w:rStyle w:val="Hyperlink"/>
            <w:noProof/>
          </w:rPr>
          <w:t>Are the conditions of military service in Turkey so harsh as to amount to persecution?</w:t>
        </w:r>
        <w:r w:rsidR="001C21A8">
          <w:rPr>
            <w:noProof/>
            <w:webHidden/>
          </w:rPr>
          <w:tab/>
        </w:r>
        <w:r w:rsidR="006F1B89">
          <w:rPr>
            <w:noProof/>
            <w:webHidden/>
          </w:rPr>
          <w:fldChar w:fldCharType="begin"/>
        </w:r>
        <w:r w:rsidR="001C21A8">
          <w:rPr>
            <w:noProof/>
            <w:webHidden/>
          </w:rPr>
          <w:instrText xml:space="preserve"> PAGEREF _Toc444685797 \h </w:instrText>
        </w:r>
        <w:r w:rsidR="006F1B89">
          <w:rPr>
            <w:noProof/>
            <w:webHidden/>
          </w:rPr>
        </w:r>
        <w:r w:rsidR="006F1B89">
          <w:rPr>
            <w:noProof/>
            <w:webHidden/>
          </w:rPr>
          <w:fldChar w:fldCharType="separate"/>
        </w:r>
        <w:r w:rsidR="001C21A8">
          <w:rPr>
            <w:noProof/>
            <w:webHidden/>
          </w:rPr>
          <w:t>6</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798" w:history="1">
        <w:r w:rsidR="001C21A8" w:rsidRPr="00604A5B">
          <w:rPr>
            <w:rStyle w:val="Hyperlink"/>
            <w:noProof/>
          </w:rPr>
          <w:t>2.5</w:t>
        </w:r>
        <w:r w:rsidR="001C21A8">
          <w:rPr>
            <w:rFonts w:asciiTheme="minorHAnsi" w:eastAsiaTheme="minorEastAsia" w:hAnsiTheme="minorHAnsi" w:cstheme="minorBidi"/>
            <w:noProof/>
            <w:color w:val="auto"/>
            <w:sz w:val="22"/>
            <w:lang w:eastAsia="en-GB"/>
          </w:rPr>
          <w:tab/>
        </w:r>
        <w:r w:rsidR="001C21A8" w:rsidRPr="00604A5B">
          <w:rPr>
            <w:rStyle w:val="Hyperlink"/>
            <w:noProof/>
          </w:rPr>
          <w:t>Is the punishment for draft evasion or desertion disproportionately harsh or severe?</w:t>
        </w:r>
        <w:r w:rsidR="001C21A8">
          <w:rPr>
            <w:noProof/>
            <w:webHidden/>
          </w:rPr>
          <w:tab/>
        </w:r>
        <w:r w:rsidR="006F1B89">
          <w:rPr>
            <w:noProof/>
            <w:webHidden/>
          </w:rPr>
          <w:fldChar w:fldCharType="begin"/>
        </w:r>
        <w:r w:rsidR="001C21A8">
          <w:rPr>
            <w:noProof/>
            <w:webHidden/>
          </w:rPr>
          <w:instrText xml:space="preserve"> PAGEREF _Toc444685798 \h </w:instrText>
        </w:r>
        <w:r w:rsidR="006F1B89">
          <w:rPr>
            <w:noProof/>
            <w:webHidden/>
          </w:rPr>
        </w:r>
        <w:r w:rsidR="006F1B89">
          <w:rPr>
            <w:noProof/>
            <w:webHidden/>
          </w:rPr>
          <w:fldChar w:fldCharType="separate"/>
        </w:r>
        <w:r w:rsidR="001C21A8">
          <w:rPr>
            <w:noProof/>
            <w:webHidden/>
          </w:rPr>
          <w:t>7</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799" w:history="1">
        <w:r w:rsidR="001C21A8" w:rsidRPr="00604A5B">
          <w:rPr>
            <w:rStyle w:val="Hyperlink"/>
            <w:noProof/>
          </w:rPr>
          <w:t>2.6</w:t>
        </w:r>
        <w:r w:rsidR="001C21A8">
          <w:rPr>
            <w:rFonts w:asciiTheme="minorHAnsi" w:eastAsiaTheme="minorEastAsia" w:hAnsiTheme="minorHAnsi" w:cstheme="minorBidi"/>
            <w:noProof/>
            <w:color w:val="auto"/>
            <w:sz w:val="22"/>
            <w:lang w:eastAsia="en-GB"/>
          </w:rPr>
          <w:tab/>
        </w:r>
        <w:r w:rsidR="001C21A8" w:rsidRPr="00604A5B">
          <w:rPr>
            <w:rStyle w:val="Hyperlink"/>
            <w:noProof/>
          </w:rPr>
          <w:t>Protection</w:t>
        </w:r>
        <w:r w:rsidR="001C21A8">
          <w:rPr>
            <w:noProof/>
            <w:webHidden/>
          </w:rPr>
          <w:tab/>
        </w:r>
        <w:r w:rsidR="006F1B89">
          <w:rPr>
            <w:noProof/>
            <w:webHidden/>
          </w:rPr>
          <w:fldChar w:fldCharType="begin"/>
        </w:r>
        <w:r w:rsidR="001C21A8">
          <w:rPr>
            <w:noProof/>
            <w:webHidden/>
          </w:rPr>
          <w:instrText xml:space="preserve"> PAGEREF _Toc444685799 \h </w:instrText>
        </w:r>
        <w:r w:rsidR="006F1B89">
          <w:rPr>
            <w:noProof/>
            <w:webHidden/>
          </w:rPr>
        </w:r>
        <w:r w:rsidR="006F1B89">
          <w:rPr>
            <w:noProof/>
            <w:webHidden/>
          </w:rPr>
          <w:fldChar w:fldCharType="separate"/>
        </w:r>
        <w:r w:rsidR="001C21A8">
          <w:rPr>
            <w:noProof/>
            <w:webHidden/>
          </w:rPr>
          <w:t>8</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00" w:history="1">
        <w:r w:rsidR="001C21A8" w:rsidRPr="00604A5B">
          <w:rPr>
            <w:rStyle w:val="Hyperlink"/>
            <w:noProof/>
          </w:rPr>
          <w:t>2.7</w:t>
        </w:r>
        <w:r w:rsidR="001C21A8">
          <w:rPr>
            <w:rFonts w:asciiTheme="minorHAnsi" w:eastAsiaTheme="minorEastAsia" w:hAnsiTheme="minorHAnsi" w:cstheme="minorBidi"/>
            <w:noProof/>
            <w:color w:val="auto"/>
            <w:sz w:val="22"/>
            <w:lang w:eastAsia="en-GB"/>
          </w:rPr>
          <w:tab/>
        </w:r>
        <w:r w:rsidR="001C21A8" w:rsidRPr="00604A5B">
          <w:rPr>
            <w:rStyle w:val="Hyperlink"/>
            <w:noProof/>
          </w:rPr>
          <w:t>Internal relocation</w:t>
        </w:r>
        <w:r w:rsidR="001C21A8">
          <w:rPr>
            <w:noProof/>
            <w:webHidden/>
          </w:rPr>
          <w:tab/>
        </w:r>
        <w:r w:rsidR="006F1B89">
          <w:rPr>
            <w:noProof/>
            <w:webHidden/>
          </w:rPr>
          <w:fldChar w:fldCharType="begin"/>
        </w:r>
        <w:r w:rsidR="001C21A8">
          <w:rPr>
            <w:noProof/>
            <w:webHidden/>
          </w:rPr>
          <w:instrText xml:space="preserve"> PAGEREF _Toc444685800 \h </w:instrText>
        </w:r>
        <w:r w:rsidR="006F1B89">
          <w:rPr>
            <w:noProof/>
            <w:webHidden/>
          </w:rPr>
        </w:r>
        <w:r w:rsidR="006F1B89">
          <w:rPr>
            <w:noProof/>
            <w:webHidden/>
          </w:rPr>
          <w:fldChar w:fldCharType="separate"/>
        </w:r>
        <w:r w:rsidR="001C21A8">
          <w:rPr>
            <w:noProof/>
            <w:webHidden/>
          </w:rPr>
          <w:t>8</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01" w:history="1">
        <w:r w:rsidR="001C21A8" w:rsidRPr="00604A5B">
          <w:rPr>
            <w:rStyle w:val="Hyperlink"/>
            <w:noProof/>
          </w:rPr>
          <w:t>2.8</w:t>
        </w:r>
        <w:r w:rsidR="001C21A8">
          <w:rPr>
            <w:rFonts w:asciiTheme="minorHAnsi" w:eastAsiaTheme="minorEastAsia" w:hAnsiTheme="minorHAnsi" w:cstheme="minorBidi"/>
            <w:noProof/>
            <w:color w:val="auto"/>
            <w:sz w:val="22"/>
            <w:lang w:eastAsia="en-GB"/>
          </w:rPr>
          <w:tab/>
        </w:r>
        <w:r w:rsidR="001C21A8" w:rsidRPr="00604A5B">
          <w:rPr>
            <w:rStyle w:val="Hyperlink"/>
            <w:noProof/>
          </w:rPr>
          <w:t>Certification</w:t>
        </w:r>
        <w:r w:rsidR="001C21A8">
          <w:rPr>
            <w:noProof/>
            <w:webHidden/>
          </w:rPr>
          <w:tab/>
        </w:r>
        <w:r w:rsidR="006F1B89">
          <w:rPr>
            <w:noProof/>
            <w:webHidden/>
          </w:rPr>
          <w:fldChar w:fldCharType="begin"/>
        </w:r>
        <w:r w:rsidR="001C21A8">
          <w:rPr>
            <w:noProof/>
            <w:webHidden/>
          </w:rPr>
          <w:instrText xml:space="preserve"> PAGEREF _Toc444685801 \h </w:instrText>
        </w:r>
        <w:r w:rsidR="006F1B89">
          <w:rPr>
            <w:noProof/>
            <w:webHidden/>
          </w:rPr>
        </w:r>
        <w:r w:rsidR="006F1B89">
          <w:rPr>
            <w:noProof/>
            <w:webHidden/>
          </w:rPr>
          <w:fldChar w:fldCharType="separate"/>
        </w:r>
        <w:r w:rsidR="001C21A8">
          <w:rPr>
            <w:noProof/>
            <w:webHidden/>
          </w:rPr>
          <w:t>8</w:t>
        </w:r>
        <w:r w:rsidR="006F1B89">
          <w:rPr>
            <w:noProof/>
            <w:webHidden/>
          </w:rPr>
          <w:fldChar w:fldCharType="end"/>
        </w:r>
      </w:hyperlink>
    </w:p>
    <w:p w:rsidR="001C21A8" w:rsidRDefault="00140C6E">
      <w:pPr>
        <w:pStyle w:val="TOC2"/>
        <w:rPr>
          <w:rFonts w:asciiTheme="minorHAnsi" w:eastAsiaTheme="minorEastAsia" w:hAnsiTheme="minorHAnsi" w:cstheme="minorBidi"/>
          <w:noProof/>
          <w:color w:val="auto"/>
          <w:sz w:val="22"/>
          <w:lang w:eastAsia="en-GB"/>
        </w:rPr>
      </w:pPr>
      <w:hyperlink w:anchor="_Toc444685802" w:history="1">
        <w:r w:rsidR="001C21A8" w:rsidRPr="00604A5B">
          <w:rPr>
            <w:rStyle w:val="Hyperlink"/>
            <w:noProof/>
          </w:rPr>
          <w:t>3.</w:t>
        </w:r>
        <w:r w:rsidR="001C21A8">
          <w:rPr>
            <w:rFonts w:asciiTheme="minorHAnsi" w:eastAsiaTheme="minorEastAsia" w:hAnsiTheme="minorHAnsi" w:cstheme="minorBidi"/>
            <w:noProof/>
            <w:color w:val="auto"/>
            <w:sz w:val="22"/>
            <w:lang w:eastAsia="en-GB"/>
          </w:rPr>
          <w:tab/>
        </w:r>
        <w:r w:rsidR="001C21A8" w:rsidRPr="00604A5B">
          <w:rPr>
            <w:rStyle w:val="Hyperlink"/>
            <w:noProof/>
          </w:rPr>
          <w:t>Policy Summary</w:t>
        </w:r>
        <w:r w:rsidR="001C21A8">
          <w:rPr>
            <w:noProof/>
            <w:webHidden/>
          </w:rPr>
          <w:tab/>
        </w:r>
        <w:r w:rsidR="006F1B89">
          <w:rPr>
            <w:noProof/>
            <w:webHidden/>
          </w:rPr>
          <w:fldChar w:fldCharType="begin"/>
        </w:r>
        <w:r w:rsidR="001C21A8">
          <w:rPr>
            <w:noProof/>
            <w:webHidden/>
          </w:rPr>
          <w:instrText xml:space="preserve"> PAGEREF _Toc444685802 \h </w:instrText>
        </w:r>
        <w:r w:rsidR="006F1B89">
          <w:rPr>
            <w:noProof/>
            <w:webHidden/>
          </w:rPr>
        </w:r>
        <w:r w:rsidR="006F1B89">
          <w:rPr>
            <w:noProof/>
            <w:webHidden/>
          </w:rPr>
          <w:fldChar w:fldCharType="separate"/>
        </w:r>
        <w:r w:rsidR="001C21A8">
          <w:rPr>
            <w:noProof/>
            <w:webHidden/>
          </w:rPr>
          <w:t>9</w:t>
        </w:r>
        <w:r w:rsidR="006F1B89">
          <w:rPr>
            <w:noProof/>
            <w:webHidden/>
          </w:rPr>
          <w:fldChar w:fldCharType="end"/>
        </w:r>
      </w:hyperlink>
    </w:p>
    <w:p w:rsidR="001C21A8" w:rsidRDefault="00140C6E">
      <w:pPr>
        <w:pStyle w:val="TOC1"/>
        <w:tabs>
          <w:tab w:val="right" w:leader="dot" w:pos="9016"/>
        </w:tabs>
        <w:rPr>
          <w:rFonts w:asciiTheme="minorHAnsi" w:eastAsiaTheme="minorEastAsia" w:hAnsiTheme="minorHAnsi" w:cstheme="minorBidi"/>
          <w:b w:val="0"/>
          <w:noProof/>
          <w:color w:val="auto"/>
          <w:sz w:val="22"/>
          <w:lang w:eastAsia="en-GB"/>
        </w:rPr>
      </w:pPr>
      <w:hyperlink w:anchor="_Toc444685803" w:history="1">
        <w:r w:rsidR="001C21A8" w:rsidRPr="00604A5B">
          <w:rPr>
            <w:rStyle w:val="Hyperlink"/>
            <w:noProof/>
          </w:rPr>
          <w:t>Country Information</w:t>
        </w:r>
        <w:r w:rsidR="001C21A8">
          <w:rPr>
            <w:noProof/>
            <w:webHidden/>
          </w:rPr>
          <w:tab/>
        </w:r>
        <w:r w:rsidR="006F1B89">
          <w:rPr>
            <w:noProof/>
            <w:webHidden/>
          </w:rPr>
          <w:fldChar w:fldCharType="begin"/>
        </w:r>
        <w:r w:rsidR="001C21A8">
          <w:rPr>
            <w:noProof/>
            <w:webHidden/>
          </w:rPr>
          <w:instrText xml:space="preserve"> PAGEREF _Toc444685803 \h </w:instrText>
        </w:r>
        <w:r w:rsidR="006F1B89">
          <w:rPr>
            <w:noProof/>
            <w:webHidden/>
          </w:rPr>
        </w:r>
        <w:r w:rsidR="006F1B89">
          <w:rPr>
            <w:noProof/>
            <w:webHidden/>
          </w:rPr>
          <w:fldChar w:fldCharType="separate"/>
        </w:r>
        <w:r w:rsidR="001C21A8">
          <w:rPr>
            <w:noProof/>
            <w:webHidden/>
          </w:rPr>
          <w:t>10</w:t>
        </w:r>
        <w:r w:rsidR="006F1B89">
          <w:rPr>
            <w:noProof/>
            <w:webHidden/>
          </w:rPr>
          <w:fldChar w:fldCharType="end"/>
        </w:r>
      </w:hyperlink>
    </w:p>
    <w:p w:rsidR="001C21A8" w:rsidRDefault="00140C6E">
      <w:pPr>
        <w:pStyle w:val="TOC2"/>
        <w:rPr>
          <w:rFonts w:asciiTheme="minorHAnsi" w:eastAsiaTheme="minorEastAsia" w:hAnsiTheme="minorHAnsi" w:cstheme="minorBidi"/>
          <w:noProof/>
          <w:color w:val="auto"/>
          <w:sz w:val="22"/>
          <w:lang w:eastAsia="en-GB"/>
        </w:rPr>
      </w:pPr>
      <w:hyperlink w:anchor="_Toc444685804" w:history="1">
        <w:r w:rsidR="001C21A8" w:rsidRPr="00604A5B">
          <w:rPr>
            <w:rStyle w:val="Hyperlink"/>
            <w:noProof/>
          </w:rPr>
          <w:t>4.</w:t>
        </w:r>
        <w:r w:rsidR="001C21A8">
          <w:rPr>
            <w:rFonts w:asciiTheme="minorHAnsi" w:eastAsiaTheme="minorEastAsia" w:hAnsiTheme="minorHAnsi" w:cstheme="minorBidi"/>
            <w:noProof/>
            <w:color w:val="auto"/>
            <w:sz w:val="22"/>
            <w:lang w:eastAsia="en-GB"/>
          </w:rPr>
          <w:tab/>
        </w:r>
        <w:r w:rsidR="001C21A8" w:rsidRPr="00604A5B">
          <w:rPr>
            <w:rStyle w:val="Hyperlink"/>
            <w:noProof/>
          </w:rPr>
          <w:t>Legal Context</w:t>
        </w:r>
        <w:r w:rsidR="001C21A8">
          <w:rPr>
            <w:noProof/>
            <w:webHidden/>
          </w:rPr>
          <w:tab/>
        </w:r>
        <w:r w:rsidR="006F1B89">
          <w:rPr>
            <w:noProof/>
            <w:webHidden/>
          </w:rPr>
          <w:fldChar w:fldCharType="begin"/>
        </w:r>
        <w:r w:rsidR="001C21A8">
          <w:rPr>
            <w:noProof/>
            <w:webHidden/>
          </w:rPr>
          <w:instrText xml:space="preserve"> PAGEREF _Toc444685804 \h </w:instrText>
        </w:r>
        <w:r w:rsidR="006F1B89">
          <w:rPr>
            <w:noProof/>
            <w:webHidden/>
          </w:rPr>
        </w:r>
        <w:r w:rsidR="006F1B89">
          <w:rPr>
            <w:noProof/>
            <w:webHidden/>
          </w:rPr>
          <w:fldChar w:fldCharType="separate"/>
        </w:r>
        <w:r w:rsidR="001C21A8">
          <w:rPr>
            <w:noProof/>
            <w:webHidden/>
          </w:rPr>
          <w:t>10</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05" w:history="1">
        <w:r w:rsidR="001C21A8" w:rsidRPr="00604A5B">
          <w:rPr>
            <w:rStyle w:val="Hyperlink"/>
            <w:noProof/>
          </w:rPr>
          <w:t>4.1</w:t>
        </w:r>
        <w:r w:rsidR="001C21A8">
          <w:rPr>
            <w:rFonts w:asciiTheme="minorHAnsi" w:eastAsiaTheme="minorEastAsia" w:hAnsiTheme="minorHAnsi" w:cstheme="minorBidi"/>
            <w:noProof/>
            <w:color w:val="auto"/>
            <w:sz w:val="22"/>
            <w:lang w:eastAsia="en-GB"/>
          </w:rPr>
          <w:tab/>
        </w:r>
        <w:r w:rsidR="001C21A8" w:rsidRPr="00604A5B">
          <w:rPr>
            <w:rStyle w:val="Hyperlink"/>
            <w:noProof/>
          </w:rPr>
          <w:t>Requirement to do Military Service</w:t>
        </w:r>
        <w:r w:rsidR="001C21A8">
          <w:rPr>
            <w:noProof/>
            <w:webHidden/>
          </w:rPr>
          <w:tab/>
        </w:r>
        <w:r w:rsidR="006F1B89">
          <w:rPr>
            <w:noProof/>
            <w:webHidden/>
          </w:rPr>
          <w:fldChar w:fldCharType="begin"/>
        </w:r>
        <w:r w:rsidR="001C21A8">
          <w:rPr>
            <w:noProof/>
            <w:webHidden/>
          </w:rPr>
          <w:instrText xml:space="preserve"> PAGEREF _Toc444685805 \h </w:instrText>
        </w:r>
        <w:r w:rsidR="006F1B89">
          <w:rPr>
            <w:noProof/>
            <w:webHidden/>
          </w:rPr>
        </w:r>
        <w:r w:rsidR="006F1B89">
          <w:rPr>
            <w:noProof/>
            <w:webHidden/>
          </w:rPr>
          <w:fldChar w:fldCharType="separate"/>
        </w:r>
        <w:r w:rsidR="001C21A8">
          <w:rPr>
            <w:noProof/>
            <w:webHidden/>
          </w:rPr>
          <w:t>10</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06" w:history="1">
        <w:r w:rsidR="001C21A8" w:rsidRPr="00604A5B">
          <w:rPr>
            <w:rStyle w:val="Hyperlink"/>
            <w:noProof/>
          </w:rPr>
          <w:t>4.2</w:t>
        </w:r>
        <w:r w:rsidR="001C21A8">
          <w:rPr>
            <w:rFonts w:asciiTheme="minorHAnsi" w:eastAsiaTheme="minorEastAsia" w:hAnsiTheme="minorHAnsi" w:cstheme="minorBidi"/>
            <w:noProof/>
            <w:color w:val="auto"/>
            <w:sz w:val="22"/>
            <w:lang w:eastAsia="en-GB"/>
          </w:rPr>
          <w:tab/>
        </w:r>
        <w:r w:rsidR="001C21A8" w:rsidRPr="00604A5B">
          <w:rPr>
            <w:rStyle w:val="Hyperlink"/>
            <w:noProof/>
          </w:rPr>
          <w:t>Eligibility</w:t>
        </w:r>
        <w:r w:rsidR="001C21A8">
          <w:rPr>
            <w:noProof/>
            <w:webHidden/>
          </w:rPr>
          <w:tab/>
        </w:r>
        <w:r w:rsidR="006F1B89">
          <w:rPr>
            <w:noProof/>
            <w:webHidden/>
          </w:rPr>
          <w:fldChar w:fldCharType="begin"/>
        </w:r>
        <w:r w:rsidR="001C21A8">
          <w:rPr>
            <w:noProof/>
            <w:webHidden/>
          </w:rPr>
          <w:instrText xml:space="preserve"> PAGEREF _Toc444685806 \h </w:instrText>
        </w:r>
        <w:r w:rsidR="006F1B89">
          <w:rPr>
            <w:noProof/>
            <w:webHidden/>
          </w:rPr>
        </w:r>
        <w:r w:rsidR="006F1B89">
          <w:rPr>
            <w:noProof/>
            <w:webHidden/>
          </w:rPr>
          <w:fldChar w:fldCharType="separate"/>
        </w:r>
        <w:r w:rsidR="001C21A8">
          <w:rPr>
            <w:noProof/>
            <w:webHidden/>
          </w:rPr>
          <w:t>10</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07" w:history="1">
        <w:r w:rsidR="001C21A8" w:rsidRPr="00604A5B">
          <w:rPr>
            <w:rStyle w:val="Hyperlink"/>
            <w:noProof/>
          </w:rPr>
          <w:t>4.3</w:t>
        </w:r>
        <w:r w:rsidR="001C21A8">
          <w:rPr>
            <w:rFonts w:asciiTheme="minorHAnsi" w:eastAsiaTheme="minorEastAsia" w:hAnsiTheme="minorHAnsi" w:cstheme="minorBidi"/>
            <w:noProof/>
            <w:color w:val="auto"/>
            <w:sz w:val="22"/>
            <w:lang w:eastAsia="en-GB"/>
          </w:rPr>
          <w:tab/>
        </w:r>
        <w:r w:rsidR="001C21A8" w:rsidRPr="00604A5B">
          <w:rPr>
            <w:rStyle w:val="Hyperlink"/>
            <w:noProof/>
          </w:rPr>
          <w:t>Size of the Military</w:t>
        </w:r>
        <w:r w:rsidR="001C21A8">
          <w:rPr>
            <w:noProof/>
            <w:webHidden/>
          </w:rPr>
          <w:tab/>
        </w:r>
        <w:r w:rsidR="006F1B89">
          <w:rPr>
            <w:noProof/>
            <w:webHidden/>
          </w:rPr>
          <w:fldChar w:fldCharType="begin"/>
        </w:r>
        <w:r w:rsidR="001C21A8">
          <w:rPr>
            <w:noProof/>
            <w:webHidden/>
          </w:rPr>
          <w:instrText xml:space="preserve"> PAGEREF _Toc444685807 \h </w:instrText>
        </w:r>
        <w:r w:rsidR="006F1B89">
          <w:rPr>
            <w:noProof/>
            <w:webHidden/>
          </w:rPr>
        </w:r>
        <w:r w:rsidR="006F1B89">
          <w:rPr>
            <w:noProof/>
            <w:webHidden/>
          </w:rPr>
          <w:fldChar w:fldCharType="separate"/>
        </w:r>
        <w:r w:rsidR="001C21A8">
          <w:rPr>
            <w:noProof/>
            <w:webHidden/>
          </w:rPr>
          <w:t>11</w:t>
        </w:r>
        <w:r w:rsidR="006F1B89">
          <w:rPr>
            <w:noProof/>
            <w:webHidden/>
          </w:rPr>
          <w:fldChar w:fldCharType="end"/>
        </w:r>
      </w:hyperlink>
    </w:p>
    <w:p w:rsidR="001C21A8" w:rsidRDefault="00140C6E">
      <w:pPr>
        <w:pStyle w:val="TOC2"/>
        <w:rPr>
          <w:rFonts w:asciiTheme="minorHAnsi" w:eastAsiaTheme="minorEastAsia" w:hAnsiTheme="minorHAnsi" w:cstheme="minorBidi"/>
          <w:noProof/>
          <w:color w:val="auto"/>
          <w:sz w:val="22"/>
          <w:lang w:eastAsia="en-GB"/>
        </w:rPr>
      </w:pPr>
      <w:hyperlink w:anchor="_Toc444685808" w:history="1">
        <w:r w:rsidR="001C21A8" w:rsidRPr="00604A5B">
          <w:rPr>
            <w:rStyle w:val="Hyperlink"/>
            <w:noProof/>
          </w:rPr>
          <w:t>5.</w:t>
        </w:r>
        <w:r w:rsidR="001C21A8">
          <w:rPr>
            <w:rFonts w:asciiTheme="minorHAnsi" w:eastAsiaTheme="minorEastAsia" w:hAnsiTheme="minorHAnsi" w:cstheme="minorBidi"/>
            <w:noProof/>
            <w:color w:val="auto"/>
            <w:sz w:val="22"/>
            <w:lang w:eastAsia="en-GB"/>
          </w:rPr>
          <w:tab/>
        </w:r>
        <w:r w:rsidR="001C21A8" w:rsidRPr="00604A5B">
          <w:rPr>
            <w:rStyle w:val="Hyperlink"/>
            <w:noProof/>
          </w:rPr>
          <w:t>Exemptions and Alternatives</w:t>
        </w:r>
        <w:r w:rsidR="001C21A8">
          <w:rPr>
            <w:noProof/>
            <w:webHidden/>
          </w:rPr>
          <w:tab/>
        </w:r>
        <w:r w:rsidR="006F1B89">
          <w:rPr>
            <w:noProof/>
            <w:webHidden/>
          </w:rPr>
          <w:fldChar w:fldCharType="begin"/>
        </w:r>
        <w:r w:rsidR="001C21A8">
          <w:rPr>
            <w:noProof/>
            <w:webHidden/>
          </w:rPr>
          <w:instrText xml:space="preserve"> PAGEREF _Toc444685808 \h </w:instrText>
        </w:r>
        <w:r w:rsidR="006F1B89">
          <w:rPr>
            <w:noProof/>
            <w:webHidden/>
          </w:rPr>
        </w:r>
        <w:r w:rsidR="006F1B89">
          <w:rPr>
            <w:noProof/>
            <w:webHidden/>
          </w:rPr>
          <w:fldChar w:fldCharType="separate"/>
        </w:r>
        <w:r w:rsidR="001C21A8">
          <w:rPr>
            <w:noProof/>
            <w:webHidden/>
          </w:rPr>
          <w:t>11</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09" w:history="1">
        <w:r w:rsidR="001C21A8" w:rsidRPr="00604A5B">
          <w:rPr>
            <w:rStyle w:val="Hyperlink"/>
            <w:noProof/>
          </w:rPr>
          <w:t>5.1</w:t>
        </w:r>
        <w:r w:rsidR="001C21A8">
          <w:rPr>
            <w:rFonts w:asciiTheme="minorHAnsi" w:eastAsiaTheme="minorEastAsia" w:hAnsiTheme="minorHAnsi" w:cstheme="minorBidi"/>
            <w:noProof/>
            <w:color w:val="auto"/>
            <w:sz w:val="22"/>
            <w:lang w:eastAsia="en-GB"/>
          </w:rPr>
          <w:tab/>
        </w:r>
        <w:r w:rsidR="001C21A8" w:rsidRPr="00604A5B">
          <w:rPr>
            <w:rStyle w:val="Hyperlink"/>
            <w:noProof/>
          </w:rPr>
          <w:t>Civilian Alternatives</w:t>
        </w:r>
        <w:r w:rsidR="001C21A8">
          <w:rPr>
            <w:noProof/>
            <w:webHidden/>
          </w:rPr>
          <w:tab/>
        </w:r>
        <w:r w:rsidR="006F1B89">
          <w:rPr>
            <w:noProof/>
            <w:webHidden/>
          </w:rPr>
          <w:fldChar w:fldCharType="begin"/>
        </w:r>
        <w:r w:rsidR="001C21A8">
          <w:rPr>
            <w:noProof/>
            <w:webHidden/>
          </w:rPr>
          <w:instrText xml:space="preserve"> PAGEREF _Toc444685809 \h </w:instrText>
        </w:r>
        <w:r w:rsidR="006F1B89">
          <w:rPr>
            <w:noProof/>
            <w:webHidden/>
          </w:rPr>
        </w:r>
        <w:r w:rsidR="006F1B89">
          <w:rPr>
            <w:noProof/>
            <w:webHidden/>
          </w:rPr>
          <w:fldChar w:fldCharType="separate"/>
        </w:r>
        <w:r w:rsidR="001C21A8">
          <w:rPr>
            <w:noProof/>
            <w:webHidden/>
          </w:rPr>
          <w:t>11</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10" w:history="1">
        <w:r w:rsidR="001C21A8" w:rsidRPr="00604A5B">
          <w:rPr>
            <w:rStyle w:val="Hyperlink"/>
            <w:noProof/>
          </w:rPr>
          <w:t>5.2</w:t>
        </w:r>
        <w:r w:rsidR="001C21A8">
          <w:rPr>
            <w:rFonts w:asciiTheme="minorHAnsi" w:eastAsiaTheme="minorEastAsia" w:hAnsiTheme="minorHAnsi" w:cstheme="minorBidi"/>
            <w:noProof/>
            <w:color w:val="auto"/>
            <w:sz w:val="22"/>
            <w:lang w:eastAsia="en-GB"/>
          </w:rPr>
          <w:tab/>
        </w:r>
        <w:r w:rsidR="001C21A8" w:rsidRPr="00604A5B">
          <w:rPr>
            <w:rStyle w:val="Hyperlink"/>
            <w:noProof/>
          </w:rPr>
          <w:t>Exemptions</w:t>
        </w:r>
        <w:r w:rsidR="001C21A8">
          <w:rPr>
            <w:noProof/>
            <w:webHidden/>
          </w:rPr>
          <w:tab/>
        </w:r>
        <w:r w:rsidR="006F1B89">
          <w:rPr>
            <w:noProof/>
            <w:webHidden/>
          </w:rPr>
          <w:fldChar w:fldCharType="begin"/>
        </w:r>
        <w:r w:rsidR="001C21A8">
          <w:rPr>
            <w:noProof/>
            <w:webHidden/>
          </w:rPr>
          <w:instrText xml:space="preserve"> PAGEREF _Toc444685810 \h </w:instrText>
        </w:r>
        <w:r w:rsidR="006F1B89">
          <w:rPr>
            <w:noProof/>
            <w:webHidden/>
          </w:rPr>
        </w:r>
        <w:r w:rsidR="006F1B89">
          <w:rPr>
            <w:noProof/>
            <w:webHidden/>
          </w:rPr>
          <w:fldChar w:fldCharType="separate"/>
        </w:r>
        <w:r w:rsidR="001C21A8">
          <w:rPr>
            <w:noProof/>
            <w:webHidden/>
          </w:rPr>
          <w:t>12</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11" w:history="1">
        <w:r w:rsidR="001C21A8" w:rsidRPr="00604A5B">
          <w:rPr>
            <w:rStyle w:val="Hyperlink"/>
            <w:noProof/>
          </w:rPr>
          <w:t>5.3</w:t>
        </w:r>
        <w:r w:rsidR="001C21A8">
          <w:rPr>
            <w:rFonts w:asciiTheme="minorHAnsi" w:eastAsiaTheme="minorEastAsia" w:hAnsiTheme="minorHAnsi" w:cstheme="minorBidi"/>
            <w:noProof/>
            <w:color w:val="auto"/>
            <w:sz w:val="22"/>
            <w:lang w:eastAsia="en-GB"/>
          </w:rPr>
          <w:tab/>
        </w:r>
        <w:r w:rsidR="001C21A8" w:rsidRPr="00604A5B">
          <w:rPr>
            <w:rStyle w:val="Hyperlink"/>
            <w:noProof/>
          </w:rPr>
          <w:t>Buy-Out</w:t>
        </w:r>
        <w:r w:rsidR="001C21A8">
          <w:rPr>
            <w:noProof/>
            <w:webHidden/>
          </w:rPr>
          <w:tab/>
        </w:r>
        <w:r w:rsidR="006F1B89">
          <w:rPr>
            <w:noProof/>
            <w:webHidden/>
          </w:rPr>
          <w:fldChar w:fldCharType="begin"/>
        </w:r>
        <w:r w:rsidR="001C21A8">
          <w:rPr>
            <w:noProof/>
            <w:webHidden/>
          </w:rPr>
          <w:instrText xml:space="preserve"> PAGEREF _Toc444685811 \h </w:instrText>
        </w:r>
        <w:r w:rsidR="006F1B89">
          <w:rPr>
            <w:noProof/>
            <w:webHidden/>
          </w:rPr>
        </w:r>
        <w:r w:rsidR="006F1B89">
          <w:rPr>
            <w:noProof/>
            <w:webHidden/>
          </w:rPr>
          <w:fldChar w:fldCharType="separate"/>
        </w:r>
        <w:r w:rsidR="001C21A8">
          <w:rPr>
            <w:noProof/>
            <w:webHidden/>
          </w:rPr>
          <w:t>12</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12" w:history="1">
        <w:r w:rsidR="001C21A8" w:rsidRPr="00604A5B">
          <w:rPr>
            <w:rStyle w:val="Hyperlink"/>
            <w:noProof/>
          </w:rPr>
          <w:t>5.4</w:t>
        </w:r>
        <w:r w:rsidR="001C21A8">
          <w:rPr>
            <w:rFonts w:asciiTheme="minorHAnsi" w:eastAsiaTheme="minorEastAsia" w:hAnsiTheme="minorHAnsi" w:cstheme="minorBidi"/>
            <w:noProof/>
            <w:color w:val="auto"/>
            <w:sz w:val="22"/>
            <w:lang w:eastAsia="en-GB"/>
          </w:rPr>
          <w:tab/>
        </w:r>
        <w:r w:rsidR="001C21A8" w:rsidRPr="00604A5B">
          <w:rPr>
            <w:rStyle w:val="Hyperlink"/>
            <w:noProof/>
          </w:rPr>
          <w:t>Sexual Orientation</w:t>
        </w:r>
        <w:r w:rsidR="001C21A8">
          <w:rPr>
            <w:noProof/>
            <w:webHidden/>
          </w:rPr>
          <w:tab/>
        </w:r>
        <w:r w:rsidR="006F1B89">
          <w:rPr>
            <w:noProof/>
            <w:webHidden/>
          </w:rPr>
          <w:fldChar w:fldCharType="begin"/>
        </w:r>
        <w:r w:rsidR="001C21A8">
          <w:rPr>
            <w:noProof/>
            <w:webHidden/>
          </w:rPr>
          <w:instrText xml:space="preserve"> PAGEREF _Toc444685812 \h </w:instrText>
        </w:r>
        <w:r w:rsidR="006F1B89">
          <w:rPr>
            <w:noProof/>
            <w:webHidden/>
          </w:rPr>
        </w:r>
        <w:r w:rsidR="006F1B89">
          <w:rPr>
            <w:noProof/>
            <w:webHidden/>
          </w:rPr>
          <w:fldChar w:fldCharType="separate"/>
        </w:r>
        <w:r w:rsidR="001C21A8">
          <w:rPr>
            <w:noProof/>
            <w:webHidden/>
          </w:rPr>
          <w:t>13</w:t>
        </w:r>
        <w:r w:rsidR="006F1B89">
          <w:rPr>
            <w:noProof/>
            <w:webHidden/>
          </w:rPr>
          <w:fldChar w:fldCharType="end"/>
        </w:r>
      </w:hyperlink>
    </w:p>
    <w:p w:rsidR="001C21A8" w:rsidRDefault="00140C6E">
      <w:pPr>
        <w:pStyle w:val="TOC2"/>
        <w:rPr>
          <w:rFonts w:asciiTheme="minorHAnsi" w:eastAsiaTheme="minorEastAsia" w:hAnsiTheme="minorHAnsi" w:cstheme="minorBidi"/>
          <w:noProof/>
          <w:color w:val="auto"/>
          <w:sz w:val="22"/>
          <w:lang w:eastAsia="en-GB"/>
        </w:rPr>
      </w:pPr>
      <w:hyperlink w:anchor="_Toc444685813" w:history="1">
        <w:r w:rsidR="001C21A8" w:rsidRPr="00604A5B">
          <w:rPr>
            <w:rStyle w:val="Hyperlink"/>
            <w:noProof/>
          </w:rPr>
          <w:t>6.</w:t>
        </w:r>
        <w:r w:rsidR="001C21A8">
          <w:rPr>
            <w:rFonts w:asciiTheme="minorHAnsi" w:eastAsiaTheme="minorEastAsia" w:hAnsiTheme="minorHAnsi" w:cstheme="minorBidi"/>
            <w:noProof/>
            <w:color w:val="auto"/>
            <w:sz w:val="22"/>
            <w:lang w:eastAsia="en-GB"/>
          </w:rPr>
          <w:tab/>
        </w:r>
        <w:r w:rsidR="001C21A8" w:rsidRPr="00604A5B">
          <w:rPr>
            <w:rStyle w:val="Hyperlink"/>
            <w:noProof/>
          </w:rPr>
          <w:t>Length of Service</w:t>
        </w:r>
        <w:r w:rsidR="001C21A8">
          <w:rPr>
            <w:noProof/>
            <w:webHidden/>
          </w:rPr>
          <w:tab/>
        </w:r>
        <w:r w:rsidR="006F1B89">
          <w:rPr>
            <w:noProof/>
            <w:webHidden/>
          </w:rPr>
          <w:fldChar w:fldCharType="begin"/>
        </w:r>
        <w:r w:rsidR="001C21A8">
          <w:rPr>
            <w:noProof/>
            <w:webHidden/>
          </w:rPr>
          <w:instrText xml:space="preserve"> PAGEREF _Toc444685813 \h </w:instrText>
        </w:r>
        <w:r w:rsidR="006F1B89">
          <w:rPr>
            <w:noProof/>
            <w:webHidden/>
          </w:rPr>
        </w:r>
        <w:r w:rsidR="006F1B89">
          <w:rPr>
            <w:noProof/>
            <w:webHidden/>
          </w:rPr>
          <w:fldChar w:fldCharType="separate"/>
        </w:r>
        <w:r w:rsidR="001C21A8">
          <w:rPr>
            <w:noProof/>
            <w:webHidden/>
          </w:rPr>
          <w:t>14</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14" w:history="1">
        <w:r w:rsidR="001C21A8" w:rsidRPr="00604A5B">
          <w:rPr>
            <w:rStyle w:val="Hyperlink"/>
            <w:noProof/>
          </w:rPr>
          <w:t>6.1</w:t>
        </w:r>
        <w:r w:rsidR="001C21A8">
          <w:rPr>
            <w:rFonts w:asciiTheme="minorHAnsi" w:eastAsiaTheme="minorEastAsia" w:hAnsiTheme="minorHAnsi" w:cstheme="minorBidi"/>
            <w:noProof/>
            <w:color w:val="auto"/>
            <w:sz w:val="22"/>
            <w:lang w:eastAsia="en-GB"/>
          </w:rPr>
          <w:tab/>
        </w:r>
        <w:r w:rsidR="001C21A8" w:rsidRPr="00604A5B">
          <w:rPr>
            <w:rStyle w:val="Hyperlink"/>
            <w:noProof/>
          </w:rPr>
          <w:t>Conscripts</w:t>
        </w:r>
        <w:r w:rsidR="001C21A8">
          <w:rPr>
            <w:noProof/>
            <w:webHidden/>
          </w:rPr>
          <w:tab/>
        </w:r>
        <w:r w:rsidR="006F1B89">
          <w:rPr>
            <w:noProof/>
            <w:webHidden/>
          </w:rPr>
          <w:fldChar w:fldCharType="begin"/>
        </w:r>
        <w:r w:rsidR="001C21A8">
          <w:rPr>
            <w:noProof/>
            <w:webHidden/>
          </w:rPr>
          <w:instrText xml:space="preserve"> PAGEREF _Toc444685814 \h </w:instrText>
        </w:r>
        <w:r w:rsidR="006F1B89">
          <w:rPr>
            <w:noProof/>
            <w:webHidden/>
          </w:rPr>
        </w:r>
        <w:r w:rsidR="006F1B89">
          <w:rPr>
            <w:noProof/>
            <w:webHidden/>
          </w:rPr>
          <w:fldChar w:fldCharType="separate"/>
        </w:r>
        <w:r w:rsidR="001C21A8">
          <w:rPr>
            <w:noProof/>
            <w:webHidden/>
          </w:rPr>
          <w:t>14</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15" w:history="1">
        <w:r w:rsidR="001C21A8" w:rsidRPr="00604A5B">
          <w:rPr>
            <w:rStyle w:val="Hyperlink"/>
            <w:noProof/>
          </w:rPr>
          <w:t>6.2</w:t>
        </w:r>
        <w:r w:rsidR="001C21A8">
          <w:rPr>
            <w:rFonts w:asciiTheme="minorHAnsi" w:eastAsiaTheme="minorEastAsia" w:hAnsiTheme="minorHAnsi" w:cstheme="minorBidi"/>
            <w:noProof/>
            <w:color w:val="auto"/>
            <w:sz w:val="22"/>
            <w:lang w:eastAsia="en-GB"/>
          </w:rPr>
          <w:tab/>
        </w:r>
        <w:r w:rsidR="001C21A8" w:rsidRPr="00604A5B">
          <w:rPr>
            <w:rStyle w:val="Hyperlink"/>
            <w:noProof/>
          </w:rPr>
          <w:t>Students</w:t>
        </w:r>
        <w:r w:rsidR="001C21A8">
          <w:rPr>
            <w:noProof/>
            <w:webHidden/>
          </w:rPr>
          <w:tab/>
        </w:r>
        <w:r w:rsidR="006F1B89">
          <w:rPr>
            <w:noProof/>
            <w:webHidden/>
          </w:rPr>
          <w:fldChar w:fldCharType="begin"/>
        </w:r>
        <w:r w:rsidR="001C21A8">
          <w:rPr>
            <w:noProof/>
            <w:webHidden/>
          </w:rPr>
          <w:instrText xml:space="preserve"> PAGEREF _Toc444685815 \h </w:instrText>
        </w:r>
        <w:r w:rsidR="006F1B89">
          <w:rPr>
            <w:noProof/>
            <w:webHidden/>
          </w:rPr>
        </w:r>
        <w:r w:rsidR="006F1B89">
          <w:rPr>
            <w:noProof/>
            <w:webHidden/>
          </w:rPr>
          <w:fldChar w:fldCharType="separate"/>
        </w:r>
        <w:r w:rsidR="001C21A8">
          <w:rPr>
            <w:noProof/>
            <w:webHidden/>
          </w:rPr>
          <w:t>15</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16" w:history="1">
        <w:r w:rsidR="001C21A8" w:rsidRPr="00604A5B">
          <w:rPr>
            <w:rStyle w:val="Hyperlink"/>
            <w:noProof/>
          </w:rPr>
          <w:t>6.3</w:t>
        </w:r>
        <w:r w:rsidR="001C21A8">
          <w:rPr>
            <w:rFonts w:asciiTheme="minorHAnsi" w:eastAsiaTheme="minorEastAsia" w:hAnsiTheme="minorHAnsi" w:cstheme="minorBidi"/>
            <w:noProof/>
            <w:color w:val="auto"/>
            <w:sz w:val="22"/>
            <w:lang w:eastAsia="en-GB"/>
          </w:rPr>
          <w:tab/>
        </w:r>
        <w:r w:rsidR="001C21A8" w:rsidRPr="00604A5B">
          <w:rPr>
            <w:rStyle w:val="Hyperlink"/>
            <w:noProof/>
          </w:rPr>
          <w:t>Others</w:t>
        </w:r>
        <w:r w:rsidR="001C21A8">
          <w:rPr>
            <w:noProof/>
            <w:webHidden/>
          </w:rPr>
          <w:tab/>
        </w:r>
        <w:r w:rsidR="006F1B89">
          <w:rPr>
            <w:noProof/>
            <w:webHidden/>
          </w:rPr>
          <w:fldChar w:fldCharType="begin"/>
        </w:r>
        <w:r w:rsidR="001C21A8">
          <w:rPr>
            <w:noProof/>
            <w:webHidden/>
          </w:rPr>
          <w:instrText xml:space="preserve"> PAGEREF _Toc444685816 \h </w:instrText>
        </w:r>
        <w:r w:rsidR="006F1B89">
          <w:rPr>
            <w:noProof/>
            <w:webHidden/>
          </w:rPr>
        </w:r>
        <w:r w:rsidR="006F1B89">
          <w:rPr>
            <w:noProof/>
            <w:webHidden/>
          </w:rPr>
          <w:fldChar w:fldCharType="separate"/>
        </w:r>
        <w:r w:rsidR="001C21A8">
          <w:rPr>
            <w:noProof/>
            <w:webHidden/>
          </w:rPr>
          <w:t>15</w:t>
        </w:r>
        <w:r w:rsidR="006F1B89">
          <w:rPr>
            <w:noProof/>
            <w:webHidden/>
          </w:rPr>
          <w:fldChar w:fldCharType="end"/>
        </w:r>
      </w:hyperlink>
    </w:p>
    <w:p w:rsidR="001C21A8" w:rsidRDefault="00140C6E">
      <w:pPr>
        <w:pStyle w:val="TOC2"/>
        <w:rPr>
          <w:rFonts w:asciiTheme="minorHAnsi" w:eastAsiaTheme="minorEastAsia" w:hAnsiTheme="minorHAnsi" w:cstheme="minorBidi"/>
          <w:noProof/>
          <w:color w:val="auto"/>
          <w:sz w:val="22"/>
          <w:lang w:eastAsia="en-GB"/>
        </w:rPr>
      </w:pPr>
      <w:hyperlink w:anchor="_Toc444685817" w:history="1">
        <w:r w:rsidR="001C21A8" w:rsidRPr="00604A5B">
          <w:rPr>
            <w:rStyle w:val="Hyperlink"/>
            <w:noProof/>
          </w:rPr>
          <w:t>7.</w:t>
        </w:r>
        <w:r w:rsidR="001C21A8">
          <w:rPr>
            <w:rFonts w:asciiTheme="minorHAnsi" w:eastAsiaTheme="minorEastAsia" w:hAnsiTheme="minorHAnsi" w:cstheme="minorBidi"/>
            <w:noProof/>
            <w:color w:val="auto"/>
            <w:sz w:val="22"/>
            <w:lang w:eastAsia="en-GB"/>
          </w:rPr>
          <w:tab/>
        </w:r>
        <w:r w:rsidR="001C21A8" w:rsidRPr="00604A5B">
          <w:rPr>
            <w:rStyle w:val="Hyperlink"/>
            <w:noProof/>
          </w:rPr>
          <w:t>Evasion and Desertion</w:t>
        </w:r>
        <w:r w:rsidR="001C21A8">
          <w:rPr>
            <w:noProof/>
            <w:webHidden/>
          </w:rPr>
          <w:tab/>
        </w:r>
        <w:r w:rsidR="006F1B89">
          <w:rPr>
            <w:noProof/>
            <w:webHidden/>
          </w:rPr>
          <w:fldChar w:fldCharType="begin"/>
        </w:r>
        <w:r w:rsidR="001C21A8">
          <w:rPr>
            <w:noProof/>
            <w:webHidden/>
          </w:rPr>
          <w:instrText xml:space="preserve"> PAGEREF _Toc444685817 \h </w:instrText>
        </w:r>
        <w:r w:rsidR="006F1B89">
          <w:rPr>
            <w:noProof/>
            <w:webHidden/>
          </w:rPr>
        </w:r>
        <w:r w:rsidR="006F1B89">
          <w:rPr>
            <w:noProof/>
            <w:webHidden/>
          </w:rPr>
          <w:fldChar w:fldCharType="separate"/>
        </w:r>
        <w:r w:rsidR="001C21A8">
          <w:rPr>
            <w:noProof/>
            <w:webHidden/>
          </w:rPr>
          <w:t>15</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18" w:history="1">
        <w:r w:rsidR="001C21A8" w:rsidRPr="00604A5B">
          <w:rPr>
            <w:rStyle w:val="Hyperlink"/>
            <w:noProof/>
          </w:rPr>
          <w:t>7.1</w:t>
        </w:r>
        <w:r w:rsidR="001C21A8">
          <w:rPr>
            <w:rFonts w:asciiTheme="minorHAnsi" w:eastAsiaTheme="minorEastAsia" w:hAnsiTheme="minorHAnsi" w:cstheme="minorBidi"/>
            <w:noProof/>
            <w:color w:val="auto"/>
            <w:sz w:val="22"/>
            <w:lang w:eastAsia="en-GB"/>
          </w:rPr>
          <w:tab/>
        </w:r>
        <w:r w:rsidR="001C21A8" w:rsidRPr="00604A5B">
          <w:rPr>
            <w:rStyle w:val="Hyperlink"/>
            <w:noProof/>
          </w:rPr>
          <w:t>Definitions</w:t>
        </w:r>
        <w:r w:rsidR="001C21A8">
          <w:rPr>
            <w:noProof/>
            <w:webHidden/>
          </w:rPr>
          <w:tab/>
        </w:r>
        <w:r w:rsidR="006F1B89">
          <w:rPr>
            <w:noProof/>
            <w:webHidden/>
          </w:rPr>
          <w:fldChar w:fldCharType="begin"/>
        </w:r>
        <w:r w:rsidR="001C21A8">
          <w:rPr>
            <w:noProof/>
            <w:webHidden/>
          </w:rPr>
          <w:instrText xml:space="preserve"> PAGEREF _Toc444685818 \h </w:instrText>
        </w:r>
        <w:r w:rsidR="006F1B89">
          <w:rPr>
            <w:noProof/>
            <w:webHidden/>
          </w:rPr>
        </w:r>
        <w:r w:rsidR="006F1B89">
          <w:rPr>
            <w:noProof/>
            <w:webHidden/>
          </w:rPr>
          <w:fldChar w:fldCharType="separate"/>
        </w:r>
        <w:r w:rsidR="001C21A8">
          <w:rPr>
            <w:noProof/>
            <w:webHidden/>
          </w:rPr>
          <w:t>15</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19" w:history="1">
        <w:r w:rsidR="001C21A8" w:rsidRPr="00604A5B">
          <w:rPr>
            <w:rStyle w:val="Hyperlink"/>
            <w:noProof/>
          </w:rPr>
          <w:t>7.2</w:t>
        </w:r>
        <w:r w:rsidR="001C21A8">
          <w:rPr>
            <w:rFonts w:asciiTheme="minorHAnsi" w:eastAsiaTheme="minorEastAsia" w:hAnsiTheme="minorHAnsi" w:cstheme="minorBidi"/>
            <w:noProof/>
            <w:color w:val="auto"/>
            <w:sz w:val="22"/>
            <w:lang w:eastAsia="en-GB"/>
          </w:rPr>
          <w:tab/>
        </w:r>
        <w:r w:rsidR="001C21A8" w:rsidRPr="00604A5B">
          <w:rPr>
            <w:rStyle w:val="Hyperlink"/>
            <w:noProof/>
          </w:rPr>
          <w:t>Numbers of Evaders/Deserters</w:t>
        </w:r>
        <w:r w:rsidR="001C21A8">
          <w:rPr>
            <w:noProof/>
            <w:webHidden/>
          </w:rPr>
          <w:tab/>
        </w:r>
        <w:r w:rsidR="006F1B89">
          <w:rPr>
            <w:noProof/>
            <w:webHidden/>
          </w:rPr>
          <w:fldChar w:fldCharType="begin"/>
        </w:r>
        <w:r w:rsidR="001C21A8">
          <w:rPr>
            <w:noProof/>
            <w:webHidden/>
          </w:rPr>
          <w:instrText xml:space="preserve"> PAGEREF _Toc444685819 \h </w:instrText>
        </w:r>
        <w:r w:rsidR="006F1B89">
          <w:rPr>
            <w:noProof/>
            <w:webHidden/>
          </w:rPr>
        </w:r>
        <w:r w:rsidR="006F1B89">
          <w:rPr>
            <w:noProof/>
            <w:webHidden/>
          </w:rPr>
          <w:fldChar w:fldCharType="separate"/>
        </w:r>
        <w:r w:rsidR="001C21A8">
          <w:rPr>
            <w:noProof/>
            <w:webHidden/>
          </w:rPr>
          <w:t>16</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20" w:history="1">
        <w:r w:rsidR="001C21A8" w:rsidRPr="00604A5B">
          <w:rPr>
            <w:rStyle w:val="Hyperlink"/>
            <w:noProof/>
          </w:rPr>
          <w:t>7.3</w:t>
        </w:r>
        <w:r w:rsidR="001C21A8">
          <w:rPr>
            <w:rFonts w:asciiTheme="minorHAnsi" w:eastAsiaTheme="minorEastAsia" w:hAnsiTheme="minorHAnsi" w:cstheme="minorBidi"/>
            <w:noProof/>
            <w:color w:val="auto"/>
            <w:sz w:val="22"/>
            <w:lang w:eastAsia="en-GB"/>
          </w:rPr>
          <w:tab/>
        </w:r>
        <w:r w:rsidR="001C21A8" w:rsidRPr="00604A5B">
          <w:rPr>
            <w:rStyle w:val="Hyperlink"/>
            <w:noProof/>
          </w:rPr>
          <w:t>Consequences of Evading/Deserting</w:t>
        </w:r>
        <w:r w:rsidR="001C21A8">
          <w:rPr>
            <w:noProof/>
            <w:webHidden/>
          </w:rPr>
          <w:tab/>
        </w:r>
        <w:r w:rsidR="006F1B89">
          <w:rPr>
            <w:noProof/>
            <w:webHidden/>
          </w:rPr>
          <w:fldChar w:fldCharType="begin"/>
        </w:r>
        <w:r w:rsidR="001C21A8">
          <w:rPr>
            <w:noProof/>
            <w:webHidden/>
          </w:rPr>
          <w:instrText xml:space="preserve"> PAGEREF _Toc444685820 \h </w:instrText>
        </w:r>
        <w:r w:rsidR="006F1B89">
          <w:rPr>
            <w:noProof/>
            <w:webHidden/>
          </w:rPr>
        </w:r>
        <w:r w:rsidR="006F1B89">
          <w:rPr>
            <w:noProof/>
            <w:webHidden/>
          </w:rPr>
          <w:fldChar w:fldCharType="separate"/>
        </w:r>
        <w:r w:rsidR="001C21A8">
          <w:rPr>
            <w:noProof/>
            <w:webHidden/>
          </w:rPr>
          <w:t>16</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21" w:history="1">
        <w:r w:rsidR="001C21A8" w:rsidRPr="00604A5B">
          <w:rPr>
            <w:rStyle w:val="Hyperlink"/>
            <w:noProof/>
          </w:rPr>
          <w:t>7.4</w:t>
        </w:r>
        <w:r w:rsidR="001C21A8">
          <w:rPr>
            <w:rFonts w:asciiTheme="minorHAnsi" w:eastAsiaTheme="minorEastAsia" w:hAnsiTheme="minorHAnsi" w:cstheme="minorBidi"/>
            <w:noProof/>
            <w:color w:val="auto"/>
            <w:sz w:val="22"/>
            <w:lang w:eastAsia="en-GB"/>
          </w:rPr>
          <w:tab/>
        </w:r>
        <w:r w:rsidR="001C21A8" w:rsidRPr="00604A5B">
          <w:rPr>
            <w:rStyle w:val="Hyperlink"/>
            <w:noProof/>
          </w:rPr>
          <w:t>Detecting Evaders/Deserters</w:t>
        </w:r>
        <w:r w:rsidR="001C21A8">
          <w:rPr>
            <w:noProof/>
            <w:webHidden/>
          </w:rPr>
          <w:tab/>
        </w:r>
        <w:r w:rsidR="006F1B89">
          <w:rPr>
            <w:noProof/>
            <w:webHidden/>
          </w:rPr>
          <w:fldChar w:fldCharType="begin"/>
        </w:r>
        <w:r w:rsidR="001C21A8">
          <w:rPr>
            <w:noProof/>
            <w:webHidden/>
          </w:rPr>
          <w:instrText xml:space="preserve"> PAGEREF _Toc444685821 \h </w:instrText>
        </w:r>
        <w:r w:rsidR="006F1B89">
          <w:rPr>
            <w:noProof/>
            <w:webHidden/>
          </w:rPr>
        </w:r>
        <w:r w:rsidR="006F1B89">
          <w:rPr>
            <w:noProof/>
            <w:webHidden/>
          </w:rPr>
          <w:fldChar w:fldCharType="separate"/>
        </w:r>
        <w:r w:rsidR="001C21A8">
          <w:rPr>
            <w:noProof/>
            <w:webHidden/>
          </w:rPr>
          <w:t>17</w:t>
        </w:r>
        <w:r w:rsidR="006F1B89">
          <w:rPr>
            <w:noProof/>
            <w:webHidden/>
          </w:rPr>
          <w:fldChar w:fldCharType="end"/>
        </w:r>
      </w:hyperlink>
    </w:p>
    <w:p w:rsidR="001C21A8" w:rsidRDefault="00140C6E">
      <w:pPr>
        <w:pStyle w:val="TOC2"/>
        <w:rPr>
          <w:rFonts w:asciiTheme="minorHAnsi" w:eastAsiaTheme="minorEastAsia" w:hAnsiTheme="minorHAnsi" w:cstheme="minorBidi"/>
          <w:noProof/>
          <w:color w:val="auto"/>
          <w:sz w:val="22"/>
          <w:lang w:eastAsia="en-GB"/>
        </w:rPr>
      </w:pPr>
      <w:hyperlink w:anchor="_Toc444685822" w:history="1">
        <w:r w:rsidR="001C21A8" w:rsidRPr="00604A5B">
          <w:rPr>
            <w:rStyle w:val="Hyperlink"/>
            <w:noProof/>
          </w:rPr>
          <w:t>8.</w:t>
        </w:r>
        <w:r w:rsidR="001C21A8">
          <w:rPr>
            <w:rFonts w:asciiTheme="minorHAnsi" w:eastAsiaTheme="minorEastAsia" w:hAnsiTheme="minorHAnsi" w:cstheme="minorBidi"/>
            <w:noProof/>
            <w:color w:val="auto"/>
            <w:sz w:val="22"/>
            <w:lang w:eastAsia="en-GB"/>
          </w:rPr>
          <w:tab/>
        </w:r>
        <w:r w:rsidR="001C21A8" w:rsidRPr="00604A5B">
          <w:rPr>
            <w:rStyle w:val="Hyperlink"/>
            <w:noProof/>
          </w:rPr>
          <w:t>Conscientious Objection</w:t>
        </w:r>
        <w:r w:rsidR="001C21A8">
          <w:rPr>
            <w:noProof/>
            <w:webHidden/>
          </w:rPr>
          <w:tab/>
        </w:r>
        <w:r w:rsidR="006F1B89">
          <w:rPr>
            <w:noProof/>
            <w:webHidden/>
          </w:rPr>
          <w:fldChar w:fldCharType="begin"/>
        </w:r>
        <w:r w:rsidR="001C21A8">
          <w:rPr>
            <w:noProof/>
            <w:webHidden/>
          </w:rPr>
          <w:instrText xml:space="preserve"> PAGEREF _Toc444685822 \h </w:instrText>
        </w:r>
        <w:r w:rsidR="006F1B89">
          <w:rPr>
            <w:noProof/>
            <w:webHidden/>
          </w:rPr>
        </w:r>
        <w:r w:rsidR="006F1B89">
          <w:rPr>
            <w:noProof/>
            <w:webHidden/>
          </w:rPr>
          <w:fldChar w:fldCharType="separate"/>
        </w:r>
        <w:r w:rsidR="001C21A8">
          <w:rPr>
            <w:noProof/>
            <w:webHidden/>
          </w:rPr>
          <w:t>18</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23" w:history="1">
        <w:r w:rsidR="001C21A8" w:rsidRPr="00604A5B">
          <w:rPr>
            <w:rStyle w:val="Hyperlink"/>
            <w:noProof/>
          </w:rPr>
          <w:t>8.1</w:t>
        </w:r>
        <w:r w:rsidR="001C21A8">
          <w:rPr>
            <w:rFonts w:asciiTheme="minorHAnsi" w:eastAsiaTheme="minorEastAsia" w:hAnsiTheme="minorHAnsi" w:cstheme="minorBidi"/>
            <w:noProof/>
            <w:color w:val="auto"/>
            <w:sz w:val="22"/>
            <w:lang w:eastAsia="en-GB"/>
          </w:rPr>
          <w:tab/>
        </w:r>
        <w:r w:rsidR="001C21A8" w:rsidRPr="00604A5B">
          <w:rPr>
            <w:rStyle w:val="Hyperlink"/>
            <w:noProof/>
          </w:rPr>
          <w:t>Option to Conscientiously Object</w:t>
        </w:r>
        <w:r w:rsidR="001C21A8">
          <w:rPr>
            <w:noProof/>
            <w:webHidden/>
          </w:rPr>
          <w:tab/>
        </w:r>
        <w:r w:rsidR="006F1B89">
          <w:rPr>
            <w:noProof/>
            <w:webHidden/>
          </w:rPr>
          <w:fldChar w:fldCharType="begin"/>
        </w:r>
        <w:r w:rsidR="001C21A8">
          <w:rPr>
            <w:noProof/>
            <w:webHidden/>
          </w:rPr>
          <w:instrText xml:space="preserve"> PAGEREF _Toc444685823 \h </w:instrText>
        </w:r>
        <w:r w:rsidR="006F1B89">
          <w:rPr>
            <w:noProof/>
            <w:webHidden/>
          </w:rPr>
        </w:r>
        <w:r w:rsidR="006F1B89">
          <w:rPr>
            <w:noProof/>
            <w:webHidden/>
          </w:rPr>
          <w:fldChar w:fldCharType="separate"/>
        </w:r>
        <w:r w:rsidR="001C21A8">
          <w:rPr>
            <w:noProof/>
            <w:webHidden/>
          </w:rPr>
          <w:t>18</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24" w:history="1">
        <w:r w:rsidR="001C21A8" w:rsidRPr="00604A5B">
          <w:rPr>
            <w:rStyle w:val="Hyperlink"/>
            <w:noProof/>
          </w:rPr>
          <w:t>8.2</w:t>
        </w:r>
        <w:r w:rsidR="001C21A8">
          <w:rPr>
            <w:rFonts w:asciiTheme="minorHAnsi" w:eastAsiaTheme="minorEastAsia" w:hAnsiTheme="minorHAnsi" w:cstheme="minorBidi"/>
            <w:noProof/>
            <w:color w:val="auto"/>
            <w:sz w:val="22"/>
            <w:lang w:eastAsia="en-GB"/>
          </w:rPr>
          <w:tab/>
        </w:r>
        <w:r w:rsidR="001C21A8" w:rsidRPr="00604A5B">
          <w:rPr>
            <w:rStyle w:val="Hyperlink"/>
            <w:noProof/>
          </w:rPr>
          <w:t>Numbers of Conscientious Objectors</w:t>
        </w:r>
        <w:r w:rsidR="001C21A8">
          <w:rPr>
            <w:noProof/>
            <w:webHidden/>
          </w:rPr>
          <w:tab/>
        </w:r>
        <w:r w:rsidR="006F1B89">
          <w:rPr>
            <w:noProof/>
            <w:webHidden/>
          </w:rPr>
          <w:fldChar w:fldCharType="begin"/>
        </w:r>
        <w:r w:rsidR="001C21A8">
          <w:rPr>
            <w:noProof/>
            <w:webHidden/>
          </w:rPr>
          <w:instrText xml:space="preserve"> PAGEREF _Toc444685824 \h </w:instrText>
        </w:r>
        <w:r w:rsidR="006F1B89">
          <w:rPr>
            <w:noProof/>
            <w:webHidden/>
          </w:rPr>
        </w:r>
        <w:r w:rsidR="006F1B89">
          <w:rPr>
            <w:noProof/>
            <w:webHidden/>
          </w:rPr>
          <w:fldChar w:fldCharType="separate"/>
        </w:r>
        <w:r w:rsidR="001C21A8">
          <w:rPr>
            <w:noProof/>
            <w:webHidden/>
          </w:rPr>
          <w:t>18</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25" w:history="1">
        <w:r w:rsidR="001C21A8" w:rsidRPr="00604A5B">
          <w:rPr>
            <w:rStyle w:val="Hyperlink"/>
            <w:noProof/>
          </w:rPr>
          <w:t>8.3</w:t>
        </w:r>
        <w:r w:rsidR="001C21A8">
          <w:rPr>
            <w:rFonts w:asciiTheme="minorHAnsi" w:eastAsiaTheme="minorEastAsia" w:hAnsiTheme="minorHAnsi" w:cstheme="minorBidi"/>
            <w:noProof/>
            <w:color w:val="auto"/>
            <w:sz w:val="22"/>
            <w:lang w:eastAsia="en-GB"/>
          </w:rPr>
          <w:tab/>
        </w:r>
        <w:r w:rsidR="001C21A8" w:rsidRPr="00604A5B">
          <w:rPr>
            <w:rStyle w:val="Hyperlink"/>
            <w:noProof/>
          </w:rPr>
          <w:t>Treatment of Conscientious Objectors</w:t>
        </w:r>
        <w:r w:rsidR="001C21A8">
          <w:rPr>
            <w:noProof/>
            <w:webHidden/>
          </w:rPr>
          <w:tab/>
        </w:r>
        <w:r w:rsidR="006F1B89">
          <w:rPr>
            <w:noProof/>
            <w:webHidden/>
          </w:rPr>
          <w:fldChar w:fldCharType="begin"/>
        </w:r>
        <w:r w:rsidR="001C21A8">
          <w:rPr>
            <w:noProof/>
            <w:webHidden/>
          </w:rPr>
          <w:instrText xml:space="preserve"> PAGEREF _Toc444685825 \h </w:instrText>
        </w:r>
        <w:r w:rsidR="006F1B89">
          <w:rPr>
            <w:noProof/>
            <w:webHidden/>
          </w:rPr>
        </w:r>
        <w:r w:rsidR="006F1B89">
          <w:rPr>
            <w:noProof/>
            <w:webHidden/>
          </w:rPr>
          <w:fldChar w:fldCharType="separate"/>
        </w:r>
        <w:r w:rsidR="001C21A8">
          <w:rPr>
            <w:noProof/>
            <w:webHidden/>
          </w:rPr>
          <w:t>18</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26" w:history="1">
        <w:r w:rsidR="001C21A8" w:rsidRPr="00604A5B">
          <w:rPr>
            <w:rStyle w:val="Hyperlink"/>
            <w:noProof/>
          </w:rPr>
          <w:t>8.4</w:t>
        </w:r>
        <w:r w:rsidR="001C21A8">
          <w:rPr>
            <w:rFonts w:asciiTheme="minorHAnsi" w:eastAsiaTheme="minorEastAsia" w:hAnsiTheme="minorHAnsi" w:cstheme="minorBidi"/>
            <w:noProof/>
            <w:color w:val="auto"/>
            <w:sz w:val="22"/>
            <w:lang w:eastAsia="en-GB"/>
          </w:rPr>
          <w:tab/>
        </w:r>
        <w:r w:rsidR="001C21A8" w:rsidRPr="00604A5B">
          <w:rPr>
            <w:rStyle w:val="Hyperlink"/>
            <w:noProof/>
          </w:rPr>
          <w:t>European Court of Human Rights (ECtHR) Rulings</w:t>
        </w:r>
        <w:r w:rsidR="001C21A8">
          <w:rPr>
            <w:noProof/>
            <w:webHidden/>
          </w:rPr>
          <w:tab/>
        </w:r>
        <w:r w:rsidR="006F1B89">
          <w:rPr>
            <w:noProof/>
            <w:webHidden/>
          </w:rPr>
          <w:fldChar w:fldCharType="begin"/>
        </w:r>
        <w:r w:rsidR="001C21A8">
          <w:rPr>
            <w:noProof/>
            <w:webHidden/>
          </w:rPr>
          <w:instrText xml:space="preserve"> PAGEREF _Toc444685826 \h </w:instrText>
        </w:r>
        <w:r w:rsidR="006F1B89">
          <w:rPr>
            <w:noProof/>
            <w:webHidden/>
          </w:rPr>
        </w:r>
        <w:r w:rsidR="006F1B89">
          <w:rPr>
            <w:noProof/>
            <w:webHidden/>
          </w:rPr>
          <w:fldChar w:fldCharType="separate"/>
        </w:r>
        <w:r w:rsidR="001C21A8">
          <w:rPr>
            <w:noProof/>
            <w:webHidden/>
          </w:rPr>
          <w:t>20</w:t>
        </w:r>
        <w:r w:rsidR="006F1B89">
          <w:rPr>
            <w:noProof/>
            <w:webHidden/>
          </w:rPr>
          <w:fldChar w:fldCharType="end"/>
        </w:r>
      </w:hyperlink>
    </w:p>
    <w:p w:rsidR="001C21A8" w:rsidRDefault="00140C6E">
      <w:pPr>
        <w:pStyle w:val="TOC2"/>
        <w:rPr>
          <w:rFonts w:asciiTheme="minorHAnsi" w:eastAsiaTheme="minorEastAsia" w:hAnsiTheme="minorHAnsi" w:cstheme="minorBidi"/>
          <w:noProof/>
          <w:color w:val="auto"/>
          <w:sz w:val="22"/>
          <w:lang w:eastAsia="en-GB"/>
        </w:rPr>
      </w:pPr>
      <w:hyperlink w:anchor="_Toc444685827" w:history="1">
        <w:r w:rsidR="001C21A8" w:rsidRPr="00604A5B">
          <w:rPr>
            <w:rStyle w:val="Hyperlink"/>
            <w:noProof/>
          </w:rPr>
          <w:t>9.</w:t>
        </w:r>
        <w:r w:rsidR="001C21A8">
          <w:rPr>
            <w:rFonts w:asciiTheme="minorHAnsi" w:eastAsiaTheme="minorEastAsia" w:hAnsiTheme="minorHAnsi" w:cstheme="minorBidi"/>
            <w:noProof/>
            <w:color w:val="auto"/>
            <w:sz w:val="22"/>
            <w:lang w:eastAsia="en-GB"/>
          </w:rPr>
          <w:tab/>
        </w:r>
        <w:r w:rsidR="001C21A8" w:rsidRPr="00604A5B">
          <w:rPr>
            <w:rStyle w:val="Hyperlink"/>
            <w:noProof/>
          </w:rPr>
          <w:t>Treatment</w:t>
        </w:r>
        <w:r w:rsidR="001C21A8">
          <w:rPr>
            <w:noProof/>
            <w:webHidden/>
          </w:rPr>
          <w:tab/>
        </w:r>
        <w:r w:rsidR="006F1B89">
          <w:rPr>
            <w:noProof/>
            <w:webHidden/>
          </w:rPr>
          <w:fldChar w:fldCharType="begin"/>
        </w:r>
        <w:r w:rsidR="001C21A8">
          <w:rPr>
            <w:noProof/>
            <w:webHidden/>
          </w:rPr>
          <w:instrText xml:space="preserve"> PAGEREF _Toc444685827 \h </w:instrText>
        </w:r>
        <w:r w:rsidR="006F1B89">
          <w:rPr>
            <w:noProof/>
            <w:webHidden/>
          </w:rPr>
        </w:r>
        <w:r w:rsidR="006F1B89">
          <w:rPr>
            <w:noProof/>
            <w:webHidden/>
          </w:rPr>
          <w:fldChar w:fldCharType="separate"/>
        </w:r>
        <w:r w:rsidR="001C21A8">
          <w:rPr>
            <w:noProof/>
            <w:webHidden/>
          </w:rPr>
          <w:t>20</w:t>
        </w:r>
        <w:r w:rsidR="006F1B89">
          <w:rPr>
            <w:noProof/>
            <w:webHidden/>
          </w:rPr>
          <w:fldChar w:fldCharType="end"/>
        </w:r>
      </w:hyperlink>
    </w:p>
    <w:p w:rsidR="001C21A8" w:rsidRDefault="00140C6E">
      <w:pPr>
        <w:pStyle w:val="TOC3"/>
        <w:rPr>
          <w:rFonts w:asciiTheme="minorHAnsi" w:eastAsiaTheme="minorEastAsia" w:hAnsiTheme="minorHAnsi" w:cstheme="minorBidi"/>
          <w:noProof/>
          <w:color w:val="auto"/>
          <w:sz w:val="22"/>
          <w:lang w:eastAsia="en-GB"/>
        </w:rPr>
      </w:pPr>
      <w:hyperlink w:anchor="_Toc444685828" w:history="1">
        <w:r w:rsidR="001C21A8" w:rsidRPr="00604A5B">
          <w:rPr>
            <w:rStyle w:val="Hyperlink"/>
            <w:noProof/>
          </w:rPr>
          <w:t>9.1</w:t>
        </w:r>
        <w:r w:rsidR="001C21A8">
          <w:rPr>
            <w:rFonts w:asciiTheme="minorHAnsi" w:eastAsiaTheme="minorEastAsia" w:hAnsiTheme="minorHAnsi" w:cstheme="minorBidi"/>
            <w:noProof/>
            <w:color w:val="auto"/>
            <w:sz w:val="22"/>
            <w:lang w:eastAsia="en-GB"/>
          </w:rPr>
          <w:tab/>
        </w:r>
        <w:r w:rsidR="001C21A8" w:rsidRPr="00604A5B">
          <w:rPr>
            <w:rStyle w:val="Hyperlink"/>
            <w:iCs/>
            <w:noProof/>
            <w:shd w:val="clear" w:color="auto" w:fill="FFFFFF"/>
          </w:rPr>
          <w:t>Mistreatment of conscripts</w:t>
        </w:r>
        <w:r w:rsidR="001C21A8">
          <w:rPr>
            <w:noProof/>
            <w:webHidden/>
          </w:rPr>
          <w:tab/>
        </w:r>
        <w:r w:rsidR="006F1B89">
          <w:rPr>
            <w:noProof/>
            <w:webHidden/>
          </w:rPr>
          <w:fldChar w:fldCharType="begin"/>
        </w:r>
        <w:r w:rsidR="001C21A8">
          <w:rPr>
            <w:noProof/>
            <w:webHidden/>
          </w:rPr>
          <w:instrText xml:space="preserve"> PAGEREF _Toc444685828 \h </w:instrText>
        </w:r>
        <w:r w:rsidR="006F1B89">
          <w:rPr>
            <w:noProof/>
            <w:webHidden/>
          </w:rPr>
        </w:r>
        <w:r w:rsidR="006F1B89">
          <w:rPr>
            <w:noProof/>
            <w:webHidden/>
          </w:rPr>
          <w:fldChar w:fldCharType="separate"/>
        </w:r>
        <w:r w:rsidR="001C21A8">
          <w:rPr>
            <w:noProof/>
            <w:webHidden/>
          </w:rPr>
          <w:t>20</w:t>
        </w:r>
        <w:r w:rsidR="006F1B89">
          <w:rPr>
            <w:noProof/>
            <w:webHidden/>
          </w:rPr>
          <w:fldChar w:fldCharType="end"/>
        </w:r>
      </w:hyperlink>
    </w:p>
    <w:p w:rsidR="001C21A8" w:rsidRDefault="00140C6E">
      <w:pPr>
        <w:pStyle w:val="TOC1"/>
        <w:tabs>
          <w:tab w:val="right" w:leader="dot" w:pos="9016"/>
        </w:tabs>
        <w:rPr>
          <w:rFonts w:asciiTheme="minorHAnsi" w:eastAsiaTheme="minorEastAsia" w:hAnsiTheme="minorHAnsi" w:cstheme="minorBidi"/>
          <w:b w:val="0"/>
          <w:noProof/>
          <w:color w:val="auto"/>
          <w:sz w:val="22"/>
          <w:lang w:eastAsia="en-GB"/>
        </w:rPr>
      </w:pPr>
      <w:hyperlink w:anchor="_Toc444685829" w:history="1">
        <w:r w:rsidR="001C21A8" w:rsidRPr="00604A5B">
          <w:rPr>
            <w:rStyle w:val="Hyperlink"/>
            <w:noProof/>
          </w:rPr>
          <w:t>Version Control and Contacts</w:t>
        </w:r>
        <w:r w:rsidR="001C21A8">
          <w:rPr>
            <w:noProof/>
            <w:webHidden/>
          </w:rPr>
          <w:tab/>
        </w:r>
        <w:r w:rsidR="006F1B89">
          <w:rPr>
            <w:noProof/>
            <w:webHidden/>
          </w:rPr>
          <w:fldChar w:fldCharType="begin"/>
        </w:r>
        <w:r w:rsidR="001C21A8">
          <w:rPr>
            <w:noProof/>
            <w:webHidden/>
          </w:rPr>
          <w:instrText xml:space="preserve"> PAGEREF _Toc444685829 \h </w:instrText>
        </w:r>
        <w:r w:rsidR="006F1B89">
          <w:rPr>
            <w:noProof/>
            <w:webHidden/>
          </w:rPr>
        </w:r>
        <w:r w:rsidR="006F1B89">
          <w:rPr>
            <w:noProof/>
            <w:webHidden/>
          </w:rPr>
          <w:fldChar w:fldCharType="separate"/>
        </w:r>
        <w:r w:rsidR="001C21A8">
          <w:rPr>
            <w:noProof/>
            <w:webHidden/>
          </w:rPr>
          <w:t>22</w:t>
        </w:r>
        <w:r w:rsidR="006F1B89">
          <w:rPr>
            <w:noProof/>
            <w:webHidden/>
          </w:rPr>
          <w:fldChar w:fldCharType="end"/>
        </w:r>
      </w:hyperlink>
    </w:p>
    <w:p w:rsidR="00DA5094" w:rsidRDefault="006F1B89">
      <w:pPr>
        <w:rPr>
          <w:rFonts w:eastAsiaTheme="majorEastAsia" w:cstheme="majorBidi"/>
          <w:b/>
          <w:bCs/>
          <w:color w:val="7030A0"/>
          <w:sz w:val="32"/>
          <w:szCs w:val="28"/>
        </w:rPr>
      </w:pPr>
      <w:r>
        <w:rPr>
          <w:color w:val="7030A0"/>
        </w:rPr>
        <w:fldChar w:fldCharType="end"/>
      </w:r>
      <w:r w:rsidR="00DA5094">
        <w:br w:type="page"/>
      </w:r>
    </w:p>
    <w:p w:rsidR="00EC7DF2" w:rsidRDefault="009B0C7C" w:rsidP="00DA5094">
      <w:pPr>
        <w:pStyle w:val="Heading1"/>
      </w:pPr>
      <w:bookmarkStart w:id="6" w:name="_Toc444685791"/>
      <w:r>
        <w:lastRenderedPageBreak/>
        <w:t>G</w:t>
      </w:r>
      <w:r w:rsidR="00EC7DF2">
        <w:t>uidance</w:t>
      </w:r>
      <w:bookmarkEnd w:id="3"/>
      <w:bookmarkEnd w:id="6"/>
    </w:p>
    <w:p w:rsidR="003F5F72" w:rsidRPr="003F5F72" w:rsidRDefault="003F5F72" w:rsidP="003F5F72">
      <w:pPr>
        <w:jc w:val="right"/>
        <w:rPr>
          <w:color w:val="7030A0"/>
        </w:rPr>
      </w:pPr>
      <w:r w:rsidRPr="003F5F72">
        <w:rPr>
          <w:color w:val="7030A0"/>
        </w:rPr>
        <w:t>Update</w:t>
      </w:r>
      <w:r w:rsidR="00B746DD">
        <w:rPr>
          <w:color w:val="7030A0"/>
        </w:rPr>
        <w:t>d: 2 March</w:t>
      </w:r>
      <w:r w:rsidR="002C60FD">
        <w:rPr>
          <w:color w:val="7030A0"/>
        </w:rPr>
        <w:t xml:space="preserve"> 2016</w:t>
      </w:r>
      <w:r w:rsidRPr="003F5F72">
        <w:rPr>
          <w:color w:val="7030A0"/>
        </w:rPr>
        <w:t xml:space="preserve"> </w:t>
      </w:r>
    </w:p>
    <w:p w:rsidR="00E3771E" w:rsidRPr="00E3771E" w:rsidRDefault="00E3771E" w:rsidP="007B70DA">
      <w:pPr>
        <w:pStyle w:val="Heading2"/>
        <w:ind w:left="851" w:hanging="851"/>
      </w:pPr>
      <w:bookmarkStart w:id="7" w:name="_Toc444685792"/>
      <w:r w:rsidRPr="00E3771E">
        <w:t>Basis of Claim</w:t>
      </w:r>
      <w:bookmarkEnd w:id="7"/>
    </w:p>
    <w:p w:rsidR="00E3771E" w:rsidRPr="00E3771E" w:rsidRDefault="00E3771E" w:rsidP="00E3771E">
      <w:pPr>
        <w:pStyle w:val="CPITNumberedParagraphText"/>
        <w:numPr>
          <w:ilvl w:val="2"/>
          <w:numId w:val="6"/>
        </w:numPr>
        <w:tabs>
          <w:tab w:val="clear" w:pos="851"/>
        </w:tabs>
        <w:ind w:left="851" w:hanging="851"/>
      </w:pPr>
      <w:r w:rsidRPr="00E3771E">
        <w:t xml:space="preserve">Fear of </w:t>
      </w:r>
      <w:r w:rsidR="007B3592">
        <w:t>persecution or serious harm</w:t>
      </w:r>
      <w:r w:rsidRPr="00E3771E">
        <w:t xml:space="preserve"> by the state because of:</w:t>
      </w:r>
    </w:p>
    <w:p w:rsidR="00E3771E" w:rsidRPr="00E3771E" w:rsidRDefault="00E3771E" w:rsidP="00E3771E">
      <w:pPr>
        <w:pStyle w:val="CPITNumberedParagraphText"/>
        <w:numPr>
          <w:ilvl w:val="0"/>
          <w:numId w:val="9"/>
        </w:numPr>
        <w:tabs>
          <w:tab w:val="clear" w:pos="851"/>
        </w:tabs>
        <w:ind w:left="1560" w:hanging="709"/>
      </w:pPr>
      <w:r w:rsidRPr="00E3771E">
        <w:t xml:space="preserve">the treatment and/or conditions likely to be faced by </w:t>
      </w:r>
      <w:r w:rsidR="000F3F00">
        <w:t xml:space="preserve">the </w:t>
      </w:r>
      <w:r w:rsidRPr="00E3771E">
        <w:t>person during compulsory military service duties; and/or</w:t>
      </w:r>
    </w:p>
    <w:p w:rsidR="00E3771E" w:rsidRDefault="00E3771E" w:rsidP="00E3771E">
      <w:pPr>
        <w:pStyle w:val="CPITNumberedParagraphText"/>
        <w:numPr>
          <w:ilvl w:val="0"/>
          <w:numId w:val="9"/>
        </w:numPr>
        <w:tabs>
          <w:tab w:val="clear" w:pos="851"/>
        </w:tabs>
        <w:ind w:left="1560" w:hanging="709"/>
      </w:pPr>
      <w:r w:rsidRPr="00E3771E">
        <w:t>the penalties likely to be faced by the person’s refusal to undertake, or their desertion from, military service duties.</w:t>
      </w:r>
    </w:p>
    <w:p w:rsidR="000F3D88" w:rsidRPr="00207CED" w:rsidRDefault="00140C6E" w:rsidP="000F3D88">
      <w:pPr>
        <w:ind w:left="851"/>
        <w:jc w:val="right"/>
        <w:rPr>
          <w:rStyle w:val="Hyperlink"/>
        </w:rPr>
      </w:pPr>
      <w:hyperlink w:anchor="contents" w:history="1">
        <w:r w:rsidR="000F3D88" w:rsidRPr="00207CED">
          <w:rPr>
            <w:rStyle w:val="Hyperlink"/>
          </w:rPr>
          <w:t>Back to Contents</w:t>
        </w:r>
      </w:hyperlink>
    </w:p>
    <w:p w:rsidR="00E3771E" w:rsidRPr="002B102B" w:rsidRDefault="00E3771E" w:rsidP="007B70DA">
      <w:pPr>
        <w:pStyle w:val="Heading2"/>
        <w:ind w:left="851" w:hanging="851"/>
      </w:pPr>
      <w:bookmarkStart w:id="8" w:name="_Toc412550413"/>
      <w:bookmarkStart w:id="9" w:name="_Toc416356698"/>
      <w:bookmarkStart w:id="10" w:name="_Toc444685793"/>
      <w:r w:rsidRPr="002B102B">
        <w:t>Consideration of Issues</w:t>
      </w:r>
      <w:bookmarkEnd w:id="8"/>
      <w:bookmarkEnd w:id="9"/>
      <w:bookmarkEnd w:id="10"/>
    </w:p>
    <w:p w:rsidR="00E3771E" w:rsidRPr="002B102B" w:rsidRDefault="00BD3FC2" w:rsidP="007B70DA">
      <w:pPr>
        <w:pStyle w:val="Heading3"/>
        <w:ind w:left="851" w:hanging="851"/>
      </w:pPr>
      <w:bookmarkStart w:id="11" w:name="_Toc444685794"/>
      <w:r>
        <w:t>Credibility</w:t>
      </w:r>
      <w:bookmarkEnd w:id="11"/>
    </w:p>
    <w:p w:rsidR="00171206" w:rsidRDefault="003B3418" w:rsidP="007B70DA">
      <w:pPr>
        <w:pStyle w:val="ListParagraph"/>
        <w:ind w:left="851" w:hanging="851"/>
      </w:pPr>
      <w:r>
        <w:t>For further guidance</w:t>
      </w:r>
      <w:r w:rsidR="00171206">
        <w:t xml:space="preserve"> on assessing credibility, see sections 4 and 5 of the </w:t>
      </w:r>
      <w:hyperlink r:id="rId19" w:history="1">
        <w:r w:rsidR="00171206" w:rsidRPr="00207CED">
          <w:rPr>
            <w:rStyle w:val="Hyperlink"/>
          </w:rPr>
          <w:t>Asylum Instruction on Assessing Credibility and Refugee Status</w:t>
        </w:r>
      </w:hyperlink>
      <w:r w:rsidR="00171206" w:rsidRPr="00490FA9">
        <w:t>.</w:t>
      </w:r>
    </w:p>
    <w:p w:rsidR="00171206" w:rsidRDefault="00171206" w:rsidP="007B70DA">
      <w:pPr>
        <w:pStyle w:val="ListParagraph"/>
        <w:ind w:left="851" w:hanging="851"/>
      </w:pPr>
      <w:r w:rsidRPr="001D2409">
        <w:t>Decision</w:t>
      </w:r>
      <w:r w:rsidR="000F3F00">
        <w:t>-</w:t>
      </w:r>
      <w:r w:rsidRPr="001D2409">
        <w:t xml:space="preserve">makers must also </w:t>
      </w:r>
      <w:r>
        <w:t>check</w:t>
      </w:r>
      <w:r w:rsidR="003B3418">
        <w:t xml:space="preserve"> whether</w:t>
      </w:r>
      <w:r w:rsidRPr="001D2409">
        <w:t xml:space="preserve"> there has been a previous</w:t>
      </w:r>
      <w:r w:rsidR="003339C3">
        <w:t xml:space="preserve"> application for a</w:t>
      </w:r>
      <w:r w:rsidRPr="001D2409">
        <w:t xml:space="preserve"> UK visa or </w:t>
      </w:r>
      <w:r w:rsidR="003339C3">
        <w:t>another form of</w:t>
      </w:r>
      <w:r w:rsidRPr="001D2409">
        <w:t xml:space="preserve"> leave. Asylum applications matched to visas should be investigated</w:t>
      </w:r>
      <w:r>
        <w:t xml:space="preserve"> prior to the asylum interview (</w:t>
      </w:r>
      <w:r w:rsidRPr="001D2409">
        <w:rPr>
          <w:szCs w:val="24"/>
        </w:rPr>
        <w:t xml:space="preserve">see the </w:t>
      </w:r>
      <w:hyperlink r:id="rId20" w:history="1">
        <w:r w:rsidRPr="00207CED">
          <w:rPr>
            <w:rStyle w:val="Hyperlink"/>
          </w:rPr>
          <w:t>Asylum Instruction on Visa Matches, Asylum Claims from UK Visa Applicants</w:t>
        </w:r>
      </w:hyperlink>
      <w:r>
        <w:t>).</w:t>
      </w:r>
    </w:p>
    <w:p w:rsidR="00171206" w:rsidRPr="000A4906" w:rsidRDefault="00171206" w:rsidP="007B70DA">
      <w:pPr>
        <w:pStyle w:val="ListParagraph"/>
        <w:ind w:left="851" w:hanging="851"/>
      </w:pPr>
      <w:r w:rsidRPr="001D2409">
        <w:t>Decision</w:t>
      </w:r>
      <w:r w:rsidR="000F3F00">
        <w:t>-</w:t>
      </w:r>
      <w:r w:rsidRPr="001D2409">
        <w:t>makers should also consider the need to conduct language analysis testing</w:t>
      </w:r>
      <w:r>
        <w:t xml:space="preserve"> (see</w:t>
      </w:r>
      <w:r w:rsidRPr="00640509">
        <w:rPr>
          <w:szCs w:val="24"/>
        </w:rPr>
        <w:t xml:space="preserve"> </w:t>
      </w:r>
      <w:r w:rsidRPr="001D2409">
        <w:rPr>
          <w:szCs w:val="24"/>
        </w:rPr>
        <w:t xml:space="preserve">the </w:t>
      </w:r>
      <w:hyperlink r:id="rId21" w:history="1">
        <w:r w:rsidRPr="00207CED">
          <w:rPr>
            <w:rStyle w:val="Hyperlink"/>
          </w:rPr>
          <w:t>Asylum Instruction on Language Analysis</w:t>
        </w:r>
      </w:hyperlink>
      <w:r>
        <w:t>)</w:t>
      </w:r>
      <w:r w:rsidRPr="001D2409">
        <w:t xml:space="preserve">.  </w:t>
      </w:r>
    </w:p>
    <w:p w:rsidR="000F3D88" w:rsidRPr="00207CED" w:rsidRDefault="00140C6E" w:rsidP="000F3D88">
      <w:pPr>
        <w:jc w:val="right"/>
        <w:rPr>
          <w:rStyle w:val="Hyperlink"/>
        </w:rPr>
      </w:pPr>
      <w:hyperlink w:anchor="contents" w:history="1">
        <w:r w:rsidR="000F3D88" w:rsidRPr="00207CED">
          <w:rPr>
            <w:rStyle w:val="Hyperlink"/>
          </w:rPr>
          <w:t>Back to Contents</w:t>
        </w:r>
      </w:hyperlink>
    </w:p>
    <w:p w:rsidR="00E3771E" w:rsidRPr="002B102B" w:rsidRDefault="00E3771E" w:rsidP="00294DEE">
      <w:pPr>
        <w:pStyle w:val="Heading3"/>
        <w:ind w:left="851" w:hanging="851"/>
      </w:pPr>
      <w:bookmarkStart w:id="12" w:name="_Toc444685795"/>
      <w:r w:rsidRPr="002B102B">
        <w:t>Does the requirement to undertake national/military service put the person at risk of serious harm or mistreatment?</w:t>
      </w:r>
      <w:bookmarkEnd w:id="12"/>
    </w:p>
    <w:p w:rsidR="003F5F72" w:rsidRDefault="003F5F72" w:rsidP="007B70DA">
      <w:pPr>
        <w:pStyle w:val="ListParagraph"/>
        <w:ind w:left="851" w:hanging="851"/>
        <w:rPr>
          <w:szCs w:val="24"/>
        </w:rPr>
      </w:pPr>
      <w:r w:rsidRPr="002B102B">
        <w:rPr>
          <w:szCs w:val="24"/>
        </w:rPr>
        <w:t>Military service</w:t>
      </w:r>
      <w:r w:rsidR="00621100">
        <w:rPr>
          <w:szCs w:val="24"/>
        </w:rPr>
        <w:t>,</w:t>
      </w:r>
      <w:r w:rsidRPr="002B102B">
        <w:rPr>
          <w:szCs w:val="24"/>
        </w:rPr>
        <w:t xml:space="preserve"> which can last up to twelve months</w:t>
      </w:r>
      <w:r w:rsidR="00621100">
        <w:rPr>
          <w:szCs w:val="24"/>
        </w:rPr>
        <w:t xml:space="preserve">, </w:t>
      </w:r>
      <w:r w:rsidRPr="002B102B">
        <w:rPr>
          <w:szCs w:val="24"/>
        </w:rPr>
        <w:t>is compulsory for Turkish males aged between 20 and 41. There are limited exemptions</w:t>
      </w:r>
      <w:r>
        <w:rPr>
          <w:szCs w:val="24"/>
        </w:rPr>
        <w:t xml:space="preserve"> and also the option for persons to </w:t>
      </w:r>
      <w:r w:rsidRPr="002B102B">
        <w:rPr>
          <w:shd w:val="clear" w:color="auto" w:fill="FFFFFF"/>
        </w:rPr>
        <w:t>'buy out' their military service</w:t>
      </w:r>
      <w:r w:rsidRPr="002B102B">
        <w:rPr>
          <w:szCs w:val="24"/>
        </w:rPr>
        <w:t xml:space="preserve"> (see </w:t>
      </w:r>
      <w:hyperlink w:anchor="_Exemptions_and_Alternatives" w:history="1">
        <w:r w:rsidRPr="00207CED">
          <w:rPr>
            <w:rStyle w:val="Hyperlink"/>
          </w:rPr>
          <w:t>Exemptions and Alternatives</w:t>
        </w:r>
      </w:hyperlink>
      <w:r w:rsidRPr="002B102B">
        <w:rPr>
          <w:szCs w:val="24"/>
        </w:rPr>
        <w:t>).</w:t>
      </w:r>
    </w:p>
    <w:p w:rsidR="00AD380E" w:rsidRPr="00AD380E" w:rsidRDefault="00AD380E" w:rsidP="00AD380E">
      <w:pPr>
        <w:pStyle w:val="ListParagraph"/>
        <w:ind w:left="851" w:hanging="851"/>
      </w:pPr>
      <w:r w:rsidRPr="003F2152">
        <w:t xml:space="preserve">Those who evade military service </w:t>
      </w:r>
      <w:r>
        <w:t xml:space="preserve">are registered on </w:t>
      </w:r>
      <w:r w:rsidRPr="003F2152">
        <w:t>the national information system, GBTS</w:t>
      </w:r>
      <w:r>
        <w:t>, and</w:t>
      </w:r>
      <w:r w:rsidR="009A42CC">
        <w:t xml:space="preserve"> are</w:t>
      </w:r>
      <w:r>
        <w:t xml:space="preserve"> likely to come to the attention of the authorities </w:t>
      </w:r>
      <w:r w:rsidRPr="003F2152">
        <w:t>in routine checks, such as border checks and cases of arrest throughout the country</w:t>
      </w:r>
      <w:r>
        <w:t>. L</w:t>
      </w:r>
      <w:r w:rsidRPr="003F2152">
        <w:t>ists of people who have evaded military service</w:t>
      </w:r>
      <w:r>
        <w:t xml:space="preserve"> are also distributed to the authorities at local level (see </w:t>
      </w:r>
      <w:hyperlink w:anchor="_Detecting_Evaders/Deserters" w:history="1">
        <w:r w:rsidRPr="00207CED">
          <w:rPr>
            <w:rStyle w:val="Hyperlink"/>
          </w:rPr>
          <w:t>Detecting Evaders/Deserters</w:t>
        </w:r>
      </w:hyperlink>
      <w:r>
        <w:t>).</w:t>
      </w:r>
    </w:p>
    <w:p w:rsidR="00E3771E" w:rsidRPr="003F5F72" w:rsidRDefault="003F5F72" w:rsidP="007B70DA">
      <w:pPr>
        <w:pStyle w:val="ListParagraph"/>
        <w:ind w:left="851" w:hanging="851"/>
      </w:pPr>
      <w:r w:rsidRPr="003F5F72">
        <w:t>Compulsory national service is a prerogative of sovereign states. It is therefore reasonable that</w:t>
      </w:r>
      <w:r>
        <w:t xml:space="preserve"> draft evasion and desertion are criminal offences and punishable by law – points provided for in the </w:t>
      </w:r>
      <w:hyperlink r:id="rId22" w:history="1">
        <w:r w:rsidRPr="00207CED">
          <w:rPr>
            <w:rStyle w:val="Hyperlink"/>
          </w:rPr>
          <w:t>UNHCR Handbook and Guidelines on Procedures and Criteria for Determining Refugee Status</w:t>
        </w:r>
      </w:hyperlink>
      <w:r>
        <w:t xml:space="preserve"> (paras 167-174) and confirmed by the House of Lords in the case of </w:t>
      </w:r>
      <w:hyperlink r:id="rId23" w:history="1">
        <w:r w:rsidRPr="00207CED">
          <w:rPr>
            <w:rStyle w:val="Hyperlink"/>
          </w:rPr>
          <w:t>Sepet &amp; Another v. SSHD</w:t>
        </w:r>
      </w:hyperlink>
      <w:r w:rsidRPr="00207CED">
        <w:rPr>
          <w:rStyle w:val="Hyperlink"/>
        </w:rPr>
        <w:t> [2003] UKHL 15</w:t>
      </w:r>
      <w:r>
        <w:t xml:space="preserve">. </w:t>
      </w:r>
    </w:p>
    <w:p w:rsidR="00E3771E" w:rsidRPr="002B102B" w:rsidRDefault="00E3771E" w:rsidP="007B70DA">
      <w:pPr>
        <w:pStyle w:val="ListParagraph"/>
        <w:ind w:left="851" w:hanging="851"/>
        <w:rPr>
          <w:szCs w:val="24"/>
        </w:rPr>
      </w:pPr>
      <w:r w:rsidRPr="002B102B">
        <w:rPr>
          <w:szCs w:val="24"/>
        </w:rPr>
        <w:t>Therefore, a requirement to undergo compulsory military service – or punishment for failing to complete this duty – does not, in itself, constitute persecution. It will only do so where:</w:t>
      </w:r>
    </w:p>
    <w:p w:rsidR="00E3771E" w:rsidRPr="002B102B" w:rsidRDefault="00E3771E" w:rsidP="007B70DA">
      <w:pPr>
        <w:pStyle w:val="CPITNumberedParagraphText"/>
        <w:numPr>
          <w:ilvl w:val="0"/>
          <w:numId w:val="8"/>
        </w:numPr>
        <w:tabs>
          <w:tab w:val="clear" w:pos="851"/>
        </w:tabs>
        <w:ind w:left="1418" w:hanging="567"/>
      </w:pPr>
      <w:r w:rsidRPr="002B102B">
        <w:lastRenderedPageBreak/>
        <w:t>military service would involve acts, with which the person may be associated, which are contrary to the basic rules of human conduct;</w:t>
      </w:r>
    </w:p>
    <w:p w:rsidR="00E3771E" w:rsidRPr="002B102B" w:rsidRDefault="00E3771E" w:rsidP="007B70DA">
      <w:pPr>
        <w:pStyle w:val="CPITNumberedParagraphText"/>
        <w:numPr>
          <w:ilvl w:val="0"/>
          <w:numId w:val="8"/>
        </w:numPr>
        <w:tabs>
          <w:tab w:val="clear" w:pos="851"/>
        </w:tabs>
        <w:ind w:left="1418" w:hanging="567"/>
      </w:pPr>
      <w:r w:rsidRPr="002B102B">
        <w:t>the conditions of military service would be so harsh as to amount to persecution; or</w:t>
      </w:r>
    </w:p>
    <w:p w:rsidR="00E3771E" w:rsidRPr="002B102B" w:rsidRDefault="00E3771E" w:rsidP="007B70DA">
      <w:pPr>
        <w:pStyle w:val="CPITNumberedParagraphText"/>
        <w:numPr>
          <w:ilvl w:val="0"/>
          <w:numId w:val="8"/>
        </w:numPr>
        <w:tabs>
          <w:tab w:val="clear" w:pos="851"/>
        </w:tabs>
        <w:ind w:left="1418" w:hanging="567"/>
      </w:pPr>
      <w:r w:rsidRPr="002B102B">
        <w:t xml:space="preserve">the punishment for draft evasion or desertion is disproportionately harsh or severe. </w:t>
      </w:r>
    </w:p>
    <w:p w:rsidR="00E3771E" w:rsidRPr="002B102B" w:rsidRDefault="00E3771E" w:rsidP="007B70DA">
      <w:pPr>
        <w:pStyle w:val="ListParagraph"/>
        <w:ind w:left="851" w:hanging="851"/>
      </w:pPr>
      <w:r w:rsidRPr="002B102B">
        <w:t xml:space="preserve">For further information on this, see the </w:t>
      </w:r>
      <w:hyperlink r:id="rId24" w:history="1">
        <w:r w:rsidRPr="00207CED">
          <w:rPr>
            <w:rStyle w:val="Hyperlink"/>
          </w:rPr>
          <w:t>Asylum Instruction on Military Service and Conscientious Objection</w:t>
        </w:r>
      </w:hyperlink>
      <w:r w:rsidRPr="002B102B">
        <w:t>.</w:t>
      </w:r>
    </w:p>
    <w:p w:rsidR="00E3771E" w:rsidRPr="00207CED" w:rsidRDefault="00140C6E" w:rsidP="009D2A09">
      <w:pPr>
        <w:spacing w:after="240"/>
        <w:ind w:left="851" w:hanging="851"/>
        <w:jc w:val="right"/>
        <w:rPr>
          <w:rStyle w:val="Hyperlink"/>
        </w:rPr>
      </w:pPr>
      <w:hyperlink w:anchor="contents" w:history="1">
        <w:r w:rsidR="00E3771E" w:rsidRPr="00207CED">
          <w:rPr>
            <w:rStyle w:val="Hyperlink"/>
          </w:rPr>
          <w:t>Back to Contents</w:t>
        </w:r>
      </w:hyperlink>
    </w:p>
    <w:p w:rsidR="00E3771E" w:rsidRPr="002B102B" w:rsidRDefault="00E3771E" w:rsidP="007B70DA">
      <w:pPr>
        <w:pStyle w:val="Heading3"/>
        <w:ind w:left="851" w:hanging="851"/>
      </w:pPr>
      <w:bookmarkStart w:id="13" w:name="_Toc444685796"/>
      <w:r w:rsidRPr="002B102B">
        <w:t>Would military service in Turkey involve acts, with which the person may be associated, which are contrary to the basic rules of human conduct?</w:t>
      </w:r>
      <w:bookmarkEnd w:id="13"/>
    </w:p>
    <w:p w:rsidR="00E3771E" w:rsidRPr="002B102B" w:rsidRDefault="00E557F9" w:rsidP="007B70DA">
      <w:pPr>
        <w:pStyle w:val="ListParagraph"/>
        <w:ind w:left="851" w:hanging="851"/>
      </w:pPr>
      <w:r>
        <w:t>‘</w:t>
      </w:r>
      <w:r w:rsidR="00E3771E" w:rsidRPr="002B102B">
        <w:t>Acts … which are contrary to the basic rules of human conduct</w:t>
      </w:r>
      <w:r>
        <w:t>’</w:t>
      </w:r>
      <w:r w:rsidR="00E3771E" w:rsidRPr="002B102B">
        <w:t xml:space="preserve"> is taken to mean being required to act in a way that would bring that person within the scope of Article 1F of the Refugee Convention and/or Article 12 of Council Directive 2004/83/EC (‘the Qualification Directive’).</w:t>
      </w:r>
      <w:r w:rsidR="0047650E">
        <w:t xml:space="preserve"> For further information see </w:t>
      </w:r>
      <w:r w:rsidR="0047650E" w:rsidRPr="007519E4">
        <w:t xml:space="preserve">the </w:t>
      </w:r>
      <w:hyperlink r:id="rId25" w:history="1">
        <w:r w:rsidR="0047650E" w:rsidRPr="00207CED">
          <w:rPr>
            <w:rStyle w:val="Hyperlink"/>
          </w:rPr>
          <w:t>Asylum Instruction on Exclusion: Article 1F of the Refugee Convention</w:t>
        </w:r>
      </w:hyperlink>
      <w:r>
        <w:t>.</w:t>
      </w:r>
    </w:p>
    <w:p w:rsidR="00E3771E" w:rsidRPr="002B102B" w:rsidRDefault="00E3771E" w:rsidP="007B70DA">
      <w:pPr>
        <w:pStyle w:val="ListParagraph"/>
        <w:ind w:left="851" w:hanging="851"/>
      </w:pPr>
      <w:r w:rsidRPr="002B102B">
        <w:t xml:space="preserve">In </w:t>
      </w:r>
      <w:hyperlink r:id="rId26" w:history="1">
        <w:r w:rsidRPr="00207CED">
          <w:rPr>
            <w:rStyle w:val="Hyperlink"/>
          </w:rPr>
          <w:t>Sepet &amp; Another v. SSHD</w:t>
        </w:r>
      </w:hyperlink>
      <w:r w:rsidRPr="00207CED">
        <w:rPr>
          <w:rStyle w:val="Hyperlink"/>
        </w:rPr>
        <w:t> [2003] UKHL 15</w:t>
      </w:r>
      <w:r w:rsidRPr="00207CED">
        <w:rPr>
          <w:rStyle w:val="CPITCOI-Link"/>
          <w:rFonts w:eastAsiaTheme="majorEastAsia"/>
          <w:szCs w:val="24"/>
          <w:u w:val="none"/>
        </w:rPr>
        <w:t>,</w:t>
      </w:r>
      <w:r w:rsidRPr="002B102B">
        <w:t xml:space="preserve"> the House of Lords held </w:t>
      </w:r>
      <w:r w:rsidR="009A4D18">
        <w:t xml:space="preserve">in relation to military service in Turkey </w:t>
      </w:r>
      <w:r w:rsidRPr="002B102B">
        <w:t>that ‘…there is no reasonable likelihood that the applicants would have been required to engage in military action contrary to basic rules of human conduct, wheth</w:t>
      </w:r>
      <w:r w:rsidR="009427C4">
        <w:t>er against Kurds or anyone else</w:t>
      </w:r>
      <w:r w:rsidRPr="002B102B">
        <w:t>’ (paragraph 26).</w:t>
      </w:r>
    </w:p>
    <w:p w:rsidR="00E3771E" w:rsidRPr="002B102B" w:rsidRDefault="00E3771E" w:rsidP="007B70DA">
      <w:pPr>
        <w:pStyle w:val="ListParagraph"/>
        <w:ind w:left="851" w:hanging="851"/>
      </w:pPr>
      <w:r w:rsidRPr="002B102B">
        <w:t>It is therefore not reasonably likely that a person would be required to engage in actual military conflict</w:t>
      </w:r>
      <w:r w:rsidR="00F91727">
        <w:t xml:space="preserve"> or</w:t>
      </w:r>
      <w:r w:rsidRPr="002B102B">
        <w:t xml:space="preserve"> involved in acts which are contrary to the basic rules of human conduct. </w:t>
      </w:r>
    </w:p>
    <w:p w:rsidR="00E3771E" w:rsidRPr="002B102B" w:rsidRDefault="00E3771E" w:rsidP="007B70DA">
      <w:pPr>
        <w:pStyle w:val="ListParagraph"/>
        <w:ind w:left="851" w:hanging="851"/>
        <w:rPr>
          <w:rStyle w:val="CPITCOI-Link"/>
          <w:szCs w:val="24"/>
        </w:rPr>
      </w:pPr>
      <w:r w:rsidRPr="001778D2">
        <w:t>For</w:t>
      </w:r>
      <w:r w:rsidRPr="002B102B">
        <w:t xml:space="preserve"> further information on assessing risk, see section 6 of the </w:t>
      </w:r>
      <w:hyperlink r:id="rId27" w:history="1">
        <w:r w:rsidRPr="00207CED">
          <w:rPr>
            <w:rStyle w:val="Hyperlink"/>
          </w:rPr>
          <w:t>Asylum Instruction on Assessing Credibility and Refugee Status</w:t>
        </w:r>
      </w:hyperlink>
      <w:r w:rsidRPr="002B102B">
        <w:t>.</w:t>
      </w:r>
    </w:p>
    <w:p w:rsidR="00E3771E" w:rsidRPr="00207CED" w:rsidRDefault="00140C6E" w:rsidP="00E3771E">
      <w:pPr>
        <w:pStyle w:val="CPITBacktoContentsLinks"/>
        <w:ind w:left="851" w:hanging="851"/>
        <w:rPr>
          <w:rStyle w:val="Hyperlink"/>
          <w:rFonts w:eastAsiaTheme="majorEastAsia"/>
        </w:rPr>
      </w:pPr>
      <w:hyperlink w:anchor="contents" w:history="1">
        <w:r w:rsidR="00E3771E" w:rsidRPr="00207CED">
          <w:rPr>
            <w:rStyle w:val="Hyperlink"/>
            <w:rFonts w:eastAsiaTheme="majorEastAsia"/>
          </w:rPr>
          <w:t>Back to Contents</w:t>
        </w:r>
      </w:hyperlink>
    </w:p>
    <w:p w:rsidR="00E3771E" w:rsidRPr="002B102B" w:rsidRDefault="00E3771E" w:rsidP="00C32511">
      <w:pPr>
        <w:pStyle w:val="Heading3"/>
        <w:ind w:left="851" w:hanging="851"/>
      </w:pPr>
      <w:bookmarkStart w:id="14" w:name="_Toc444685797"/>
      <w:r w:rsidRPr="002B102B">
        <w:t>Are the conditions of military service in Turkey so harsh as to amount to persecution?</w:t>
      </w:r>
      <w:bookmarkEnd w:id="14"/>
    </w:p>
    <w:p w:rsidR="00C32511" w:rsidRDefault="00441648" w:rsidP="00E3771E">
      <w:pPr>
        <w:pStyle w:val="ListParagraph"/>
        <w:numPr>
          <w:ilvl w:val="2"/>
          <w:numId w:val="4"/>
        </w:numPr>
        <w:ind w:left="851" w:hanging="851"/>
      </w:pPr>
      <w:r>
        <w:t>I</w:t>
      </w:r>
      <w:r w:rsidR="009B7019">
        <w:t>n general</w:t>
      </w:r>
      <w:r w:rsidR="00F91727">
        <w:t>,</w:t>
      </w:r>
      <w:r w:rsidR="009B7019">
        <w:t xml:space="preserve"> </w:t>
      </w:r>
      <w:r w:rsidR="00E3771E" w:rsidRPr="002B102B">
        <w:t>the conditions and/or treatment likely to be faced by a person required to undertake compul</w:t>
      </w:r>
      <w:r w:rsidR="009B7019">
        <w:t>sory military service would not</w:t>
      </w:r>
      <w:r w:rsidR="00E3771E" w:rsidRPr="002B102B">
        <w:t xml:space="preserve"> be so harsh as to amount to persecution</w:t>
      </w:r>
      <w:r w:rsidR="000C0DC7">
        <w:t xml:space="preserve"> or serious harm</w:t>
      </w:r>
      <w:r w:rsidR="00E03896">
        <w:t xml:space="preserve"> (see </w:t>
      </w:r>
      <w:hyperlink w:anchor="_Exemptions_and_Alternatives" w:history="1">
        <w:r w:rsidR="00E03896" w:rsidRPr="00E03896">
          <w:rPr>
            <w:rStyle w:val="Hyperlink"/>
          </w:rPr>
          <w:t>Exemptions and alternatives</w:t>
        </w:r>
      </w:hyperlink>
      <w:r w:rsidR="00E03896">
        <w:t>)</w:t>
      </w:r>
      <w:r w:rsidR="00E3771E" w:rsidRPr="002B102B">
        <w:t>.</w:t>
      </w:r>
    </w:p>
    <w:p w:rsidR="009304E0" w:rsidRDefault="009304E0" w:rsidP="00E3771E">
      <w:pPr>
        <w:pStyle w:val="ListParagraph"/>
        <w:numPr>
          <w:ilvl w:val="2"/>
          <w:numId w:val="4"/>
        </w:numPr>
        <w:ind w:left="851" w:hanging="851"/>
      </w:pPr>
      <w:r w:rsidRPr="009B7019">
        <w:rPr>
          <w:rStyle w:val="Emphasis"/>
          <w:i w:val="0"/>
          <w:shd w:val="clear" w:color="auto" w:fill="FFFFFF"/>
        </w:rPr>
        <w:t xml:space="preserve">There have been reports of alleged mistreatment of conscripts and a </w:t>
      </w:r>
      <w:r w:rsidRPr="009B7019">
        <w:t>high suicide rate has also been documented. However</w:t>
      </w:r>
      <w:r>
        <w:t>,</w:t>
      </w:r>
      <w:r w:rsidRPr="009B7019">
        <w:t xml:space="preserve"> </w:t>
      </w:r>
      <w:r>
        <w:t>it has been</w:t>
      </w:r>
      <w:r w:rsidRPr="009B7019">
        <w:t xml:space="preserve"> reported that</w:t>
      </w:r>
      <w:r>
        <w:t xml:space="preserve"> the government’s</w:t>
      </w:r>
      <w:r w:rsidRPr="009B7019">
        <w:t xml:space="preserve"> awa</w:t>
      </w:r>
      <w:r w:rsidR="00E453B2">
        <w:t>reness of conscripts’ rights has</w:t>
      </w:r>
      <w:r w:rsidRPr="009B7019">
        <w:t xml:space="preserve"> i</w:t>
      </w:r>
      <w:r w:rsidR="00E453B2">
        <w:t>mprov</w:t>
      </w:r>
      <w:r w:rsidRPr="009B7019">
        <w:t xml:space="preserve">ed, with civil initiatives undertaken to prevent maltreatment, forced excessive physical activity and torture. </w:t>
      </w:r>
      <w:r>
        <w:t>M</w:t>
      </w:r>
      <w:r w:rsidRPr="009B7019">
        <w:t>onitoring</w:t>
      </w:r>
      <w:r>
        <w:t xml:space="preserve"> of</w:t>
      </w:r>
      <w:r w:rsidRPr="009B7019">
        <w:t xml:space="preserve"> ill-treatment during military service</w:t>
      </w:r>
      <w:r>
        <w:t xml:space="preserve"> also now takes place</w:t>
      </w:r>
      <w:r w:rsidRPr="009B7019">
        <w:t xml:space="preserve"> (see </w:t>
      </w:r>
      <w:hyperlink w:anchor="_Mistreatment_of_conscripts" w:history="1">
        <w:r w:rsidRPr="00207CED">
          <w:rPr>
            <w:rStyle w:val="Hyperlink"/>
          </w:rPr>
          <w:t>Mistreatment of conscripts</w:t>
        </w:r>
      </w:hyperlink>
      <w:r w:rsidRPr="009B7019">
        <w:t>).</w:t>
      </w:r>
    </w:p>
    <w:p w:rsidR="00C32511" w:rsidRPr="00C32511" w:rsidRDefault="00C32511" w:rsidP="00C32511">
      <w:pPr>
        <w:ind w:left="851"/>
        <w:rPr>
          <w:iCs/>
          <w:color w:val="7030A0"/>
          <w:lang w:val="en-US"/>
        </w:rPr>
      </w:pPr>
      <w:r w:rsidRPr="00C32511">
        <w:rPr>
          <w:color w:val="7030A0"/>
        </w:rPr>
        <w:t xml:space="preserve">Sexual Orientation </w:t>
      </w:r>
    </w:p>
    <w:p w:rsidR="00DD0527" w:rsidRPr="00C32511" w:rsidRDefault="0049139F" w:rsidP="00C32511">
      <w:pPr>
        <w:pStyle w:val="ListParagraph"/>
        <w:numPr>
          <w:ilvl w:val="2"/>
          <w:numId w:val="4"/>
        </w:numPr>
        <w:ind w:left="851" w:hanging="851"/>
        <w:rPr>
          <w:rStyle w:val="Emphasis"/>
          <w:i w:val="0"/>
          <w:iCs w:val="0"/>
        </w:rPr>
      </w:pPr>
      <w:r w:rsidRPr="0049139F">
        <w:t>I</w:t>
      </w:r>
      <w:r w:rsidR="00DD0527" w:rsidRPr="009B7019">
        <w:t xml:space="preserve">n the country guidance case of </w:t>
      </w:r>
      <w:hyperlink r:id="rId28" w:history="1">
        <w:r w:rsidR="009B7019" w:rsidRPr="00207CED">
          <w:rPr>
            <w:rStyle w:val="Hyperlink"/>
          </w:rPr>
          <w:t>SD (military service – sexual identity) Turkey CG [2013] UKUT 612 (IAC)</w:t>
        </w:r>
      </w:hyperlink>
      <w:r w:rsidR="009B7019" w:rsidRPr="009B7019">
        <w:t xml:space="preserve"> (5 December 2013), the Upper Tribunal found that</w:t>
      </w:r>
      <w:r w:rsidR="00DD0527" w:rsidRPr="00C32511">
        <w:rPr>
          <w:b/>
        </w:rPr>
        <w:t xml:space="preserve"> </w:t>
      </w:r>
      <w:r w:rsidR="00991159">
        <w:t>‘</w:t>
      </w:r>
      <w:r w:rsidR="00DD0527" w:rsidRPr="00C32511">
        <w:rPr>
          <w:rStyle w:val="Emphasis"/>
          <w:i w:val="0"/>
          <w:color w:val="000000"/>
          <w:szCs w:val="24"/>
          <w:lang w:val="en-US"/>
        </w:rPr>
        <w:t xml:space="preserve">if during his military service a recruit (whether he has not sought </w:t>
      </w:r>
      <w:r w:rsidR="00DD0527" w:rsidRPr="00C32511">
        <w:rPr>
          <w:rStyle w:val="Emphasis"/>
          <w:i w:val="0"/>
          <w:color w:val="000000"/>
          <w:szCs w:val="24"/>
          <w:lang w:val="en-US"/>
        </w:rPr>
        <w:lastRenderedPageBreak/>
        <w:t>exemption or has been refused) is discovered or is perceived to be homosexual as understood in Turkey, there is a reasonable degree of likelihood of ill-treatment of sufficient severity to</w:t>
      </w:r>
      <w:r w:rsidR="00DD0527" w:rsidRPr="00C32511">
        <w:rPr>
          <w:rStyle w:val="Emphasis"/>
          <w:color w:val="000000"/>
          <w:szCs w:val="24"/>
          <w:lang w:val="en-US"/>
        </w:rPr>
        <w:t xml:space="preserve"> </w:t>
      </w:r>
      <w:r w:rsidR="00DD0527" w:rsidRPr="00C32511">
        <w:rPr>
          <w:rStyle w:val="Emphasis"/>
          <w:i w:val="0"/>
          <w:color w:val="000000"/>
          <w:szCs w:val="24"/>
          <w:lang w:val="en-US"/>
        </w:rPr>
        <w:t>amount to persecution on the basis of his sexual identity and there is no sufficiency of protection.</w:t>
      </w:r>
      <w:r w:rsidR="00DD0527" w:rsidRPr="00C32511">
        <w:rPr>
          <w:rStyle w:val="Emphasis"/>
          <w:color w:val="000000"/>
          <w:szCs w:val="24"/>
          <w:lang w:val="en-US"/>
        </w:rPr>
        <w:t xml:space="preserve"> </w:t>
      </w:r>
      <w:r w:rsidR="009B7019" w:rsidRPr="00C32511">
        <w:rPr>
          <w:rStyle w:val="Emphasis"/>
          <w:color w:val="000000"/>
          <w:szCs w:val="24"/>
          <w:lang w:val="en-US"/>
        </w:rPr>
        <w:t xml:space="preserve"> </w:t>
      </w:r>
      <w:r w:rsidR="00DD0527" w:rsidRPr="00C32511">
        <w:rPr>
          <w:rStyle w:val="Emphasis"/>
          <w:i w:val="0"/>
          <w:color w:val="000000"/>
          <w:szCs w:val="24"/>
          <w:lang w:val="en-US"/>
        </w:rPr>
        <w:t xml:space="preserve">The risk of such discovery or perception arising during his service will require a fact sensitive analysis of an individual's particular circumstances including his appearance and mannerisms, the way in which he describes his sexual identity, the extent to which he fits the stereotype of a homosexual as understood within Turkish society and the extent to which he will conceal his sexual identity for reasons not arising from a fear of persecution.  Any such risk likely to arise during service is not negated by the fact that there is an exemption process as that process itself carries a real risk of a breach </w:t>
      </w:r>
      <w:r w:rsidR="00567567">
        <w:rPr>
          <w:rStyle w:val="Emphasis"/>
          <w:i w:val="0"/>
          <w:color w:val="000000"/>
          <w:szCs w:val="24"/>
          <w:lang w:val="en-US"/>
        </w:rPr>
        <w:t>of article 3</w:t>
      </w:r>
      <w:r w:rsidR="00991159">
        <w:rPr>
          <w:rStyle w:val="Emphasis"/>
          <w:i w:val="0"/>
          <w:color w:val="000000"/>
          <w:szCs w:val="24"/>
          <w:lang w:val="en-US"/>
        </w:rPr>
        <w:t>’</w:t>
      </w:r>
      <w:r w:rsidR="009B7019" w:rsidRPr="00C32511">
        <w:rPr>
          <w:rStyle w:val="Emphasis"/>
          <w:i w:val="0"/>
          <w:color w:val="000000"/>
          <w:szCs w:val="24"/>
          <w:lang w:val="en-US"/>
        </w:rPr>
        <w:t xml:space="preserve"> (para</w:t>
      </w:r>
      <w:r w:rsidR="00322A02">
        <w:rPr>
          <w:rStyle w:val="Emphasis"/>
          <w:i w:val="0"/>
          <w:color w:val="000000"/>
          <w:szCs w:val="24"/>
          <w:lang w:val="en-US"/>
        </w:rPr>
        <w:t>graph</w:t>
      </w:r>
      <w:r w:rsidR="009B7019" w:rsidRPr="00C32511">
        <w:rPr>
          <w:rStyle w:val="Emphasis"/>
          <w:i w:val="0"/>
          <w:color w:val="000000"/>
          <w:szCs w:val="24"/>
          <w:lang w:val="en-US"/>
        </w:rPr>
        <w:t xml:space="preserve"> 111 of determination).</w:t>
      </w:r>
    </w:p>
    <w:p w:rsidR="00C32511" w:rsidRDefault="006A6B6F" w:rsidP="00AC679B">
      <w:pPr>
        <w:pStyle w:val="ListParagraph"/>
        <w:numPr>
          <w:ilvl w:val="2"/>
          <w:numId w:val="4"/>
        </w:numPr>
        <w:ind w:left="851" w:hanging="851"/>
      </w:pPr>
      <w:r>
        <w:t>D</w:t>
      </w:r>
      <w:r w:rsidRPr="00AC679B">
        <w:t>epending</w:t>
      </w:r>
      <w:r>
        <w:t xml:space="preserve"> on the person’s circumstances, </w:t>
      </w:r>
      <w:r w:rsidRPr="002B102B">
        <w:t xml:space="preserve">the conditions and/or treatment likely to be faced by </w:t>
      </w:r>
      <w:r w:rsidRPr="00AC679B">
        <w:rPr>
          <w:szCs w:val="24"/>
        </w:rPr>
        <w:t xml:space="preserve">actual or perceived gay men </w:t>
      </w:r>
      <w:r w:rsidRPr="002B102B">
        <w:t>required to undertake compul</w:t>
      </w:r>
      <w:r>
        <w:t>sory military service may</w:t>
      </w:r>
      <w:r w:rsidRPr="002B102B">
        <w:t xml:space="preserve"> amount to persecution.</w:t>
      </w:r>
    </w:p>
    <w:p w:rsidR="00AC679B" w:rsidRPr="002B102B" w:rsidRDefault="00C32511" w:rsidP="00AC679B">
      <w:pPr>
        <w:pStyle w:val="ListParagraph"/>
        <w:numPr>
          <w:ilvl w:val="2"/>
          <w:numId w:val="4"/>
        </w:numPr>
        <w:ind w:left="851" w:hanging="851"/>
      </w:pPr>
      <w:r>
        <w:t xml:space="preserve">See also country information and guidance on </w:t>
      </w:r>
      <w:hyperlink r:id="rId29" w:history="1">
        <w:r w:rsidRPr="00207CED">
          <w:rPr>
            <w:rStyle w:val="Hyperlink"/>
          </w:rPr>
          <w:t>Turkey: Sexual orientation and gender identity</w:t>
        </w:r>
      </w:hyperlink>
      <w:r w:rsidR="00A55DD4">
        <w:t>.</w:t>
      </w:r>
      <w:r w:rsidR="00901802">
        <w:t xml:space="preserve"> </w:t>
      </w:r>
      <w:r w:rsidR="00901802" w:rsidRPr="00AC679B">
        <w:rPr>
          <w:szCs w:val="24"/>
        </w:rPr>
        <w:t xml:space="preserve"> </w:t>
      </w:r>
    </w:p>
    <w:p w:rsidR="00E3771E" w:rsidRPr="00207CED" w:rsidRDefault="00140C6E" w:rsidP="00E3771E">
      <w:pPr>
        <w:pStyle w:val="CPITBacktoContentsLinks"/>
        <w:ind w:left="851" w:hanging="851"/>
        <w:rPr>
          <w:rStyle w:val="Hyperlink"/>
          <w:rFonts w:eastAsiaTheme="majorEastAsia"/>
        </w:rPr>
      </w:pPr>
      <w:hyperlink w:anchor="contents" w:history="1">
        <w:r w:rsidR="00E3771E" w:rsidRPr="00207CED">
          <w:rPr>
            <w:rStyle w:val="Hyperlink"/>
            <w:rFonts w:eastAsiaTheme="majorEastAsia"/>
          </w:rPr>
          <w:t>Back to Contents</w:t>
        </w:r>
      </w:hyperlink>
    </w:p>
    <w:p w:rsidR="00E3771E" w:rsidRPr="002B102B" w:rsidRDefault="00E3771E" w:rsidP="00C32511">
      <w:pPr>
        <w:pStyle w:val="Heading3"/>
        <w:ind w:left="851" w:hanging="851"/>
      </w:pPr>
      <w:bookmarkStart w:id="15" w:name="_Toc444685798"/>
      <w:r w:rsidRPr="002B102B">
        <w:t>Is the punishment for draft evasion or desertion disproportionately harsh or severe?</w:t>
      </w:r>
      <w:bookmarkEnd w:id="15"/>
    </w:p>
    <w:p w:rsidR="00E3771E" w:rsidRPr="002B102B" w:rsidRDefault="00E3771E" w:rsidP="00C32511">
      <w:pPr>
        <w:pStyle w:val="ListParagraph"/>
        <w:ind w:left="851" w:hanging="851"/>
      </w:pPr>
      <w:r w:rsidRPr="002B102B">
        <w:t xml:space="preserve">In </w:t>
      </w:r>
      <w:hyperlink r:id="rId30" w:history="1">
        <w:r w:rsidRPr="00207CED">
          <w:rPr>
            <w:rStyle w:val="Hyperlink"/>
          </w:rPr>
          <w:t>Sepet &amp; Another v. SSHD</w:t>
        </w:r>
      </w:hyperlink>
      <w:r w:rsidRPr="00207CED">
        <w:rPr>
          <w:rStyle w:val="Hyperlink"/>
        </w:rPr>
        <w:t> [2003] UKHL 15</w:t>
      </w:r>
      <w:r w:rsidRPr="003523FC">
        <w:rPr>
          <w:rStyle w:val="CPITCOI-Link"/>
          <w:rFonts w:eastAsiaTheme="majorEastAsia"/>
          <w:szCs w:val="24"/>
          <w:u w:val="none"/>
        </w:rPr>
        <w:t>,</w:t>
      </w:r>
      <w:r w:rsidRPr="002B102B">
        <w:t xml:space="preserve"> the House of Lords </w:t>
      </w:r>
      <w:r w:rsidR="000D2C38">
        <w:t>found</w:t>
      </w:r>
      <w:r w:rsidRPr="002B102B">
        <w:t xml:space="preserve"> that Turkish law provides no non-combatant alternative to military service. Draft evaders are liable to a prison sentence of between 6 months and 3 years. On completion of the sentence the offender is required to</w:t>
      </w:r>
      <w:r w:rsidR="00A54E62">
        <w:t xml:space="preserve"> undertake his military service </w:t>
      </w:r>
      <w:r w:rsidRPr="002B102B">
        <w:t>(paragraph 5).</w:t>
      </w:r>
    </w:p>
    <w:p w:rsidR="00E3771E" w:rsidRPr="002B102B" w:rsidRDefault="001778D2" w:rsidP="00C32511">
      <w:pPr>
        <w:pStyle w:val="ListParagraph"/>
        <w:ind w:left="851" w:hanging="851"/>
      </w:pPr>
      <w:r>
        <w:t xml:space="preserve">There </w:t>
      </w:r>
      <w:r w:rsidR="00BD3999">
        <w:t>remains</w:t>
      </w:r>
      <w:r w:rsidR="00BD3999" w:rsidRPr="002B102B">
        <w:t xml:space="preserve"> </w:t>
      </w:r>
      <w:r w:rsidR="00E3771E" w:rsidRPr="002B102B">
        <w:t xml:space="preserve">no civilian alternative to military service (see </w:t>
      </w:r>
      <w:hyperlink w:anchor="_Civilian_Alternatives" w:history="1">
        <w:r w:rsidR="00E3771E" w:rsidRPr="00207CED">
          <w:rPr>
            <w:rStyle w:val="Hyperlink"/>
          </w:rPr>
          <w:t>Civilian Alternatives</w:t>
        </w:r>
      </w:hyperlink>
      <w:r w:rsidR="00E3771E" w:rsidRPr="002B102B">
        <w:t>)</w:t>
      </w:r>
      <w:r w:rsidR="009E641B">
        <w:t xml:space="preserve"> and</w:t>
      </w:r>
      <w:r w:rsidR="00E3771E" w:rsidRPr="002B102B">
        <w:t xml:space="preserve"> penalties for draft evasion – including, potentially, repeated penalties – remain in place (see </w:t>
      </w:r>
      <w:hyperlink w:anchor="_Consequences_of_Evading/Deserting" w:history="1">
        <w:r w:rsidR="00E3771E" w:rsidRPr="00207CED">
          <w:rPr>
            <w:rStyle w:val="Hyperlink"/>
          </w:rPr>
          <w:t>Consequences of Draft Evasion</w:t>
        </w:r>
      </w:hyperlink>
      <w:r w:rsidR="00E3771E" w:rsidRPr="002B102B">
        <w:t>).</w:t>
      </w:r>
    </w:p>
    <w:p w:rsidR="00E3771E" w:rsidRPr="002B102B" w:rsidRDefault="00E3771E" w:rsidP="00C32511">
      <w:pPr>
        <w:pStyle w:val="ListParagraph"/>
        <w:ind w:left="851" w:hanging="851"/>
      </w:pPr>
      <w:r w:rsidRPr="002B102B">
        <w:t xml:space="preserve">However, paragraph 5 of </w:t>
      </w:r>
      <w:hyperlink r:id="rId31" w:history="1">
        <w:r w:rsidRPr="00207CED">
          <w:rPr>
            <w:rStyle w:val="Hyperlink"/>
          </w:rPr>
          <w:t>Sepet &amp; Another v. SSHD</w:t>
        </w:r>
      </w:hyperlink>
      <w:r w:rsidRPr="00207CED">
        <w:rPr>
          <w:rStyle w:val="Hyperlink"/>
        </w:rPr>
        <w:t> [2003] UKHL 15</w:t>
      </w:r>
      <w:r w:rsidRPr="00207CED">
        <w:rPr>
          <w:rStyle w:val="CPITCOI-Link"/>
          <w:rFonts w:eastAsiaTheme="majorEastAsia"/>
          <w:szCs w:val="24"/>
          <w:u w:val="none"/>
        </w:rPr>
        <w:t xml:space="preserve"> </w:t>
      </w:r>
      <w:r w:rsidRPr="002B102B">
        <w:t xml:space="preserve">goes on to conclude that ‘It is an agreed fact that those who refuse to perform military service in Turkey (including Kurds) are not subject to disproportionate or excessive punishment, in law or in fact, as a result of their refusal. Draft evaders are liable to prosecution and punishment irrespective of the reasons prompting their refusal’. </w:t>
      </w:r>
    </w:p>
    <w:p w:rsidR="00E3771E" w:rsidRPr="002B102B" w:rsidRDefault="00E3771E" w:rsidP="00C32511">
      <w:pPr>
        <w:pStyle w:val="ListParagraph"/>
        <w:ind w:left="851" w:hanging="851"/>
      </w:pPr>
      <w:r w:rsidRPr="002B102B">
        <w:t xml:space="preserve">Therefore it is unlikely that in the majority of cases the consequence of a person’s general unwillingness to serve in the armed forces or objection to enter a ‘combat zone’ will be such that they can make out claim for protection. </w:t>
      </w:r>
    </w:p>
    <w:p w:rsidR="0049139F" w:rsidRPr="00C32511" w:rsidRDefault="00BD3999" w:rsidP="0049139F">
      <w:pPr>
        <w:pStyle w:val="ListParagraph"/>
        <w:numPr>
          <w:ilvl w:val="0"/>
          <w:numId w:val="0"/>
        </w:numPr>
        <w:ind w:left="851"/>
        <w:rPr>
          <w:color w:val="7030A0"/>
        </w:rPr>
      </w:pPr>
      <w:r w:rsidRPr="00C32511">
        <w:rPr>
          <w:color w:val="7030A0"/>
          <w:szCs w:val="24"/>
        </w:rPr>
        <w:t xml:space="preserve">Conscientious Objection </w:t>
      </w:r>
    </w:p>
    <w:p w:rsidR="00C32511" w:rsidRDefault="00C32511" w:rsidP="007B70DA">
      <w:pPr>
        <w:pStyle w:val="ListParagraph"/>
        <w:ind w:left="851" w:hanging="851"/>
      </w:pPr>
      <w:r>
        <w:t>D</w:t>
      </w:r>
      <w:r w:rsidRPr="002B102B">
        <w:t>ecision</w:t>
      </w:r>
      <w:r w:rsidR="00E01199">
        <w:t>-</w:t>
      </w:r>
      <w:r w:rsidRPr="002B102B">
        <w:t>makers must establish and determine the nature, reasons and extent/conviction of the person’s reason for objecting to military service.</w:t>
      </w:r>
      <w:r w:rsidR="00A75CFD" w:rsidRPr="00A75CFD">
        <w:t xml:space="preserve"> </w:t>
      </w:r>
      <w:r w:rsidR="00A75CFD">
        <w:t>The onus is on the person to demonstrate that they h</w:t>
      </w:r>
      <w:r w:rsidR="00FB34EA">
        <w:t>ave</w:t>
      </w:r>
      <w:r w:rsidR="00A75CFD">
        <w:t xml:space="preserve"> </w:t>
      </w:r>
      <w:r w:rsidR="00A75CFD" w:rsidRPr="00AA4F0C">
        <w:t>deeply</w:t>
      </w:r>
      <w:r w:rsidR="004C196C">
        <w:t>-</w:t>
      </w:r>
      <w:r w:rsidR="00A75CFD" w:rsidRPr="00AA4F0C">
        <w:t xml:space="preserve">held convictions </w:t>
      </w:r>
      <w:r w:rsidR="00A75CFD">
        <w:t xml:space="preserve">and </w:t>
      </w:r>
      <w:r w:rsidR="00A75CFD" w:rsidRPr="00AA4F0C">
        <w:t xml:space="preserve">as a direct result </w:t>
      </w:r>
      <w:r w:rsidR="00A75CFD">
        <w:t xml:space="preserve">they </w:t>
      </w:r>
      <w:r w:rsidR="00A75CFD" w:rsidRPr="00AA4F0C">
        <w:t>would be reasonably likely to face a disproportionate penalty/punishment for draft evasion/ desertion</w:t>
      </w:r>
      <w:r w:rsidR="00A75CFD">
        <w:t xml:space="preserve">. </w:t>
      </w:r>
      <w:r w:rsidR="00A75CFD" w:rsidRPr="00AA4F0C">
        <w:t xml:space="preserve">It is not sufficient for a person to show they would be penalised/punished for failing </w:t>
      </w:r>
      <w:r w:rsidR="00A75CFD" w:rsidRPr="00AA4F0C">
        <w:lastRenderedPageBreak/>
        <w:t>to comply with the law and that they happen to h</w:t>
      </w:r>
      <w:r w:rsidR="00A75CFD" w:rsidRPr="00AA4F0C">
        <w:rPr>
          <w:u w:color="0000B3"/>
        </w:rPr>
        <w:t>ave particular religious, moral o</w:t>
      </w:r>
      <w:r w:rsidR="00A75CFD" w:rsidRPr="00AA4F0C">
        <w:t>r other convictions</w:t>
      </w:r>
      <w:r w:rsidR="000C6DF4">
        <w:t xml:space="preserve"> (see </w:t>
      </w:r>
      <w:hyperlink r:id="rId32" w:history="1">
        <w:r w:rsidR="008C7550" w:rsidRPr="00207CED">
          <w:rPr>
            <w:rStyle w:val="Hyperlink"/>
          </w:rPr>
          <w:t>Asylum Instruction on Military Service and Conscientious Objection</w:t>
        </w:r>
      </w:hyperlink>
      <w:r w:rsidR="000C6DF4">
        <w:t>)</w:t>
      </w:r>
      <w:r w:rsidR="00A75CFD" w:rsidRPr="00AA4F0C">
        <w:t xml:space="preserve">. </w:t>
      </w:r>
      <w:r w:rsidR="00A75CFD">
        <w:t xml:space="preserve"> </w:t>
      </w:r>
    </w:p>
    <w:p w:rsidR="00C93BCA" w:rsidRDefault="00D82C03" w:rsidP="00A75CFD">
      <w:pPr>
        <w:pStyle w:val="ListParagraph"/>
        <w:ind w:left="851" w:hanging="851"/>
      </w:pPr>
      <w:r w:rsidRPr="00316DB9">
        <w:rPr>
          <w:szCs w:val="24"/>
        </w:rPr>
        <w:t>As regards</w:t>
      </w:r>
      <w:r w:rsidRPr="00316DB9">
        <w:rPr>
          <w:b/>
          <w:szCs w:val="24"/>
        </w:rPr>
        <w:t xml:space="preserve"> </w:t>
      </w:r>
      <w:r w:rsidRPr="00316DB9">
        <w:rPr>
          <w:color w:val="000000"/>
          <w:szCs w:val="24"/>
        </w:rPr>
        <w:t>conscientious objectors to military service, the European Court of Human Rights (ECtHR) i</w:t>
      </w:r>
      <w:r w:rsidRPr="00316DB9">
        <w:rPr>
          <w:color w:val="000000"/>
        </w:rPr>
        <w:t>n the case of</w:t>
      </w:r>
      <w:r w:rsidR="00316DB9" w:rsidRPr="00316DB9">
        <w:t xml:space="preserve"> </w:t>
      </w:r>
      <w:hyperlink r:id="rId33" w:anchor="{&quot;languageisocode&quot;:[&quot;FRA&quot;],&quot;appno&quot;:[&quot;42730/05&quot;],&quot;documentcollectionid2&quot;:[&quot;CHAMBER&quot;],&quot;itemid&quot;:[&quot;001-111414&quot;]}" w:history="1">
        <w:r w:rsidR="00C93BCA" w:rsidRPr="00207CED">
          <w:rPr>
            <w:rStyle w:val="Hyperlink"/>
          </w:rPr>
          <w:t>Savda v Turkey</w:t>
        </w:r>
      </w:hyperlink>
      <w:r w:rsidR="00316DB9" w:rsidRPr="00316DB9">
        <w:t xml:space="preserve"> </w:t>
      </w:r>
      <w:r w:rsidR="00C93BCA" w:rsidRPr="00316DB9">
        <w:rPr>
          <w:rStyle w:val="sb8d990e2"/>
        </w:rPr>
        <w:t>(A</w:t>
      </w:r>
      <w:r w:rsidR="00C93BCA" w:rsidRPr="00316DB9">
        <w:t xml:space="preserve">pplication No. </w:t>
      </w:r>
      <w:r w:rsidR="00C93BCA" w:rsidRPr="00316DB9">
        <w:rPr>
          <w:rStyle w:val="wordhighlighted"/>
        </w:rPr>
        <w:t>42730/05</w:t>
      </w:r>
      <w:r w:rsidR="00C93BCA" w:rsidRPr="00316DB9">
        <w:t>, judgment of 12 June 2012, final on 12 September 2012)</w:t>
      </w:r>
      <w:r w:rsidR="00316DB9" w:rsidRPr="00316DB9">
        <w:t xml:space="preserve"> found </w:t>
      </w:r>
      <w:r w:rsidR="00316DB9" w:rsidRPr="00316DB9">
        <w:rPr>
          <w:szCs w:val="24"/>
        </w:rPr>
        <w:t xml:space="preserve">unanimously that there had been </w:t>
      </w:r>
      <w:r w:rsidR="00316DB9" w:rsidRPr="00316DB9">
        <w:rPr>
          <w:bCs/>
          <w:szCs w:val="24"/>
        </w:rPr>
        <w:t xml:space="preserve">violations of Article 3 (prohibition of degrading treatment) and 9 (right to freedom of thought, conscience and religion) </w:t>
      </w:r>
      <w:r w:rsidR="00316DB9" w:rsidRPr="00316DB9">
        <w:rPr>
          <w:szCs w:val="24"/>
        </w:rPr>
        <w:t xml:space="preserve">of the European Convention on Human Rights; and </w:t>
      </w:r>
      <w:r w:rsidR="00316DB9" w:rsidRPr="00316DB9">
        <w:rPr>
          <w:bCs/>
          <w:szCs w:val="24"/>
        </w:rPr>
        <w:t xml:space="preserve">a violation of Article 6(1) </w:t>
      </w:r>
      <w:r w:rsidR="00316DB9" w:rsidRPr="00316DB9">
        <w:rPr>
          <w:szCs w:val="24"/>
        </w:rPr>
        <w:t>of the Convention on account of the lack of independence and impartiality of the military court.</w:t>
      </w:r>
      <w:r w:rsidR="00DB4478">
        <w:rPr>
          <w:szCs w:val="24"/>
        </w:rPr>
        <w:t xml:space="preserve"> </w:t>
      </w:r>
      <w:r w:rsidR="00316DB9" w:rsidRPr="00316DB9">
        <w:t>T</w:t>
      </w:r>
      <w:r w:rsidR="00C93BCA" w:rsidRPr="00316DB9">
        <w:t xml:space="preserve">he </w:t>
      </w:r>
      <w:r w:rsidR="00316DB9" w:rsidRPr="00316DB9">
        <w:t>ECtHR</w:t>
      </w:r>
      <w:r w:rsidR="00C93BCA" w:rsidRPr="00316DB9">
        <w:t xml:space="preserve"> reiterated that the system of compulsory military service in force in Turkey allowed for no exceptions on grounds of conscience and resulted in heavy</w:t>
      </w:r>
      <w:r w:rsidR="00AC679B">
        <w:t xml:space="preserve"> and repeated</w:t>
      </w:r>
      <w:r w:rsidR="00C93BCA" w:rsidRPr="00316DB9">
        <w:t xml:space="preserve"> criminal sanctions being imposed on those who refused to comply. Such a system failed to strike a proper balance between the general interest of society and that of conscientious objectors. The penalties, sanctions, convictions and prosecutions imposed on conscientious objectors, when no measures were provided to take account of the requirements of their consciences and convictions, could not be regarded as necessary in a democratic society.</w:t>
      </w:r>
    </w:p>
    <w:p w:rsidR="00A75CFD" w:rsidRPr="00316DB9" w:rsidRDefault="00A75CFD" w:rsidP="00A75CFD">
      <w:pPr>
        <w:pStyle w:val="ListParagraph"/>
        <w:ind w:left="851" w:hanging="851"/>
      </w:pPr>
      <w:r>
        <w:t>If the person can demonstrate that they have deeply</w:t>
      </w:r>
      <w:r w:rsidR="00CC01A5">
        <w:t>-</w:t>
      </w:r>
      <w:r>
        <w:t xml:space="preserve">held convictions which prevent them from undertaking military service, </w:t>
      </w:r>
      <w:r w:rsidR="004366CB">
        <w:t xml:space="preserve">and can demonstrate that they do not have the option to buy out their military service, </w:t>
      </w:r>
      <w:r>
        <w:t xml:space="preserve">the likely </w:t>
      </w:r>
      <w:r w:rsidR="00B423A4">
        <w:t xml:space="preserve">repeated </w:t>
      </w:r>
      <w:r>
        <w:t>punishment will result in persecution.</w:t>
      </w:r>
    </w:p>
    <w:p w:rsidR="00E3771E" w:rsidRPr="00207CED" w:rsidRDefault="00140C6E" w:rsidP="00E3771E">
      <w:pPr>
        <w:pStyle w:val="CPITBacktoContentsLinks"/>
        <w:ind w:left="851" w:hanging="851"/>
        <w:rPr>
          <w:rStyle w:val="Hyperlink"/>
          <w:rFonts w:eastAsiaTheme="majorEastAsia"/>
        </w:rPr>
      </w:pPr>
      <w:hyperlink w:anchor="contents" w:history="1">
        <w:r w:rsidR="00E3771E" w:rsidRPr="00207CED">
          <w:rPr>
            <w:rStyle w:val="Hyperlink"/>
            <w:rFonts w:eastAsiaTheme="majorEastAsia"/>
          </w:rPr>
          <w:t>Back to Contents</w:t>
        </w:r>
      </w:hyperlink>
    </w:p>
    <w:p w:rsidR="00E3771E" w:rsidRPr="002B102B" w:rsidRDefault="001A1AB5" w:rsidP="00A75CFD">
      <w:pPr>
        <w:pStyle w:val="Heading3"/>
        <w:ind w:left="851" w:hanging="851"/>
      </w:pPr>
      <w:bookmarkStart w:id="16" w:name="_Toc444685799"/>
      <w:r>
        <w:t>P</w:t>
      </w:r>
      <w:r w:rsidR="00E3771E" w:rsidRPr="002B102B">
        <w:t>rotection</w:t>
      </w:r>
      <w:bookmarkEnd w:id="16"/>
    </w:p>
    <w:p w:rsidR="00BD3999" w:rsidRPr="00BD3999" w:rsidRDefault="00BD3999" w:rsidP="00A75CFD">
      <w:pPr>
        <w:pStyle w:val="ListParagraph"/>
        <w:ind w:left="851" w:hanging="851"/>
        <w:rPr>
          <w:u w:val="single" w:color="8F23B3"/>
        </w:rPr>
      </w:pPr>
      <w:r w:rsidRPr="00F4098F">
        <w:t xml:space="preserve">As the person’s fear is of </w:t>
      </w:r>
      <w:r w:rsidR="00A625FF">
        <w:t>ill-treatment/</w:t>
      </w:r>
      <w:r w:rsidRPr="00F4098F">
        <w:t xml:space="preserve">persecution </w:t>
      </w:r>
      <w:r>
        <w:t>at the hands of</w:t>
      </w:r>
      <w:r w:rsidRPr="00B648B4">
        <w:t xml:space="preserve"> the state they w</w:t>
      </w:r>
      <w:r w:rsidR="008B3877">
        <w:t>ill</w:t>
      </w:r>
      <w:r w:rsidRPr="00B648B4">
        <w:t xml:space="preserve"> </w:t>
      </w:r>
      <w:r>
        <w:t xml:space="preserve">not </w:t>
      </w:r>
      <w:r w:rsidRPr="00B648B4">
        <w:t xml:space="preserve">be able to </w:t>
      </w:r>
      <w:r>
        <w:t xml:space="preserve">avail themselves </w:t>
      </w:r>
      <w:r w:rsidRPr="002B102B">
        <w:t>of the protection of the authorities</w:t>
      </w:r>
      <w:r w:rsidRPr="00B648B4">
        <w:t>.</w:t>
      </w:r>
    </w:p>
    <w:p w:rsidR="00E3771E" w:rsidRPr="002B102B" w:rsidRDefault="00E3771E" w:rsidP="00A75CFD">
      <w:pPr>
        <w:pStyle w:val="ListParagraph"/>
        <w:ind w:left="851" w:hanging="851"/>
        <w:rPr>
          <w:rStyle w:val="CPITCOI-Link"/>
        </w:rPr>
      </w:pPr>
      <w:r w:rsidRPr="002B102B">
        <w:t xml:space="preserve">For further </w:t>
      </w:r>
      <w:r w:rsidR="008B3877">
        <w:t>guidance</w:t>
      </w:r>
      <w:r w:rsidRPr="002B102B">
        <w:t xml:space="preserve"> on assessing the availability</w:t>
      </w:r>
      <w:r w:rsidR="00DE731A">
        <w:t>,</w:t>
      </w:r>
      <w:r w:rsidRPr="002B102B">
        <w:t xml:space="preserve"> or </w:t>
      </w:r>
      <w:r w:rsidR="00DE731A">
        <w:t>lack of availability,</w:t>
      </w:r>
      <w:r w:rsidRPr="002B102B">
        <w:t xml:space="preserve"> of state protection, see section 8.1 of the </w:t>
      </w:r>
      <w:hyperlink r:id="rId34" w:history="1">
        <w:r w:rsidRPr="00207CED">
          <w:rPr>
            <w:rStyle w:val="Hyperlink"/>
          </w:rPr>
          <w:t>Asylum Instruction on Assessing Credibility and Refugee Status</w:t>
        </w:r>
      </w:hyperlink>
      <w:r w:rsidRPr="002B102B">
        <w:t>.</w:t>
      </w:r>
    </w:p>
    <w:p w:rsidR="00E3771E" w:rsidRPr="00207CED" w:rsidRDefault="00140C6E" w:rsidP="00E3771E">
      <w:pPr>
        <w:pStyle w:val="CPITBacktoContentsLinks"/>
        <w:ind w:left="851" w:hanging="851"/>
        <w:rPr>
          <w:rStyle w:val="Hyperlink"/>
        </w:rPr>
      </w:pPr>
      <w:hyperlink w:anchor="contents" w:history="1">
        <w:r w:rsidR="00E3771E" w:rsidRPr="00207CED">
          <w:rPr>
            <w:rStyle w:val="Hyperlink"/>
            <w:rFonts w:eastAsiaTheme="majorEastAsia"/>
          </w:rPr>
          <w:t>Back to Contents</w:t>
        </w:r>
      </w:hyperlink>
    </w:p>
    <w:p w:rsidR="00E3771E" w:rsidRPr="002B102B" w:rsidRDefault="008B3877" w:rsidP="00A75CFD">
      <w:pPr>
        <w:pStyle w:val="Heading3"/>
        <w:ind w:left="851" w:hanging="851"/>
      </w:pPr>
      <w:bookmarkStart w:id="17" w:name="_Toc444685800"/>
      <w:r>
        <w:t>Internal relocation</w:t>
      </w:r>
      <w:bookmarkEnd w:id="17"/>
    </w:p>
    <w:p w:rsidR="009E641B" w:rsidRDefault="009E641B" w:rsidP="00A75CFD">
      <w:pPr>
        <w:pStyle w:val="ListParagraph"/>
        <w:ind w:left="851" w:hanging="851"/>
      </w:pPr>
      <w:r w:rsidRPr="00F4098F">
        <w:t xml:space="preserve">As the person’s fear is of </w:t>
      </w:r>
      <w:r w:rsidR="00487050">
        <w:t>ill-treatment/</w:t>
      </w:r>
      <w:r w:rsidRPr="00F4098F">
        <w:t xml:space="preserve">persecution </w:t>
      </w:r>
      <w:r>
        <w:t>at the hands of</w:t>
      </w:r>
      <w:r w:rsidRPr="00B648B4">
        <w:t xml:space="preserve"> the state</w:t>
      </w:r>
      <w:r w:rsidR="00487050">
        <w:t xml:space="preserve"> they will</w:t>
      </w:r>
      <w:r>
        <w:t xml:space="preserve"> not be able</w:t>
      </w:r>
      <w:r w:rsidRPr="008F2F2B">
        <w:t xml:space="preserve"> to relocate to escape that risk</w:t>
      </w:r>
      <w:r>
        <w:t>.</w:t>
      </w:r>
    </w:p>
    <w:p w:rsidR="00AC679B" w:rsidRDefault="00487050" w:rsidP="00A75CFD">
      <w:pPr>
        <w:pStyle w:val="ListParagraph"/>
        <w:ind w:left="851" w:hanging="851"/>
      </w:pPr>
      <w:r>
        <w:t>For further guidance</w:t>
      </w:r>
      <w:r w:rsidR="00E3771E" w:rsidRPr="002B102B">
        <w:t xml:space="preserve"> </w:t>
      </w:r>
      <w:r>
        <w:t>on</w:t>
      </w:r>
      <w:r w:rsidR="00E3771E" w:rsidRPr="002B102B">
        <w:t xml:space="preserve"> internal relocation, see section 8.2 of the </w:t>
      </w:r>
      <w:hyperlink r:id="rId35" w:history="1">
        <w:r w:rsidR="00E3771E" w:rsidRPr="00207CED">
          <w:rPr>
            <w:rStyle w:val="Hyperlink"/>
          </w:rPr>
          <w:t>Asylum Instruction on Assessing Credibility and Refugee Status</w:t>
        </w:r>
      </w:hyperlink>
      <w:r w:rsidR="00AC679B">
        <w:t>.</w:t>
      </w:r>
    </w:p>
    <w:p w:rsidR="00E3771E" w:rsidRPr="00207CED" w:rsidRDefault="00140C6E" w:rsidP="00AC679B">
      <w:pPr>
        <w:jc w:val="right"/>
        <w:rPr>
          <w:rStyle w:val="Hyperlink"/>
        </w:rPr>
      </w:pPr>
      <w:hyperlink w:anchor="contents" w:history="1">
        <w:r w:rsidR="00E3771E" w:rsidRPr="00207CED">
          <w:rPr>
            <w:rStyle w:val="Hyperlink"/>
          </w:rPr>
          <w:t>Back to Contents</w:t>
        </w:r>
      </w:hyperlink>
    </w:p>
    <w:p w:rsidR="00F704DE" w:rsidRDefault="00BD7A34" w:rsidP="00A75CFD">
      <w:pPr>
        <w:pStyle w:val="Heading3"/>
        <w:ind w:left="851" w:hanging="851"/>
      </w:pPr>
      <w:bookmarkStart w:id="18" w:name="_Toc444685801"/>
      <w:r>
        <w:t>Certification</w:t>
      </w:r>
      <w:bookmarkEnd w:id="18"/>
    </w:p>
    <w:p w:rsidR="00F704DE" w:rsidRDefault="00F704DE" w:rsidP="00A75CFD">
      <w:pPr>
        <w:pStyle w:val="ListParagraph"/>
        <w:ind w:left="851" w:hanging="851"/>
      </w:pPr>
      <w:r w:rsidRPr="00716662">
        <w:t xml:space="preserve">Where a claim </w:t>
      </w:r>
      <w:r w:rsidR="0034471F">
        <w:t xml:space="preserve">based on military service or draft evasion </w:t>
      </w:r>
      <w:r w:rsidRPr="00716662">
        <w:t>falls to be refused</w:t>
      </w:r>
      <w:r w:rsidRPr="00302CB4">
        <w:t xml:space="preserve">, it is </w:t>
      </w:r>
      <w:r w:rsidRPr="002B102B">
        <w:t>likely</w:t>
      </w:r>
      <w:r w:rsidRPr="00302CB4">
        <w:t xml:space="preserve"> to be certifiable as ‘clearly unfounded’ under section 94 of the Nationality, Immigration and Asylum Act 2002</w:t>
      </w:r>
      <w:r w:rsidR="00156A30">
        <w:t xml:space="preserve"> unless the claim is based on the person’s conscientious objection to military service or on their sexual orientation.</w:t>
      </w:r>
      <w:r w:rsidRPr="00302CB4">
        <w:t xml:space="preserve"> </w:t>
      </w:r>
    </w:p>
    <w:p w:rsidR="00F704DE" w:rsidRDefault="00F704DE" w:rsidP="00A75CFD">
      <w:pPr>
        <w:pStyle w:val="ListParagraph"/>
        <w:ind w:left="851" w:hanging="851"/>
      </w:pPr>
      <w:r w:rsidRPr="00C2100F">
        <w:lastRenderedPageBreak/>
        <w:t>For fu</w:t>
      </w:r>
      <w:r w:rsidR="00C01B13">
        <w:t>rther guidance</w:t>
      </w:r>
      <w:r w:rsidRPr="00C2100F">
        <w:t xml:space="preserve"> on certification, see the </w:t>
      </w:r>
      <w:hyperlink r:id="rId36" w:history="1">
        <w:r w:rsidR="00334D1A" w:rsidRPr="00B867DB">
          <w:rPr>
            <w:rStyle w:val="Hyperlink"/>
          </w:rPr>
          <w:t>Appeals Instruction on Certification of Protection and Human Rights claims under Section 94 of the Nationality, Immigration and Asylum Act 2002 (clearly unfounded claims)</w:t>
        </w:r>
        <w:r w:rsidR="00334D1A" w:rsidRPr="00B867DB">
          <w:rPr>
            <w:rStyle w:val="CPITCOI-Link"/>
            <w:u w:val="none"/>
          </w:rPr>
          <w:t>.</w:t>
        </w:r>
      </w:hyperlink>
    </w:p>
    <w:bookmarkStart w:id="19" w:name="_Country_Information"/>
    <w:bookmarkEnd w:id="19"/>
    <w:p w:rsidR="001778D2" w:rsidRPr="00B867DB" w:rsidRDefault="006F1B89" w:rsidP="001778D2">
      <w:pPr>
        <w:pStyle w:val="CPITBacktoContentsLinks"/>
        <w:ind w:hanging="720"/>
        <w:rPr>
          <w:rStyle w:val="Hyperlink"/>
          <w:rFonts w:eastAsiaTheme="majorEastAsia"/>
        </w:rPr>
      </w:pPr>
      <w:r w:rsidRPr="00B867DB">
        <w:rPr>
          <w:rStyle w:val="Hyperlink"/>
        </w:rPr>
        <w:fldChar w:fldCharType="begin"/>
      </w:r>
      <w:r w:rsidR="00396845" w:rsidRPr="00B867DB">
        <w:rPr>
          <w:rStyle w:val="Hyperlink"/>
        </w:rPr>
        <w:instrText>HYPERLINK \l "contents"</w:instrText>
      </w:r>
      <w:r w:rsidRPr="00B867DB">
        <w:rPr>
          <w:rStyle w:val="Hyperlink"/>
        </w:rPr>
        <w:fldChar w:fldCharType="separate"/>
      </w:r>
      <w:r w:rsidR="001778D2" w:rsidRPr="00B867DB">
        <w:rPr>
          <w:rStyle w:val="Hyperlink"/>
          <w:rFonts w:eastAsiaTheme="majorEastAsia"/>
        </w:rPr>
        <w:t>Back to Contents</w:t>
      </w:r>
      <w:r w:rsidRPr="00B867DB">
        <w:rPr>
          <w:rStyle w:val="Hyperlink"/>
        </w:rPr>
        <w:fldChar w:fldCharType="end"/>
      </w:r>
    </w:p>
    <w:p w:rsidR="00197163" w:rsidRDefault="00197163" w:rsidP="00180EAA">
      <w:pPr>
        <w:pStyle w:val="Heading2"/>
        <w:ind w:left="851" w:hanging="851"/>
      </w:pPr>
      <w:bookmarkStart w:id="20" w:name="_Toc444685802"/>
      <w:r>
        <w:t>Policy Summary</w:t>
      </w:r>
      <w:bookmarkEnd w:id="20"/>
    </w:p>
    <w:p w:rsidR="00197163" w:rsidRPr="00DE6118" w:rsidRDefault="00180EAA" w:rsidP="00197163">
      <w:pPr>
        <w:pStyle w:val="ListParagraph"/>
        <w:ind w:left="851" w:hanging="851"/>
      </w:pPr>
      <w:r w:rsidRPr="00DE6118">
        <w:t>M</w:t>
      </w:r>
      <w:r w:rsidR="00197163" w:rsidRPr="00DE6118">
        <w:t xml:space="preserve">ilitary service </w:t>
      </w:r>
      <w:r w:rsidRPr="00DE6118">
        <w:rPr>
          <w:szCs w:val="24"/>
        </w:rPr>
        <w:t>of</w:t>
      </w:r>
      <w:r w:rsidR="00197163" w:rsidRPr="00DE6118">
        <w:rPr>
          <w:szCs w:val="24"/>
        </w:rPr>
        <w:t xml:space="preserve"> up to </w:t>
      </w:r>
      <w:r w:rsidRPr="00DE6118">
        <w:rPr>
          <w:szCs w:val="24"/>
        </w:rPr>
        <w:t>12</w:t>
      </w:r>
      <w:r w:rsidR="00197163" w:rsidRPr="00DE6118">
        <w:rPr>
          <w:szCs w:val="24"/>
        </w:rPr>
        <w:t xml:space="preserve"> months is compulsory for Turkish males aged between 20 and 41. There are limited exemptions – but not for </w:t>
      </w:r>
      <w:r w:rsidR="00197163" w:rsidRPr="00DE6118">
        <w:t>conscientious objection</w:t>
      </w:r>
      <w:r w:rsidR="00197163" w:rsidRPr="00DE6118">
        <w:rPr>
          <w:szCs w:val="24"/>
        </w:rPr>
        <w:t xml:space="preserve"> - and also the option for persons to </w:t>
      </w:r>
      <w:r w:rsidR="00197163" w:rsidRPr="00DE6118">
        <w:rPr>
          <w:shd w:val="clear" w:color="auto" w:fill="FFFFFF"/>
        </w:rPr>
        <w:t>'buy out' their military service</w:t>
      </w:r>
      <w:r w:rsidR="00AE1B7B">
        <w:rPr>
          <w:shd w:val="clear" w:color="auto" w:fill="FFFFFF"/>
        </w:rPr>
        <w:t xml:space="preserve"> and for Turkish citizens who have lived abroad for at least three years to complete their military service in 21 days.</w:t>
      </w:r>
    </w:p>
    <w:p w:rsidR="00197163" w:rsidRPr="00DE6118" w:rsidRDefault="00197163" w:rsidP="00197163">
      <w:pPr>
        <w:pStyle w:val="ListParagraph"/>
        <w:ind w:left="851" w:hanging="851"/>
      </w:pPr>
      <w:r w:rsidRPr="00DE6118">
        <w:t xml:space="preserve">It is legitimate for countries to require their citizens to perform compulsory military service and punishment for failing to complete it does not, in itself, constitute persecution.  </w:t>
      </w:r>
    </w:p>
    <w:p w:rsidR="00197163" w:rsidRPr="00DE6118" w:rsidRDefault="00197163" w:rsidP="00197163">
      <w:pPr>
        <w:pStyle w:val="ListParagraph"/>
        <w:ind w:left="851" w:hanging="851"/>
      </w:pPr>
      <w:r w:rsidRPr="00DE6118">
        <w:t xml:space="preserve">Military service in Turkey would </w:t>
      </w:r>
      <w:r w:rsidRPr="00DE6118">
        <w:rPr>
          <w:bCs/>
        </w:rPr>
        <w:t>not</w:t>
      </w:r>
      <w:r w:rsidRPr="00DE6118">
        <w:t xml:space="preserve"> involve acts, with which the person may be associated, which are contrary to the basic rules of human conduct; the conditions of military service are not so harsh as to amount to persecution; nor is the punishment for draft evasion or desertion disproportionately harsh or severe. </w:t>
      </w:r>
    </w:p>
    <w:p w:rsidR="00197163" w:rsidRPr="00DE6118" w:rsidRDefault="00197163" w:rsidP="00197163">
      <w:pPr>
        <w:pStyle w:val="ListParagraph"/>
        <w:ind w:left="851" w:hanging="851"/>
        <w:rPr>
          <w:rStyle w:val="Emphasis"/>
          <w:i w:val="0"/>
          <w:iCs w:val="0"/>
        </w:rPr>
      </w:pPr>
      <w:r w:rsidRPr="00DE6118">
        <w:t>The situation is</w:t>
      </w:r>
      <w:r w:rsidR="00755CF5">
        <w:t>,</w:t>
      </w:r>
      <w:r w:rsidRPr="00DE6118">
        <w:t xml:space="preserve"> however</w:t>
      </w:r>
      <w:r w:rsidR="00755CF5">
        <w:t>,</w:t>
      </w:r>
      <w:r w:rsidRPr="00DE6118">
        <w:t xml:space="preserve"> different for conscientious objectors who face  repe</w:t>
      </w:r>
      <w:r w:rsidR="00C957D6">
        <w:t>ated criminal sanctions which are</w:t>
      </w:r>
      <w:r w:rsidRPr="00DE6118">
        <w:t xml:space="preserve"> likely to amount to persecution.</w:t>
      </w:r>
      <w:r w:rsidR="00180EAA" w:rsidRPr="00DE6118">
        <w:t xml:space="preserve"> </w:t>
      </w:r>
      <w:r w:rsidR="00C957D6">
        <w:t>G</w:t>
      </w:r>
      <w:r w:rsidRPr="00DE6118">
        <w:t xml:space="preserve">ay men </w:t>
      </w:r>
      <w:r w:rsidR="00180EAA" w:rsidRPr="00DE6118">
        <w:t xml:space="preserve">(or those </w:t>
      </w:r>
      <w:r w:rsidRPr="00DE6118">
        <w:rPr>
          <w:rStyle w:val="Emphasis"/>
          <w:i w:val="0"/>
          <w:color w:val="000000"/>
          <w:szCs w:val="24"/>
          <w:lang w:val="en-US"/>
        </w:rPr>
        <w:t xml:space="preserve">perceived </w:t>
      </w:r>
      <w:r w:rsidR="00180EAA" w:rsidRPr="00DE6118">
        <w:rPr>
          <w:rStyle w:val="Emphasis"/>
          <w:i w:val="0"/>
          <w:color w:val="000000"/>
          <w:szCs w:val="24"/>
          <w:lang w:val="en-US"/>
        </w:rPr>
        <w:t xml:space="preserve">as such) serving in the military </w:t>
      </w:r>
      <w:r w:rsidRPr="00DE6118">
        <w:rPr>
          <w:rStyle w:val="Emphasis"/>
          <w:i w:val="0"/>
          <w:color w:val="000000"/>
          <w:szCs w:val="24"/>
          <w:lang w:val="en-US"/>
        </w:rPr>
        <w:t>in Turkey</w:t>
      </w:r>
      <w:r w:rsidR="00180EAA" w:rsidRPr="00DE6118">
        <w:rPr>
          <w:rStyle w:val="Emphasis"/>
          <w:i w:val="0"/>
          <w:color w:val="000000"/>
          <w:szCs w:val="24"/>
          <w:lang w:val="en-US"/>
        </w:rPr>
        <w:t xml:space="preserve"> </w:t>
      </w:r>
      <w:r w:rsidR="00C957D6">
        <w:rPr>
          <w:rStyle w:val="Emphasis"/>
          <w:i w:val="0"/>
          <w:color w:val="000000"/>
          <w:szCs w:val="24"/>
          <w:lang w:val="en-US"/>
        </w:rPr>
        <w:t xml:space="preserve">also </w:t>
      </w:r>
      <w:r w:rsidR="00180EAA" w:rsidRPr="00DE6118">
        <w:rPr>
          <w:rStyle w:val="Emphasis"/>
          <w:i w:val="0"/>
          <w:color w:val="000000"/>
          <w:szCs w:val="24"/>
          <w:lang w:val="en-US"/>
        </w:rPr>
        <w:t xml:space="preserve">face </w:t>
      </w:r>
      <w:r w:rsidRPr="00DE6118">
        <w:rPr>
          <w:rStyle w:val="Emphasis"/>
          <w:i w:val="0"/>
          <w:color w:val="000000"/>
          <w:szCs w:val="24"/>
          <w:lang w:val="en-US"/>
        </w:rPr>
        <w:t xml:space="preserve">a </w:t>
      </w:r>
      <w:r w:rsidR="00C957D6">
        <w:rPr>
          <w:rStyle w:val="Emphasis"/>
          <w:i w:val="0"/>
          <w:color w:val="000000"/>
          <w:szCs w:val="24"/>
          <w:lang w:val="en-US"/>
        </w:rPr>
        <w:t>real risk of</w:t>
      </w:r>
      <w:r w:rsidRPr="00DE6118">
        <w:rPr>
          <w:rStyle w:val="Emphasis"/>
          <w:i w:val="0"/>
          <w:color w:val="000000"/>
          <w:szCs w:val="24"/>
          <w:lang w:val="en-US"/>
        </w:rPr>
        <w:t xml:space="preserve"> ill-treatment of sufficient severity </w:t>
      </w:r>
      <w:r w:rsidR="00C957D6">
        <w:rPr>
          <w:rStyle w:val="Emphasis"/>
          <w:i w:val="0"/>
          <w:color w:val="000000"/>
          <w:szCs w:val="24"/>
          <w:lang w:val="en-US"/>
        </w:rPr>
        <w:t xml:space="preserve">as </w:t>
      </w:r>
      <w:r w:rsidRPr="00DE6118">
        <w:rPr>
          <w:rStyle w:val="Emphasis"/>
          <w:i w:val="0"/>
          <w:color w:val="000000"/>
          <w:szCs w:val="24"/>
          <w:lang w:val="en-US"/>
        </w:rPr>
        <w:t>to</w:t>
      </w:r>
      <w:r w:rsidRPr="00DE6118">
        <w:rPr>
          <w:rStyle w:val="Emphasis"/>
          <w:color w:val="000000"/>
          <w:szCs w:val="24"/>
          <w:lang w:val="en-US"/>
        </w:rPr>
        <w:t xml:space="preserve"> </w:t>
      </w:r>
      <w:r w:rsidRPr="00DE6118">
        <w:rPr>
          <w:rStyle w:val="Emphasis"/>
          <w:i w:val="0"/>
          <w:color w:val="000000"/>
          <w:szCs w:val="24"/>
          <w:lang w:val="en-US"/>
        </w:rPr>
        <w:t xml:space="preserve">amount to persecution on the basis of </w:t>
      </w:r>
      <w:r w:rsidR="00180EAA" w:rsidRPr="00DE6118">
        <w:rPr>
          <w:rStyle w:val="Emphasis"/>
          <w:i w:val="0"/>
          <w:color w:val="000000"/>
          <w:szCs w:val="24"/>
          <w:lang w:val="en-US"/>
        </w:rPr>
        <w:t>their</w:t>
      </w:r>
      <w:r w:rsidRPr="00DE6118">
        <w:rPr>
          <w:rStyle w:val="Emphasis"/>
          <w:i w:val="0"/>
          <w:color w:val="000000"/>
          <w:szCs w:val="24"/>
          <w:lang w:val="en-US"/>
        </w:rPr>
        <w:t xml:space="preserve"> sexual </w:t>
      </w:r>
      <w:r w:rsidR="00180EAA" w:rsidRPr="00DE6118">
        <w:rPr>
          <w:rStyle w:val="Emphasis"/>
          <w:i w:val="0"/>
          <w:color w:val="000000"/>
          <w:szCs w:val="24"/>
          <w:lang w:val="en-US"/>
        </w:rPr>
        <w:t>orientation.</w:t>
      </w:r>
    </w:p>
    <w:p w:rsidR="00180EAA" w:rsidRPr="00B867DB" w:rsidRDefault="00140C6E" w:rsidP="00F6762B">
      <w:pPr>
        <w:jc w:val="right"/>
        <w:rPr>
          <w:rStyle w:val="Hyperlink"/>
        </w:rPr>
      </w:pPr>
      <w:hyperlink w:anchor="contents" w:history="1">
        <w:r w:rsidR="00180EAA" w:rsidRPr="00B867DB">
          <w:rPr>
            <w:rStyle w:val="Hyperlink"/>
          </w:rPr>
          <w:t>Back to Contents</w:t>
        </w:r>
      </w:hyperlink>
    </w:p>
    <w:p w:rsidR="009B0C7C" w:rsidRDefault="00EC7DF2" w:rsidP="00180EAA">
      <w:pPr>
        <w:pStyle w:val="Heading1"/>
      </w:pPr>
      <w:r>
        <w:br w:type="page"/>
      </w:r>
      <w:bookmarkStart w:id="21" w:name="_Toc444685803"/>
      <w:r w:rsidR="009B0C7C">
        <w:lastRenderedPageBreak/>
        <w:t>Country Information</w:t>
      </w:r>
      <w:bookmarkEnd w:id="21"/>
    </w:p>
    <w:p w:rsidR="007B70DA" w:rsidRPr="003F5F72" w:rsidRDefault="007B70DA" w:rsidP="007B70DA">
      <w:pPr>
        <w:jc w:val="right"/>
        <w:rPr>
          <w:color w:val="7030A0"/>
        </w:rPr>
      </w:pPr>
      <w:r w:rsidRPr="003F5F72">
        <w:rPr>
          <w:color w:val="7030A0"/>
        </w:rPr>
        <w:t>Update</w:t>
      </w:r>
      <w:r w:rsidR="002C60FD">
        <w:rPr>
          <w:color w:val="7030A0"/>
        </w:rPr>
        <w:t xml:space="preserve">d: 2 </w:t>
      </w:r>
      <w:r w:rsidR="0088411E">
        <w:rPr>
          <w:color w:val="7030A0"/>
        </w:rPr>
        <w:t>March</w:t>
      </w:r>
      <w:r w:rsidR="002C60FD">
        <w:rPr>
          <w:color w:val="7030A0"/>
        </w:rPr>
        <w:t xml:space="preserve"> 2016</w:t>
      </w:r>
      <w:r w:rsidRPr="003F5F72">
        <w:rPr>
          <w:color w:val="7030A0"/>
        </w:rPr>
        <w:t xml:space="preserve"> </w:t>
      </w:r>
    </w:p>
    <w:p w:rsidR="00E3771E" w:rsidRPr="005C0745" w:rsidRDefault="00E3771E" w:rsidP="00A75CFD">
      <w:pPr>
        <w:pStyle w:val="Heading2"/>
        <w:ind w:left="851" w:hanging="851"/>
      </w:pPr>
      <w:bookmarkStart w:id="22" w:name="_Toc416356701"/>
      <w:bookmarkStart w:id="23" w:name="_Toc444685804"/>
      <w:bookmarkStart w:id="24" w:name="_Toc412550416"/>
      <w:bookmarkStart w:id="25" w:name="_Toc409598708"/>
      <w:r>
        <w:t>Legal Context</w:t>
      </w:r>
      <w:bookmarkEnd w:id="22"/>
      <w:bookmarkEnd w:id="23"/>
    </w:p>
    <w:p w:rsidR="00E3771E" w:rsidRPr="00A82DF1" w:rsidRDefault="00E3771E" w:rsidP="00A75CFD">
      <w:pPr>
        <w:pStyle w:val="Heading3"/>
        <w:ind w:left="851" w:hanging="851"/>
      </w:pPr>
      <w:bookmarkStart w:id="26" w:name="_Toc412550417"/>
      <w:bookmarkStart w:id="27" w:name="_Toc444685805"/>
      <w:bookmarkEnd w:id="24"/>
      <w:r w:rsidRPr="00A82DF1">
        <w:t>Requirement to do Military Service</w:t>
      </w:r>
      <w:bookmarkEnd w:id="26"/>
      <w:bookmarkEnd w:id="27"/>
    </w:p>
    <w:p w:rsidR="00E3771E" w:rsidRDefault="00E3771E" w:rsidP="00A75CFD">
      <w:pPr>
        <w:pStyle w:val="ListParagraph"/>
        <w:ind w:left="851" w:hanging="851"/>
      </w:pPr>
      <w:r w:rsidRPr="007A2259">
        <w:t xml:space="preserve">According to Article 72 of the Turkish constitution, ‘National service is the right and duty of every </w:t>
      </w:r>
      <w:r w:rsidRPr="003F5E1C">
        <w:t>Turk</w:t>
      </w:r>
      <w:r>
        <w:t>. The manner in which this service shall be performed, or considered as performed, either in the armed forces or in public service, shall be regulated by law.</w:t>
      </w:r>
      <w:r w:rsidRPr="003F5E1C">
        <w:t>’</w:t>
      </w:r>
      <w:r w:rsidRPr="003F5E1C">
        <w:rPr>
          <w:rStyle w:val="FootnoteReference"/>
        </w:rPr>
        <w:footnoteReference w:id="1"/>
      </w:r>
    </w:p>
    <w:p w:rsidR="00E3771E" w:rsidRDefault="00E3771E" w:rsidP="00A75CFD">
      <w:pPr>
        <w:pStyle w:val="ListParagraph"/>
        <w:ind w:left="851" w:hanging="851"/>
      </w:pPr>
      <w:r>
        <w:t xml:space="preserve">The relevant law is Law No. </w:t>
      </w:r>
      <w:r w:rsidRPr="0025175D">
        <w:t>1111</w:t>
      </w:r>
      <w:r>
        <w:t xml:space="preserve"> of 1927, Article 1</w:t>
      </w:r>
      <w:r w:rsidR="00DB4E5B">
        <w:t>,</w:t>
      </w:r>
      <w:r>
        <w:t xml:space="preserve"> which states t</w:t>
      </w:r>
      <w:r w:rsidRPr="00515FF7">
        <w:t>hat ‘</w:t>
      </w:r>
      <w:r w:rsidRPr="00515FF7">
        <w:rPr>
          <w:shd w:val="clear" w:color="auto" w:fill="FFFFFF"/>
        </w:rPr>
        <w:t>Every male Turkish citizen is obliged to perform his military service in accordance with this law.’</w:t>
      </w:r>
      <w:r w:rsidRPr="003F5E1C">
        <w:rPr>
          <w:rStyle w:val="FootnoteReference"/>
        </w:rPr>
        <w:footnoteReference w:id="2"/>
      </w:r>
    </w:p>
    <w:p w:rsidR="00E3771E" w:rsidRPr="00A85A21" w:rsidRDefault="00E3771E" w:rsidP="00A75CFD">
      <w:pPr>
        <w:pStyle w:val="ListParagraph"/>
        <w:ind w:left="851" w:hanging="851"/>
        <w:rPr>
          <w:rStyle w:val="apple-converted-space"/>
        </w:rPr>
      </w:pPr>
      <w:r>
        <w:t>Various sources cited in a June 2014</w:t>
      </w:r>
      <w:r w:rsidRPr="00ED5EB5">
        <w:t xml:space="preserve"> </w:t>
      </w:r>
      <w:r>
        <w:t>‘</w:t>
      </w:r>
      <w:r w:rsidRPr="00ED5EB5">
        <w:rPr>
          <w:color w:val="000000"/>
          <w:shd w:val="clear" w:color="auto" w:fill="FFFFFF"/>
        </w:rPr>
        <w:t>Respo</w:t>
      </w:r>
      <w:r>
        <w:rPr>
          <w:color w:val="000000"/>
          <w:shd w:val="clear" w:color="auto" w:fill="FFFFFF"/>
        </w:rPr>
        <w:t>nse to Information Request’ by</w:t>
      </w:r>
      <w:r w:rsidRPr="00ED5EB5">
        <w:rPr>
          <w:color w:val="000000"/>
          <w:shd w:val="clear" w:color="auto" w:fill="FFFFFF"/>
        </w:rPr>
        <w:t xml:space="preserve"> t</w:t>
      </w:r>
      <w:r w:rsidRPr="00ED5EB5">
        <w:t xml:space="preserve">he </w:t>
      </w:r>
      <w:r>
        <w:t xml:space="preserve">Research Directorate of the </w:t>
      </w:r>
      <w:r w:rsidRPr="00ED5EB5">
        <w:t>Immigration and Refugee Board of Canada</w:t>
      </w:r>
      <w:r>
        <w:t xml:space="preserve"> </w:t>
      </w:r>
      <w:r w:rsidRPr="00ED5EB5">
        <w:t>(</w:t>
      </w:r>
      <w:r>
        <w:t xml:space="preserve">‘the Canadian </w:t>
      </w:r>
      <w:r w:rsidRPr="00ED5EB5">
        <w:t>IRB</w:t>
      </w:r>
      <w:r>
        <w:t>’</w:t>
      </w:r>
      <w:r w:rsidRPr="00ED5EB5">
        <w:t>)</w:t>
      </w:r>
      <w:r>
        <w:t xml:space="preserve"> also</w:t>
      </w:r>
      <w:r w:rsidRPr="00ED5EB5">
        <w:t xml:space="preserve"> </w:t>
      </w:r>
      <w:r>
        <w:t>indicate</w:t>
      </w:r>
      <w:r w:rsidR="001F266C">
        <w:t>d</w:t>
      </w:r>
      <w:r>
        <w:t xml:space="preserve"> that </w:t>
      </w:r>
      <w:r w:rsidRPr="00ED5EB5">
        <w:t>‘al</w:t>
      </w:r>
      <w:r w:rsidRPr="00ED5EB5">
        <w:rPr>
          <w:shd w:val="clear" w:color="auto" w:fill="FFFFFF"/>
        </w:rPr>
        <w:t>l male citizens are subject to compulsory military service in Turkey</w:t>
      </w:r>
      <w:r w:rsidR="001F266C">
        <w:rPr>
          <w:shd w:val="clear" w:color="auto" w:fill="FFFFFF"/>
        </w:rPr>
        <w:t>.</w:t>
      </w:r>
      <w:r w:rsidRPr="00ED5EB5">
        <w:rPr>
          <w:rStyle w:val="apple-converted-space"/>
          <w:shd w:val="clear" w:color="auto" w:fill="FFFFFF"/>
        </w:rPr>
        <w:t>’</w:t>
      </w:r>
      <w:r w:rsidRPr="003F5E1C">
        <w:rPr>
          <w:rStyle w:val="FootnoteReference"/>
        </w:rPr>
        <w:footnoteReference w:id="3"/>
      </w:r>
    </w:p>
    <w:p w:rsidR="00A85A21"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Pr="00A82DF1" w:rsidRDefault="00E3771E" w:rsidP="00A75CFD">
      <w:pPr>
        <w:pStyle w:val="Heading3"/>
        <w:ind w:left="851" w:hanging="851"/>
      </w:pPr>
      <w:bookmarkStart w:id="28" w:name="_Toc412550418"/>
      <w:bookmarkStart w:id="29" w:name="_Toc444685806"/>
      <w:r w:rsidRPr="00A82DF1">
        <w:t>Eligibility</w:t>
      </w:r>
      <w:bookmarkEnd w:id="28"/>
      <w:bookmarkEnd w:id="29"/>
    </w:p>
    <w:p w:rsidR="00E3771E" w:rsidRDefault="00E3771E" w:rsidP="00A75CFD">
      <w:pPr>
        <w:pStyle w:val="ListParagraph"/>
        <w:ind w:left="851" w:hanging="851"/>
      </w:pPr>
      <w:r>
        <w:t>The same document also quote</w:t>
      </w:r>
      <w:r w:rsidR="001F266C">
        <w:t>d</w:t>
      </w:r>
      <w:r>
        <w:t xml:space="preserve"> sources which show conflicting information about the age range in which a person is liable to perform military service. Commencement starts at between 19 and 21 years of age and lasts until either 38 or 41 years of age</w:t>
      </w:r>
      <w:r w:rsidR="002278BA">
        <w:t>.</w:t>
      </w:r>
      <w:r w:rsidR="00940E17" w:rsidRPr="003F5E1C">
        <w:rPr>
          <w:rStyle w:val="FootnoteReference"/>
        </w:rPr>
        <w:footnoteReference w:id="4"/>
      </w:r>
      <w:r>
        <w:t xml:space="preserve"> </w:t>
      </w:r>
    </w:p>
    <w:p w:rsidR="00E3771E" w:rsidRDefault="00E3771E" w:rsidP="00A75CFD">
      <w:pPr>
        <w:pStyle w:val="ListParagraph"/>
        <w:ind w:left="851" w:hanging="851"/>
      </w:pPr>
      <w:r w:rsidRPr="00096F49">
        <w:t xml:space="preserve">However, Article 2 </w:t>
      </w:r>
      <w:r>
        <w:t xml:space="preserve">(as amended) </w:t>
      </w:r>
      <w:r w:rsidRPr="00096F49">
        <w:t>of Law No. 1111 of 1927 states that ‘M</w:t>
      </w:r>
      <w:r w:rsidRPr="00096F49">
        <w:rPr>
          <w:shd w:val="clear" w:color="auto" w:fill="FFFFFF"/>
        </w:rPr>
        <w:t>ilitary [eligibility] age for every man shall be according to his age recorded in his basic citizenship register and shall begin on 1st January of the year when he reaches the age of 20 and shall end on 1st January of the year when he reaches the age of 41.’</w:t>
      </w:r>
      <w:r w:rsidRPr="003F5E1C">
        <w:rPr>
          <w:rStyle w:val="FootnoteReference"/>
        </w:rPr>
        <w:footnoteReference w:id="5"/>
      </w:r>
    </w:p>
    <w:p w:rsidR="00E3771E" w:rsidRDefault="00E3771E" w:rsidP="00A75CFD">
      <w:pPr>
        <w:pStyle w:val="ListParagraph"/>
        <w:ind w:left="851" w:hanging="851"/>
      </w:pPr>
      <w:r>
        <w:t>I</w:t>
      </w:r>
      <w:r w:rsidRPr="008129D4">
        <w:t xml:space="preserve">n its December 2014 </w:t>
      </w:r>
      <w:r w:rsidRPr="008129D4">
        <w:rPr>
          <w:kern w:val="36"/>
        </w:rPr>
        <w:t xml:space="preserve">Briefing paper for the Universal Periodic Review, </w:t>
      </w:r>
      <w:r>
        <w:t xml:space="preserve">War Resisters International explained that </w:t>
      </w:r>
      <w:r w:rsidRPr="006A531F">
        <w:t xml:space="preserve">Article 3 of </w:t>
      </w:r>
      <w:r>
        <w:t>the Law on Military Service ‘</w:t>
      </w:r>
      <w:r w:rsidRPr="006A531F">
        <w:t xml:space="preserve">divides military service into draft period, active service and the reserve. The draft period starts from the beginning of military [eligibility] age and continues until the time of entry into a unit; the normal duration of active military service </w:t>
      </w:r>
      <w:r w:rsidRPr="006A531F">
        <w:lastRenderedPageBreak/>
        <w:t>is twelve months, and is followed by reserve service until the age of 41. However, there is no definition of the age of eligibility for active military service, and in practice no upper age limit on the when one may beg</w:t>
      </w:r>
      <w:r>
        <w:t>in or complete the requirement.’</w:t>
      </w:r>
      <w:r w:rsidRPr="008129D4">
        <w:rPr>
          <w:rStyle w:val="FootnoteReference"/>
        </w:rPr>
        <w:footnoteReference w:id="6"/>
      </w:r>
    </w:p>
    <w:p w:rsidR="00E3771E" w:rsidRDefault="00E3771E" w:rsidP="00A75CFD">
      <w:pPr>
        <w:pStyle w:val="ListParagraph"/>
        <w:ind w:left="851" w:hanging="851"/>
      </w:pPr>
      <w:r w:rsidRPr="00EB4D1E">
        <w:t>Huzeyfe Torun and Semih Tumen</w:t>
      </w:r>
      <w:r>
        <w:t xml:space="preserve"> from the </w:t>
      </w:r>
      <w:r w:rsidRPr="00EB4D1E">
        <w:t>Central Bank of the Republic of Turkey</w:t>
      </w:r>
      <w:r>
        <w:t xml:space="preserve"> provide</w:t>
      </w:r>
      <w:r w:rsidR="001F266C">
        <w:t>d</w:t>
      </w:r>
      <w:r>
        <w:t xml:space="preserve"> background to compulsory military service in Turkey</w:t>
      </w:r>
      <w:r w:rsidRPr="00EB4D1E">
        <w:t xml:space="preserve"> </w:t>
      </w:r>
      <w:r>
        <w:t>in a January 2015 research paper. They explain</w:t>
      </w:r>
      <w:r w:rsidR="001F266C">
        <w:t>ed</w:t>
      </w:r>
      <w:r>
        <w:t xml:space="preserve"> that ‘The system requires all males above 20 years old with good health, normal BMI values, and no disabilities to enlist in the military.’</w:t>
      </w:r>
      <w:r w:rsidRPr="008129D4">
        <w:rPr>
          <w:rStyle w:val="FootnoteReference"/>
        </w:rPr>
        <w:footnoteReference w:id="7"/>
      </w:r>
    </w:p>
    <w:p w:rsidR="00A85A21"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Pr="00A82DF1" w:rsidRDefault="00E3771E" w:rsidP="00A75CFD">
      <w:pPr>
        <w:pStyle w:val="Heading3"/>
        <w:ind w:left="851" w:hanging="851"/>
      </w:pPr>
      <w:bookmarkStart w:id="30" w:name="_Size_of_the"/>
      <w:bookmarkStart w:id="31" w:name="_Toc444685807"/>
      <w:bookmarkEnd w:id="30"/>
      <w:r>
        <w:t>Size of the Military</w:t>
      </w:r>
      <w:bookmarkEnd w:id="31"/>
    </w:p>
    <w:p w:rsidR="00E3771E" w:rsidRDefault="00E3771E" w:rsidP="00A75CFD">
      <w:pPr>
        <w:pStyle w:val="ListParagraph"/>
        <w:ind w:left="851" w:hanging="851"/>
      </w:pPr>
      <w:r>
        <w:t xml:space="preserve">In an article by </w:t>
      </w:r>
      <w:r w:rsidRPr="00940E17">
        <w:rPr>
          <w:rStyle w:val="Emphasis"/>
          <w:i w:val="0"/>
          <w:color w:val="000000"/>
          <w:szCs w:val="24"/>
          <w:bdr w:val="none" w:sz="0" w:space="0" w:color="auto" w:frame="1"/>
        </w:rPr>
        <w:t>Dr. Chris Kilford, a former Canadian defense attaché to Turkey, published in the</w:t>
      </w:r>
      <w:r>
        <w:rPr>
          <w:rStyle w:val="Emphasis"/>
          <w:color w:val="000000"/>
          <w:szCs w:val="24"/>
          <w:bdr w:val="none" w:sz="0" w:space="0" w:color="auto" w:frame="1"/>
        </w:rPr>
        <w:t xml:space="preserve"> </w:t>
      </w:r>
      <w:r>
        <w:t xml:space="preserve">Daily Zaman, </w:t>
      </w:r>
      <w:r w:rsidRPr="002278BA">
        <w:rPr>
          <w:color w:val="000000"/>
          <w:szCs w:val="24"/>
        </w:rPr>
        <w:t>‘ … according to the latest figures, the armed forces – including the Gendarmerie General Command (JGK) and the Coast Guard Command (SGK) – include 624,618 personnel, of which 400,806 are male conscripts.’</w:t>
      </w:r>
      <w:r w:rsidRPr="008129D4">
        <w:rPr>
          <w:rStyle w:val="FootnoteReference"/>
        </w:rPr>
        <w:footnoteReference w:id="8"/>
      </w:r>
    </w:p>
    <w:p w:rsidR="00E3771E" w:rsidRPr="00482D72" w:rsidRDefault="00416540" w:rsidP="00A75CFD">
      <w:pPr>
        <w:pStyle w:val="ListParagraph"/>
        <w:ind w:left="851" w:hanging="851"/>
      </w:pPr>
      <w:r>
        <w:t>According to the website ‘</w:t>
      </w:r>
      <w:r w:rsidR="00E3771E">
        <w:t>Global Firepower</w:t>
      </w:r>
      <w:r>
        <w:t>,’</w:t>
      </w:r>
      <w:r w:rsidR="00E3771E">
        <w:t xml:space="preserve"> Turkey’s armed forces (as of 2014) numbered 410,500 </w:t>
      </w:r>
      <w:r w:rsidR="00F80B98">
        <w:t>‘</w:t>
      </w:r>
      <w:r w:rsidR="00E3771E">
        <w:t>Active Frontline Personnel</w:t>
      </w:r>
      <w:r w:rsidR="00F80B98">
        <w:t>’ plus 185,630 ‘</w:t>
      </w:r>
      <w:r w:rsidR="00E3771E">
        <w:t>Active Reserve Personnel</w:t>
      </w:r>
      <w:r w:rsidR="002278BA">
        <w:t>.</w:t>
      </w:r>
      <w:r w:rsidR="00F80B98">
        <w:t>’</w:t>
      </w:r>
      <w:r w:rsidR="00E3771E" w:rsidRPr="00B96B81">
        <w:rPr>
          <w:vertAlign w:val="superscript"/>
        </w:rPr>
        <w:t xml:space="preserve"> </w:t>
      </w:r>
      <w:r w:rsidR="00E3771E" w:rsidRPr="008129D4">
        <w:rPr>
          <w:rStyle w:val="FootnoteReference"/>
        </w:rPr>
        <w:footnoteReference w:id="9"/>
      </w:r>
    </w:p>
    <w:p w:rsidR="00482D72" w:rsidRPr="003E1CD7" w:rsidRDefault="00140C6E" w:rsidP="00482D72">
      <w:pPr>
        <w:pStyle w:val="ListParagraph"/>
        <w:numPr>
          <w:ilvl w:val="0"/>
          <w:numId w:val="0"/>
        </w:numPr>
        <w:ind w:left="851"/>
        <w:jc w:val="right"/>
        <w:rPr>
          <w:rStyle w:val="Emphasis"/>
          <w:i w:val="0"/>
          <w:iCs w:val="0"/>
        </w:rPr>
      </w:pPr>
      <w:hyperlink w:anchor="contents" w:history="1">
        <w:r w:rsidR="00482D72" w:rsidRPr="00B867DB">
          <w:rPr>
            <w:rStyle w:val="Hyperlink"/>
          </w:rPr>
          <w:t>Back to Contents</w:t>
        </w:r>
      </w:hyperlink>
    </w:p>
    <w:p w:rsidR="00E3771E" w:rsidRPr="005C0745" w:rsidRDefault="00E3771E" w:rsidP="00A75CFD">
      <w:pPr>
        <w:pStyle w:val="Heading2"/>
        <w:ind w:left="851" w:hanging="851"/>
      </w:pPr>
      <w:bookmarkStart w:id="32" w:name="_Exemptions_and_Alternatives"/>
      <w:bookmarkStart w:id="33" w:name="_Toc416356702"/>
      <w:bookmarkStart w:id="34" w:name="_Toc444685808"/>
      <w:bookmarkStart w:id="35" w:name="_Toc412550419"/>
      <w:bookmarkEnd w:id="32"/>
      <w:r>
        <w:t>Exemptions and Alternatives</w:t>
      </w:r>
      <w:bookmarkEnd w:id="33"/>
      <w:bookmarkEnd w:id="34"/>
    </w:p>
    <w:p w:rsidR="00E3771E" w:rsidRPr="00A82DF1" w:rsidRDefault="00E3771E" w:rsidP="00A75CFD">
      <w:pPr>
        <w:pStyle w:val="Heading3"/>
        <w:ind w:left="851" w:hanging="851"/>
      </w:pPr>
      <w:bookmarkStart w:id="36" w:name="_Civilian_Alternatives"/>
      <w:bookmarkStart w:id="37" w:name="_Toc412550420"/>
      <w:bookmarkStart w:id="38" w:name="_Toc444685809"/>
      <w:bookmarkEnd w:id="35"/>
      <w:bookmarkEnd w:id="36"/>
      <w:r w:rsidRPr="00A82DF1">
        <w:t>Civilian Alternatives</w:t>
      </w:r>
      <w:bookmarkEnd w:id="37"/>
      <w:bookmarkEnd w:id="38"/>
    </w:p>
    <w:p w:rsidR="00E3771E" w:rsidRPr="002B102B" w:rsidRDefault="00E3771E" w:rsidP="00A75CFD">
      <w:pPr>
        <w:pStyle w:val="ListParagraph"/>
        <w:ind w:left="851" w:hanging="851"/>
      </w:pPr>
      <w:r>
        <w:t>Citing</w:t>
      </w:r>
      <w:r w:rsidRPr="008F360F">
        <w:t xml:space="preserve"> </w:t>
      </w:r>
      <w:r>
        <w:t>several sources, t</w:t>
      </w:r>
      <w:r w:rsidRPr="008F360F">
        <w:t>he June 2014 ‘</w:t>
      </w:r>
      <w:r w:rsidRPr="00D66048">
        <w:rPr>
          <w:shd w:val="clear" w:color="auto" w:fill="FFFFFF"/>
        </w:rPr>
        <w:t>Response to Information Request’ by t</w:t>
      </w:r>
      <w:r w:rsidRPr="008F360F">
        <w:t xml:space="preserve">he Research </w:t>
      </w:r>
      <w:r w:rsidRPr="002B102B">
        <w:t xml:space="preserve">Directorate of the Canadian IRB </w:t>
      </w:r>
      <w:r w:rsidR="00B4066C">
        <w:t>reported</w:t>
      </w:r>
      <w:r w:rsidRPr="002B102B">
        <w:t xml:space="preserve"> that ‘</w:t>
      </w:r>
      <w:r w:rsidRPr="002B102B">
        <w:rPr>
          <w:shd w:val="clear" w:color="auto" w:fill="FFFFFF"/>
        </w:rPr>
        <w:t>there is no civilian alternative to military service available</w:t>
      </w:r>
      <w:r w:rsidR="00847D21">
        <w:rPr>
          <w:shd w:val="clear" w:color="auto" w:fill="FFFFFF"/>
        </w:rPr>
        <w:t>.</w:t>
      </w:r>
      <w:r w:rsidRPr="002B102B">
        <w:rPr>
          <w:shd w:val="clear" w:color="auto" w:fill="FFFFFF"/>
        </w:rPr>
        <w:t>’</w:t>
      </w:r>
      <w:r w:rsidRPr="00940E17">
        <w:rPr>
          <w:rStyle w:val="FootnoteReference"/>
        </w:rPr>
        <w:footnoteReference w:id="10"/>
      </w:r>
    </w:p>
    <w:p w:rsidR="00E3771E" w:rsidRDefault="00E3771E" w:rsidP="00A75CFD">
      <w:pPr>
        <w:pStyle w:val="ListParagraph"/>
        <w:ind w:left="851" w:hanging="851"/>
      </w:pPr>
      <w:r w:rsidRPr="002B102B">
        <w:t>The Torun and Tumen research paper explain</w:t>
      </w:r>
      <w:r w:rsidR="00847D21">
        <w:t>ed</w:t>
      </w:r>
      <w:r w:rsidRPr="002B102B">
        <w:t xml:space="preserve"> that ‘Unlike the case in some other countries, there is no occupation-based exemption, which keeps the number of permanent exemptions</w:t>
      </w:r>
      <w:r>
        <w:t xml:space="preserve"> at reasonably low levels. For example, police and firemen are not exempt from the military service.’</w:t>
      </w:r>
      <w:r w:rsidRPr="008129D4">
        <w:rPr>
          <w:rStyle w:val="FootnoteReference"/>
        </w:rPr>
        <w:footnoteReference w:id="11"/>
      </w:r>
    </w:p>
    <w:p w:rsidR="00A85A21" w:rsidRPr="007D1AF4"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Pr="00A82DF1" w:rsidRDefault="00E3771E" w:rsidP="00A75CFD">
      <w:pPr>
        <w:pStyle w:val="Heading3"/>
        <w:ind w:left="851" w:hanging="851"/>
      </w:pPr>
      <w:bookmarkStart w:id="39" w:name="_Toc412550421"/>
      <w:bookmarkStart w:id="40" w:name="_Toc444685810"/>
      <w:r w:rsidRPr="00A82DF1">
        <w:t>Exemptions</w:t>
      </w:r>
      <w:bookmarkEnd w:id="39"/>
      <w:bookmarkEnd w:id="40"/>
    </w:p>
    <w:p w:rsidR="00E3771E" w:rsidRPr="00D66048" w:rsidRDefault="00E3771E" w:rsidP="00A75CFD">
      <w:pPr>
        <w:pStyle w:val="ListParagraph"/>
        <w:ind w:left="851" w:hanging="851"/>
      </w:pPr>
      <w:r>
        <w:t xml:space="preserve">The same paper goes on to state that ‘Yet there are other forms of exemptions. For example, a male whose brother lost his life during military service or was </w:t>
      </w:r>
      <w:r w:rsidRPr="002B102B">
        <w:t>seriously</w:t>
      </w:r>
      <w:r>
        <w:t xml:space="preserve"> injured is exempt from compulsory military service’</w:t>
      </w:r>
      <w:r w:rsidRPr="00D66048">
        <w:rPr>
          <w:vertAlign w:val="superscript"/>
        </w:rPr>
        <w:t xml:space="preserve"> </w:t>
      </w:r>
      <w:r>
        <w:t>and that ‘Males that are physically and mentally fit are not necessarily called up immediately. Those who are enrolled in college or graduate school can defer their military service until age 29. High school graduates and the ones with two-year college degrees can defer their service until the age 22 and 23, respectively. Males with four-year college degree can defer their service up to two years following graduation.’</w:t>
      </w:r>
      <w:r w:rsidR="00DD21C6" w:rsidRPr="00DD21C6">
        <w:rPr>
          <w:rStyle w:val="FootnoteReference"/>
        </w:rPr>
        <w:t xml:space="preserve"> </w:t>
      </w:r>
      <w:r w:rsidR="00DD21C6" w:rsidRPr="008129D4">
        <w:rPr>
          <w:rStyle w:val="FootnoteReference"/>
        </w:rPr>
        <w:footnoteReference w:id="12"/>
      </w:r>
    </w:p>
    <w:p w:rsidR="00E3771E" w:rsidRDefault="00E3771E" w:rsidP="00A75CFD">
      <w:pPr>
        <w:pStyle w:val="ListParagraph"/>
        <w:ind w:left="851" w:hanging="851"/>
      </w:pPr>
      <w:r>
        <w:t>Section 2.1 of t</w:t>
      </w:r>
      <w:r w:rsidRPr="008F360F">
        <w:t>he June 2014 ‘</w:t>
      </w:r>
      <w:r w:rsidRPr="00D66048">
        <w:rPr>
          <w:shd w:val="clear" w:color="auto" w:fill="FFFFFF"/>
        </w:rPr>
        <w:t>Response to Information Request’ by t</w:t>
      </w:r>
      <w:r w:rsidRPr="008F360F">
        <w:t>he Research Directorate of the</w:t>
      </w:r>
      <w:r>
        <w:t xml:space="preserve"> Canadian </w:t>
      </w:r>
      <w:r w:rsidRPr="008F360F">
        <w:t xml:space="preserve">IRB </w:t>
      </w:r>
      <w:r w:rsidR="00847D21">
        <w:t>cited</w:t>
      </w:r>
      <w:r>
        <w:t xml:space="preserve"> the Turkish Government’s report to the OSCE in which they explain</w:t>
      </w:r>
      <w:r w:rsidR="00847D21">
        <w:t>ed</w:t>
      </w:r>
      <w:r>
        <w:t xml:space="preserve"> that exceptions to compulsory military service include:  </w:t>
      </w:r>
    </w:p>
    <w:p w:rsidR="00E3771E" w:rsidRPr="003A52DD" w:rsidRDefault="0092421E" w:rsidP="00A75CFD">
      <w:pPr>
        <w:pStyle w:val="ListParagraph"/>
        <w:numPr>
          <w:ilvl w:val="0"/>
          <w:numId w:val="10"/>
        </w:numPr>
        <w:ind w:left="1134" w:right="816" w:hanging="283"/>
        <w:textAlignment w:val="center"/>
      </w:pPr>
      <w:r>
        <w:t>‘</w:t>
      </w:r>
      <w:r w:rsidR="00E3771E" w:rsidRPr="003A52DD">
        <w:t xml:space="preserve">Those who are mentally or physically unfit for military service </w:t>
      </w:r>
    </w:p>
    <w:p w:rsidR="00E3771E" w:rsidRPr="003A52DD" w:rsidRDefault="0092421E" w:rsidP="00A75CFD">
      <w:pPr>
        <w:pStyle w:val="ListParagraph"/>
        <w:numPr>
          <w:ilvl w:val="0"/>
          <w:numId w:val="10"/>
        </w:numPr>
        <w:ind w:left="1134" w:right="816" w:hanging="283"/>
        <w:textAlignment w:val="center"/>
      </w:pPr>
      <w:r>
        <w:t>‘</w:t>
      </w:r>
      <w:r w:rsidR="00E3771E" w:rsidRPr="003A52DD">
        <w:t>Brothers of those who died in military service; both brothers and sons of those who were killed as a result of terrorism during their military service</w:t>
      </w:r>
    </w:p>
    <w:p w:rsidR="00E3771E" w:rsidRDefault="0092421E" w:rsidP="00A75CFD">
      <w:pPr>
        <w:pStyle w:val="ListParagraph"/>
        <w:numPr>
          <w:ilvl w:val="0"/>
          <w:numId w:val="10"/>
        </w:numPr>
        <w:ind w:left="1134" w:right="816" w:hanging="283"/>
        <w:textAlignment w:val="center"/>
      </w:pPr>
      <w:r>
        <w:t>‘</w:t>
      </w:r>
      <w:r w:rsidR="00E3771E" w:rsidRPr="003A52DD">
        <w:t>Turkish citizens who immigrated from other countries and already served in the military of their country of origin</w:t>
      </w:r>
      <w:r w:rsidR="002278BA">
        <w:t>.</w:t>
      </w:r>
      <w:r w:rsidR="00E3771E">
        <w:t>’</w:t>
      </w:r>
      <w:r w:rsidR="00E3771E" w:rsidRPr="003A52DD">
        <w:rPr>
          <w:rStyle w:val="FootnoteReference"/>
        </w:rPr>
        <w:footnoteReference w:id="13"/>
      </w:r>
    </w:p>
    <w:p w:rsidR="00E3771E" w:rsidRDefault="00E3771E" w:rsidP="00A75CFD">
      <w:pPr>
        <w:pStyle w:val="ListParagraph"/>
        <w:ind w:left="851" w:hanging="851"/>
      </w:pPr>
      <w:r w:rsidRPr="00243209">
        <w:t xml:space="preserve">Articles 35–37 of Law No. 1111 of 1927 provide the grounds on which a person can </w:t>
      </w:r>
      <w:r w:rsidRPr="002B102B">
        <w:t>postpone</w:t>
      </w:r>
      <w:r>
        <w:t xml:space="preserve"> their military service and Article 41 explains the mechanism for those to be discharged if medically unfit</w:t>
      </w:r>
      <w:r w:rsidR="002278BA">
        <w:t>.</w:t>
      </w:r>
      <w:r w:rsidRPr="00243209">
        <w:rPr>
          <w:rStyle w:val="FootnoteReference"/>
        </w:rPr>
        <w:footnoteReference w:id="14"/>
      </w:r>
    </w:p>
    <w:p w:rsidR="00A85A21" w:rsidRPr="00243209"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Pr="00A82DF1" w:rsidRDefault="00E3771E" w:rsidP="00A75CFD">
      <w:pPr>
        <w:pStyle w:val="Heading3"/>
        <w:ind w:left="851" w:hanging="851"/>
      </w:pPr>
      <w:bookmarkStart w:id="41" w:name="_Toc444685811"/>
      <w:r>
        <w:t>Buy-Out</w:t>
      </w:r>
      <w:bookmarkEnd w:id="41"/>
    </w:p>
    <w:p w:rsidR="00E3771E" w:rsidRPr="002B102B" w:rsidRDefault="00E3771E" w:rsidP="00A75CFD">
      <w:pPr>
        <w:pStyle w:val="ListParagraph"/>
        <w:ind w:left="851" w:hanging="851"/>
      </w:pPr>
      <w:r w:rsidRPr="002B102B">
        <w:t xml:space="preserve">According to a December 2014 Al-Monitor news article, </w:t>
      </w:r>
      <w:r w:rsidRPr="002B102B">
        <w:rPr>
          <w:shd w:val="clear" w:color="auto" w:fill="FFFFFF"/>
        </w:rPr>
        <w:t>‘</w:t>
      </w:r>
      <w:r w:rsidR="00B4066C">
        <w:rPr>
          <w:shd w:val="clear" w:color="auto" w:fill="FFFFFF"/>
        </w:rPr>
        <w:t>[US]</w:t>
      </w:r>
      <w:r w:rsidR="00294DEE">
        <w:rPr>
          <w:shd w:val="clear" w:color="auto" w:fill="FFFFFF"/>
        </w:rPr>
        <w:t xml:space="preserve"> </w:t>
      </w:r>
      <w:r w:rsidRPr="002B102B">
        <w:rPr>
          <w:shd w:val="clear" w:color="auto" w:fill="FFFFFF"/>
        </w:rPr>
        <w:t xml:space="preserve">$8,700 </w:t>
      </w:r>
      <w:r w:rsidR="00294DEE">
        <w:rPr>
          <w:shd w:val="clear" w:color="auto" w:fill="FFFFFF"/>
        </w:rPr>
        <w:t xml:space="preserve">[approx £5,500] </w:t>
      </w:r>
      <w:r w:rsidRPr="002B102B">
        <w:rPr>
          <w:shd w:val="clear" w:color="auto" w:fill="FFFFFF"/>
        </w:rPr>
        <w:t>will let young</w:t>
      </w:r>
      <w:r w:rsidR="007C399F">
        <w:rPr>
          <w:shd w:val="clear" w:color="auto" w:fill="FFFFFF"/>
        </w:rPr>
        <w:t xml:space="preserve"> Turks “</w:t>
      </w:r>
      <w:r w:rsidRPr="002B102B">
        <w:rPr>
          <w:shd w:val="clear" w:color="auto" w:fill="FFFFFF"/>
        </w:rPr>
        <w:t>buy out</w:t>
      </w:r>
      <w:r w:rsidR="007C399F">
        <w:rPr>
          <w:shd w:val="clear" w:color="auto" w:fill="FFFFFF"/>
        </w:rPr>
        <w:t>”</w:t>
      </w:r>
      <w:r w:rsidRPr="002B102B">
        <w:rPr>
          <w:shd w:val="clear" w:color="auto" w:fill="FFFFFF"/>
        </w:rPr>
        <w:t xml:space="preserve"> their military service’</w:t>
      </w:r>
      <w:r w:rsidR="002278BA">
        <w:rPr>
          <w:shd w:val="clear" w:color="auto" w:fill="FFFFFF"/>
        </w:rPr>
        <w:t>.</w:t>
      </w:r>
      <w:r w:rsidRPr="00DD21C6">
        <w:rPr>
          <w:rStyle w:val="FootnoteReference"/>
        </w:rPr>
        <w:footnoteReference w:id="15"/>
      </w:r>
    </w:p>
    <w:p w:rsidR="00E3771E" w:rsidRDefault="00E3771E" w:rsidP="00A75CFD">
      <w:pPr>
        <w:pStyle w:val="ListParagraph"/>
        <w:ind w:left="851" w:hanging="851"/>
      </w:pPr>
      <w:r w:rsidRPr="002B102B">
        <w:t>A December 2014 article by Hurriyet News also confirmed that ‘</w:t>
      </w:r>
      <w:r w:rsidRPr="002B102B">
        <w:rPr>
          <w:shd w:val="clear" w:color="auto" w:fill="FFFFFF"/>
        </w:rPr>
        <w:t>The Turkish government revisited a fresh implementation of what is called “paid military service” on the eve of next year’s parliamentary elections, exempting those who are over 27-year-old from compulsory military service in return of an 18,000 Turkish Lira</w:t>
      </w:r>
      <w:r w:rsidR="00DD21C6">
        <w:rPr>
          <w:shd w:val="clear" w:color="auto" w:fill="FFFFFF"/>
        </w:rPr>
        <w:t xml:space="preserve"> </w:t>
      </w:r>
      <w:r w:rsidR="00DD21C6">
        <w:t>[approx £4,780]</w:t>
      </w:r>
      <w:r w:rsidRPr="002B102B">
        <w:rPr>
          <w:shd w:val="clear" w:color="auto" w:fill="FFFFFF"/>
        </w:rPr>
        <w:t xml:space="preserve"> as of </w:t>
      </w:r>
      <w:r w:rsidR="00DD21C6">
        <w:rPr>
          <w:shd w:val="clear" w:color="auto" w:fill="FFFFFF"/>
        </w:rPr>
        <w:t>31</w:t>
      </w:r>
      <w:r w:rsidRPr="002B102B">
        <w:rPr>
          <w:shd w:val="clear" w:color="auto" w:fill="FFFFFF"/>
        </w:rPr>
        <w:t>Dec</w:t>
      </w:r>
      <w:r w:rsidR="00DD21C6">
        <w:rPr>
          <w:shd w:val="clear" w:color="auto" w:fill="FFFFFF"/>
        </w:rPr>
        <w:t>ember 2014.</w:t>
      </w:r>
      <w:r w:rsidR="00DD21C6" w:rsidRPr="00DD21C6">
        <w:rPr>
          <w:rStyle w:val="apple-converted-space"/>
          <w:shd w:val="clear" w:color="auto" w:fill="FFFFFF"/>
        </w:rPr>
        <w:t xml:space="preserve"> </w:t>
      </w:r>
      <w:r w:rsidRPr="00DD21C6">
        <w:rPr>
          <w:shd w:val="clear" w:color="auto" w:fill="FFFFFF"/>
        </w:rPr>
        <w:t xml:space="preserve">The </w:t>
      </w:r>
      <w:r w:rsidRPr="00DD21C6">
        <w:rPr>
          <w:shd w:val="clear" w:color="auto" w:fill="FFFFFF"/>
        </w:rPr>
        <w:lastRenderedPageBreak/>
        <w:t>government expects nearly 700,000 Turkish men to benefit from the exemption, while also boosting the country's budget</w:t>
      </w:r>
      <w:r w:rsidR="00FE33F9">
        <w:rPr>
          <w:shd w:val="clear" w:color="auto" w:fill="FFFFFF"/>
        </w:rPr>
        <w:t>.</w:t>
      </w:r>
      <w:r w:rsidRPr="00DD21C6">
        <w:rPr>
          <w:rStyle w:val="apple-converted-space"/>
          <w:shd w:val="clear" w:color="auto" w:fill="FFFFFF"/>
        </w:rPr>
        <w:t>’</w:t>
      </w:r>
      <w:r w:rsidRPr="003F25E7">
        <w:rPr>
          <w:rStyle w:val="FootnoteReference"/>
        </w:rPr>
        <w:footnoteReference w:id="16"/>
      </w:r>
    </w:p>
    <w:p w:rsidR="00E3771E" w:rsidRDefault="00E3771E" w:rsidP="00294DEE">
      <w:pPr>
        <w:pStyle w:val="ListParagraph"/>
        <w:ind w:left="851" w:hanging="851"/>
      </w:pPr>
      <w:r w:rsidRPr="007B7786">
        <w:t>A December 2014 news article by Daily Sabah also confirmed that ‘</w:t>
      </w:r>
      <w:r w:rsidRPr="007B7786">
        <w:rPr>
          <w:shd w:val="clear" w:color="auto" w:fill="FFFFFF"/>
        </w:rPr>
        <w:t>The Turkish parliament approved a bill on December 3, which enables men born after 1 January 1988 to skip their compulsory military service by paying 18,000 TL (</w:t>
      </w:r>
      <w:r w:rsidR="00B4066C">
        <w:rPr>
          <w:shd w:val="clear" w:color="auto" w:fill="FFFFFF"/>
        </w:rPr>
        <w:t>[US]</w:t>
      </w:r>
      <w:r w:rsidR="00294DEE">
        <w:rPr>
          <w:shd w:val="clear" w:color="auto" w:fill="FFFFFF"/>
        </w:rPr>
        <w:t xml:space="preserve"> </w:t>
      </w:r>
      <w:r w:rsidRPr="007B7786">
        <w:rPr>
          <w:shd w:val="clear" w:color="auto" w:fill="FFFFFF"/>
        </w:rPr>
        <w:t>$8,103)</w:t>
      </w:r>
      <w:r w:rsidR="00294DEE">
        <w:rPr>
          <w:shd w:val="clear" w:color="auto" w:fill="FFFFFF"/>
        </w:rPr>
        <w:t xml:space="preserve"> [£5,100]</w:t>
      </w:r>
      <w:r w:rsidRPr="007B7786">
        <w:rPr>
          <w:shd w:val="clear" w:color="auto" w:fill="FFFFFF"/>
        </w:rPr>
        <w:t>. Accordingly, many people wishing to utilize the new law visited the recruiting offices early on Monday morning, after having paid the arranged amount.</w:t>
      </w:r>
      <w:r w:rsidRPr="007B7786">
        <w:rPr>
          <w:rStyle w:val="apple-converted-space"/>
          <w:shd w:val="clear" w:color="auto" w:fill="FFFFFF"/>
        </w:rPr>
        <w:t>’</w:t>
      </w:r>
      <w:r w:rsidRPr="003F25E7">
        <w:rPr>
          <w:rStyle w:val="FootnoteReference"/>
        </w:rPr>
        <w:footnoteReference w:id="17"/>
      </w:r>
    </w:p>
    <w:p w:rsidR="00E3771E" w:rsidRDefault="00E3771E" w:rsidP="00294DEE">
      <w:pPr>
        <w:pStyle w:val="ListParagraph"/>
        <w:ind w:left="851" w:hanging="851"/>
      </w:pPr>
      <w:r w:rsidRPr="00D66048">
        <w:rPr>
          <w:rStyle w:val="apple-converted-space"/>
          <w:shd w:val="clear" w:color="auto" w:fill="FFFFFF"/>
        </w:rPr>
        <w:t>The same article continued</w:t>
      </w:r>
      <w:r w:rsidR="000B7B95">
        <w:rPr>
          <w:rStyle w:val="apple-converted-space"/>
          <w:shd w:val="clear" w:color="auto" w:fill="FFFFFF"/>
        </w:rPr>
        <w:t>,</w:t>
      </w:r>
      <w:r w:rsidRPr="00D66048">
        <w:rPr>
          <w:rStyle w:val="apple-converted-space"/>
          <w:shd w:val="clear" w:color="auto" w:fill="FFFFFF"/>
        </w:rPr>
        <w:t xml:space="preserve"> ‘</w:t>
      </w:r>
      <w:r w:rsidRPr="00D66048">
        <w:rPr>
          <w:shd w:val="clear" w:color="auto" w:fill="FFFFFF"/>
        </w:rPr>
        <w:t>There are reportedly 800,000 people who will be exempted from military service in accordance with the new law. The deadline for applications has been announced as 13 February 2015 … Men of any age who cannot undertake their military service due to various health problems will also be able to benefit from the law.’</w:t>
      </w:r>
      <w:r w:rsidR="00412403" w:rsidRPr="003F25E7">
        <w:rPr>
          <w:rStyle w:val="FootnoteReference"/>
        </w:rPr>
        <w:footnoteReference w:id="18"/>
      </w:r>
    </w:p>
    <w:p w:rsidR="00E3771E" w:rsidRPr="00A85A21" w:rsidRDefault="00E3771E" w:rsidP="00294DEE">
      <w:pPr>
        <w:pStyle w:val="ListParagraph"/>
        <w:ind w:left="851" w:hanging="851"/>
        <w:rPr>
          <w:rStyle w:val="Strong"/>
          <w:b w:val="0"/>
          <w:bCs w:val="0"/>
        </w:rPr>
      </w:pPr>
      <w:r>
        <w:t xml:space="preserve">In an article dated 13 February 2015, Today’s Zaman quoted an announcement by the Turkish Defence </w:t>
      </w:r>
      <w:r w:rsidRPr="00FB37B1">
        <w:t>Minister, İsmet Yılmaz</w:t>
      </w:r>
      <w:r>
        <w:t xml:space="preserve">, that </w:t>
      </w:r>
      <w:r w:rsidRPr="000B7B95">
        <w:t>‘</w:t>
      </w:r>
      <w:r w:rsidRPr="00DD21C6">
        <w:rPr>
          <w:rStyle w:val="Strong"/>
          <w:b w:val="0"/>
          <w:bdr w:val="none" w:sz="0" w:space="0" w:color="auto" w:frame="1"/>
        </w:rPr>
        <w:t>More than 200,000 young Turks have applied to benefit from a new regulation that will allow men to be exempt from completing their compulsory military service by paying TL 18,000</w:t>
      </w:r>
      <w:r w:rsidR="000B7B95">
        <w:rPr>
          <w:rStyle w:val="Strong"/>
          <w:b w:val="0"/>
          <w:bdr w:val="none" w:sz="0" w:space="0" w:color="auto" w:frame="1"/>
        </w:rPr>
        <w:t xml:space="preserve"> </w:t>
      </w:r>
      <w:r w:rsidR="00294DEE">
        <w:rPr>
          <w:rStyle w:val="Strong"/>
          <w:b w:val="0"/>
          <w:bdr w:val="none" w:sz="0" w:space="0" w:color="auto" w:frame="1"/>
        </w:rPr>
        <w:t>[£5,100]</w:t>
      </w:r>
      <w:r w:rsidR="000B7B95">
        <w:rPr>
          <w:rStyle w:val="Strong"/>
          <w:b w:val="0"/>
          <w:bdr w:val="none" w:sz="0" w:space="0" w:color="auto" w:frame="1"/>
        </w:rPr>
        <w:t>.</w:t>
      </w:r>
      <w:r w:rsidRPr="000B7B95">
        <w:rPr>
          <w:rStyle w:val="Strong"/>
          <w:b w:val="0"/>
          <w:bdr w:val="none" w:sz="0" w:space="0" w:color="auto" w:frame="1"/>
        </w:rPr>
        <w:t>’</w:t>
      </w:r>
      <w:r w:rsidRPr="00967C7B">
        <w:rPr>
          <w:rStyle w:val="FootnoteReference"/>
        </w:rPr>
        <w:footnoteReference w:id="19"/>
      </w:r>
    </w:p>
    <w:p w:rsidR="00A85A21"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Pr="00A82DF1" w:rsidRDefault="00E3771E" w:rsidP="00294DEE">
      <w:pPr>
        <w:pStyle w:val="Heading3"/>
        <w:ind w:left="851" w:hanging="851"/>
      </w:pPr>
      <w:bookmarkStart w:id="42" w:name="_Toc444685812"/>
      <w:r>
        <w:t>Sexual Orientation</w:t>
      </w:r>
      <w:bookmarkEnd w:id="42"/>
    </w:p>
    <w:p w:rsidR="00E5175D" w:rsidRPr="00275D8F" w:rsidRDefault="00E5175D" w:rsidP="00294DEE">
      <w:pPr>
        <w:pStyle w:val="ListParagraph"/>
        <w:ind w:left="851" w:hanging="851"/>
      </w:pPr>
      <w:r w:rsidRPr="00275D8F">
        <w:t>A report by the ‘European network of legal experts in the non-discrimination field’ state</w:t>
      </w:r>
      <w:r>
        <w:t>d</w:t>
      </w:r>
      <w:r w:rsidRPr="00275D8F">
        <w:t>:</w:t>
      </w:r>
    </w:p>
    <w:p w:rsidR="00E5175D" w:rsidRDefault="00E5175D" w:rsidP="00E5175D">
      <w:pPr>
        <w:spacing w:after="0"/>
        <w:ind w:left="851"/>
      </w:pPr>
      <w:r w:rsidRPr="00275D8F">
        <w:t xml:space="preserve">‘On 31 March 2013, the Turkish Parliament adopted a discriminatory law which makes homosexual conduct a ground for dismissal from the Turkish Armed Forces. Article 20 of the law enumerates homosexuality among the violations of disciplinary rules which require immediate dismissal from the Turkish Armed Forces. According to clause (ğ), “engaging in unnatural intercourse or voluntarily submitting oneself to such an act” is a ground for dismissal from the army.  It is common knowledge in Turkey that the term “unnatural intercourse” refers to intercourse between men. There are several cases of dismissal of homosexual men from public service or the military </w:t>
      </w:r>
      <w:r w:rsidRPr="00275D8F">
        <w:lastRenderedPageBreak/>
        <w:t>upon oral e</w:t>
      </w:r>
      <w:r w:rsidR="00936BAF">
        <w:t>vidence of their engagement in “</w:t>
      </w:r>
      <w:r w:rsidRPr="00275D8F">
        <w:t>unnatural intercourse</w:t>
      </w:r>
      <w:r w:rsidR="00936BAF">
        <w:t>”</w:t>
      </w:r>
      <w:r w:rsidRPr="00275D8F">
        <w:t xml:space="preserve"> with other men.’</w:t>
      </w:r>
      <w:r w:rsidRPr="00275D8F">
        <w:rPr>
          <w:rStyle w:val="FootnoteReference"/>
        </w:rPr>
        <w:footnoteReference w:id="20"/>
      </w:r>
    </w:p>
    <w:p w:rsidR="00E5175D" w:rsidRPr="00275D8F" w:rsidRDefault="00E5175D" w:rsidP="00E5175D">
      <w:pPr>
        <w:spacing w:after="0"/>
        <w:ind w:left="851"/>
      </w:pPr>
    </w:p>
    <w:p w:rsidR="00E3771E" w:rsidRPr="00E5175D" w:rsidRDefault="00E3771E" w:rsidP="00294DEE">
      <w:pPr>
        <w:pStyle w:val="ListParagraph"/>
        <w:ind w:left="851" w:hanging="851"/>
      </w:pPr>
      <w:r w:rsidRPr="00E5175D">
        <w:t xml:space="preserve">In its Turkey Country Report on Human Rights Practices for 2013, the US State </w:t>
      </w:r>
      <w:r w:rsidR="00E5175D" w:rsidRPr="00E5175D">
        <w:t xml:space="preserve">noted that </w:t>
      </w:r>
      <w:r w:rsidR="00584079">
        <w:t>‘</w:t>
      </w:r>
      <w:r w:rsidR="00E5175D" w:rsidRPr="00E5175D">
        <w:t>..</w:t>
      </w:r>
      <w:r w:rsidRPr="00E5175D">
        <w:t xml:space="preserve"> While the practice of expelling gay men from the military was not new, this was the first time that the armed forces defined homosexuality as “unnatural intimacy.” Under the disciplinary law, gay enlisted service personnel are considered guilty of a disciplinary crime and are discharged from the military due to their “psychological disorder.”’</w:t>
      </w:r>
      <w:r w:rsidRPr="00E5175D">
        <w:rPr>
          <w:rStyle w:val="FootnoteReference"/>
        </w:rPr>
        <w:footnoteReference w:id="21"/>
      </w:r>
    </w:p>
    <w:p w:rsidR="00294DEE" w:rsidRPr="002B102B" w:rsidRDefault="00294DEE" w:rsidP="00950728">
      <w:pPr>
        <w:pStyle w:val="ListParagraph"/>
        <w:ind w:left="851" w:hanging="851"/>
      </w:pPr>
      <w:r w:rsidRPr="00294DEE">
        <w:t xml:space="preserve"> </w:t>
      </w:r>
      <w:r>
        <w:t xml:space="preserve">See also country information and guidance </w:t>
      </w:r>
      <w:r w:rsidRPr="00A85A21">
        <w:rPr>
          <w:rStyle w:val="Hyperlink"/>
        </w:rPr>
        <w:t xml:space="preserve">on </w:t>
      </w:r>
      <w:hyperlink r:id="rId37" w:history="1">
        <w:r w:rsidRPr="00A85A21">
          <w:rPr>
            <w:rStyle w:val="Hyperlink"/>
          </w:rPr>
          <w:t>Turkey: Sexual orientation and gender identity</w:t>
        </w:r>
      </w:hyperlink>
      <w:r w:rsidR="00A85A21">
        <w:rPr>
          <w:rStyle w:val="Hyperlink"/>
        </w:rPr>
        <w:t>.</w:t>
      </w:r>
      <w:r>
        <w:t xml:space="preserve"> </w:t>
      </w:r>
      <w:r w:rsidRPr="00AC679B">
        <w:rPr>
          <w:szCs w:val="24"/>
        </w:rPr>
        <w:t xml:space="preserve"> </w:t>
      </w:r>
    </w:p>
    <w:p w:rsidR="00E3771E" w:rsidRPr="00A85A21" w:rsidRDefault="00140C6E" w:rsidP="00E3771E">
      <w:pPr>
        <w:pStyle w:val="CPITBacktoContentsLinks"/>
        <w:ind w:left="851" w:hanging="851"/>
        <w:rPr>
          <w:rStyle w:val="Hyperlink"/>
          <w:rFonts w:eastAsiaTheme="majorEastAsia"/>
        </w:rPr>
      </w:pPr>
      <w:hyperlink w:anchor="contents" w:history="1">
        <w:r w:rsidR="00482D72" w:rsidRPr="00B867DB">
          <w:rPr>
            <w:rStyle w:val="Hyperlink"/>
            <w:rFonts w:eastAsiaTheme="majorEastAsia"/>
          </w:rPr>
          <w:t>Back to Contents</w:t>
        </w:r>
      </w:hyperlink>
    </w:p>
    <w:p w:rsidR="00E3771E" w:rsidRDefault="00E3771E" w:rsidP="00294DEE">
      <w:pPr>
        <w:pStyle w:val="Heading2"/>
        <w:ind w:left="851" w:hanging="851"/>
      </w:pPr>
      <w:bookmarkStart w:id="43" w:name="_Toc412550422"/>
      <w:bookmarkStart w:id="44" w:name="_Toc416356703"/>
      <w:bookmarkStart w:id="45" w:name="_Toc444685813"/>
      <w:r>
        <w:t>Length of Service</w:t>
      </w:r>
      <w:bookmarkEnd w:id="43"/>
      <w:bookmarkEnd w:id="44"/>
      <w:bookmarkEnd w:id="45"/>
    </w:p>
    <w:p w:rsidR="00E3771E" w:rsidRPr="00A82DF1" w:rsidRDefault="00E3771E" w:rsidP="00294DEE">
      <w:pPr>
        <w:pStyle w:val="Heading3"/>
        <w:ind w:left="851" w:hanging="851"/>
      </w:pPr>
      <w:bookmarkStart w:id="46" w:name="_Toc444685814"/>
      <w:r>
        <w:t>Conscripts</w:t>
      </w:r>
      <w:bookmarkEnd w:id="46"/>
    </w:p>
    <w:p w:rsidR="009E641B" w:rsidRDefault="009E641B" w:rsidP="00294DEE">
      <w:pPr>
        <w:pStyle w:val="ListParagraph"/>
        <w:ind w:left="851" w:hanging="851"/>
      </w:pPr>
      <w:r>
        <w:t>On 21 October 2013, military service was reduced from 15 to 12 months</w:t>
      </w:r>
      <w:r w:rsidR="00584079">
        <w:t>,</w:t>
      </w:r>
      <w:r w:rsidRPr="003F5E1C">
        <w:rPr>
          <w:rStyle w:val="FootnoteReference"/>
        </w:rPr>
        <w:footnoteReference w:id="22"/>
      </w:r>
      <w:r>
        <w:t xml:space="preserve"> with the move coming into force on 1 January 2014</w:t>
      </w:r>
      <w:r w:rsidR="00584079">
        <w:t>.</w:t>
      </w:r>
      <w:r w:rsidRPr="00C66309">
        <w:rPr>
          <w:rStyle w:val="FootnoteReference"/>
        </w:rPr>
        <w:footnoteReference w:id="23"/>
      </w:r>
      <w:r>
        <w:t xml:space="preserve"> </w:t>
      </w:r>
      <w:r w:rsidRPr="0085422B">
        <w:t>[Deputy Prime Minister] Bulent Arinc</w:t>
      </w:r>
      <w:r>
        <w:t xml:space="preserve"> confirmed this approach to </w:t>
      </w:r>
      <w:r w:rsidRPr="0085422B">
        <w:t>reporters after a cabinet meeting.</w:t>
      </w:r>
      <w:r>
        <w:t>’</w:t>
      </w:r>
      <w:r w:rsidRPr="003F5E1C">
        <w:rPr>
          <w:rStyle w:val="FootnoteReference"/>
        </w:rPr>
        <w:footnoteReference w:id="24"/>
      </w:r>
    </w:p>
    <w:p w:rsidR="00E3771E" w:rsidRPr="00584079" w:rsidRDefault="00E3771E" w:rsidP="00584079">
      <w:pPr>
        <w:pStyle w:val="ListParagraph"/>
        <w:ind w:left="851" w:hanging="851"/>
        <w:rPr>
          <w:shd w:val="clear" w:color="auto" w:fill="FFFFFF"/>
        </w:rPr>
      </w:pPr>
      <w:r>
        <w:t xml:space="preserve">A </w:t>
      </w:r>
      <w:r w:rsidRPr="002B102B">
        <w:t>Hurriyet</w:t>
      </w:r>
      <w:r>
        <w:t xml:space="preserve"> Daily News article dated 1 January 2014, also reported that:</w:t>
      </w:r>
      <w:r w:rsidR="00584079">
        <w:t xml:space="preserve"> </w:t>
      </w:r>
      <w:r w:rsidRPr="00584079">
        <w:rPr>
          <w:shd w:val="clear" w:color="auto" w:fill="FFFFFF"/>
        </w:rPr>
        <w:t>‘Thousands of soldiers have been discharged from their duty Jan. 1 after the entry into effect of the new regulation decreasing the compulsory military service from 15 months to 12 months.</w:t>
      </w:r>
    </w:p>
    <w:p w:rsidR="00E3771E" w:rsidRDefault="00B4066C" w:rsidP="00E3771E">
      <w:pPr>
        <w:pStyle w:val="ListParagraph"/>
        <w:numPr>
          <w:ilvl w:val="0"/>
          <w:numId w:val="0"/>
        </w:numPr>
        <w:ind w:left="851"/>
        <w:rPr>
          <w:shd w:val="clear" w:color="auto" w:fill="FFFFFF"/>
        </w:rPr>
      </w:pPr>
      <w:r>
        <w:rPr>
          <w:shd w:val="clear" w:color="auto" w:fill="FFFFFF"/>
        </w:rPr>
        <w:t>‘</w:t>
      </w:r>
      <w:r w:rsidR="00E3771E" w:rsidRPr="00DF6DE5">
        <w:rPr>
          <w:shd w:val="clear" w:color="auto" w:fill="FFFFFF"/>
        </w:rPr>
        <w:t>Soldiers performing their military service across Turkey left their barracks or military posts three months earlier, following a government decree in October. </w:t>
      </w:r>
    </w:p>
    <w:p w:rsidR="00E3771E" w:rsidRDefault="00B4066C" w:rsidP="000F65B2">
      <w:pPr>
        <w:pStyle w:val="ListParagraph"/>
        <w:numPr>
          <w:ilvl w:val="0"/>
          <w:numId w:val="0"/>
        </w:numPr>
        <w:ind w:left="851"/>
        <w:rPr>
          <w:rStyle w:val="apple-converted-space"/>
          <w:shd w:val="clear" w:color="auto" w:fill="FFFFFF"/>
        </w:rPr>
      </w:pPr>
      <w:r>
        <w:rPr>
          <w:shd w:val="clear" w:color="auto" w:fill="FFFFFF"/>
        </w:rPr>
        <w:t>‘</w:t>
      </w:r>
      <w:r w:rsidR="00E3771E" w:rsidRPr="00DF6DE5">
        <w:rPr>
          <w:shd w:val="clear" w:color="auto" w:fill="FFFFFF"/>
        </w:rPr>
        <w:t>Over 70,000 soldiers have benefitted from the early discharge, according to the Defense Ministry.</w:t>
      </w:r>
      <w:r w:rsidR="00E3771E">
        <w:rPr>
          <w:rStyle w:val="apple-converted-space"/>
          <w:shd w:val="clear" w:color="auto" w:fill="FFFFFF"/>
        </w:rPr>
        <w:t>’</w:t>
      </w:r>
      <w:r w:rsidR="00E3771E" w:rsidRPr="003F25E7">
        <w:rPr>
          <w:rStyle w:val="FootnoteReference"/>
        </w:rPr>
        <w:footnoteReference w:id="25"/>
      </w:r>
    </w:p>
    <w:p w:rsidR="00A85A21"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Pr="00A82DF1" w:rsidRDefault="00E3771E" w:rsidP="00A55DD4">
      <w:pPr>
        <w:pStyle w:val="Heading3"/>
        <w:ind w:left="851" w:hanging="851"/>
      </w:pPr>
      <w:bookmarkStart w:id="47" w:name="_Toc444685815"/>
      <w:r>
        <w:t>Students</w:t>
      </w:r>
      <w:bookmarkEnd w:id="47"/>
    </w:p>
    <w:p w:rsidR="00E3771E" w:rsidRPr="002B102B" w:rsidRDefault="00E3771E" w:rsidP="00A55DD4">
      <w:pPr>
        <w:pStyle w:val="ListParagraph"/>
        <w:ind w:left="851" w:hanging="851"/>
      </w:pPr>
      <w:r w:rsidRPr="002B102B">
        <w:t>Sources cited in a June 2014 ‘</w:t>
      </w:r>
      <w:r w:rsidRPr="002B102B">
        <w:rPr>
          <w:shd w:val="clear" w:color="auto" w:fill="FFFFFF"/>
        </w:rPr>
        <w:t>Response to Information Request’ by t</w:t>
      </w:r>
      <w:r w:rsidRPr="002B102B">
        <w:t xml:space="preserve">he Research Directorate of </w:t>
      </w:r>
      <w:r w:rsidRPr="002278BA">
        <w:t>the Immigration and Refugee Board of Canada (‘the Canadian IRB’)</w:t>
      </w:r>
      <w:r w:rsidRPr="002B102B">
        <w:t xml:space="preserve"> indicate that ‘</w:t>
      </w:r>
      <w:r w:rsidRPr="002B102B">
        <w:rPr>
          <w:shd w:val="clear" w:color="auto" w:fill="FFFFFF"/>
        </w:rPr>
        <w:t>university graduates with four-year degrees can serve for either 6 months as a private or 12 months as a second lieutenant</w:t>
      </w:r>
      <w:r w:rsidRPr="002B102B">
        <w:rPr>
          <w:rStyle w:val="apple-converted-space"/>
          <w:shd w:val="clear" w:color="auto" w:fill="FFFFFF"/>
        </w:rPr>
        <w:t>’</w:t>
      </w:r>
      <w:r w:rsidR="002278BA">
        <w:rPr>
          <w:rStyle w:val="apple-converted-space"/>
          <w:shd w:val="clear" w:color="auto" w:fill="FFFFFF"/>
        </w:rPr>
        <w:t>.</w:t>
      </w:r>
      <w:r w:rsidRPr="00412403">
        <w:rPr>
          <w:rStyle w:val="FootnoteReference"/>
        </w:rPr>
        <w:footnoteReference w:id="26"/>
      </w:r>
      <w:r w:rsidRPr="002B102B">
        <w:t xml:space="preserve"> </w:t>
      </w:r>
    </w:p>
    <w:p w:rsidR="00E3771E" w:rsidRPr="00A85A21" w:rsidRDefault="00E3771E" w:rsidP="00A55DD4">
      <w:pPr>
        <w:pStyle w:val="ListParagraph"/>
        <w:ind w:left="851" w:hanging="851"/>
      </w:pPr>
      <w:r w:rsidRPr="002B102B">
        <w:t>In</w:t>
      </w:r>
      <w:r w:rsidRPr="00B91979">
        <w:t xml:space="preserve"> their research paper, Torun and Tumen explain</w:t>
      </w:r>
      <w:r w:rsidR="00470976">
        <w:t>ed</w:t>
      </w:r>
      <w:r w:rsidRPr="00B91979">
        <w:t xml:space="preserve"> that ‘the duration of military service also depends on the higher education status … A four-year college graduate serves under more preferable conditions. Those who have four-year college degree either serve full term, 18 months, as an officer candidate among military officers or they serve half term, 9 months, among enlisted soldiers. The final allocation of college graduates between 18-month service and 9-month service depends on both individual preferences and the necessities of the army. Males who studied in certain fields, such as medicine or engineering, are more likely to be assigned 18-month officer candidate service. Unlike other conscripts, college graduates who serve for 18 months receive a monthly salary.’</w:t>
      </w:r>
      <w:r w:rsidRPr="00B91979">
        <w:rPr>
          <w:vertAlign w:val="superscript"/>
        </w:rPr>
        <w:t xml:space="preserve"> </w:t>
      </w:r>
      <w:r w:rsidRPr="00B91979">
        <w:rPr>
          <w:rStyle w:val="FootnoteReference"/>
        </w:rPr>
        <w:footnoteReference w:id="27"/>
      </w:r>
    </w:p>
    <w:p w:rsidR="00A85A21"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Pr="00A82DF1" w:rsidRDefault="00E3771E" w:rsidP="00A55DD4">
      <w:pPr>
        <w:pStyle w:val="Heading3"/>
        <w:ind w:left="851" w:hanging="851"/>
      </w:pPr>
      <w:bookmarkStart w:id="48" w:name="_Toc444685816"/>
      <w:r>
        <w:t>Others</w:t>
      </w:r>
      <w:bookmarkEnd w:id="48"/>
    </w:p>
    <w:p w:rsidR="00E3771E" w:rsidRPr="00B91979" w:rsidRDefault="00E3771E" w:rsidP="00A55DD4">
      <w:pPr>
        <w:pStyle w:val="ListParagraph"/>
        <w:ind w:left="851" w:hanging="851"/>
      </w:pPr>
      <w:r w:rsidRPr="0042092F">
        <w:t>The same document also explains that ‘Turkish law also allows Turkish citizens who have lived abroad for at least 3 years to complete their military service in 21 days of basic military training</w:t>
      </w:r>
      <w:r>
        <w:t>.</w:t>
      </w:r>
      <w:r w:rsidRPr="0042092F">
        <w:t>’</w:t>
      </w:r>
      <w:r w:rsidR="00412403" w:rsidRPr="00412403">
        <w:rPr>
          <w:rStyle w:val="FootnoteReference"/>
        </w:rPr>
        <w:t xml:space="preserve"> </w:t>
      </w:r>
      <w:r w:rsidR="00412403" w:rsidRPr="00B91979">
        <w:rPr>
          <w:rStyle w:val="FootnoteReference"/>
        </w:rPr>
        <w:footnoteReference w:id="28"/>
      </w:r>
    </w:p>
    <w:p w:rsidR="00E3771E" w:rsidRPr="00A85A21" w:rsidRDefault="00140C6E" w:rsidP="00E3771E">
      <w:pPr>
        <w:ind w:left="851" w:hanging="851"/>
        <w:jc w:val="right"/>
        <w:rPr>
          <w:rStyle w:val="Hyperlink"/>
        </w:rPr>
      </w:pPr>
      <w:hyperlink w:anchor="contents" w:history="1">
        <w:r w:rsidR="00E3771E" w:rsidRPr="00A85A21">
          <w:rPr>
            <w:rStyle w:val="Hyperlink"/>
          </w:rPr>
          <w:t>Back to Contents</w:t>
        </w:r>
      </w:hyperlink>
    </w:p>
    <w:p w:rsidR="00E3771E" w:rsidRDefault="00E3771E" w:rsidP="00A55DD4">
      <w:pPr>
        <w:pStyle w:val="Heading2"/>
        <w:ind w:left="851" w:hanging="851"/>
      </w:pPr>
      <w:bookmarkStart w:id="49" w:name="_Toc412550424"/>
      <w:bookmarkStart w:id="50" w:name="_Toc416356704"/>
      <w:bookmarkStart w:id="51" w:name="_Toc444685817"/>
      <w:r>
        <w:t>Evasion and Desertion</w:t>
      </w:r>
      <w:bookmarkEnd w:id="49"/>
      <w:bookmarkEnd w:id="50"/>
      <w:bookmarkEnd w:id="51"/>
    </w:p>
    <w:p w:rsidR="00E3771E" w:rsidRPr="003F2152" w:rsidRDefault="00E3771E" w:rsidP="00A55DD4">
      <w:pPr>
        <w:pStyle w:val="Heading3"/>
        <w:ind w:left="851" w:hanging="851"/>
      </w:pPr>
      <w:bookmarkStart w:id="52" w:name="_Toc444685818"/>
      <w:r>
        <w:t>Definitions</w:t>
      </w:r>
      <w:bookmarkEnd w:id="52"/>
    </w:p>
    <w:p w:rsidR="00E3771E" w:rsidRPr="003F2152" w:rsidRDefault="00E3771E" w:rsidP="00A55DD4">
      <w:pPr>
        <w:pStyle w:val="ListParagraph"/>
        <w:ind w:left="851" w:hanging="851"/>
      </w:pPr>
      <w:r w:rsidRPr="003F2152">
        <w:t>A November 2010 article in Today’s Zaman explains that ‘</w:t>
      </w:r>
      <w:r w:rsidRPr="003F2152">
        <w:rPr>
          <w:szCs w:val="24"/>
        </w:rPr>
        <w:t xml:space="preserve">According to Article 12 of the Law on Military Service (No. 1111), those eligible for military service who have completed their registration obligations but do not appear at the right time for examination are considered to be draft evaders. Those </w:t>
      </w:r>
      <w:r w:rsidRPr="003F2152">
        <w:rPr>
          <w:szCs w:val="24"/>
        </w:rPr>
        <w:lastRenderedPageBreak/>
        <w:t>who do not appear for examination generally receive a reminder from the military registration office after about three months.</w:t>
      </w:r>
      <w:r w:rsidRPr="003F2152">
        <w:rPr>
          <w:rStyle w:val="apple-converted-space"/>
          <w:szCs w:val="24"/>
        </w:rPr>
        <w:t>’</w:t>
      </w:r>
      <w:r w:rsidRPr="003F2152">
        <w:rPr>
          <w:vertAlign w:val="superscript"/>
        </w:rPr>
        <w:t xml:space="preserve"> </w:t>
      </w:r>
      <w:r w:rsidRPr="00967C7B">
        <w:rPr>
          <w:rStyle w:val="FootnoteReference"/>
        </w:rPr>
        <w:footnoteReference w:id="29"/>
      </w:r>
    </w:p>
    <w:p w:rsidR="00E3771E" w:rsidRDefault="00E3771E" w:rsidP="00A55DD4">
      <w:pPr>
        <w:pStyle w:val="ListParagraph"/>
        <w:ind w:left="851" w:hanging="851"/>
      </w:pPr>
      <w:r>
        <w:t>I</w:t>
      </w:r>
      <w:r w:rsidRPr="008129D4">
        <w:t xml:space="preserve">n its December 2014 </w:t>
      </w:r>
      <w:r w:rsidRPr="00B91979">
        <w:rPr>
          <w:kern w:val="36"/>
        </w:rPr>
        <w:t xml:space="preserve">Briefing paper for the Universal Periodic Review, </w:t>
      </w:r>
      <w:r>
        <w:t>War Resisters International noted that ‘</w:t>
      </w:r>
      <w:r w:rsidRPr="006E1758">
        <w:t>Objector</w:t>
      </w:r>
      <w:r>
        <w:t>s are criminalised as “evaders”</w:t>
      </w:r>
      <w:r w:rsidRPr="006E1758">
        <w:t xml:space="preserve"> or as “deserters” if they have ever been nominally incorporated in the army.</w:t>
      </w:r>
      <w:r>
        <w:t>’</w:t>
      </w:r>
      <w:r w:rsidRPr="008129D4">
        <w:rPr>
          <w:rStyle w:val="FootnoteReference"/>
        </w:rPr>
        <w:footnoteReference w:id="30"/>
      </w:r>
    </w:p>
    <w:p w:rsidR="00A85A21"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Pr="00A82DF1" w:rsidRDefault="00E3771E" w:rsidP="00A55DD4">
      <w:pPr>
        <w:pStyle w:val="Heading3"/>
        <w:ind w:left="851" w:hanging="851"/>
      </w:pPr>
      <w:bookmarkStart w:id="53" w:name="_Toc444685819"/>
      <w:r>
        <w:t>Numbers of Evaders/Deserters</w:t>
      </w:r>
      <w:bookmarkEnd w:id="53"/>
    </w:p>
    <w:p w:rsidR="00E3771E" w:rsidRPr="00F05044" w:rsidRDefault="00E3771E" w:rsidP="00A55DD4">
      <w:pPr>
        <w:pStyle w:val="ListParagraph"/>
        <w:ind w:left="851" w:hanging="851"/>
      </w:pPr>
      <w:r w:rsidRPr="008129D4">
        <w:t xml:space="preserve">In October 2013, the then Prime Minister Recep Tayyip Erdoğan was quoted in a Hurriyet Daily News article as saying that ‘some 600,000 Turkish men are in the </w:t>
      </w:r>
      <w:r w:rsidRPr="00F05044">
        <w:t>position of “draft-evaders.”’</w:t>
      </w:r>
      <w:r w:rsidRPr="00412403">
        <w:rPr>
          <w:rStyle w:val="FootnoteReference"/>
        </w:rPr>
        <w:footnoteReference w:id="31"/>
      </w:r>
    </w:p>
    <w:p w:rsidR="00E3771E" w:rsidRPr="00A85A21" w:rsidRDefault="00E3771E" w:rsidP="00A55DD4">
      <w:pPr>
        <w:pStyle w:val="ListParagraph"/>
        <w:ind w:left="851" w:hanging="851"/>
      </w:pPr>
      <w:r w:rsidRPr="00F05044">
        <w:t>In its December 2014 Briefing paper for the Universal Periodic Review, War Resisters</w:t>
      </w:r>
      <w:r w:rsidRPr="00B91979">
        <w:rPr>
          <w:kern w:val="36"/>
        </w:rPr>
        <w:t xml:space="preserve"> International </w:t>
      </w:r>
      <w:r w:rsidRPr="008129D4">
        <w:t>cited figures on the numbers of evaders in Turkey ranging from ‘590,000 according to the Ministry of Defence; 800,000 according to the Turkish Institution of Statistics.’</w:t>
      </w:r>
      <w:r w:rsidRPr="00B91979">
        <w:rPr>
          <w:vertAlign w:val="superscript"/>
        </w:rPr>
        <w:t xml:space="preserve"> </w:t>
      </w:r>
      <w:r w:rsidRPr="008129D4">
        <w:rPr>
          <w:rStyle w:val="FootnoteReference"/>
        </w:rPr>
        <w:footnoteReference w:id="32"/>
      </w:r>
    </w:p>
    <w:p w:rsidR="00A85A21" w:rsidRPr="0021648E"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Default="00E3771E" w:rsidP="00A55DD4">
      <w:pPr>
        <w:pStyle w:val="Heading3"/>
        <w:ind w:left="851" w:hanging="851"/>
      </w:pPr>
      <w:bookmarkStart w:id="54" w:name="_Consequences_of_Evading/Deserting"/>
      <w:bookmarkStart w:id="55" w:name="_Toc444685820"/>
      <w:bookmarkEnd w:id="54"/>
      <w:r>
        <w:t>Consequences of Evading/Deserting</w:t>
      </w:r>
      <w:bookmarkEnd w:id="55"/>
    </w:p>
    <w:p w:rsidR="00E3771E" w:rsidRPr="00C33A6B" w:rsidRDefault="00E3771E" w:rsidP="00A55DD4">
      <w:pPr>
        <w:pStyle w:val="ListParagraph"/>
        <w:ind w:left="851" w:hanging="851"/>
      </w:pPr>
      <w:r w:rsidRPr="00C33A6B">
        <w:t>Using a variety of sources, section 5.2 of the June 2014 ‘</w:t>
      </w:r>
      <w:r w:rsidRPr="00C33A6B">
        <w:rPr>
          <w:shd w:val="clear" w:color="auto" w:fill="FFFFFF"/>
        </w:rPr>
        <w:t>Response to Information Request’ by t</w:t>
      </w:r>
      <w:r w:rsidRPr="00C33A6B">
        <w:t>he Research Directorate of the Canadian IRB explain</w:t>
      </w:r>
      <w:r w:rsidR="00C33A6B" w:rsidRPr="00C33A6B">
        <w:t>ed</w:t>
      </w:r>
      <w:r w:rsidRPr="00C33A6B">
        <w:t xml:space="preserve"> the consequences of draft evasion. It set out that draft evasion in peacetime carries the following penalties:</w:t>
      </w:r>
    </w:p>
    <w:p w:rsidR="00E3771E" w:rsidRPr="00E21B0A" w:rsidRDefault="00E3771E" w:rsidP="00C33A6B">
      <w:pPr>
        <w:pStyle w:val="CPITNumberedParagraphText"/>
        <w:numPr>
          <w:ilvl w:val="0"/>
          <w:numId w:val="16"/>
        </w:numPr>
        <w:tabs>
          <w:tab w:val="clear" w:pos="851"/>
        </w:tabs>
      </w:pPr>
      <w:r w:rsidRPr="00E21B0A">
        <w:t xml:space="preserve">One month imprisonment for those who report to the authorities within seven days; </w:t>
      </w:r>
    </w:p>
    <w:p w:rsidR="00E3771E" w:rsidRPr="00E21B0A" w:rsidRDefault="00E3771E" w:rsidP="00C33A6B">
      <w:pPr>
        <w:pStyle w:val="CPITNumberedParagraphText"/>
        <w:numPr>
          <w:ilvl w:val="0"/>
          <w:numId w:val="16"/>
        </w:numPr>
        <w:tabs>
          <w:tab w:val="clear" w:pos="851"/>
        </w:tabs>
      </w:pPr>
      <w:r w:rsidRPr="00E21B0A">
        <w:t xml:space="preserve">Three months for those who are arrested within seven days; </w:t>
      </w:r>
    </w:p>
    <w:p w:rsidR="00E3771E" w:rsidRPr="00E21B0A" w:rsidRDefault="00E3771E" w:rsidP="00C33A6B">
      <w:pPr>
        <w:pStyle w:val="CPITNumberedParagraphText"/>
        <w:numPr>
          <w:ilvl w:val="0"/>
          <w:numId w:val="16"/>
        </w:numPr>
        <w:tabs>
          <w:tab w:val="clear" w:pos="851"/>
        </w:tabs>
      </w:pPr>
      <w:r w:rsidRPr="00E21B0A">
        <w:t xml:space="preserve">Three to twelve months for those who report within three months; </w:t>
      </w:r>
    </w:p>
    <w:p w:rsidR="00E3771E" w:rsidRPr="00E21B0A" w:rsidRDefault="00E3771E" w:rsidP="00C33A6B">
      <w:pPr>
        <w:pStyle w:val="CPITNumberedParagraphText"/>
        <w:numPr>
          <w:ilvl w:val="0"/>
          <w:numId w:val="16"/>
        </w:numPr>
        <w:tabs>
          <w:tab w:val="clear" w:pos="851"/>
        </w:tabs>
      </w:pPr>
      <w:r w:rsidRPr="00E21B0A">
        <w:t xml:space="preserve">Four to eighteen months for those who are arrested within three months; </w:t>
      </w:r>
    </w:p>
    <w:p w:rsidR="00E3771E" w:rsidRPr="00E21B0A" w:rsidRDefault="00E3771E" w:rsidP="00C33A6B">
      <w:pPr>
        <w:pStyle w:val="CPITNumberedParagraphText"/>
        <w:numPr>
          <w:ilvl w:val="0"/>
          <w:numId w:val="16"/>
        </w:numPr>
        <w:tabs>
          <w:tab w:val="clear" w:pos="851"/>
        </w:tabs>
      </w:pPr>
      <w:r w:rsidRPr="00E21B0A">
        <w:t xml:space="preserve">Four to twenty-four months for those who report after three months; </w:t>
      </w:r>
    </w:p>
    <w:p w:rsidR="00E3771E" w:rsidRPr="00E21B0A" w:rsidRDefault="00E3771E" w:rsidP="00C33A6B">
      <w:pPr>
        <w:pStyle w:val="CPITNumberedParagraphText"/>
        <w:numPr>
          <w:ilvl w:val="0"/>
          <w:numId w:val="16"/>
        </w:numPr>
        <w:tabs>
          <w:tab w:val="clear" w:pos="851"/>
        </w:tabs>
      </w:pPr>
      <w:r w:rsidRPr="00E21B0A">
        <w:t>Six to thirty-six months for those who are arrested after three months.</w:t>
      </w:r>
      <w:r w:rsidRPr="00E21B0A">
        <w:rPr>
          <w:rStyle w:val="FootnoteReference"/>
        </w:rPr>
        <w:footnoteReference w:id="33"/>
      </w:r>
    </w:p>
    <w:p w:rsidR="00E3771E" w:rsidRDefault="00E3771E" w:rsidP="00A55DD4">
      <w:pPr>
        <w:pStyle w:val="ListParagraph"/>
        <w:ind w:left="851" w:hanging="851"/>
      </w:pPr>
      <w:r>
        <w:lastRenderedPageBreak/>
        <w:t>A</w:t>
      </w:r>
      <w:r w:rsidRPr="001642DF">
        <w:t>rticles 6</w:t>
      </w:r>
      <w:r>
        <w:t>3</w:t>
      </w:r>
      <w:r w:rsidRPr="001642DF">
        <w:t>-</w:t>
      </w:r>
      <w:r>
        <w:t>81</w:t>
      </w:r>
      <w:r w:rsidRPr="001642DF">
        <w:t xml:space="preserve"> of the</w:t>
      </w:r>
      <w:r>
        <w:t xml:space="preserve"> Turkish</w:t>
      </w:r>
      <w:r w:rsidRPr="001642DF">
        <w:t xml:space="preserve"> Penal Code</w:t>
      </w:r>
      <w:r>
        <w:t xml:space="preserve"> outline the full range of penalties for evasion and desertion, or for assisting evasion and desertion</w:t>
      </w:r>
      <w:r w:rsidR="002278BA">
        <w:t>.</w:t>
      </w:r>
      <w:r w:rsidRPr="00DC55BD">
        <w:rPr>
          <w:rStyle w:val="FootnoteReference"/>
        </w:rPr>
        <w:footnoteReference w:id="34"/>
      </w:r>
      <w:r>
        <w:t xml:space="preserve"> </w:t>
      </w:r>
    </w:p>
    <w:p w:rsidR="00A85A21"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Default="00E3771E" w:rsidP="00A55DD4">
      <w:pPr>
        <w:pStyle w:val="Heading3"/>
        <w:ind w:left="851" w:hanging="851"/>
      </w:pPr>
      <w:bookmarkStart w:id="56" w:name="_Detecting_Evaders/Deserters"/>
      <w:bookmarkStart w:id="57" w:name="_Toc444685821"/>
      <w:bookmarkEnd w:id="56"/>
      <w:r>
        <w:t>Detecting Evaders/Deserters</w:t>
      </w:r>
      <w:bookmarkEnd w:id="57"/>
    </w:p>
    <w:p w:rsidR="00E3771E" w:rsidRDefault="00E3771E" w:rsidP="00A55DD4">
      <w:pPr>
        <w:pStyle w:val="ListParagraph"/>
        <w:ind w:left="851" w:hanging="851"/>
        <w:rPr>
          <w:szCs w:val="24"/>
        </w:rPr>
      </w:pPr>
      <w:r w:rsidRPr="003F2152">
        <w:rPr>
          <w:szCs w:val="24"/>
        </w:rPr>
        <w:t>The November 2010 article in Today’s Zaman explain</w:t>
      </w:r>
      <w:r w:rsidR="00CA636A">
        <w:rPr>
          <w:szCs w:val="24"/>
        </w:rPr>
        <w:t>ed</w:t>
      </w:r>
      <w:r w:rsidRPr="003F2152">
        <w:rPr>
          <w:szCs w:val="24"/>
        </w:rPr>
        <w:t xml:space="preserve"> that</w:t>
      </w:r>
      <w:r w:rsidR="00CA636A">
        <w:rPr>
          <w:szCs w:val="24"/>
        </w:rPr>
        <w:t>:</w:t>
      </w:r>
    </w:p>
    <w:p w:rsidR="00E3771E" w:rsidRDefault="00E3771E" w:rsidP="00A55DD4">
      <w:pPr>
        <w:pStyle w:val="ListParagraph"/>
        <w:numPr>
          <w:ilvl w:val="0"/>
          <w:numId w:val="0"/>
        </w:numPr>
        <w:ind w:left="851"/>
      </w:pPr>
      <w:r w:rsidRPr="003F2152">
        <w:rPr>
          <w:szCs w:val="24"/>
        </w:rPr>
        <w:t>‘Those who evade military service are registered with the military staff and in the national information system, GBTS. Hence, in routine checks, such as border checks and cases of arrest throughout the country, it can be ascertained whether a person is wanted for evasion of military service. At the local level, too, there are lists of people who have evaded military service. Periodically, these lists are sent by the Directorate for the Admission of Conscripts at the Ministry of Defense to local military registration offices. As a rule the lists are sent after a certain delay to give the conscripts the possibility of turning themselves in.</w:t>
      </w:r>
      <w:r>
        <w:rPr>
          <w:szCs w:val="24"/>
        </w:rPr>
        <w:t>’</w:t>
      </w:r>
      <w:r w:rsidRPr="00967C7B">
        <w:rPr>
          <w:rStyle w:val="FootnoteReference"/>
        </w:rPr>
        <w:footnoteReference w:id="35"/>
      </w:r>
    </w:p>
    <w:p w:rsidR="00E3771E" w:rsidRDefault="00E3771E" w:rsidP="00A55DD4">
      <w:pPr>
        <w:pStyle w:val="ListParagraph"/>
        <w:ind w:left="851" w:hanging="851"/>
      </w:pPr>
      <w:r>
        <w:t>War Resister’s report also add</w:t>
      </w:r>
      <w:r w:rsidR="00CA636A">
        <w:t>ed</w:t>
      </w:r>
      <w:r>
        <w:t xml:space="preserve"> that ‘</w:t>
      </w:r>
      <w:r w:rsidRPr="006E1758">
        <w:t>evaders identified by the Ministry of Defence and recruiting offices are notified to the Ministry of Interior and the highest civilian authority of the district respectively. When an evader is apprehended by the police or the gendarmerie he must be sent to the nearest recruiting office within 24 hours. There is no domestic remedy to challenge this procedure.</w:t>
      </w:r>
      <w:r>
        <w:t>’</w:t>
      </w:r>
      <w:r w:rsidRPr="002F6D6E">
        <w:rPr>
          <w:rStyle w:val="FootnoteReference"/>
        </w:rPr>
        <w:footnoteReference w:id="36"/>
      </w:r>
    </w:p>
    <w:p w:rsidR="00E3771E" w:rsidRDefault="00E3771E" w:rsidP="00A55DD4">
      <w:pPr>
        <w:pStyle w:val="ListParagraph"/>
        <w:ind w:left="851" w:hanging="851"/>
      </w:pPr>
      <w:r w:rsidRPr="0024506E">
        <w:t xml:space="preserve">In its December 2014 </w:t>
      </w:r>
      <w:r w:rsidRPr="00B91979">
        <w:rPr>
          <w:kern w:val="36"/>
        </w:rPr>
        <w:t>Briefing paper for the Universal Periodic Review, War Resisters International concluded that ‘t</w:t>
      </w:r>
      <w:r w:rsidRPr="0024506E">
        <w:t>he dangers of apprehension</w:t>
      </w:r>
      <w:r>
        <w:t xml:space="preserve"> [for evasion or desertion]</w:t>
      </w:r>
      <w:r w:rsidRPr="0024506E">
        <w:t xml:space="preserve"> have significantly increased in recent years as a result of the general information gathering system.</w:t>
      </w:r>
      <w:r w:rsidRPr="008129D4">
        <w:t>’</w:t>
      </w:r>
      <w:r w:rsidRPr="008129D4">
        <w:rPr>
          <w:rStyle w:val="FootnoteReference"/>
        </w:rPr>
        <w:footnoteReference w:id="37"/>
      </w:r>
    </w:p>
    <w:p w:rsidR="00A55DD4" w:rsidRPr="00A55DD4" w:rsidRDefault="00E3771E" w:rsidP="00A55DD4">
      <w:pPr>
        <w:pStyle w:val="ListParagraph"/>
        <w:ind w:left="851" w:hanging="851"/>
        <w:rPr>
          <w:rStyle w:val="FootnoteReference"/>
          <w:vertAlign w:val="baseline"/>
        </w:rPr>
      </w:pPr>
      <w:r w:rsidRPr="0024506E">
        <w:t xml:space="preserve">They </w:t>
      </w:r>
      <w:r w:rsidR="00DF33C7">
        <w:t xml:space="preserve">further </w:t>
      </w:r>
      <w:r w:rsidRPr="0024506E">
        <w:t>explain</w:t>
      </w:r>
      <w:r w:rsidR="00DF33C7">
        <w:t>ed</w:t>
      </w:r>
      <w:r w:rsidRPr="0024506E">
        <w:t xml:space="preserve"> that ‘</w:t>
      </w:r>
      <w:bookmarkStart w:id="58" w:name="1499fc9039e10e64__ftnref1"/>
      <w:bookmarkEnd w:id="58"/>
      <w:r w:rsidRPr="0024506E">
        <w:t>During the last three months of 2013, 4,920 evaders were detained as a result of regular ID checks under the General Database system. This system also enables evaders including conscientious objectors to be immediately identified while carrying out transactions at banks, airports, health institutions, etc.’</w:t>
      </w:r>
      <w:r w:rsidR="00412403" w:rsidRPr="00412403">
        <w:rPr>
          <w:rStyle w:val="FootnoteReference"/>
        </w:rPr>
        <w:t xml:space="preserve"> </w:t>
      </w:r>
      <w:r w:rsidR="00412403" w:rsidRPr="008129D4">
        <w:rPr>
          <w:rStyle w:val="FootnoteReference"/>
        </w:rPr>
        <w:footnoteReference w:id="38"/>
      </w:r>
    </w:p>
    <w:p w:rsidR="00A55DD4" w:rsidRPr="008E1729" w:rsidRDefault="00E3771E" w:rsidP="00A55DD4">
      <w:pPr>
        <w:pStyle w:val="ListParagraph"/>
        <w:ind w:left="851" w:hanging="851"/>
      </w:pPr>
      <w:r w:rsidRPr="002278BA">
        <w:t>For further information</w:t>
      </w:r>
      <w:r w:rsidR="00A55DD4" w:rsidRPr="00A55DD4">
        <w:t xml:space="preserve"> </w:t>
      </w:r>
      <w:r w:rsidR="00A55DD4">
        <w:t xml:space="preserve">see country information and guidance on </w:t>
      </w:r>
      <w:hyperlink r:id="rId38" w:history="1">
        <w:r w:rsidR="00A55DD4" w:rsidRPr="00A85A21">
          <w:rPr>
            <w:rStyle w:val="Hyperlink"/>
          </w:rPr>
          <w:t>Turkey: Background including actors of protection and internal relocation</w:t>
        </w:r>
      </w:hyperlink>
      <w:r w:rsidR="00A55DD4">
        <w:t>.</w:t>
      </w:r>
      <w:r w:rsidR="00A55DD4" w:rsidRPr="00F6314B">
        <w:t xml:space="preserve">  </w:t>
      </w:r>
    </w:p>
    <w:p w:rsidR="00E3771E" w:rsidRPr="00A85A21" w:rsidRDefault="00140C6E" w:rsidP="00E3771E">
      <w:pPr>
        <w:ind w:left="851" w:hanging="851"/>
        <w:jc w:val="right"/>
        <w:rPr>
          <w:rStyle w:val="Hyperlink"/>
        </w:rPr>
      </w:pPr>
      <w:hyperlink w:anchor="contents" w:history="1">
        <w:r w:rsidR="00E3771E" w:rsidRPr="00A85A21">
          <w:rPr>
            <w:rStyle w:val="Hyperlink"/>
          </w:rPr>
          <w:t>Back to Contents</w:t>
        </w:r>
      </w:hyperlink>
    </w:p>
    <w:p w:rsidR="00E3771E" w:rsidRPr="00F05044" w:rsidRDefault="00E3771E" w:rsidP="00A55DD4">
      <w:pPr>
        <w:pStyle w:val="Heading2"/>
        <w:ind w:left="851" w:hanging="851"/>
      </w:pPr>
      <w:bookmarkStart w:id="59" w:name="_Toc412550426"/>
      <w:bookmarkStart w:id="60" w:name="_Toc416356705"/>
      <w:bookmarkStart w:id="61" w:name="_Toc444685822"/>
      <w:r w:rsidRPr="00F05044">
        <w:lastRenderedPageBreak/>
        <w:t>Conscientious Objection</w:t>
      </w:r>
      <w:bookmarkEnd w:id="59"/>
      <w:bookmarkEnd w:id="60"/>
      <w:bookmarkEnd w:id="61"/>
    </w:p>
    <w:p w:rsidR="00E3771E" w:rsidRPr="00122F0D" w:rsidRDefault="00E3771E" w:rsidP="00A55DD4">
      <w:pPr>
        <w:pStyle w:val="Heading3"/>
        <w:ind w:left="851" w:hanging="851"/>
      </w:pPr>
      <w:bookmarkStart w:id="62" w:name="_Toc412465312"/>
      <w:bookmarkStart w:id="63" w:name="_Toc444685823"/>
      <w:r w:rsidRPr="00122F0D">
        <w:t>Option to Conscientiously Object</w:t>
      </w:r>
      <w:bookmarkEnd w:id="62"/>
      <w:bookmarkEnd w:id="63"/>
    </w:p>
    <w:p w:rsidR="00E3771E" w:rsidRDefault="00E3771E" w:rsidP="00A55DD4">
      <w:pPr>
        <w:pStyle w:val="ListParagraph"/>
        <w:ind w:left="851" w:hanging="851"/>
      </w:pPr>
      <w:r w:rsidRPr="002F6D6E">
        <w:t>Citing several sources, the June 2014 ‘</w:t>
      </w:r>
      <w:r w:rsidRPr="002F6D6E">
        <w:rPr>
          <w:shd w:val="clear" w:color="auto" w:fill="FFFFFF"/>
        </w:rPr>
        <w:t>Response to Information Request’ by t</w:t>
      </w:r>
      <w:r w:rsidRPr="002F6D6E">
        <w:t>he Research Directorate of the Canadian IRB concluded that ‘Turkey does not recognize the right to conscientious objection to military service</w:t>
      </w:r>
      <w:r w:rsidRPr="002F6D6E">
        <w:rPr>
          <w:shd w:val="clear" w:color="auto" w:fill="FFFFFF"/>
        </w:rPr>
        <w:t>’</w:t>
      </w:r>
      <w:r w:rsidRPr="002F6D6E">
        <w:rPr>
          <w:rStyle w:val="FootnoteReference"/>
        </w:rPr>
        <w:footnoteReference w:id="39"/>
      </w:r>
    </w:p>
    <w:p w:rsidR="00E3771E" w:rsidRDefault="00E3771E" w:rsidP="00A55DD4">
      <w:pPr>
        <w:pStyle w:val="ListParagraph"/>
        <w:ind w:left="851" w:hanging="851"/>
      </w:pPr>
      <w:r>
        <w:t>In its 2014 Progress Report</w:t>
      </w:r>
      <w:r w:rsidRPr="009F21D7">
        <w:t xml:space="preserve"> </w:t>
      </w:r>
      <w:r>
        <w:t>on Turkey, the European Commission reported that ‘No step was taken to recognise conscientious objection.’</w:t>
      </w:r>
      <w:r w:rsidRPr="003F5E1C">
        <w:rPr>
          <w:rStyle w:val="FootnoteReference"/>
        </w:rPr>
        <w:footnoteReference w:id="40"/>
      </w:r>
    </w:p>
    <w:p w:rsidR="00E3771E" w:rsidRDefault="00E3771E" w:rsidP="00A55DD4">
      <w:pPr>
        <w:pStyle w:val="ListParagraph"/>
        <w:ind w:left="851" w:hanging="851"/>
      </w:pPr>
      <w:r w:rsidRPr="0035703F">
        <w:t>In his 2014 book, ‘T</w:t>
      </w:r>
      <w:r w:rsidRPr="0035703F">
        <w:rPr>
          <w:rStyle w:val="fn"/>
        </w:rPr>
        <w:t xml:space="preserve">he Right to Conscientious Objection to Military Service and Turkey’s Obligations Under International Human Rights Law’, </w:t>
      </w:r>
      <w:r w:rsidRPr="00B91979">
        <w:rPr>
          <w:shd w:val="clear" w:color="auto" w:fill="FFFFFF"/>
        </w:rPr>
        <w:t>Özgür Heval Çınar explains that ‘legal obstacles to the right to conscientious objection are presented by Article 45 of the Military Penal Code and by Article 1 of the Military Service Act. Moreover, the relevant articles of the Military Penal Code and Turkish Penal Code envisage severe penal and disciplinary sentences for conscientious objectors.’</w:t>
      </w:r>
      <w:r w:rsidRPr="00B91979">
        <w:rPr>
          <w:vertAlign w:val="superscript"/>
        </w:rPr>
        <w:t xml:space="preserve"> </w:t>
      </w:r>
      <w:r w:rsidRPr="003F5E1C">
        <w:rPr>
          <w:rStyle w:val="FootnoteReference"/>
        </w:rPr>
        <w:footnoteReference w:id="41"/>
      </w:r>
    </w:p>
    <w:p w:rsidR="00E3771E" w:rsidRDefault="00E3771E" w:rsidP="00A55DD4">
      <w:pPr>
        <w:pStyle w:val="ListParagraph"/>
        <w:ind w:left="851" w:hanging="851"/>
      </w:pPr>
      <w:r w:rsidRPr="0050651E">
        <w:t xml:space="preserve">According to </w:t>
      </w:r>
      <w:r>
        <w:t xml:space="preserve">a June 2012 article in </w:t>
      </w:r>
      <w:r w:rsidRPr="0050651E">
        <w:t>Today’s Zaman, ‘Article 45 of the Military Penal Code explicitly states, “Individuals may not evade military service, and penalties may not be revoked, for religious or moral reasons.”’</w:t>
      </w:r>
      <w:r w:rsidRPr="003F5E1C">
        <w:rPr>
          <w:rStyle w:val="FootnoteReference"/>
        </w:rPr>
        <w:footnoteReference w:id="42"/>
      </w:r>
    </w:p>
    <w:p w:rsidR="00A85A21"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Pr="00122F0D" w:rsidRDefault="00E3771E" w:rsidP="00A55DD4">
      <w:pPr>
        <w:pStyle w:val="Heading3"/>
        <w:ind w:left="851" w:hanging="851"/>
      </w:pPr>
      <w:bookmarkStart w:id="64" w:name="_Toc412465313"/>
      <w:bookmarkStart w:id="65" w:name="_Toc444685824"/>
      <w:r>
        <w:t>Numbers of Conscientious</w:t>
      </w:r>
      <w:r w:rsidRPr="00122F0D">
        <w:t xml:space="preserve"> Object</w:t>
      </w:r>
      <w:r>
        <w:t>ors</w:t>
      </w:r>
      <w:bookmarkEnd w:id="64"/>
      <w:bookmarkEnd w:id="65"/>
    </w:p>
    <w:p w:rsidR="00E3771E" w:rsidRDefault="00E3771E" w:rsidP="00A55DD4">
      <w:pPr>
        <w:pStyle w:val="ListParagraph"/>
        <w:ind w:left="851" w:hanging="851"/>
      </w:pPr>
      <w:r w:rsidRPr="008129D4">
        <w:t xml:space="preserve">In its December 2014 </w:t>
      </w:r>
      <w:r w:rsidRPr="008129D4">
        <w:rPr>
          <w:kern w:val="36"/>
        </w:rPr>
        <w:t>Briefing paper for the Universal Periodic Review, War Resisters International reported that ‘</w:t>
      </w:r>
      <w:r w:rsidRPr="008129D4">
        <w:t>It is not known how many persons in Turkey have conscientious objections to military service.’</w:t>
      </w:r>
      <w:r w:rsidRPr="008129D4">
        <w:rPr>
          <w:rStyle w:val="FootnoteReference"/>
        </w:rPr>
        <w:footnoteReference w:id="43"/>
      </w:r>
    </w:p>
    <w:p w:rsidR="00A85A21" w:rsidRPr="008129D4"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Pr="00122F0D" w:rsidRDefault="00E3771E" w:rsidP="00A55DD4">
      <w:pPr>
        <w:pStyle w:val="Heading3"/>
        <w:ind w:left="851" w:hanging="851"/>
      </w:pPr>
      <w:bookmarkStart w:id="66" w:name="_Toc412465314"/>
      <w:bookmarkStart w:id="67" w:name="_Toc444685825"/>
      <w:r>
        <w:t>Treatment of</w:t>
      </w:r>
      <w:r w:rsidRPr="00122F0D">
        <w:t xml:space="preserve"> Conscientio</w:t>
      </w:r>
      <w:r>
        <w:t xml:space="preserve">us </w:t>
      </w:r>
      <w:r w:rsidRPr="00122F0D">
        <w:t>Object</w:t>
      </w:r>
      <w:r>
        <w:t>ors</w:t>
      </w:r>
      <w:bookmarkEnd w:id="66"/>
      <w:bookmarkEnd w:id="67"/>
    </w:p>
    <w:p w:rsidR="00E3771E" w:rsidRDefault="00E3771E" w:rsidP="00A55DD4">
      <w:pPr>
        <w:pStyle w:val="ListParagraph"/>
        <w:ind w:left="851" w:hanging="851"/>
      </w:pPr>
      <w:r w:rsidRPr="00074612">
        <w:t>The UN Human Rights Committee highlighted its concern in November 2012 th</w:t>
      </w:r>
      <w:r w:rsidR="005C2721">
        <w:t>at conscientious objectors are ‘</w:t>
      </w:r>
      <w:r w:rsidRPr="00074612">
        <w:t>still at risk of being sentence</w:t>
      </w:r>
      <w:r>
        <w:t>d</w:t>
      </w:r>
      <w:r w:rsidRPr="00074612">
        <w:t xml:space="preserve"> to </w:t>
      </w:r>
      <w:r w:rsidRPr="00074612">
        <w:lastRenderedPageBreak/>
        <w:t xml:space="preserve">imprisonment and that […] they are practically deprived of some of their civil and political rights such as freedom of movement and </w:t>
      </w:r>
      <w:r>
        <w:t xml:space="preserve">the </w:t>
      </w:r>
      <w:r w:rsidRPr="00074612">
        <w:t>right to vote</w:t>
      </w:r>
      <w:r>
        <w:t>.</w:t>
      </w:r>
      <w:r w:rsidR="005C2721">
        <w:t>’</w:t>
      </w:r>
      <w:r w:rsidRPr="00074612">
        <w:rPr>
          <w:rStyle w:val="FootnoteReference"/>
        </w:rPr>
        <w:footnoteReference w:id="44"/>
      </w:r>
    </w:p>
    <w:p w:rsidR="00E3771E" w:rsidRDefault="00E3771E" w:rsidP="00A55DD4">
      <w:pPr>
        <w:pStyle w:val="ListParagraph"/>
        <w:ind w:left="851" w:hanging="851"/>
      </w:pPr>
      <w:r w:rsidRPr="006E1758">
        <w:t>It recommended that Turkey ‘should adopt legislation recognizing and regulating conscientious objection to military service, so as to provide the option of alternative service, without the choice of that option entailing punitive or discriminatory effects and, in the meantime, suspend all proceedings against conscientious objectors and suspend all sentences already imposed.’</w:t>
      </w:r>
      <w:r w:rsidR="00412403" w:rsidRPr="00412403">
        <w:rPr>
          <w:rStyle w:val="FootnoteReference"/>
        </w:rPr>
        <w:t xml:space="preserve"> </w:t>
      </w:r>
      <w:r w:rsidR="00412403" w:rsidRPr="00074612">
        <w:rPr>
          <w:rStyle w:val="FootnoteReference"/>
        </w:rPr>
        <w:footnoteReference w:id="45"/>
      </w:r>
    </w:p>
    <w:p w:rsidR="00E3771E" w:rsidRDefault="00E3771E" w:rsidP="00A55DD4">
      <w:pPr>
        <w:pStyle w:val="ListParagraph"/>
        <w:ind w:left="851" w:hanging="851"/>
      </w:pPr>
      <w:r w:rsidRPr="006E1758">
        <w:t xml:space="preserve">In July 2014, Turkey responded by citing Article 72 of the [Turkish] Constitution and Article </w:t>
      </w:r>
      <w:r w:rsidR="005101D0">
        <w:t>1 of Law no. 1111, adding that ‘</w:t>
      </w:r>
      <w:r w:rsidRPr="006E1758">
        <w:t>At present there is no work regarding introduction of a civilian alternative for military service.</w:t>
      </w:r>
      <w:r w:rsidR="005101D0">
        <w:t>’</w:t>
      </w:r>
      <w:r w:rsidRPr="00B91979">
        <w:rPr>
          <w:vertAlign w:val="superscript"/>
        </w:rPr>
        <w:t xml:space="preserve"> </w:t>
      </w:r>
      <w:r w:rsidR="00D530A2" w:rsidRPr="006E1758">
        <w:rPr>
          <w:rStyle w:val="FootnoteReference"/>
        </w:rPr>
        <w:footnoteReference w:id="46"/>
      </w:r>
    </w:p>
    <w:p w:rsidR="00E3771E" w:rsidRDefault="00E3771E" w:rsidP="00A55DD4">
      <w:pPr>
        <w:pStyle w:val="ListParagraph"/>
        <w:ind w:left="851" w:hanging="851"/>
      </w:pPr>
      <w:r w:rsidRPr="006E1758">
        <w:t xml:space="preserve">The European Bureau for Conscientious Objection believed this </w:t>
      </w:r>
      <w:r w:rsidR="005101D0">
        <w:t>‘</w:t>
      </w:r>
      <w:r w:rsidRPr="006E1758">
        <w:t>confirmed [their] earlier suspicions that the moves which were being made in this direction [civilian alternatives] have been abandoned.’</w:t>
      </w:r>
      <w:r w:rsidRPr="006E1758">
        <w:rPr>
          <w:rStyle w:val="FootnoteReference"/>
        </w:rPr>
        <w:footnoteReference w:id="47"/>
      </w:r>
    </w:p>
    <w:p w:rsidR="00E3771E" w:rsidRDefault="00E3771E" w:rsidP="00A55DD4">
      <w:pPr>
        <w:pStyle w:val="ListParagraph"/>
        <w:ind w:left="851" w:hanging="851"/>
      </w:pPr>
      <w:r w:rsidRPr="005213EB">
        <w:t>In July 2013</w:t>
      </w:r>
      <w:r>
        <w:t>,</w:t>
      </w:r>
      <w:r w:rsidRPr="005213EB">
        <w:t xml:space="preserve"> Amnesty International reported that ‘Conscientious objectors who have publicly stated their refusal to carry out military service have been subjected to criminal prosecution and im</w:t>
      </w:r>
      <w:r>
        <w:t>prisonment of up to three years</w:t>
      </w:r>
      <w:r w:rsidRPr="005213EB">
        <w:t>.’</w:t>
      </w:r>
      <w:r w:rsidRPr="005213EB">
        <w:rPr>
          <w:rStyle w:val="FootnoteReference"/>
        </w:rPr>
        <w:footnoteReference w:id="48"/>
      </w:r>
      <w:r w:rsidRPr="005213EB">
        <w:t xml:space="preserve"> </w:t>
      </w:r>
    </w:p>
    <w:p w:rsidR="00E3771E" w:rsidRDefault="00E3771E" w:rsidP="00A55DD4">
      <w:pPr>
        <w:pStyle w:val="ListParagraph"/>
        <w:ind w:left="851" w:hanging="851"/>
      </w:pPr>
      <w:r w:rsidRPr="005213EB">
        <w:t xml:space="preserve">This is </w:t>
      </w:r>
      <w:r>
        <w:t>quoted</w:t>
      </w:r>
      <w:r w:rsidRPr="005213EB">
        <w:t xml:space="preserve"> in the June 2014 ‘</w:t>
      </w:r>
      <w:r w:rsidRPr="00B91979">
        <w:rPr>
          <w:shd w:val="clear" w:color="auto" w:fill="FFFFFF"/>
        </w:rPr>
        <w:t>Response to Information Request’ by t</w:t>
      </w:r>
      <w:r w:rsidRPr="005213EB">
        <w:t>he Research Directorate of the Canadian IR</w:t>
      </w:r>
      <w:r>
        <w:t>B which goes on to state that ‘</w:t>
      </w:r>
      <w:r w:rsidRPr="005213EB">
        <w:t>Several sources indicate that upon release, co</w:t>
      </w:r>
      <w:r>
        <w:t xml:space="preserve">nscientious objectors are often </w:t>
      </w:r>
      <w:r w:rsidRPr="005213EB">
        <w:t>re-drafted into the military, and the process of detention is repeated.’</w:t>
      </w:r>
      <w:r w:rsidRPr="005213EB">
        <w:rPr>
          <w:rStyle w:val="FootnoteReference"/>
        </w:rPr>
        <w:footnoteReference w:id="49"/>
      </w:r>
    </w:p>
    <w:p w:rsidR="00A85A21" w:rsidRDefault="00140C6E" w:rsidP="00A85A21">
      <w:pPr>
        <w:pStyle w:val="ListParagraph"/>
        <w:numPr>
          <w:ilvl w:val="0"/>
          <w:numId w:val="0"/>
        </w:numPr>
        <w:ind w:left="851"/>
        <w:jc w:val="right"/>
      </w:pPr>
      <w:hyperlink w:anchor="contents" w:history="1">
        <w:r w:rsidR="00A85A21" w:rsidRPr="00B867DB">
          <w:rPr>
            <w:rStyle w:val="Hyperlink"/>
          </w:rPr>
          <w:t>Back to Contents</w:t>
        </w:r>
      </w:hyperlink>
    </w:p>
    <w:p w:rsidR="00E3771E" w:rsidRPr="00122F0D" w:rsidRDefault="00E3771E" w:rsidP="00A55DD4">
      <w:pPr>
        <w:pStyle w:val="Heading3"/>
        <w:ind w:left="851" w:hanging="851"/>
      </w:pPr>
      <w:bookmarkStart w:id="68" w:name="_Toc412465315"/>
      <w:bookmarkStart w:id="69" w:name="_Toc444685826"/>
      <w:r>
        <w:t>European Court of Human Rights (ECtHR) Rulings</w:t>
      </w:r>
      <w:bookmarkEnd w:id="68"/>
      <w:bookmarkEnd w:id="69"/>
    </w:p>
    <w:p w:rsidR="00E3771E" w:rsidRDefault="00E3771E" w:rsidP="00A55DD4">
      <w:pPr>
        <w:pStyle w:val="ListParagraph"/>
        <w:ind w:left="851" w:hanging="851"/>
      </w:pPr>
      <w:r>
        <w:t>In its 2014 Progress Report</w:t>
      </w:r>
      <w:r w:rsidRPr="009F21D7">
        <w:t xml:space="preserve"> </w:t>
      </w:r>
      <w:r>
        <w:t>on Turkey, the European Commission reported that ‘In June the European Court of Human Rights found Turkey in violation of Art. 3 (prohibition of torture) and of Art. 9 (freedom of thought, conscience and religion) of the ECHR for prosecuting and sentencing four Jehovah’s Witnesses who refused compulsory military service.’</w:t>
      </w:r>
      <w:r w:rsidRPr="003F5E1C">
        <w:rPr>
          <w:rStyle w:val="FootnoteReference"/>
        </w:rPr>
        <w:footnoteReference w:id="50"/>
      </w:r>
    </w:p>
    <w:p w:rsidR="00E3771E" w:rsidRDefault="00E3771E" w:rsidP="001755FD">
      <w:pPr>
        <w:pStyle w:val="ListParagraph"/>
        <w:ind w:left="851" w:hanging="851"/>
      </w:pPr>
      <w:r w:rsidRPr="007A4B87">
        <w:t>In February 2015, Hurriyet Daily News reported that</w:t>
      </w:r>
      <w:r>
        <w:t>:</w:t>
      </w:r>
      <w:r w:rsidR="001755FD">
        <w:t xml:space="preserve"> </w:t>
      </w:r>
      <w:r w:rsidRPr="007A4B87">
        <w:t xml:space="preserve">‘A military court in the Central Anatolian province of Sivas has sentenced Mehmet Tarhan, an outspoken conscientious objector and politician, to 15 months in jail, as well as a fine of 9,000 Turkish Liras, for “failing to obey orders.” </w:t>
      </w:r>
    </w:p>
    <w:p w:rsidR="00E3771E" w:rsidRDefault="00A55DD4" w:rsidP="00A55DD4">
      <w:pPr>
        <w:pStyle w:val="ListParagraph"/>
        <w:numPr>
          <w:ilvl w:val="0"/>
          <w:numId w:val="0"/>
        </w:numPr>
        <w:ind w:left="851"/>
      </w:pPr>
      <w:r>
        <w:t>‘</w:t>
      </w:r>
      <w:r w:rsidR="00E3771E" w:rsidRPr="007A4B87">
        <w:t>The verdict disregards a previous ruling by the European Court of Human Rights [(ECtHR)], therefore paving the way for Tarhan to apply to the [ECtHR] again.’</w:t>
      </w:r>
      <w:r w:rsidR="00E3771E" w:rsidRPr="003F5E1C">
        <w:rPr>
          <w:rStyle w:val="FootnoteReference"/>
        </w:rPr>
        <w:footnoteReference w:id="51"/>
      </w:r>
    </w:p>
    <w:p w:rsidR="00D32A1B" w:rsidRDefault="00E3771E" w:rsidP="00A55DD4">
      <w:pPr>
        <w:pStyle w:val="ListParagraph"/>
        <w:ind w:left="851" w:hanging="851"/>
      </w:pPr>
      <w:r w:rsidRPr="00C91D3C">
        <w:t>Amnesty International had previously noted that</w:t>
      </w:r>
      <w:r w:rsidR="00D32A1B">
        <w:t>:</w:t>
      </w:r>
    </w:p>
    <w:p w:rsidR="00E3771E" w:rsidRPr="00C91D3C" w:rsidRDefault="00E3771E" w:rsidP="00D32A1B">
      <w:pPr>
        <w:pStyle w:val="ListParagraph"/>
        <w:numPr>
          <w:ilvl w:val="0"/>
          <w:numId w:val="0"/>
        </w:numPr>
        <w:ind w:left="851"/>
      </w:pPr>
      <w:r w:rsidRPr="00C91D3C">
        <w:t xml:space="preserve">‘This [the ECtHR’s 2012 ruling on </w:t>
      </w:r>
      <w:r w:rsidRPr="00C91D3C">
        <w:rPr>
          <w:color w:val="111111"/>
        </w:rPr>
        <w:t>Halil Savda]</w:t>
      </w:r>
      <w:r w:rsidRPr="00C91D3C">
        <w:t xml:space="preserve"> is the fourth time in less than a year that the ECtHR found Turkey to have violated the right to conscientious objection, following the landmark ruling in July 2011 in the case of Bayatyan v. Armenia in which, for the first time, the Court found the refusal to recognize the right to conscientious objection to military service to be a violation of Article 9 of the Convention.’</w:t>
      </w:r>
      <w:r w:rsidRPr="00C91D3C">
        <w:rPr>
          <w:rStyle w:val="FootnoteReference"/>
        </w:rPr>
        <w:footnoteReference w:id="52"/>
      </w:r>
    </w:p>
    <w:p w:rsidR="00C91D3C" w:rsidRDefault="00C91D3C" w:rsidP="00A55DD4">
      <w:pPr>
        <w:pStyle w:val="ListParagraph"/>
        <w:ind w:left="851" w:hanging="851"/>
      </w:pPr>
      <w:r>
        <w:t>In its 2014 Progress Report</w:t>
      </w:r>
      <w:r w:rsidRPr="009F21D7">
        <w:t xml:space="preserve"> </w:t>
      </w:r>
      <w:r>
        <w:t>on Turkey, the European Commission reported that ‘As regards conscientious objection, several ECtHR judgments have to be implemented. ... Turkey is the only member of the Council of Europe that does not recognise the right to conscientious objection for conscripts.’</w:t>
      </w:r>
      <w:r>
        <w:rPr>
          <w:rStyle w:val="FootnoteReference"/>
          <w:sz w:val="23"/>
          <w:szCs w:val="23"/>
        </w:rPr>
        <w:footnoteReference w:id="53"/>
      </w:r>
    </w:p>
    <w:p w:rsidR="00E3771E" w:rsidRPr="00A85A21" w:rsidRDefault="00140C6E" w:rsidP="00E3771E">
      <w:pPr>
        <w:ind w:left="851" w:hanging="851"/>
        <w:jc w:val="right"/>
        <w:rPr>
          <w:rStyle w:val="Hyperlink"/>
        </w:rPr>
      </w:pPr>
      <w:hyperlink w:anchor="contents" w:history="1">
        <w:r w:rsidR="00E3771E" w:rsidRPr="00A85A21">
          <w:rPr>
            <w:rStyle w:val="Hyperlink"/>
          </w:rPr>
          <w:t>Back to Contents</w:t>
        </w:r>
      </w:hyperlink>
    </w:p>
    <w:p w:rsidR="00E3771E" w:rsidRPr="00F05044" w:rsidRDefault="00E3771E" w:rsidP="00A55DD4">
      <w:pPr>
        <w:pStyle w:val="Heading2"/>
        <w:ind w:left="851" w:hanging="851"/>
      </w:pPr>
      <w:bookmarkStart w:id="70" w:name="_Toc416356707"/>
      <w:bookmarkStart w:id="71" w:name="_Toc444685827"/>
      <w:r w:rsidRPr="00F05044">
        <w:t>Treatment</w:t>
      </w:r>
      <w:bookmarkEnd w:id="70"/>
      <w:bookmarkEnd w:id="71"/>
    </w:p>
    <w:p w:rsidR="00F05044" w:rsidRPr="00F05044" w:rsidRDefault="00F05044" w:rsidP="00A55DD4">
      <w:pPr>
        <w:pStyle w:val="Heading3"/>
        <w:ind w:left="851" w:hanging="851"/>
        <w:rPr>
          <w:rStyle w:val="Emphasis"/>
          <w:i w:val="0"/>
          <w:iCs w:val="0"/>
        </w:rPr>
      </w:pPr>
      <w:bookmarkStart w:id="72" w:name="_Mistreatment_of_conscripts"/>
      <w:bookmarkStart w:id="73" w:name="_Toc444685828"/>
      <w:bookmarkEnd w:id="72"/>
      <w:r>
        <w:rPr>
          <w:rStyle w:val="Emphasis"/>
          <w:i w:val="0"/>
          <w:shd w:val="clear" w:color="auto" w:fill="FFFFFF"/>
        </w:rPr>
        <w:t>M</w:t>
      </w:r>
      <w:r w:rsidRPr="00F05044">
        <w:rPr>
          <w:rStyle w:val="Emphasis"/>
          <w:i w:val="0"/>
          <w:shd w:val="clear" w:color="auto" w:fill="FFFFFF"/>
        </w:rPr>
        <w:t>istreatment of conscripts</w:t>
      </w:r>
      <w:bookmarkEnd w:id="73"/>
      <w:r w:rsidRPr="00F05044">
        <w:rPr>
          <w:rStyle w:val="Emphasis"/>
          <w:i w:val="0"/>
          <w:shd w:val="clear" w:color="auto" w:fill="FFFFFF"/>
        </w:rPr>
        <w:t xml:space="preserve"> </w:t>
      </w:r>
    </w:p>
    <w:p w:rsidR="00E3771E" w:rsidRPr="00A55DD4" w:rsidRDefault="00E3771E" w:rsidP="00A55DD4">
      <w:pPr>
        <w:pStyle w:val="ListParagraph"/>
        <w:ind w:left="851" w:hanging="851"/>
      </w:pPr>
      <w:r w:rsidRPr="00A55DD4">
        <w:t>Section 1.1 of a June 2014 ‘</w:t>
      </w:r>
      <w:r w:rsidRPr="00BA37D2">
        <w:rPr>
          <w:shd w:val="clear" w:color="auto" w:fill="FFFFFF"/>
        </w:rPr>
        <w:t>Response to Information Request’ by t</w:t>
      </w:r>
      <w:r w:rsidRPr="00A55DD4">
        <w:t xml:space="preserve">he Research Directorate of the Canadian IRB cited the </w:t>
      </w:r>
      <w:r w:rsidRPr="00BA37D2">
        <w:rPr>
          <w:shd w:val="clear" w:color="auto" w:fill="FFFFFF"/>
        </w:rPr>
        <w:t>European Commission's</w:t>
      </w:r>
      <w:r w:rsidRPr="00BA37D2">
        <w:rPr>
          <w:rStyle w:val="apple-converted-space"/>
          <w:sz w:val="20"/>
          <w:szCs w:val="20"/>
          <w:shd w:val="clear" w:color="auto" w:fill="FFFFFF"/>
        </w:rPr>
        <w:t> </w:t>
      </w:r>
      <w:r w:rsidRPr="00BA37D2">
        <w:rPr>
          <w:rStyle w:val="Emphasis"/>
          <w:i w:val="0"/>
          <w:shd w:val="clear" w:color="auto" w:fill="FFFFFF"/>
        </w:rPr>
        <w:t xml:space="preserve">2013 Progress Report on Turkey plus reporting on alleged </w:t>
      </w:r>
      <w:r w:rsidRPr="00BA37D2">
        <w:rPr>
          <w:rStyle w:val="Emphasis"/>
          <w:i w:val="0"/>
          <w:shd w:val="clear" w:color="auto" w:fill="FFFFFF"/>
        </w:rPr>
        <w:lastRenderedPageBreak/>
        <w:t>mistreatment of conscripts from 2012 by</w:t>
      </w:r>
      <w:r w:rsidRPr="00BA37D2">
        <w:rPr>
          <w:rStyle w:val="Emphasis"/>
          <w:shd w:val="clear" w:color="auto" w:fill="FFFFFF"/>
        </w:rPr>
        <w:t xml:space="preserve"> </w:t>
      </w:r>
      <w:r w:rsidRPr="00BA37D2">
        <w:rPr>
          <w:shd w:val="clear" w:color="auto" w:fill="FFFFFF"/>
        </w:rPr>
        <w:t>Asker Haklari (The Rights of Conscripts Initiative), an organization that aims to prevent ill-treatment and abuse of conscripts</w:t>
      </w:r>
      <w:r w:rsidR="00D530A2" w:rsidRPr="00BA37D2">
        <w:rPr>
          <w:shd w:val="clear" w:color="auto" w:fill="FFFFFF"/>
        </w:rPr>
        <w:t>.</w:t>
      </w:r>
      <w:r w:rsidRPr="00A55DD4">
        <w:rPr>
          <w:rStyle w:val="FootnoteReference"/>
        </w:rPr>
        <w:footnoteReference w:id="54"/>
      </w:r>
      <w:r w:rsidR="00BA37D2" w:rsidRPr="00BA37D2">
        <w:rPr>
          <w:shd w:val="clear" w:color="auto" w:fill="FFFFFF"/>
        </w:rPr>
        <w:t xml:space="preserve"> </w:t>
      </w:r>
      <w:r w:rsidRPr="00A55DD4">
        <w:t>It also point</w:t>
      </w:r>
      <w:r w:rsidR="00BA37D2">
        <w:t>ed</w:t>
      </w:r>
      <w:r w:rsidRPr="00A55DD4">
        <w:t xml:space="preserve"> to various sources who have documented a high suicide rate amongst conscripts</w:t>
      </w:r>
      <w:r w:rsidR="00D530A2" w:rsidRPr="00A55DD4">
        <w:t>.</w:t>
      </w:r>
      <w:r w:rsidR="00D530A2" w:rsidRPr="00A55DD4">
        <w:rPr>
          <w:rStyle w:val="FootnoteReference"/>
        </w:rPr>
        <w:footnoteReference w:id="55"/>
      </w:r>
    </w:p>
    <w:p w:rsidR="00E3771E" w:rsidRPr="00A55DD4" w:rsidRDefault="00E3771E" w:rsidP="00A55DD4">
      <w:pPr>
        <w:pStyle w:val="ListParagraph"/>
        <w:ind w:left="851" w:hanging="851"/>
      </w:pPr>
      <w:r w:rsidRPr="00A55DD4">
        <w:t>Despite this, in its 2014 Progress Report on Turkey, the European Commission reported that ‘Awareness of conscripts’ rights increased, with civil initiatives undertaken to prevent maltreatment, forced excessive physical activity and torture.’</w:t>
      </w:r>
      <w:r w:rsidRPr="00A55DD4">
        <w:rPr>
          <w:rStyle w:val="FootnoteReference"/>
        </w:rPr>
        <w:footnoteReference w:id="56"/>
      </w:r>
    </w:p>
    <w:p w:rsidR="00E3771E" w:rsidRDefault="00E3771E" w:rsidP="00A55DD4">
      <w:pPr>
        <w:pStyle w:val="ListParagraph"/>
        <w:ind w:left="851" w:hanging="851"/>
      </w:pPr>
      <w:r w:rsidRPr="00A55DD4">
        <w:t>The same report also noted that ‘Parliament’s Human Rights Inquiry Committee</w:t>
      </w:r>
      <w:r w:rsidRPr="009F21D7">
        <w:t xml:space="preserve"> started monitoring</w:t>
      </w:r>
      <w:r>
        <w:t xml:space="preserve"> ill-treatment </w:t>
      </w:r>
      <w:r w:rsidRPr="009F21D7">
        <w:t>during military service. Instances of</w:t>
      </w:r>
      <w:r>
        <w:t xml:space="preserve"> ill-treatment of conscripts continued to be reported.’</w:t>
      </w:r>
      <w:r w:rsidRPr="003F5E1C">
        <w:rPr>
          <w:rStyle w:val="FootnoteReference"/>
        </w:rPr>
        <w:footnoteReference w:id="57"/>
      </w:r>
      <w:r>
        <w:t xml:space="preserve"> </w:t>
      </w:r>
      <w:r w:rsidR="00BA37D2">
        <w:t>The report further stated,</w:t>
      </w:r>
      <w:r>
        <w:t xml:space="preserve"> ‘a number of trials relating to allegations of ill-treatment of conscientious objectors in military prisons continued.’</w:t>
      </w:r>
      <w:r w:rsidRPr="003F5E1C">
        <w:rPr>
          <w:rStyle w:val="FootnoteReference"/>
        </w:rPr>
        <w:footnoteReference w:id="58"/>
      </w:r>
    </w:p>
    <w:p w:rsidR="00C91D3C" w:rsidRDefault="000E6D81" w:rsidP="00C91D3C">
      <w:pPr>
        <w:pStyle w:val="ListParagraph"/>
        <w:ind w:left="851" w:hanging="851"/>
      </w:pPr>
      <w:r>
        <w:t>The US Department of State’s Country Report on Human Rights Practices for 2014 stated that ‘</w:t>
      </w:r>
      <w:r w:rsidR="00C91D3C">
        <w:t>The military reported that 21 military prisons held eight convicted prisoners and 212 pretrial detainees...The General Staff reported there were no deaths of detainees or convicts in military prisons during the year...The parliament’s Human Rights Investigation Commission (HRIC) and the Ombudsman Institution had authorization to visit and observe prisons, including military prisons, without advance permission.’</w:t>
      </w:r>
      <w:r w:rsidR="00C91D3C">
        <w:rPr>
          <w:rStyle w:val="FootnoteReference"/>
          <w:color w:val="000000"/>
        </w:rPr>
        <w:footnoteReference w:id="59"/>
      </w:r>
      <w:r w:rsidR="00C91D3C">
        <w:t xml:space="preserve"> </w:t>
      </w:r>
    </w:p>
    <w:p w:rsidR="002278BA" w:rsidRPr="00A85A21" w:rsidRDefault="00140C6E" w:rsidP="002278BA">
      <w:pPr>
        <w:jc w:val="right"/>
        <w:rPr>
          <w:rStyle w:val="Hyperlink"/>
        </w:rPr>
      </w:pPr>
      <w:hyperlink w:anchor="contents" w:history="1">
        <w:r w:rsidR="002278BA" w:rsidRPr="00A85A21">
          <w:rPr>
            <w:rStyle w:val="Hyperlink"/>
          </w:rPr>
          <w:t>Back to Contents</w:t>
        </w:r>
      </w:hyperlink>
    </w:p>
    <w:p w:rsidR="00D107E5" w:rsidRDefault="00D107E5">
      <w:pPr>
        <w:spacing w:after="200" w:line="276" w:lineRule="auto"/>
      </w:pPr>
      <w:r>
        <w:br w:type="page"/>
      </w:r>
    </w:p>
    <w:p w:rsidR="00342846" w:rsidRDefault="00342846">
      <w:pPr>
        <w:spacing w:after="200" w:line="276" w:lineRule="auto"/>
        <w:rPr>
          <w:rFonts w:eastAsiaTheme="majorEastAsia" w:cstheme="majorBidi"/>
          <w:bCs/>
          <w:color w:val="7030A0"/>
          <w:sz w:val="52"/>
          <w:szCs w:val="28"/>
        </w:rPr>
      </w:pPr>
    </w:p>
    <w:p w:rsidR="00D728BE" w:rsidRDefault="00EC7DF2" w:rsidP="00FE3E58">
      <w:pPr>
        <w:pStyle w:val="Heading1"/>
      </w:pPr>
      <w:bookmarkStart w:id="74" w:name="_Toc444685829"/>
      <w:r>
        <w:t xml:space="preserve">Version </w:t>
      </w:r>
      <w:r w:rsidR="00FE3E58">
        <w:t>C</w:t>
      </w:r>
      <w:r>
        <w:t xml:space="preserve">ontrol and </w:t>
      </w:r>
      <w:r w:rsidR="00FE3E58">
        <w:t>C</w:t>
      </w:r>
      <w:r>
        <w:t>ontacts</w:t>
      </w:r>
      <w:bookmarkEnd w:id="25"/>
      <w:bookmarkEnd w:id="74"/>
    </w:p>
    <w:p w:rsidR="00FE3E58" w:rsidRDefault="00FE3E58" w:rsidP="00FE3E58">
      <w:pPr>
        <w:pStyle w:val="Subheading"/>
      </w:pPr>
      <w:r>
        <w:t>Contacts</w:t>
      </w:r>
    </w:p>
    <w:p w:rsidR="00FE3E58" w:rsidRDefault="00FE3E58" w:rsidP="00FE3E58">
      <w:pPr>
        <w:contextualSpacing/>
      </w:pPr>
      <w:r>
        <w:t xml:space="preserve">If you have any questions about the guidance and your line manager or senior caseworker cannot help you or you think that the guidance has factual errors then email </w:t>
      </w:r>
      <w:hyperlink r:id="rId39" w:history="1">
        <w:r w:rsidRPr="00482D72">
          <w:rPr>
            <w:rStyle w:val="Hyperlink"/>
          </w:rPr>
          <w:t>the Country Policy and Information Team</w:t>
        </w:r>
      </w:hyperlink>
      <w:r w:rsidRPr="00ED67A7">
        <w:t>.</w:t>
      </w:r>
    </w:p>
    <w:p w:rsidR="00FE3E58" w:rsidRDefault="00FE3E58" w:rsidP="00FE3E58">
      <w:pPr>
        <w:contextualSpacing/>
      </w:pPr>
    </w:p>
    <w:p w:rsidR="00FE3E58" w:rsidRDefault="00FE3E58" w:rsidP="00FE3E58">
      <w:pPr>
        <w:contextualSpacing/>
      </w:pPr>
      <w:r>
        <w:t xml:space="preserve">If you notice any formatting errors in this guidance (broken links, spelling mistakes and so on) or have any comments about the layout or navigability of the guidance then you can email </w:t>
      </w:r>
      <w:hyperlink r:id="rId40" w:history="1">
        <w:r w:rsidRPr="00482D72">
          <w:rPr>
            <w:rStyle w:val="Hyperlink"/>
          </w:rPr>
          <w:t>the Guidance, Rules and Forms Team</w:t>
        </w:r>
      </w:hyperlink>
      <w:r w:rsidRPr="00482D72">
        <w:rPr>
          <w:rStyle w:val="CPITCOI-Link"/>
          <w:u w:val="none"/>
        </w:rPr>
        <w:t>.</w:t>
      </w:r>
    </w:p>
    <w:p w:rsidR="00FE3E58" w:rsidRDefault="00FE3E58" w:rsidP="00FE3E58">
      <w:pPr>
        <w:contextualSpacing/>
      </w:pPr>
    </w:p>
    <w:p w:rsidR="00FE3E58" w:rsidRDefault="00FE3E58" w:rsidP="00FE3E58">
      <w:pPr>
        <w:pStyle w:val="Subheading"/>
      </w:pPr>
      <w:r>
        <w:t>Clearance</w:t>
      </w:r>
    </w:p>
    <w:p w:rsidR="00FE3E58" w:rsidRDefault="00FE3E58" w:rsidP="00FE3E58">
      <w:r>
        <w:t>Below is information on when this version of the guidance was cleared:</w:t>
      </w:r>
    </w:p>
    <w:p w:rsidR="00FE3E58" w:rsidRDefault="00482D72" w:rsidP="00FE3E58">
      <w:pPr>
        <w:numPr>
          <w:ilvl w:val="0"/>
          <w:numId w:val="1"/>
        </w:numPr>
        <w:spacing w:after="0"/>
      </w:pPr>
      <w:r>
        <w:t>V</w:t>
      </w:r>
      <w:r w:rsidR="00FE3E58">
        <w:t>ersion</w:t>
      </w:r>
      <w:r>
        <w:t xml:space="preserve">: </w:t>
      </w:r>
      <w:r w:rsidRPr="00482D72">
        <w:rPr>
          <w:b/>
        </w:rPr>
        <w:t>1.0</w:t>
      </w:r>
    </w:p>
    <w:p w:rsidR="00FE3E58" w:rsidRDefault="00FE3E58" w:rsidP="00FE3E58">
      <w:pPr>
        <w:numPr>
          <w:ilvl w:val="0"/>
          <w:numId w:val="1"/>
        </w:numPr>
        <w:spacing w:after="0"/>
      </w:pPr>
      <w:r>
        <w:t>valid from</w:t>
      </w:r>
      <w:r w:rsidR="00482D72">
        <w:t xml:space="preserve">: </w:t>
      </w:r>
      <w:r w:rsidR="00482D72" w:rsidRPr="00482D72">
        <w:rPr>
          <w:b/>
        </w:rPr>
        <w:t xml:space="preserve">2 </w:t>
      </w:r>
      <w:r w:rsidR="008307BB">
        <w:rPr>
          <w:b/>
        </w:rPr>
        <w:t>March</w:t>
      </w:r>
      <w:r w:rsidR="00482D72" w:rsidRPr="00482D72">
        <w:rPr>
          <w:b/>
        </w:rPr>
        <w:t xml:space="preserve"> 2016</w:t>
      </w:r>
      <w:r>
        <w:t xml:space="preserve"> </w:t>
      </w:r>
    </w:p>
    <w:p w:rsidR="00FE3E58" w:rsidRDefault="00482D72" w:rsidP="00FE3E58">
      <w:pPr>
        <w:numPr>
          <w:ilvl w:val="0"/>
          <w:numId w:val="1"/>
        </w:numPr>
        <w:spacing w:after="0"/>
      </w:pPr>
      <w:r>
        <w:t xml:space="preserve">this version approved by: </w:t>
      </w:r>
      <w:r w:rsidRPr="00482D72">
        <w:rPr>
          <w:b/>
        </w:rPr>
        <w:t>Sally Weston, Deputy Director, IBPD</w:t>
      </w:r>
    </w:p>
    <w:p w:rsidR="00FE3E58" w:rsidRDefault="00FE3E58" w:rsidP="00FE3E58">
      <w:pPr>
        <w:numPr>
          <w:ilvl w:val="0"/>
          <w:numId w:val="1"/>
        </w:numPr>
        <w:spacing w:after="0"/>
      </w:pPr>
      <w:r>
        <w:t xml:space="preserve">approved on: </w:t>
      </w:r>
      <w:r w:rsidR="00056A0F">
        <w:rPr>
          <w:b/>
        </w:rPr>
        <w:t>25 January 2016</w:t>
      </w:r>
    </w:p>
    <w:p w:rsidR="00FE3E58" w:rsidRDefault="00FE3E58" w:rsidP="00FE3E58">
      <w:pPr>
        <w:pStyle w:val="Subheading"/>
      </w:pPr>
    </w:p>
    <w:p w:rsidR="00FE3E58" w:rsidRPr="00482D72" w:rsidRDefault="00140C6E" w:rsidP="00FE3E58">
      <w:pPr>
        <w:contextualSpacing/>
        <w:jc w:val="right"/>
        <w:rPr>
          <w:rStyle w:val="Hyperlink"/>
        </w:rPr>
      </w:pPr>
      <w:hyperlink w:anchor="_Contents_1" w:history="1">
        <w:r w:rsidR="00A524BF" w:rsidRPr="00482D72">
          <w:rPr>
            <w:rStyle w:val="Hyperlink"/>
          </w:rPr>
          <w:t>Back to Contents</w:t>
        </w:r>
      </w:hyperlink>
    </w:p>
    <w:p w:rsidR="001824D8" w:rsidRDefault="001824D8" w:rsidP="00FE3E58">
      <w:pPr>
        <w:pStyle w:val="Heading1"/>
        <w:jc w:val="right"/>
        <w:rPr>
          <w:rFonts w:asciiTheme="majorHAnsi" w:hAnsiTheme="majorHAnsi"/>
          <w:color w:val="4F81BD" w:themeColor="accent1"/>
        </w:rPr>
      </w:pPr>
    </w:p>
    <w:sectPr w:rsidR="001824D8" w:rsidSect="00BE58E5">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792" w:rsidRDefault="00046792" w:rsidP="00943D7D">
      <w:r>
        <w:separator/>
      </w:r>
    </w:p>
    <w:p w:rsidR="00046792" w:rsidRDefault="00046792"/>
  </w:endnote>
  <w:endnote w:type="continuationSeparator" w:id="0">
    <w:p w:rsidR="00046792" w:rsidRDefault="00046792" w:rsidP="00943D7D">
      <w:r>
        <w:continuationSeparator/>
      </w:r>
    </w:p>
    <w:p w:rsidR="00046792" w:rsidRDefault="00046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C6E" w:rsidRDefault="00140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046792" w:rsidRDefault="00140C6E"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046792" w:rsidRDefault="00046792" w:rsidP="00A524BF">
                    <w:pPr>
                      <w:pStyle w:val="Footer"/>
                      <w:spacing w:before="60" w:after="60"/>
                      <w:ind w:right="6"/>
                      <w:jc w:val="center"/>
                    </w:pPr>
                    <w:r>
                      <w:rPr>
                        <w:color w:val="999999"/>
                        <w:sz w:val="16"/>
                        <w:szCs w:val="16"/>
                      </w:rPr>
                      <w:t xml:space="preserve">Page </w:t>
                    </w:r>
                    <w:r w:rsidR="006F1B89">
                      <w:rPr>
                        <w:color w:val="999999"/>
                        <w:sz w:val="16"/>
                        <w:szCs w:val="16"/>
                      </w:rPr>
                      <w:fldChar w:fldCharType="begin"/>
                    </w:r>
                    <w:r>
                      <w:rPr>
                        <w:color w:val="999999"/>
                        <w:sz w:val="16"/>
                        <w:szCs w:val="16"/>
                      </w:rPr>
                      <w:instrText xml:space="preserve"> PAGE </w:instrText>
                    </w:r>
                    <w:r w:rsidR="006F1B89">
                      <w:rPr>
                        <w:color w:val="999999"/>
                        <w:sz w:val="16"/>
                        <w:szCs w:val="16"/>
                      </w:rPr>
                      <w:fldChar w:fldCharType="separate"/>
                    </w:r>
                    <w:r w:rsidR="00140C6E">
                      <w:rPr>
                        <w:noProof/>
                        <w:color w:val="999999"/>
                        <w:sz w:val="16"/>
                        <w:szCs w:val="16"/>
                      </w:rPr>
                      <w:t>22</w:t>
                    </w:r>
                    <w:r w:rsidR="006F1B89">
                      <w:rPr>
                        <w:color w:val="999999"/>
                        <w:sz w:val="16"/>
                        <w:szCs w:val="16"/>
                      </w:rPr>
                      <w:fldChar w:fldCharType="end"/>
                    </w:r>
                    <w:r>
                      <w:rPr>
                        <w:color w:val="999999"/>
                        <w:sz w:val="16"/>
                        <w:szCs w:val="16"/>
                      </w:rPr>
                      <w:t xml:space="preserve"> of </w:t>
                    </w:r>
                    <w:r w:rsidR="006F1B89">
                      <w:rPr>
                        <w:color w:val="999999"/>
                        <w:sz w:val="16"/>
                        <w:szCs w:val="16"/>
                      </w:rPr>
                      <w:fldChar w:fldCharType="begin"/>
                    </w:r>
                    <w:r>
                      <w:rPr>
                        <w:color w:val="999999"/>
                        <w:sz w:val="16"/>
                        <w:szCs w:val="16"/>
                      </w:rPr>
                      <w:instrText xml:space="preserve"> NUMPAGES </w:instrText>
                    </w:r>
                    <w:r w:rsidR="006F1B89">
                      <w:rPr>
                        <w:color w:val="999999"/>
                        <w:sz w:val="16"/>
                        <w:szCs w:val="16"/>
                      </w:rPr>
                      <w:fldChar w:fldCharType="separate"/>
                    </w:r>
                    <w:r w:rsidR="00140C6E">
                      <w:rPr>
                        <w:noProof/>
                        <w:color w:val="999999"/>
                        <w:sz w:val="16"/>
                        <w:szCs w:val="16"/>
                      </w:rPr>
                      <w:t>22</w:t>
                    </w:r>
                    <w:r w:rsidR="006F1B89">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3999"/>
      <w:docPartObj>
        <w:docPartGallery w:val="Page Numbers (Bottom of Page)"/>
        <w:docPartUnique/>
      </w:docPartObj>
    </w:sdtPr>
    <w:sdtEndPr/>
    <w:sdtContent>
      <w:p w:rsidR="00046792" w:rsidRDefault="0027641F">
        <w:pPr>
          <w:pStyle w:val="Footer"/>
          <w:jc w:val="center"/>
        </w:pPr>
        <w:r>
          <w:fldChar w:fldCharType="begin"/>
        </w:r>
        <w:r>
          <w:instrText xml:space="preserve"> PAGE   \* MERGEFORMAT </w:instrText>
        </w:r>
        <w:r>
          <w:fldChar w:fldCharType="separate"/>
        </w:r>
        <w:r w:rsidR="00140C6E">
          <w:rPr>
            <w:noProof/>
          </w:rPr>
          <w:t>1</w:t>
        </w:r>
        <w:r>
          <w:rPr>
            <w:noProof/>
          </w:rPr>
          <w:fldChar w:fldCharType="end"/>
        </w:r>
      </w:p>
    </w:sdtContent>
  </w:sdt>
  <w:p w:rsidR="00046792" w:rsidRDefault="00046792">
    <w:pPr>
      <w:pStyle w:val="Footer"/>
    </w:pPr>
  </w:p>
  <w:p w:rsidR="00046792" w:rsidRDefault="000467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792" w:rsidRDefault="00046792" w:rsidP="00943D7D">
      <w:r>
        <w:separator/>
      </w:r>
    </w:p>
    <w:p w:rsidR="00046792" w:rsidRDefault="00046792"/>
  </w:footnote>
  <w:footnote w:type="continuationSeparator" w:id="0">
    <w:p w:rsidR="00046792" w:rsidRDefault="00046792" w:rsidP="00943D7D">
      <w:r>
        <w:continuationSeparator/>
      </w:r>
    </w:p>
    <w:p w:rsidR="00046792" w:rsidRDefault="00046792"/>
  </w:footnote>
  <w:footnote w:id="1">
    <w:p w:rsidR="00046792" w:rsidRPr="00940E17" w:rsidRDefault="00046792" w:rsidP="00E3771E">
      <w:pPr>
        <w:pStyle w:val="CPITFootnoteLinks"/>
        <w:rPr>
          <w:rFonts w:cs="Arial"/>
        </w:rPr>
      </w:pPr>
      <w:r w:rsidRPr="00940E17">
        <w:rPr>
          <w:rStyle w:val="FootnoteReference"/>
          <w:rFonts w:cs="Arial"/>
        </w:rPr>
        <w:footnoteRef/>
      </w:r>
      <w:r w:rsidRPr="00940E17">
        <w:rPr>
          <w:rFonts w:cs="Arial"/>
        </w:rPr>
        <w:t xml:space="preserve"> Constitution  of the Republic of Tu</w:t>
      </w:r>
      <w:r>
        <w:rPr>
          <w:rFonts w:cs="Arial"/>
        </w:rPr>
        <w:t>rkey (English version), undated (page 33).</w:t>
      </w:r>
      <w:r w:rsidRPr="00940E17">
        <w:rPr>
          <w:rFonts w:cs="Arial"/>
        </w:rPr>
        <w:t xml:space="preserve"> </w:t>
      </w:r>
      <w:hyperlink r:id="rId1" w:history="1">
        <w:r w:rsidRPr="00156211">
          <w:rPr>
            <w:rStyle w:val="Hyperlink"/>
            <w:rFonts w:eastAsiaTheme="majorEastAsia"/>
          </w:rPr>
          <w:t>http://global.tbmm.gov.tr/docs/constitution_en.pdf</w:t>
        </w:r>
      </w:hyperlink>
      <w:r w:rsidRPr="006A2A85">
        <w:rPr>
          <w:rFonts w:cs="Arial"/>
        </w:rPr>
        <w:t xml:space="preserve"> </w:t>
      </w:r>
      <w:r w:rsidRPr="00940E17">
        <w:rPr>
          <w:rFonts w:cs="Arial"/>
        </w:rPr>
        <w:t>Date accessed: 17 February 2015.</w:t>
      </w:r>
    </w:p>
  </w:footnote>
  <w:footnote w:id="2">
    <w:p w:rsidR="00046792" w:rsidRPr="00940E17" w:rsidRDefault="00046792" w:rsidP="007B70DA">
      <w:pPr>
        <w:pStyle w:val="CPITFootnoteLinks"/>
        <w:rPr>
          <w:rFonts w:cs="Arial"/>
        </w:rPr>
      </w:pPr>
      <w:r w:rsidRPr="00940E17">
        <w:rPr>
          <w:rStyle w:val="FootnoteReference"/>
          <w:rFonts w:cs="Arial"/>
        </w:rPr>
        <w:footnoteRef/>
      </w:r>
      <w:r w:rsidRPr="00940E17">
        <w:rPr>
          <w:rFonts w:cs="Arial"/>
        </w:rPr>
        <w:t xml:space="preserve"> </w:t>
      </w:r>
      <w:r w:rsidRPr="00940E17">
        <w:rPr>
          <w:rFonts w:cs="Arial"/>
          <w:iCs/>
        </w:rPr>
        <w:t>Turkey: Law No. 1111 of 1927, Military Law</w:t>
      </w:r>
      <w:r w:rsidRPr="00940E17">
        <w:rPr>
          <w:rFonts w:cs="Arial"/>
          <w:shd w:val="clear" w:color="auto" w:fill="F9F9F9"/>
        </w:rPr>
        <w:t> [], 20 March 1927, available at UNHCR’s RefWorld website</w:t>
      </w:r>
      <w:r w:rsidR="00710260">
        <w:rPr>
          <w:rFonts w:cs="Arial"/>
          <w:shd w:val="clear" w:color="auto" w:fill="F9F9F9"/>
        </w:rPr>
        <w:t>:</w:t>
      </w:r>
      <w:r w:rsidRPr="00940E17">
        <w:rPr>
          <w:rFonts w:cs="Arial"/>
          <w:shd w:val="clear" w:color="auto" w:fill="F9F9F9"/>
        </w:rPr>
        <w:t xml:space="preserve"> </w:t>
      </w:r>
      <w:hyperlink r:id="rId2" w:history="1">
        <w:r w:rsidRPr="00156211">
          <w:rPr>
            <w:rStyle w:val="Hyperlink"/>
            <w:rFonts w:eastAsiaTheme="majorEastAsia"/>
          </w:rPr>
          <w:t>http://www.refworld.org/docid/3ae6b4d020.html</w:t>
        </w:r>
      </w:hyperlink>
      <w:r w:rsidRPr="00940E17">
        <w:rPr>
          <w:rFonts w:cs="Arial"/>
        </w:rPr>
        <w:t xml:space="preserve"> Date accessed: 17 February 2015.</w:t>
      </w:r>
    </w:p>
  </w:footnote>
  <w:footnote w:id="3">
    <w:p w:rsidR="00046792" w:rsidRPr="00940E17" w:rsidRDefault="00046792" w:rsidP="00E3771E">
      <w:pPr>
        <w:pStyle w:val="CPITFootnoteLinks"/>
        <w:rPr>
          <w:rFonts w:cs="Arial"/>
        </w:rPr>
      </w:pPr>
      <w:r w:rsidRPr="00940E17">
        <w:rPr>
          <w:rStyle w:val="FootnoteReference"/>
          <w:rFonts w:cs="Arial"/>
        </w:rPr>
        <w:footnoteRef/>
      </w:r>
      <w:r w:rsidRPr="00940E17">
        <w:rPr>
          <w:rFonts w:cs="Arial"/>
        </w:rPr>
        <w:t xml:space="preserve"> Immigration and Refugee Board of Canada</w:t>
      </w:r>
      <w:r>
        <w:rPr>
          <w:rFonts w:cs="Arial"/>
          <w:shd w:val="clear" w:color="auto" w:fill="F9F9F9"/>
        </w:rPr>
        <w:t>.</w:t>
      </w:r>
      <w:r w:rsidRPr="00940E17">
        <w:rPr>
          <w:rFonts w:cs="Arial"/>
          <w:shd w:val="clear" w:color="auto" w:fill="F9F9F9"/>
        </w:rPr>
        <w:t xml:space="preserve"> </w:t>
      </w:r>
      <w:r w:rsidRPr="00940E17">
        <w:rPr>
          <w:rFonts w:cs="Arial"/>
          <w:color w:val="000000"/>
          <w:shd w:val="clear" w:color="auto" w:fill="FFFFFF"/>
        </w:rPr>
        <w:t>Response to Information Requests</w:t>
      </w:r>
      <w:r w:rsidRPr="00940E17">
        <w:rPr>
          <w:rFonts w:cs="Arial"/>
          <w:shd w:val="clear" w:color="auto" w:fill="F9F9F9"/>
        </w:rPr>
        <w:t xml:space="preserve">, </w:t>
      </w:r>
      <w:r w:rsidRPr="00940E17">
        <w:rPr>
          <w:rFonts w:cs="Arial"/>
        </w:rPr>
        <w:t xml:space="preserve">4 June 2014, </w:t>
      </w:r>
      <w:r w:rsidRPr="00940E17">
        <w:rPr>
          <w:rFonts w:cs="Arial"/>
          <w:shd w:val="clear" w:color="auto" w:fill="F9F9F9"/>
        </w:rPr>
        <w:t xml:space="preserve">Ref: </w:t>
      </w:r>
      <w:r w:rsidRPr="00940E17">
        <w:rPr>
          <w:rStyle w:val="Strong"/>
          <w:rFonts w:cs="Arial"/>
          <w:b w:val="0"/>
          <w:shd w:val="clear" w:color="auto" w:fill="FFFFFF"/>
        </w:rPr>
        <w:t>TUR104876.E</w:t>
      </w:r>
      <w:r>
        <w:rPr>
          <w:rStyle w:val="Strong"/>
          <w:rFonts w:cs="Arial"/>
          <w:b w:val="0"/>
          <w:shd w:val="clear" w:color="auto" w:fill="FFFFFF"/>
        </w:rPr>
        <w:t>.</w:t>
      </w:r>
      <w:r w:rsidRPr="00940E17">
        <w:rPr>
          <w:rFonts w:cs="Arial"/>
          <w:shd w:val="clear" w:color="auto" w:fill="F9F9F9"/>
        </w:rPr>
        <w:t xml:space="preserve"> </w:t>
      </w:r>
      <w:hyperlink r:id="rId3" w:history="1">
        <w:r w:rsidRPr="00156211">
          <w:rPr>
            <w:rStyle w:val="Hyperlink"/>
            <w:rFonts w:eastAsiaTheme="majorEastAsia"/>
          </w:rPr>
          <w:t>http://irb-cisr.gc.ca/Eng/ResRec/RirRdi/Pages/index.aspx?doc=455353&amp;pls=1</w:t>
        </w:r>
      </w:hyperlink>
      <w:r w:rsidRPr="00940E17">
        <w:rPr>
          <w:rFonts w:cs="Arial"/>
        </w:rPr>
        <w:t xml:space="preserve"> Date accessed: 17 February 2015.</w:t>
      </w:r>
    </w:p>
  </w:footnote>
  <w:footnote w:id="4">
    <w:p w:rsidR="00046792" w:rsidRPr="00940E17" w:rsidRDefault="00046792" w:rsidP="00940E17">
      <w:pPr>
        <w:pStyle w:val="CPITFootnoteLinks"/>
        <w:rPr>
          <w:rFonts w:cs="Arial"/>
        </w:rPr>
      </w:pPr>
      <w:r w:rsidRPr="00940E17">
        <w:rPr>
          <w:rStyle w:val="FootnoteReference"/>
          <w:rFonts w:cs="Arial"/>
        </w:rPr>
        <w:footnoteRef/>
      </w:r>
      <w:r w:rsidRPr="00940E17">
        <w:rPr>
          <w:rFonts w:cs="Arial"/>
        </w:rPr>
        <w:t xml:space="preserve"> Immigration and Refugee Board of Canada</w:t>
      </w:r>
      <w:r>
        <w:rPr>
          <w:rFonts w:cs="Arial"/>
        </w:rPr>
        <w:t>.</w:t>
      </w:r>
      <w:r w:rsidRPr="00940E17">
        <w:rPr>
          <w:rFonts w:cs="Arial"/>
          <w:shd w:val="clear" w:color="auto" w:fill="F9F9F9"/>
        </w:rPr>
        <w:t xml:space="preserve"> </w:t>
      </w:r>
      <w:r w:rsidRPr="00940E17">
        <w:rPr>
          <w:rFonts w:cs="Arial"/>
          <w:color w:val="000000"/>
          <w:shd w:val="clear" w:color="auto" w:fill="FFFFFF"/>
        </w:rPr>
        <w:t>Response to Information Requests</w:t>
      </w:r>
      <w:r w:rsidRPr="00940E17">
        <w:rPr>
          <w:rFonts w:cs="Arial"/>
          <w:shd w:val="clear" w:color="auto" w:fill="F9F9F9"/>
        </w:rPr>
        <w:t xml:space="preserve">, </w:t>
      </w:r>
      <w:r w:rsidRPr="00940E17">
        <w:rPr>
          <w:rFonts w:cs="Arial"/>
        </w:rPr>
        <w:t xml:space="preserve">4 June 2014, </w:t>
      </w:r>
      <w:r w:rsidRPr="00940E17">
        <w:rPr>
          <w:rFonts w:cs="Arial"/>
          <w:shd w:val="clear" w:color="auto" w:fill="F9F9F9"/>
        </w:rPr>
        <w:t xml:space="preserve">Ref: </w:t>
      </w:r>
      <w:r w:rsidRPr="00940E17">
        <w:rPr>
          <w:rStyle w:val="Strong"/>
          <w:rFonts w:cs="Arial"/>
          <w:b w:val="0"/>
          <w:shd w:val="clear" w:color="auto" w:fill="FFFFFF"/>
        </w:rPr>
        <w:t>TUR104876.E</w:t>
      </w:r>
      <w:r w:rsidRPr="006A2A85">
        <w:rPr>
          <w:rStyle w:val="Strong"/>
          <w:rFonts w:cs="Arial"/>
          <w:b w:val="0"/>
          <w:shd w:val="clear" w:color="auto" w:fill="FFFFFF"/>
        </w:rPr>
        <w:t>.</w:t>
      </w:r>
      <w:r w:rsidRPr="00940E17">
        <w:rPr>
          <w:rFonts w:cs="Arial"/>
          <w:shd w:val="clear" w:color="auto" w:fill="F9F9F9"/>
        </w:rPr>
        <w:t xml:space="preserve"> </w:t>
      </w:r>
      <w:hyperlink r:id="rId4" w:history="1">
        <w:r w:rsidRPr="00156211">
          <w:rPr>
            <w:rStyle w:val="Hyperlink"/>
            <w:rFonts w:eastAsiaTheme="majorEastAsia"/>
          </w:rPr>
          <w:t>http://irb-cisr.gc.ca/Eng/ResRec/RirRdi/Pages/index.aspx?doc=455353&amp;pls=1</w:t>
        </w:r>
      </w:hyperlink>
      <w:r w:rsidRPr="00940E17">
        <w:rPr>
          <w:rFonts w:cs="Arial"/>
        </w:rPr>
        <w:t xml:space="preserve"> Date accessed: 17 February 2015.</w:t>
      </w:r>
    </w:p>
  </w:footnote>
  <w:footnote w:id="5">
    <w:p w:rsidR="00046792" w:rsidRDefault="00046792" w:rsidP="00E3771E">
      <w:pPr>
        <w:pStyle w:val="CPITFootnoteLinks"/>
      </w:pPr>
      <w:r w:rsidRPr="00940E17">
        <w:rPr>
          <w:rStyle w:val="FootnoteReference"/>
          <w:rFonts w:cs="Arial"/>
        </w:rPr>
        <w:footnoteRef/>
      </w:r>
      <w:r w:rsidRPr="00940E17">
        <w:rPr>
          <w:rFonts w:cs="Arial"/>
        </w:rPr>
        <w:t xml:space="preserve"> </w:t>
      </w:r>
      <w:r w:rsidRPr="00940E17">
        <w:rPr>
          <w:rFonts w:cs="Arial"/>
          <w:iCs/>
        </w:rPr>
        <w:t>Turkey: Law No. 1111 of 1927, Military Law</w:t>
      </w:r>
      <w:r w:rsidRPr="00940E17">
        <w:rPr>
          <w:rFonts w:cs="Arial"/>
          <w:shd w:val="clear" w:color="auto" w:fill="F9F9F9"/>
        </w:rPr>
        <w:t> [], 20 March 1927, available at UNHCR’s RefWorld website</w:t>
      </w:r>
      <w:r w:rsidR="00710260">
        <w:rPr>
          <w:rFonts w:cs="Arial"/>
          <w:shd w:val="clear" w:color="auto" w:fill="F9F9F9"/>
        </w:rPr>
        <w:t>:</w:t>
      </w:r>
      <w:r w:rsidRPr="00940E17">
        <w:rPr>
          <w:rFonts w:cs="Arial"/>
          <w:shd w:val="clear" w:color="auto" w:fill="F9F9F9"/>
        </w:rPr>
        <w:t xml:space="preserve"> </w:t>
      </w:r>
      <w:hyperlink r:id="rId5" w:history="1">
        <w:r w:rsidRPr="00156211">
          <w:rPr>
            <w:rStyle w:val="Hyperlink"/>
            <w:rFonts w:eastAsiaTheme="majorEastAsia"/>
          </w:rPr>
          <w:t>http://www.refworld.org/docid/3ae6b4d020.html</w:t>
        </w:r>
      </w:hyperlink>
      <w:r w:rsidRPr="00940E17">
        <w:rPr>
          <w:rFonts w:cs="Arial"/>
        </w:rPr>
        <w:t xml:space="preserve"> Date accessed: 17 February 2015.</w:t>
      </w:r>
    </w:p>
  </w:footnote>
  <w:footnote w:id="6">
    <w:p w:rsidR="00046792" w:rsidRPr="00940E17" w:rsidRDefault="00046792" w:rsidP="00E3771E">
      <w:pPr>
        <w:pStyle w:val="CPITFootnoteLinks"/>
        <w:rPr>
          <w:rFonts w:cs="Arial"/>
        </w:rPr>
      </w:pPr>
      <w:r w:rsidRPr="00940E17">
        <w:rPr>
          <w:rStyle w:val="FootnoteReference"/>
          <w:rFonts w:cs="Arial"/>
        </w:rPr>
        <w:footnoteRef/>
      </w:r>
      <w:r w:rsidRPr="00940E17">
        <w:rPr>
          <w:rFonts w:cs="Arial"/>
        </w:rPr>
        <w:t xml:space="preserve"> War Resisters International</w:t>
      </w:r>
      <w:r>
        <w:rPr>
          <w:rFonts w:cs="Arial"/>
        </w:rPr>
        <w:t>.</w:t>
      </w:r>
      <w:r w:rsidRPr="00940E17">
        <w:rPr>
          <w:rFonts w:cs="Arial"/>
        </w:rPr>
        <w:t xml:space="preserve"> ‘</w:t>
      </w:r>
      <w:r w:rsidRPr="00940E17">
        <w:rPr>
          <w:rFonts w:cs="Arial"/>
          <w:kern w:val="36"/>
        </w:rPr>
        <w:t>Briefing paper for the Universal Periodic Review: Turkey</w:t>
      </w:r>
      <w:r w:rsidR="004730AD">
        <w:rPr>
          <w:rFonts w:cs="Arial"/>
          <w:kern w:val="36"/>
        </w:rPr>
        <w:t>,</w:t>
      </w:r>
      <w:r w:rsidRPr="00940E17">
        <w:rPr>
          <w:rFonts w:cs="Arial"/>
          <w:kern w:val="36"/>
        </w:rPr>
        <w:t>’</w:t>
      </w:r>
      <w:r w:rsidR="004730AD">
        <w:rPr>
          <w:rFonts w:cs="Arial"/>
          <w:kern w:val="36"/>
        </w:rPr>
        <w:t xml:space="preserve"> dated</w:t>
      </w:r>
      <w:r w:rsidRPr="00940E17">
        <w:rPr>
          <w:rFonts w:cs="Arial"/>
          <w:kern w:val="36"/>
        </w:rPr>
        <w:t xml:space="preserve"> 3 December 2014</w:t>
      </w:r>
      <w:r>
        <w:rPr>
          <w:rFonts w:cs="Arial"/>
          <w:kern w:val="36"/>
        </w:rPr>
        <w:t>.</w:t>
      </w:r>
      <w:r w:rsidRPr="00940E17">
        <w:rPr>
          <w:rFonts w:cs="Arial"/>
          <w:kern w:val="36"/>
        </w:rPr>
        <w:t xml:space="preserve"> </w:t>
      </w:r>
      <w:hyperlink r:id="rId6" w:history="1">
        <w:r w:rsidRPr="0031447A">
          <w:rPr>
            <w:rStyle w:val="Hyperlink"/>
            <w:rFonts w:eastAsiaTheme="majorEastAsia"/>
          </w:rPr>
          <w:t>http://www.wri-irg.org/UPR-Turkey-2014</w:t>
        </w:r>
      </w:hyperlink>
      <w:r w:rsidRPr="00940E17">
        <w:rPr>
          <w:rFonts w:cs="Arial"/>
        </w:rPr>
        <w:t xml:space="preserve"> Date accessed: 19 February 2015.</w:t>
      </w:r>
    </w:p>
  </w:footnote>
  <w:footnote w:id="7">
    <w:p w:rsidR="00046792" w:rsidRPr="00940E17" w:rsidRDefault="00046792" w:rsidP="00E3771E">
      <w:pPr>
        <w:pStyle w:val="CPITFootnoteLinks"/>
        <w:rPr>
          <w:rFonts w:cs="Arial"/>
        </w:rPr>
      </w:pPr>
      <w:r w:rsidRPr="00940E17">
        <w:rPr>
          <w:rStyle w:val="FootnoteReference"/>
          <w:rFonts w:cs="Arial"/>
        </w:rPr>
        <w:footnoteRef/>
      </w:r>
      <w:r w:rsidRPr="00940E17">
        <w:rPr>
          <w:rFonts w:cs="Arial"/>
        </w:rPr>
        <w:t xml:space="preserve"> Torun, H; Tumen, S</w:t>
      </w:r>
      <w:r w:rsidR="004730AD">
        <w:rPr>
          <w:rFonts w:cs="Arial"/>
        </w:rPr>
        <w:t>.</w:t>
      </w:r>
      <w:r w:rsidRPr="00940E17">
        <w:rPr>
          <w:rFonts w:cs="Arial"/>
        </w:rPr>
        <w:t xml:space="preserve"> ‘</w:t>
      </w:r>
      <w:r w:rsidRPr="00940E17">
        <w:rPr>
          <w:rFonts w:cs="Arial"/>
          <w:kern w:val="36"/>
        </w:rPr>
        <w:t>The Effects of Compulsory Military Service Exemption on Education and Labor Market Outcomes: Evidence from a Natural Experiment</w:t>
      </w:r>
      <w:r w:rsidR="004730AD">
        <w:rPr>
          <w:rFonts w:cs="Arial"/>
          <w:kern w:val="36"/>
        </w:rPr>
        <w:t>,</w:t>
      </w:r>
      <w:r w:rsidRPr="00940E17">
        <w:rPr>
          <w:rFonts w:cs="Arial"/>
          <w:kern w:val="36"/>
        </w:rPr>
        <w:t>’ 30 January 2015</w:t>
      </w:r>
      <w:r w:rsidRPr="007B70DA">
        <w:rPr>
          <w:rFonts w:cs="Arial"/>
        </w:rPr>
        <w:t xml:space="preserve"> </w:t>
      </w:r>
      <w:r w:rsidRPr="00940E17">
        <w:rPr>
          <w:rFonts w:cs="Arial"/>
        </w:rPr>
        <w:t xml:space="preserve">(section 3.1). </w:t>
      </w:r>
      <w:r w:rsidRPr="00940E17">
        <w:rPr>
          <w:rFonts w:cs="Arial"/>
          <w:kern w:val="36"/>
        </w:rPr>
        <w:t xml:space="preserve"> </w:t>
      </w:r>
      <w:hyperlink r:id="rId7" w:history="1">
        <w:r w:rsidRPr="0031447A">
          <w:rPr>
            <w:rStyle w:val="Hyperlink"/>
            <w:rFonts w:eastAsiaTheme="majorEastAsia"/>
          </w:rPr>
          <w:t>http://mpra.ub.uni-muenchen.de/61722/1/MPRA_paper_61722.pdf</w:t>
        </w:r>
      </w:hyperlink>
      <w:r w:rsidRPr="00940E17">
        <w:rPr>
          <w:rFonts w:cs="Arial"/>
        </w:rPr>
        <w:t xml:space="preserve"> Date accessed: 23 February 2015.</w:t>
      </w:r>
    </w:p>
  </w:footnote>
  <w:footnote w:id="8">
    <w:p w:rsidR="00046792" w:rsidRPr="00940E17" w:rsidRDefault="00046792" w:rsidP="00E3771E">
      <w:pPr>
        <w:pStyle w:val="CPITFootnoteLinks"/>
        <w:rPr>
          <w:rFonts w:cs="Arial"/>
        </w:rPr>
      </w:pPr>
      <w:r w:rsidRPr="00940E17">
        <w:rPr>
          <w:rStyle w:val="FootnoteReference"/>
          <w:rFonts w:cs="Arial"/>
        </w:rPr>
        <w:footnoteRef/>
      </w:r>
      <w:r w:rsidRPr="00940E17">
        <w:rPr>
          <w:rFonts w:cs="Arial"/>
        </w:rPr>
        <w:t xml:space="preserve"> Daily Zaman</w:t>
      </w:r>
      <w:r>
        <w:rPr>
          <w:rFonts w:cs="Arial"/>
        </w:rPr>
        <w:t>.</w:t>
      </w:r>
      <w:r w:rsidRPr="00940E17">
        <w:rPr>
          <w:rFonts w:cs="Arial"/>
        </w:rPr>
        <w:t xml:space="preserve"> ‘Paid exemptions and falling fertility rates mean challenges ahead for Turkey’s military</w:t>
      </w:r>
      <w:r w:rsidR="004730AD">
        <w:rPr>
          <w:rFonts w:cs="Arial"/>
        </w:rPr>
        <w:t>,</w:t>
      </w:r>
      <w:r w:rsidRPr="00940E17">
        <w:rPr>
          <w:rFonts w:cs="Arial"/>
          <w:kern w:val="36"/>
        </w:rPr>
        <w:t>’ 30 December 2014</w:t>
      </w:r>
      <w:r>
        <w:rPr>
          <w:rFonts w:cs="Arial"/>
          <w:kern w:val="36"/>
        </w:rPr>
        <w:t>.</w:t>
      </w:r>
      <w:r w:rsidRPr="00940E17">
        <w:rPr>
          <w:rFonts w:cs="Arial"/>
          <w:kern w:val="36"/>
        </w:rPr>
        <w:t xml:space="preserve"> </w:t>
      </w:r>
      <w:hyperlink r:id="rId8" w:history="1">
        <w:r w:rsidRPr="0031447A">
          <w:rPr>
            <w:rStyle w:val="Hyperlink"/>
            <w:rFonts w:eastAsiaTheme="majorEastAsia"/>
          </w:rPr>
          <w:t>http://www.todayszaman.com/op-ed_paid-exemptions-and-falling-fertility-rates-mean-challenges-ahead-for-turkeys-military_368398.html</w:t>
        </w:r>
      </w:hyperlink>
      <w:r w:rsidRPr="00940E17">
        <w:rPr>
          <w:rFonts w:cs="Arial"/>
        </w:rPr>
        <w:t xml:space="preserve"> Date accessed: 8 April 2015.</w:t>
      </w:r>
    </w:p>
  </w:footnote>
  <w:footnote w:id="9">
    <w:p w:rsidR="00046792" w:rsidRPr="00940E17" w:rsidRDefault="00046792" w:rsidP="00E3771E">
      <w:pPr>
        <w:pStyle w:val="CPITFootnoteLinks"/>
        <w:rPr>
          <w:rFonts w:cs="Arial"/>
        </w:rPr>
      </w:pPr>
      <w:r w:rsidRPr="00940E17">
        <w:rPr>
          <w:rStyle w:val="FootnoteReference"/>
          <w:rFonts w:cs="Arial"/>
        </w:rPr>
        <w:footnoteRef/>
      </w:r>
      <w:r>
        <w:rPr>
          <w:rFonts w:cs="Arial"/>
        </w:rPr>
        <w:t xml:space="preserve"> Global Firepower.</w:t>
      </w:r>
      <w:r w:rsidRPr="00940E17">
        <w:rPr>
          <w:rFonts w:cs="Arial"/>
        </w:rPr>
        <w:t xml:space="preserve"> ‘Turkey’s military strength</w:t>
      </w:r>
      <w:r w:rsidR="004730AD">
        <w:rPr>
          <w:rFonts w:cs="Arial"/>
        </w:rPr>
        <w:t>,</w:t>
      </w:r>
      <w:r w:rsidRPr="00940E17">
        <w:rPr>
          <w:rFonts w:cs="Arial"/>
          <w:kern w:val="36"/>
        </w:rPr>
        <w:t>’ undated</w:t>
      </w:r>
      <w:r>
        <w:rPr>
          <w:rFonts w:cs="Arial"/>
          <w:kern w:val="36"/>
        </w:rPr>
        <w:t>.</w:t>
      </w:r>
      <w:r w:rsidRPr="00940E17">
        <w:rPr>
          <w:rFonts w:cs="Arial"/>
          <w:kern w:val="36"/>
        </w:rPr>
        <w:t xml:space="preserve"> </w:t>
      </w:r>
      <w:hyperlink r:id="rId9" w:history="1">
        <w:r w:rsidRPr="0031447A">
          <w:rPr>
            <w:rStyle w:val="Hyperlink"/>
            <w:rFonts w:eastAsiaTheme="majorEastAsia"/>
          </w:rPr>
          <w:t>http://www.globalfirepower.com/country-military-strength-detail.asp?country_id=turkey</w:t>
        </w:r>
      </w:hyperlink>
      <w:r w:rsidRPr="00940E17">
        <w:rPr>
          <w:rFonts w:cs="Arial"/>
        </w:rPr>
        <w:t xml:space="preserve"> Date accessed: 8 April 2015.</w:t>
      </w:r>
    </w:p>
  </w:footnote>
  <w:footnote w:id="10">
    <w:p w:rsidR="00046792" w:rsidRDefault="00046792" w:rsidP="00E3771E">
      <w:pPr>
        <w:pStyle w:val="CPITFootnoteLinks"/>
      </w:pPr>
      <w:r w:rsidRPr="00940E17">
        <w:rPr>
          <w:rStyle w:val="FootnoteReference"/>
          <w:rFonts w:cs="Arial"/>
        </w:rPr>
        <w:footnoteRef/>
      </w:r>
      <w:r w:rsidRPr="00940E17">
        <w:rPr>
          <w:rFonts w:cs="Arial"/>
        </w:rPr>
        <w:t xml:space="preserve"> Immigration and Refugee Board of Canada</w:t>
      </w:r>
      <w:r>
        <w:rPr>
          <w:rFonts w:cs="Arial"/>
          <w:shd w:val="clear" w:color="auto" w:fill="F9F9F9"/>
        </w:rPr>
        <w:t>.</w:t>
      </w:r>
      <w:r w:rsidRPr="00940E17">
        <w:rPr>
          <w:rFonts w:cs="Arial"/>
          <w:shd w:val="clear" w:color="auto" w:fill="F9F9F9"/>
        </w:rPr>
        <w:t xml:space="preserve"> </w:t>
      </w:r>
      <w:r w:rsidRPr="00940E17">
        <w:rPr>
          <w:rFonts w:cs="Arial"/>
          <w:color w:val="000000"/>
          <w:shd w:val="clear" w:color="auto" w:fill="FFFFFF"/>
        </w:rPr>
        <w:t>Response to Information Requests</w:t>
      </w:r>
      <w:r w:rsidRPr="00940E17">
        <w:rPr>
          <w:rFonts w:cs="Arial"/>
          <w:shd w:val="clear" w:color="auto" w:fill="F9F9F9"/>
        </w:rPr>
        <w:t xml:space="preserve">, </w:t>
      </w:r>
      <w:r w:rsidRPr="00940E17">
        <w:rPr>
          <w:rFonts w:cs="Arial"/>
        </w:rPr>
        <w:t xml:space="preserve">4 June 2014, </w:t>
      </w:r>
      <w:r w:rsidRPr="00940E17">
        <w:rPr>
          <w:rFonts w:cs="Arial"/>
          <w:shd w:val="clear" w:color="auto" w:fill="F9F9F9"/>
        </w:rPr>
        <w:t xml:space="preserve">Ref: </w:t>
      </w:r>
      <w:r w:rsidRPr="00940E17">
        <w:rPr>
          <w:rStyle w:val="Strong"/>
          <w:rFonts w:cs="Arial"/>
          <w:b w:val="0"/>
          <w:shd w:val="clear" w:color="auto" w:fill="FFFFFF"/>
        </w:rPr>
        <w:t>TUR104876.E</w:t>
      </w:r>
      <w:r>
        <w:rPr>
          <w:rStyle w:val="Strong"/>
          <w:rFonts w:cs="Arial"/>
          <w:b w:val="0"/>
          <w:shd w:val="clear" w:color="auto" w:fill="FFFFFF"/>
        </w:rPr>
        <w:t>.</w:t>
      </w:r>
      <w:r w:rsidRPr="00940E17">
        <w:rPr>
          <w:rFonts w:cs="Arial"/>
          <w:shd w:val="clear" w:color="auto" w:fill="F9F9F9"/>
        </w:rPr>
        <w:t xml:space="preserve"> </w:t>
      </w:r>
      <w:hyperlink r:id="rId10" w:history="1">
        <w:r w:rsidRPr="0031447A">
          <w:rPr>
            <w:rStyle w:val="Hyperlink"/>
            <w:rFonts w:eastAsiaTheme="majorEastAsia"/>
          </w:rPr>
          <w:t>http://irb-cisr.gc.ca/Eng/ResRec/RirRdi/Pages/index.aspx?doc=455353&amp;pls=1</w:t>
        </w:r>
      </w:hyperlink>
      <w:r w:rsidRPr="00940E17">
        <w:rPr>
          <w:rFonts w:cs="Arial"/>
        </w:rPr>
        <w:t xml:space="preserve"> Date accessed: 17 February 2015.</w:t>
      </w:r>
    </w:p>
  </w:footnote>
  <w:footnote w:id="11">
    <w:p w:rsidR="00046792" w:rsidRDefault="00046792" w:rsidP="00E3771E">
      <w:pPr>
        <w:pStyle w:val="CPITFootnoteLinks"/>
      </w:pPr>
      <w:r>
        <w:rPr>
          <w:rStyle w:val="FootnoteReference"/>
        </w:rPr>
        <w:footnoteRef/>
      </w:r>
      <w:r>
        <w:t xml:space="preserve"> </w:t>
      </w:r>
      <w:r>
        <w:rPr>
          <w:rFonts w:cs="Arial"/>
          <w:szCs w:val="24"/>
        </w:rPr>
        <w:t>Torun, H; Tumen, S</w:t>
      </w:r>
      <w:r w:rsidR="00A32083">
        <w:rPr>
          <w:rFonts w:cs="Arial"/>
          <w:szCs w:val="24"/>
        </w:rPr>
        <w:t>.</w:t>
      </w:r>
      <w:r>
        <w:rPr>
          <w:rFonts w:cs="Arial"/>
          <w:szCs w:val="24"/>
        </w:rPr>
        <w:t xml:space="preserve"> ‘</w:t>
      </w:r>
      <w:r w:rsidRPr="00EB4D1E">
        <w:rPr>
          <w:kern w:val="36"/>
        </w:rPr>
        <w:t>The E</w:t>
      </w:r>
      <w:r>
        <w:rPr>
          <w:kern w:val="36"/>
        </w:rPr>
        <w:t>ff</w:t>
      </w:r>
      <w:r w:rsidRPr="00EB4D1E">
        <w:rPr>
          <w:kern w:val="36"/>
        </w:rPr>
        <w:t>ects of Compulsory Military Service Exemption</w:t>
      </w:r>
      <w:r>
        <w:rPr>
          <w:kern w:val="36"/>
        </w:rPr>
        <w:t xml:space="preserve"> on Education and Labor </w:t>
      </w:r>
      <w:r w:rsidRPr="00940E17">
        <w:rPr>
          <w:kern w:val="36"/>
        </w:rPr>
        <w:t>Market Outcomes: Evidence from a Natural Experiment</w:t>
      </w:r>
      <w:r w:rsidR="00A32083">
        <w:rPr>
          <w:kern w:val="36"/>
        </w:rPr>
        <w:t>,</w:t>
      </w:r>
      <w:r w:rsidRPr="00940E17">
        <w:rPr>
          <w:kern w:val="36"/>
        </w:rPr>
        <w:t>’ 30 January 2015</w:t>
      </w:r>
      <w:r w:rsidRPr="007B70DA">
        <w:t xml:space="preserve"> </w:t>
      </w:r>
      <w:r w:rsidRPr="00940E17">
        <w:t>(section 3.1)</w:t>
      </w:r>
      <w:r w:rsidRPr="00940E17">
        <w:rPr>
          <w:rFonts w:cs="Arial"/>
        </w:rPr>
        <w:t xml:space="preserve">. </w:t>
      </w:r>
      <w:r w:rsidRPr="00940E17">
        <w:rPr>
          <w:kern w:val="36"/>
        </w:rPr>
        <w:t xml:space="preserve"> </w:t>
      </w:r>
      <w:hyperlink r:id="rId11" w:history="1">
        <w:r w:rsidRPr="0031447A">
          <w:rPr>
            <w:rStyle w:val="Hyperlink"/>
            <w:rFonts w:eastAsiaTheme="majorEastAsia"/>
          </w:rPr>
          <w:t>http://mpra.ub.uni-muenchen.de/61722/1/MPRA_paper_61722.pdf</w:t>
        </w:r>
      </w:hyperlink>
      <w:r w:rsidRPr="00940E17">
        <w:t xml:space="preserve"> </w:t>
      </w:r>
      <w:r w:rsidRPr="00940E17">
        <w:rPr>
          <w:rFonts w:cs="Arial"/>
        </w:rPr>
        <w:t>Date accessed: 23 February 2015.</w:t>
      </w:r>
    </w:p>
  </w:footnote>
  <w:footnote w:id="12">
    <w:p w:rsidR="00046792" w:rsidRPr="00DD21C6" w:rsidRDefault="00046792" w:rsidP="00DD21C6">
      <w:pPr>
        <w:pStyle w:val="CPITFootnoteLinks"/>
        <w:rPr>
          <w:rFonts w:cs="Arial"/>
        </w:rPr>
      </w:pPr>
      <w:r w:rsidRPr="00DD21C6">
        <w:rPr>
          <w:rStyle w:val="FootnoteReference"/>
          <w:rFonts w:cs="Arial"/>
        </w:rPr>
        <w:footnoteRef/>
      </w:r>
      <w:r w:rsidRPr="00DD21C6">
        <w:rPr>
          <w:rFonts w:cs="Arial"/>
        </w:rPr>
        <w:t xml:space="preserve"> Torun, H; Tumen, S</w:t>
      </w:r>
      <w:r w:rsidR="00AA12C0">
        <w:rPr>
          <w:rFonts w:cs="Arial"/>
        </w:rPr>
        <w:t>.</w:t>
      </w:r>
      <w:r w:rsidRPr="00DD21C6">
        <w:rPr>
          <w:rFonts w:cs="Arial"/>
        </w:rPr>
        <w:t xml:space="preserve"> ‘</w:t>
      </w:r>
      <w:r w:rsidRPr="00DD21C6">
        <w:rPr>
          <w:rFonts w:cs="Arial"/>
          <w:kern w:val="36"/>
        </w:rPr>
        <w:t>The Effects of Compulsory Military Service Exemption on Education and Labor Market Outcomes: Evidence from a Natural Experiment</w:t>
      </w:r>
      <w:r w:rsidR="00AA12C0">
        <w:rPr>
          <w:rFonts w:cs="Arial"/>
          <w:kern w:val="36"/>
        </w:rPr>
        <w:t>,</w:t>
      </w:r>
      <w:r w:rsidRPr="00DD21C6">
        <w:rPr>
          <w:rFonts w:cs="Arial"/>
          <w:kern w:val="36"/>
        </w:rPr>
        <w:t>’</w:t>
      </w:r>
      <w:r w:rsidR="00AA12C0">
        <w:rPr>
          <w:rFonts w:cs="Arial"/>
          <w:kern w:val="36"/>
        </w:rPr>
        <w:t xml:space="preserve"> dated</w:t>
      </w:r>
      <w:r w:rsidRPr="00DD21C6">
        <w:rPr>
          <w:rFonts w:cs="Arial"/>
          <w:kern w:val="36"/>
        </w:rPr>
        <w:t xml:space="preserve"> 30 January 2015</w:t>
      </w:r>
      <w:r w:rsidRPr="007B70DA">
        <w:rPr>
          <w:rFonts w:cs="Arial"/>
        </w:rPr>
        <w:t xml:space="preserve"> </w:t>
      </w:r>
      <w:r w:rsidRPr="00DD21C6">
        <w:rPr>
          <w:rFonts w:cs="Arial"/>
        </w:rPr>
        <w:t xml:space="preserve">(section 3.1). </w:t>
      </w:r>
      <w:r w:rsidRPr="00DD21C6">
        <w:rPr>
          <w:rFonts w:cs="Arial"/>
          <w:kern w:val="36"/>
        </w:rPr>
        <w:t xml:space="preserve"> </w:t>
      </w:r>
      <w:hyperlink r:id="rId12" w:history="1">
        <w:r w:rsidRPr="0031447A">
          <w:rPr>
            <w:rStyle w:val="Hyperlink"/>
            <w:rFonts w:eastAsiaTheme="majorEastAsia"/>
          </w:rPr>
          <w:t>http://mpra.ub.uni-muenchen.de/61722/1/MPRA_paper_61722.pdf</w:t>
        </w:r>
      </w:hyperlink>
      <w:r w:rsidRPr="00DD21C6">
        <w:rPr>
          <w:rFonts w:cs="Arial"/>
        </w:rPr>
        <w:t xml:space="preserve"> Date accessed: 23 February 2015.</w:t>
      </w:r>
    </w:p>
  </w:footnote>
  <w:footnote w:id="13">
    <w:p w:rsidR="00046792" w:rsidRPr="00DD21C6" w:rsidRDefault="00046792" w:rsidP="00E3771E">
      <w:pPr>
        <w:pStyle w:val="CPITFootnoteLinks"/>
        <w:rPr>
          <w:rFonts w:cs="Arial"/>
        </w:rPr>
      </w:pPr>
      <w:r w:rsidRPr="00DD21C6">
        <w:rPr>
          <w:rStyle w:val="FootnoteReference"/>
          <w:rFonts w:cs="Arial"/>
        </w:rPr>
        <w:footnoteRef/>
      </w:r>
      <w:r w:rsidRPr="00DD21C6">
        <w:rPr>
          <w:rFonts w:cs="Arial"/>
        </w:rPr>
        <w:t xml:space="preserve"> Immigration and Refugee Board of Canada</w:t>
      </w:r>
      <w:r>
        <w:rPr>
          <w:rFonts w:cs="Arial"/>
        </w:rPr>
        <w:t>.</w:t>
      </w:r>
      <w:r w:rsidRPr="00DD21C6">
        <w:rPr>
          <w:rFonts w:cs="Arial"/>
          <w:shd w:val="clear" w:color="auto" w:fill="F9F9F9"/>
        </w:rPr>
        <w:t xml:space="preserve"> </w:t>
      </w:r>
      <w:r w:rsidRPr="00DD21C6">
        <w:rPr>
          <w:rFonts w:cs="Arial"/>
          <w:color w:val="000000"/>
          <w:shd w:val="clear" w:color="auto" w:fill="FFFFFF"/>
        </w:rPr>
        <w:t>Response to Information Requests</w:t>
      </w:r>
      <w:r w:rsidRPr="00DD21C6">
        <w:rPr>
          <w:rFonts w:cs="Arial"/>
          <w:shd w:val="clear" w:color="auto" w:fill="F9F9F9"/>
        </w:rPr>
        <w:t xml:space="preserve">, </w:t>
      </w:r>
      <w:r w:rsidRPr="00DD21C6">
        <w:rPr>
          <w:rFonts w:cs="Arial"/>
        </w:rPr>
        <w:t xml:space="preserve">4 June 2014, </w:t>
      </w:r>
      <w:r w:rsidRPr="00DD21C6">
        <w:rPr>
          <w:rFonts w:cs="Arial"/>
          <w:shd w:val="clear" w:color="auto" w:fill="F9F9F9"/>
        </w:rPr>
        <w:t xml:space="preserve">Ref: </w:t>
      </w:r>
      <w:r w:rsidRPr="00DD21C6">
        <w:rPr>
          <w:rStyle w:val="Strong"/>
          <w:rFonts w:cs="Arial"/>
          <w:b w:val="0"/>
          <w:shd w:val="clear" w:color="auto" w:fill="FFFFFF"/>
        </w:rPr>
        <w:t>TUR104876.E</w:t>
      </w:r>
      <w:r>
        <w:rPr>
          <w:rStyle w:val="Strong"/>
          <w:rFonts w:cs="Arial"/>
          <w:b w:val="0"/>
          <w:shd w:val="clear" w:color="auto" w:fill="FFFFFF"/>
        </w:rPr>
        <w:t>.</w:t>
      </w:r>
      <w:r w:rsidRPr="00DD21C6">
        <w:rPr>
          <w:rFonts w:cs="Arial"/>
          <w:shd w:val="clear" w:color="auto" w:fill="F9F9F9"/>
        </w:rPr>
        <w:t xml:space="preserve"> </w:t>
      </w:r>
      <w:hyperlink r:id="rId13" w:history="1">
        <w:r w:rsidRPr="0031447A">
          <w:rPr>
            <w:rStyle w:val="Hyperlink"/>
            <w:rFonts w:eastAsiaTheme="majorEastAsia"/>
          </w:rPr>
          <w:t>http://irb-cisr.gc.ca/Eng/ResRec/RirRdi/Pages/index.aspx?doc=455353&amp;pls=1</w:t>
        </w:r>
      </w:hyperlink>
      <w:r w:rsidRPr="0031447A">
        <w:rPr>
          <w:rStyle w:val="Hyperlink"/>
        </w:rPr>
        <w:t xml:space="preserve"> </w:t>
      </w:r>
      <w:r w:rsidRPr="00DD21C6">
        <w:rPr>
          <w:rFonts w:cs="Arial"/>
        </w:rPr>
        <w:t>Date accessed: 17 February 2015.</w:t>
      </w:r>
    </w:p>
  </w:footnote>
  <w:footnote w:id="14">
    <w:p w:rsidR="00046792" w:rsidRPr="00DD21C6" w:rsidRDefault="00046792" w:rsidP="00E3771E">
      <w:pPr>
        <w:pStyle w:val="CPITFootnoteLinks"/>
        <w:rPr>
          <w:rFonts w:cs="Arial"/>
        </w:rPr>
      </w:pPr>
      <w:r w:rsidRPr="00DD21C6">
        <w:rPr>
          <w:rStyle w:val="FootnoteReference"/>
          <w:rFonts w:cs="Arial"/>
        </w:rPr>
        <w:footnoteRef/>
      </w:r>
      <w:r w:rsidRPr="00DD21C6">
        <w:rPr>
          <w:rFonts w:cs="Arial"/>
        </w:rPr>
        <w:t xml:space="preserve"> </w:t>
      </w:r>
      <w:r w:rsidRPr="00DD21C6">
        <w:rPr>
          <w:rFonts w:cs="Arial"/>
          <w:iCs/>
        </w:rPr>
        <w:t>Turkey: Law No. 1111 of 1927, Military Law</w:t>
      </w:r>
      <w:r w:rsidRPr="00DD21C6">
        <w:rPr>
          <w:rFonts w:cs="Arial"/>
          <w:shd w:val="clear" w:color="auto" w:fill="F9F9F9"/>
        </w:rPr>
        <w:t> [], 20 March 1927, available at UNHCR’s RefWorld website</w:t>
      </w:r>
      <w:r>
        <w:rPr>
          <w:rFonts w:cs="Arial"/>
          <w:shd w:val="clear" w:color="auto" w:fill="F9F9F9"/>
        </w:rPr>
        <w:t>:</w:t>
      </w:r>
      <w:r w:rsidRPr="00DD21C6">
        <w:rPr>
          <w:rFonts w:cs="Arial"/>
          <w:shd w:val="clear" w:color="auto" w:fill="F9F9F9"/>
        </w:rPr>
        <w:t xml:space="preserve"> </w:t>
      </w:r>
      <w:hyperlink r:id="rId14" w:history="1">
        <w:r w:rsidRPr="0031447A">
          <w:rPr>
            <w:rStyle w:val="Hyperlink"/>
            <w:rFonts w:eastAsiaTheme="majorEastAsia"/>
          </w:rPr>
          <w:t>http://www.refworld.org/docid/3ae6b4d020.html</w:t>
        </w:r>
      </w:hyperlink>
      <w:r w:rsidRPr="0031447A">
        <w:rPr>
          <w:rStyle w:val="Hyperlink"/>
          <w:u w:val="none"/>
        </w:rPr>
        <w:t xml:space="preserve"> </w:t>
      </w:r>
      <w:r w:rsidRPr="00DD21C6">
        <w:rPr>
          <w:rFonts w:cs="Arial"/>
        </w:rPr>
        <w:t>Date accessed: 17 February 2015.</w:t>
      </w:r>
    </w:p>
  </w:footnote>
  <w:footnote w:id="15">
    <w:p w:rsidR="00046792" w:rsidRDefault="00046792" w:rsidP="00E3771E">
      <w:pPr>
        <w:pStyle w:val="CPITFootnoteLinks"/>
      </w:pPr>
      <w:r w:rsidRPr="00DD21C6">
        <w:rPr>
          <w:rStyle w:val="FootnoteReference"/>
          <w:rFonts w:cs="Arial"/>
        </w:rPr>
        <w:footnoteRef/>
      </w:r>
      <w:r>
        <w:rPr>
          <w:rFonts w:cs="Arial"/>
        </w:rPr>
        <w:t xml:space="preserve"> Al-Monitor.</w:t>
      </w:r>
      <w:r w:rsidRPr="00DD21C6">
        <w:rPr>
          <w:rFonts w:cs="Arial"/>
        </w:rPr>
        <w:t xml:space="preserve"> ‘</w:t>
      </w:r>
      <w:r w:rsidRPr="00DD21C6">
        <w:rPr>
          <w:rFonts w:cs="Arial"/>
          <w:color w:val="000000"/>
          <w:shd w:val="clear" w:color="auto" w:fill="FFFFFF"/>
        </w:rPr>
        <w:t xml:space="preserve">$8,700 will let young Turks </w:t>
      </w:r>
      <w:r>
        <w:rPr>
          <w:rFonts w:cs="Arial"/>
          <w:color w:val="000000"/>
          <w:shd w:val="clear" w:color="auto" w:fill="FFFFFF"/>
        </w:rPr>
        <w:t>“</w:t>
      </w:r>
      <w:r w:rsidRPr="00DD21C6">
        <w:rPr>
          <w:rFonts w:cs="Arial"/>
          <w:color w:val="000000"/>
          <w:shd w:val="clear" w:color="auto" w:fill="FFFFFF"/>
        </w:rPr>
        <w:t>buy out</w:t>
      </w:r>
      <w:r>
        <w:rPr>
          <w:rFonts w:cs="Arial"/>
          <w:color w:val="000000"/>
          <w:shd w:val="clear" w:color="auto" w:fill="FFFFFF"/>
        </w:rPr>
        <w:t>”</w:t>
      </w:r>
      <w:r w:rsidRPr="00DD21C6">
        <w:rPr>
          <w:rFonts w:cs="Arial"/>
          <w:color w:val="000000"/>
          <w:shd w:val="clear" w:color="auto" w:fill="FFFFFF"/>
        </w:rPr>
        <w:t xml:space="preserve"> their military service</w:t>
      </w:r>
      <w:r>
        <w:rPr>
          <w:rFonts w:cs="Arial"/>
          <w:color w:val="000000"/>
          <w:shd w:val="clear" w:color="auto" w:fill="FFFFFF"/>
        </w:rPr>
        <w:t>,</w:t>
      </w:r>
      <w:r w:rsidRPr="00DD21C6">
        <w:rPr>
          <w:rFonts w:cs="Arial"/>
          <w:color w:val="000000"/>
        </w:rPr>
        <w:t xml:space="preserve">’ </w:t>
      </w:r>
      <w:r w:rsidRPr="00DD21C6">
        <w:rPr>
          <w:rFonts w:cs="Arial"/>
          <w:iCs/>
        </w:rPr>
        <w:t>10 December 2014</w:t>
      </w:r>
      <w:r>
        <w:rPr>
          <w:rFonts w:cs="Arial"/>
          <w:iCs/>
        </w:rPr>
        <w:t>.</w:t>
      </w:r>
      <w:r w:rsidRPr="00DD21C6">
        <w:rPr>
          <w:rFonts w:cs="Arial"/>
          <w:iCs/>
        </w:rPr>
        <w:t xml:space="preserve"> </w:t>
      </w:r>
      <w:hyperlink r:id="rId15" w:history="1">
        <w:r w:rsidRPr="0031447A">
          <w:rPr>
            <w:rStyle w:val="Hyperlink"/>
            <w:rFonts w:eastAsiaTheme="majorEastAsia"/>
          </w:rPr>
          <w:t>http://www.al-monitor.com/pulse/originals/2014/12/turkey-compulsory-military-service-buy-exemption.html##ixzz3S1Yhvnit</w:t>
        </w:r>
      </w:hyperlink>
      <w:r w:rsidRPr="00DD21C6">
        <w:rPr>
          <w:rFonts w:cs="Arial"/>
        </w:rPr>
        <w:t xml:space="preserve"> Date accessed: 17 February 2015.</w:t>
      </w:r>
    </w:p>
  </w:footnote>
  <w:footnote w:id="16">
    <w:p w:rsidR="00046792" w:rsidRPr="0030299E" w:rsidRDefault="00046792" w:rsidP="00412403">
      <w:pPr>
        <w:widowControl w:val="0"/>
        <w:spacing w:after="0"/>
        <w:rPr>
          <w:kern w:val="36"/>
          <w:sz w:val="20"/>
          <w:szCs w:val="20"/>
        </w:rPr>
      </w:pPr>
      <w:r w:rsidRPr="007B7786">
        <w:rPr>
          <w:rStyle w:val="FootnoteReference"/>
          <w:sz w:val="20"/>
          <w:szCs w:val="20"/>
        </w:rPr>
        <w:footnoteRef/>
      </w:r>
      <w:r w:rsidRPr="007B7786">
        <w:rPr>
          <w:sz w:val="20"/>
          <w:szCs w:val="20"/>
        </w:rPr>
        <w:t xml:space="preserve"> Hurriyet Daily News</w:t>
      </w:r>
      <w:r>
        <w:rPr>
          <w:sz w:val="20"/>
          <w:szCs w:val="20"/>
        </w:rPr>
        <w:t>.</w:t>
      </w:r>
      <w:r w:rsidRPr="007B7786">
        <w:rPr>
          <w:sz w:val="20"/>
          <w:szCs w:val="20"/>
        </w:rPr>
        <w:t xml:space="preserve"> ‘</w:t>
      </w:r>
      <w:r w:rsidRPr="007B7786">
        <w:rPr>
          <w:kern w:val="36"/>
          <w:sz w:val="20"/>
          <w:szCs w:val="20"/>
        </w:rPr>
        <w:t>Turkish gov’t revisits exempted military service before 2015 polls</w:t>
      </w:r>
      <w:r>
        <w:rPr>
          <w:kern w:val="36"/>
          <w:sz w:val="20"/>
          <w:szCs w:val="20"/>
        </w:rPr>
        <w:t>,</w:t>
      </w:r>
      <w:r w:rsidRPr="007B7786">
        <w:rPr>
          <w:color w:val="000000"/>
          <w:sz w:val="20"/>
          <w:szCs w:val="20"/>
        </w:rPr>
        <w:t>’</w:t>
      </w:r>
      <w:r>
        <w:rPr>
          <w:color w:val="000000"/>
          <w:sz w:val="20"/>
          <w:szCs w:val="20"/>
        </w:rPr>
        <w:t xml:space="preserve"> dated</w:t>
      </w:r>
      <w:r w:rsidRPr="007B7786">
        <w:rPr>
          <w:color w:val="000000"/>
          <w:sz w:val="20"/>
          <w:szCs w:val="20"/>
        </w:rPr>
        <w:t xml:space="preserve"> </w:t>
      </w:r>
      <w:r>
        <w:rPr>
          <w:iCs/>
          <w:sz w:val="20"/>
          <w:szCs w:val="20"/>
        </w:rPr>
        <w:t>2</w:t>
      </w:r>
      <w:r w:rsidRPr="007B7786">
        <w:rPr>
          <w:iCs/>
          <w:sz w:val="20"/>
          <w:szCs w:val="20"/>
        </w:rPr>
        <w:t xml:space="preserve"> </w:t>
      </w:r>
      <w:r w:rsidRPr="0030299E">
        <w:rPr>
          <w:iCs/>
          <w:sz w:val="20"/>
          <w:szCs w:val="20"/>
        </w:rPr>
        <w:t xml:space="preserve">December 2014. </w:t>
      </w:r>
      <w:hyperlink r:id="rId16" w:history="1">
        <w:r w:rsidRPr="0031447A">
          <w:rPr>
            <w:rStyle w:val="Hyperlink"/>
            <w:sz w:val="20"/>
            <w:szCs w:val="20"/>
          </w:rPr>
          <w:t>http://www.hurriyetdailynews.com/turkish-govt-revisits-exempted-military-service-before-2015-polls.aspx?PageID=238&amp;NID=75106&amp;NewsCatID=338</w:t>
        </w:r>
      </w:hyperlink>
      <w:r w:rsidRPr="0030299E">
        <w:rPr>
          <w:sz w:val="20"/>
          <w:szCs w:val="20"/>
        </w:rPr>
        <w:t xml:space="preserve"> Date accessed: 17 February 2015.</w:t>
      </w:r>
    </w:p>
  </w:footnote>
  <w:footnote w:id="17">
    <w:p w:rsidR="00046792" w:rsidRPr="0030299E" w:rsidRDefault="00046792" w:rsidP="00E3771E">
      <w:pPr>
        <w:pStyle w:val="CPITFootnoteLinks"/>
        <w:rPr>
          <w:rFonts w:cs="Arial"/>
          <w:b/>
          <w:color w:val="262626"/>
        </w:rPr>
      </w:pPr>
      <w:r w:rsidRPr="00B305BA">
        <w:rPr>
          <w:rStyle w:val="FootnoteReference"/>
          <w:rFonts w:cs="Arial"/>
        </w:rPr>
        <w:footnoteRef/>
      </w:r>
      <w:r w:rsidRPr="0030299E">
        <w:rPr>
          <w:rFonts w:cs="Arial"/>
        </w:rPr>
        <w:t xml:space="preserve"> Daily Sabah. ‘Applications for paid exemption from military service open,</w:t>
      </w:r>
      <w:r w:rsidR="00D517A0">
        <w:rPr>
          <w:rFonts w:cs="Arial"/>
        </w:rPr>
        <w:t>’ dated</w:t>
      </w:r>
      <w:r w:rsidRPr="0030299E">
        <w:rPr>
          <w:rFonts w:cs="Arial"/>
        </w:rPr>
        <w:t xml:space="preserve"> </w:t>
      </w:r>
      <w:r w:rsidRPr="0030299E">
        <w:rPr>
          <w:rFonts w:cs="Arial"/>
          <w:iCs/>
        </w:rPr>
        <w:t xml:space="preserve">15 December 2014. </w:t>
      </w:r>
      <w:hyperlink r:id="rId17" w:history="1">
        <w:r w:rsidRPr="0031447A">
          <w:rPr>
            <w:rStyle w:val="Hyperlink"/>
            <w:rFonts w:eastAsiaTheme="majorEastAsia"/>
          </w:rPr>
          <w:t>http://www.dailysabah.com/nation/2014/12/15/applications-for-paid-exemption-from-military-service-open</w:t>
        </w:r>
      </w:hyperlink>
      <w:r w:rsidRPr="0030299E">
        <w:rPr>
          <w:rStyle w:val="apple-converted-space"/>
        </w:rPr>
        <w:t xml:space="preserve"> Date accessed: 17 February 2015.</w:t>
      </w:r>
    </w:p>
  </w:footnote>
  <w:footnote w:id="18">
    <w:p w:rsidR="00046792" w:rsidRPr="0030299E" w:rsidRDefault="00046792" w:rsidP="00412403">
      <w:pPr>
        <w:pStyle w:val="CPITFootnoteLinks"/>
        <w:rPr>
          <w:rFonts w:cs="Arial"/>
          <w:b/>
          <w:color w:val="262626"/>
        </w:rPr>
      </w:pPr>
      <w:r w:rsidRPr="00B305BA">
        <w:rPr>
          <w:rStyle w:val="FootnoteReference"/>
          <w:rFonts w:cs="Arial"/>
        </w:rPr>
        <w:footnoteRef/>
      </w:r>
      <w:r w:rsidRPr="0030299E">
        <w:rPr>
          <w:rFonts w:cs="Arial"/>
        </w:rPr>
        <w:t xml:space="preserve"> Daily Sabah. ‘Applications for paid exemption from military service open</w:t>
      </w:r>
      <w:r>
        <w:rPr>
          <w:rFonts w:cs="Arial"/>
        </w:rPr>
        <w:t>,</w:t>
      </w:r>
      <w:r w:rsidRPr="0030299E">
        <w:rPr>
          <w:rFonts w:cs="Arial"/>
        </w:rPr>
        <w:t>’</w:t>
      </w:r>
      <w:r>
        <w:rPr>
          <w:rFonts w:cs="Arial"/>
        </w:rPr>
        <w:t xml:space="preserve"> dated</w:t>
      </w:r>
      <w:r w:rsidRPr="0030299E">
        <w:rPr>
          <w:rFonts w:cs="Arial"/>
        </w:rPr>
        <w:t xml:space="preserve"> </w:t>
      </w:r>
      <w:r w:rsidRPr="0030299E">
        <w:rPr>
          <w:rFonts w:cs="Arial"/>
          <w:iCs/>
        </w:rPr>
        <w:t xml:space="preserve">15 December 2014. </w:t>
      </w:r>
      <w:hyperlink r:id="rId18" w:history="1">
        <w:r w:rsidRPr="0031447A">
          <w:rPr>
            <w:rStyle w:val="Hyperlink"/>
            <w:rFonts w:eastAsiaTheme="majorEastAsia"/>
          </w:rPr>
          <w:t>http://www.dailysabah.com/nation/2014/12/15/applications-for-paid-exemption-from-military-service-open</w:t>
        </w:r>
      </w:hyperlink>
      <w:r w:rsidRPr="0030299E">
        <w:rPr>
          <w:rStyle w:val="apple-converted-space"/>
        </w:rPr>
        <w:t xml:space="preserve"> Date accessed: 17 February 2015.</w:t>
      </w:r>
    </w:p>
  </w:footnote>
  <w:footnote w:id="19">
    <w:p w:rsidR="00046792" w:rsidRPr="0030299E" w:rsidRDefault="00046792" w:rsidP="00E3771E">
      <w:pPr>
        <w:pStyle w:val="CPITFootnoteLinks"/>
      </w:pPr>
      <w:r w:rsidRPr="0030299E">
        <w:rPr>
          <w:vertAlign w:val="superscript"/>
        </w:rPr>
        <w:footnoteRef/>
      </w:r>
      <w:r w:rsidRPr="0030299E">
        <w:t xml:space="preserve"> Today’s Z</w:t>
      </w:r>
      <w:r w:rsidR="00AA12C0">
        <w:t>a</w:t>
      </w:r>
      <w:r w:rsidRPr="0030299E">
        <w:t>man. ‘Military service paid exemption option sees record number of applicants</w:t>
      </w:r>
      <w:r>
        <w:t>,</w:t>
      </w:r>
      <w:r w:rsidRPr="0030299E">
        <w:t>’</w:t>
      </w:r>
      <w:r>
        <w:t xml:space="preserve"> dated</w:t>
      </w:r>
      <w:r w:rsidRPr="0030299E">
        <w:t xml:space="preserve"> 13 February 2015. </w:t>
      </w:r>
      <w:hyperlink r:id="rId19" w:history="1">
        <w:r w:rsidRPr="0031447A">
          <w:rPr>
            <w:rStyle w:val="Hyperlink"/>
            <w:rFonts w:eastAsiaTheme="majorEastAsia"/>
          </w:rPr>
          <w:t>http://www.todayszaman.com/national_military-service-paid-exemption-option-sees-record-number-of-applicants_372598.html</w:t>
        </w:r>
      </w:hyperlink>
      <w:r w:rsidRPr="0030299E">
        <w:t xml:space="preserve"> Date accessed: 19 February 2015.</w:t>
      </w:r>
    </w:p>
  </w:footnote>
  <w:footnote w:id="20">
    <w:p w:rsidR="00046792" w:rsidRPr="0030299E" w:rsidRDefault="00046792" w:rsidP="00E5175D">
      <w:pPr>
        <w:spacing w:after="0"/>
        <w:rPr>
          <w:sz w:val="20"/>
          <w:szCs w:val="20"/>
        </w:rPr>
      </w:pPr>
      <w:r w:rsidRPr="0030299E">
        <w:rPr>
          <w:rStyle w:val="FootnoteReference"/>
          <w:sz w:val="20"/>
          <w:szCs w:val="20"/>
        </w:rPr>
        <w:footnoteRef/>
      </w:r>
      <w:r w:rsidRPr="0030299E">
        <w:rPr>
          <w:sz w:val="20"/>
          <w:szCs w:val="20"/>
        </w:rPr>
        <w:t xml:space="preserve"> European network of legal experts in the non-discrimination field. ‘News Report: Turkish Parliament adopts a new military discipline law which makes homosexual conduct a ground for dismissal from the army,’</w:t>
      </w:r>
      <w:r w:rsidR="00D517A0">
        <w:rPr>
          <w:sz w:val="20"/>
          <w:szCs w:val="20"/>
        </w:rPr>
        <w:t xml:space="preserve"> dated</w:t>
      </w:r>
      <w:r w:rsidRPr="0030299E">
        <w:rPr>
          <w:sz w:val="20"/>
          <w:szCs w:val="20"/>
        </w:rPr>
        <w:t xml:space="preserve"> 14 July 2013. </w:t>
      </w:r>
      <w:hyperlink r:id="rId20" w:history="1">
        <w:r w:rsidRPr="00691B7C">
          <w:rPr>
            <w:rStyle w:val="Hyperlink"/>
            <w:sz w:val="20"/>
            <w:szCs w:val="20"/>
          </w:rPr>
          <w:t>http://www.non-discrimination.net/content/media/TR-21-Turkish%20Parliament%20passes%20a%20bill%20renderind%20homosexuality%20ground%20for%20dismissal%20from%20the%20army.pdf</w:t>
        </w:r>
      </w:hyperlink>
      <w:r w:rsidRPr="0030299E">
        <w:rPr>
          <w:sz w:val="20"/>
          <w:szCs w:val="20"/>
        </w:rPr>
        <w:t xml:space="preserve"> Date accessed</w:t>
      </w:r>
      <w:r>
        <w:rPr>
          <w:sz w:val="20"/>
          <w:szCs w:val="20"/>
        </w:rPr>
        <w:t>:</w:t>
      </w:r>
      <w:r w:rsidRPr="0030299E">
        <w:rPr>
          <w:sz w:val="20"/>
          <w:szCs w:val="20"/>
        </w:rPr>
        <w:t xml:space="preserve"> 20 July 2015.</w:t>
      </w:r>
    </w:p>
  </w:footnote>
  <w:footnote w:id="21">
    <w:p w:rsidR="00046792" w:rsidRPr="0005209A" w:rsidRDefault="00046792" w:rsidP="00E3771E">
      <w:pPr>
        <w:pStyle w:val="CPITFootnoteLinks"/>
      </w:pPr>
      <w:r w:rsidRPr="0005209A">
        <w:rPr>
          <w:rStyle w:val="FootnoteReference"/>
          <w:rFonts w:cs="Arial"/>
        </w:rPr>
        <w:footnoteRef/>
      </w:r>
      <w:r w:rsidRPr="0005209A">
        <w:t xml:space="preserve"> US Department of State. ‘</w:t>
      </w:r>
      <w:r w:rsidRPr="0005209A">
        <w:rPr>
          <w:color w:val="000000"/>
        </w:rPr>
        <w:t>Country Reports on Human Rights Practices for 2013; Turkey</w:t>
      </w:r>
      <w:r>
        <w:rPr>
          <w:color w:val="000000"/>
        </w:rPr>
        <w:t>,</w:t>
      </w:r>
      <w:r w:rsidRPr="0005209A">
        <w:t>’</w:t>
      </w:r>
      <w:r>
        <w:t xml:space="preserve"> dated</w:t>
      </w:r>
      <w:r w:rsidRPr="0005209A">
        <w:t xml:space="preserve"> 27 February 2014. </w:t>
      </w:r>
      <w:hyperlink r:id="rId21" w:history="1">
        <w:r w:rsidRPr="00691B7C">
          <w:rPr>
            <w:rStyle w:val="Hyperlink"/>
            <w:rFonts w:eastAsiaTheme="majorEastAsia"/>
          </w:rPr>
          <w:t>http://www.state.gov/j/drl/rls/hrrpt/humanrightsreport/index.htm?year=2013&amp;dlid=220341</w:t>
        </w:r>
      </w:hyperlink>
      <w:r w:rsidRPr="00691B7C">
        <w:rPr>
          <w:rStyle w:val="Hyperlink"/>
          <w:u w:val="none"/>
        </w:rPr>
        <w:t xml:space="preserve"> </w:t>
      </w:r>
      <w:r w:rsidRPr="0005209A">
        <w:t>Date accessed: 19 February 2015.</w:t>
      </w:r>
    </w:p>
  </w:footnote>
  <w:footnote w:id="22">
    <w:p w:rsidR="00046792" w:rsidRPr="0005209A" w:rsidRDefault="00046792" w:rsidP="009E641B">
      <w:pPr>
        <w:pStyle w:val="CPITFootnoteLinks"/>
        <w:rPr>
          <w:rFonts w:cs="Arial"/>
        </w:rPr>
      </w:pPr>
      <w:r w:rsidRPr="0005209A">
        <w:rPr>
          <w:rStyle w:val="FootnoteReference"/>
          <w:rFonts w:cs="Arial"/>
        </w:rPr>
        <w:footnoteRef/>
      </w:r>
      <w:r w:rsidRPr="0005209A">
        <w:rPr>
          <w:rFonts w:cs="Arial"/>
        </w:rPr>
        <w:t xml:space="preserve"> European Commission. ‘2014 </w:t>
      </w:r>
      <w:r w:rsidRPr="0005209A">
        <w:rPr>
          <w:rFonts w:cs="Arial"/>
          <w:iCs/>
        </w:rPr>
        <w:t>Progress Report on Turkey,’</w:t>
      </w:r>
      <w:r>
        <w:rPr>
          <w:rFonts w:cs="Arial"/>
          <w:iCs/>
        </w:rPr>
        <w:t xml:space="preserve"> dated</w:t>
      </w:r>
      <w:r w:rsidRPr="0005209A">
        <w:rPr>
          <w:rFonts w:cs="Arial"/>
          <w:iCs/>
        </w:rPr>
        <w:t xml:space="preserve"> 8 October 2014 </w:t>
      </w:r>
      <w:r w:rsidRPr="0005209A">
        <w:rPr>
          <w:rFonts w:cs="Arial"/>
        </w:rPr>
        <w:t>(page 12)</w:t>
      </w:r>
      <w:r w:rsidRPr="0005209A">
        <w:rPr>
          <w:rFonts w:cs="Arial"/>
          <w:color w:val="3F3F3F"/>
          <w:shd w:val="clear" w:color="auto" w:fill="F9F9F9"/>
        </w:rPr>
        <w:t>.</w:t>
      </w:r>
      <w:r w:rsidRPr="0005209A">
        <w:rPr>
          <w:rFonts w:cs="Arial"/>
        </w:rPr>
        <w:t xml:space="preserve"> </w:t>
      </w:r>
      <w:r w:rsidRPr="0005209A">
        <w:rPr>
          <w:rFonts w:cs="Arial"/>
          <w:iCs/>
        </w:rPr>
        <w:t xml:space="preserve"> </w:t>
      </w:r>
      <w:hyperlink r:id="rId22" w:history="1">
        <w:r w:rsidRPr="00936914">
          <w:rPr>
            <w:rStyle w:val="Hyperlink"/>
            <w:rFonts w:eastAsiaTheme="majorEastAsia"/>
          </w:rPr>
          <w:t>http://ec.europa.eu/enlargement/pdf/key_documents/2014/20141008-turkey-progress-report_en.pdf</w:t>
        </w:r>
      </w:hyperlink>
      <w:r w:rsidRPr="0005209A">
        <w:rPr>
          <w:rFonts w:cs="Arial"/>
        </w:rPr>
        <w:t xml:space="preserve"> Date accessed: 17 February 2015.</w:t>
      </w:r>
    </w:p>
  </w:footnote>
  <w:footnote w:id="23">
    <w:p w:rsidR="00046792" w:rsidRPr="0005209A" w:rsidRDefault="00046792" w:rsidP="009E641B">
      <w:pPr>
        <w:spacing w:after="0"/>
        <w:rPr>
          <w:rFonts w:eastAsia="Times New Roman"/>
          <w:sz w:val="20"/>
          <w:szCs w:val="20"/>
          <w:lang w:eastAsia="en-GB"/>
        </w:rPr>
      </w:pPr>
      <w:r w:rsidRPr="0005209A">
        <w:rPr>
          <w:rStyle w:val="FootnoteReference"/>
          <w:sz w:val="20"/>
          <w:szCs w:val="20"/>
        </w:rPr>
        <w:footnoteRef/>
      </w:r>
      <w:r w:rsidRPr="0005209A">
        <w:rPr>
          <w:sz w:val="20"/>
          <w:szCs w:val="20"/>
        </w:rPr>
        <w:t xml:space="preserve"> </w:t>
      </w:r>
      <w:r>
        <w:rPr>
          <w:sz w:val="20"/>
          <w:szCs w:val="20"/>
        </w:rPr>
        <w:t>IH</w:t>
      </w:r>
      <w:r w:rsidRPr="0005209A">
        <w:rPr>
          <w:sz w:val="20"/>
          <w:szCs w:val="20"/>
        </w:rPr>
        <w:t xml:space="preserve">S Jane’s. </w:t>
      </w:r>
      <w:r w:rsidRPr="0005209A">
        <w:rPr>
          <w:rFonts w:eastAsia="Times New Roman"/>
          <w:sz w:val="20"/>
          <w:szCs w:val="20"/>
          <w:lang w:eastAsia="en-GB"/>
        </w:rPr>
        <w:t>Jane's Sentinel Security Assessment</w:t>
      </w:r>
      <w:r>
        <w:rPr>
          <w:rFonts w:eastAsia="Times New Roman"/>
          <w:sz w:val="20"/>
          <w:szCs w:val="20"/>
          <w:lang w:eastAsia="en-GB"/>
        </w:rPr>
        <w:t>;</w:t>
      </w:r>
      <w:r w:rsidRPr="0005209A">
        <w:rPr>
          <w:rFonts w:eastAsia="Times New Roman"/>
          <w:sz w:val="20"/>
          <w:szCs w:val="20"/>
          <w:lang w:eastAsia="en-GB"/>
        </w:rPr>
        <w:t xml:space="preserve"> Turkey</w:t>
      </w:r>
      <w:r>
        <w:rPr>
          <w:rFonts w:eastAsia="Times New Roman"/>
          <w:sz w:val="20"/>
          <w:szCs w:val="20"/>
          <w:lang w:eastAsia="en-GB"/>
        </w:rPr>
        <w:t>;</w:t>
      </w:r>
      <w:r w:rsidRPr="0005209A">
        <w:rPr>
          <w:rFonts w:eastAsia="Times New Roman"/>
          <w:sz w:val="20"/>
          <w:szCs w:val="20"/>
          <w:lang w:eastAsia="en-GB"/>
        </w:rPr>
        <w:t xml:space="preserve"> Armed Forces</w:t>
      </w:r>
      <w:r>
        <w:rPr>
          <w:rFonts w:eastAsia="Times New Roman"/>
          <w:sz w:val="20"/>
          <w:szCs w:val="20"/>
          <w:lang w:eastAsia="en-GB"/>
        </w:rPr>
        <w:t>,</w:t>
      </w:r>
      <w:r w:rsidRPr="0005209A">
        <w:rPr>
          <w:rFonts w:eastAsia="Times New Roman"/>
          <w:sz w:val="20"/>
          <w:szCs w:val="20"/>
          <w:lang w:eastAsia="en-GB"/>
        </w:rPr>
        <w:t xml:space="preserve"> </w:t>
      </w:r>
      <w:r>
        <w:rPr>
          <w:rFonts w:eastAsia="Times New Roman"/>
          <w:sz w:val="20"/>
          <w:szCs w:val="20"/>
          <w:lang w:eastAsia="en-GB"/>
        </w:rPr>
        <w:t xml:space="preserve">dated </w:t>
      </w:r>
      <w:r w:rsidRPr="0005209A">
        <w:rPr>
          <w:rFonts w:eastAsia="Times New Roman"/>
          <w:sz w:val="20"/>
          <w:szCs w:val="20"/>
          <w:lang w:eastAsia="en-GB"/>
        </w:rPr>
        <w:t>10 June 2015. Subscription source. Date accessed: 20 July 2015.</w:t>
      </w:r>
    </w:p>
  </w:footnote>
  <w:footnote w:id="24">
    <w:p w:rsidR="00046792" w:rsidRPr="0005209A" w:rsidRDefault="00046792" w:rsidP="009E641B">
      <w:pPr>
        <w:pStyle w:val="CPITFootnoteLinks"/>
        <w:rPr>
          <w:rFonts w:cs="Arial"/>
          <w:color w:val="000000"/>
        </w:rPr>
      </w:pPr>
      <w:r w:rsidRPr="0005209A">
        <w:rPr>
          <w:rStyle w:val="FootnoteReference"/>
          <w:rFonts w:cs="Arial"/>
        </w:rPr>
        <w:footnoteRef/>
      </w:r>
      <w:r w:rsidRPr="0005209A">
        <w:rPr>
          <w:rFonts w:cs="Arial"/>
        </w:rPr>
        <w:t xml:space="preserve"> Defense News</w:t>
      </w:r>
      <w:r>
        <w:rPr>
          <w:rFonts w:cs="Arial"/>
        </w:rPr>
        <w:t>.</w:t>
      </w:r>
      <w:r w:rsidRPr="0005209A">
        <w:rPr>
          <w:rFonts w:cs="Arial"/>
        </w:rPr>
        <w:t xml:space="preserve"> ‘</w:t>
      </w:r>
      <w:r w:rsidRPr="0005209A">
        <w:rPr>
          <w:rFonts w:cs="Arial"/>
          <w:color w:val="000000"/>
        </w:rPr>
        <w:t>Turkey Reduces Length of Compulsory Military Service</w:t>
      </w:r>
      <w:r>
        <w:rPr>
          <w:rFonts w:cs="Arial"/>
          <w:color w:val="000000"/>
        </w:rPr>
        <w:t>,</w:t>
      </w:r>
      <w:r w:rsidRPr="0005209A">
        <w:rPr>
          <w:rFonts w:cs="Arial"/>
          <w:color w:val="000000"/>
        </w:rPr>
        <w:t>’</w:t>
      </w:r>
      <w:r>
        <w:rPr>
          <w:rFonts w:cs="Arial"/>
          <w:color w:val="000000"/>
        </w:rPr>
        <w:t xml:space="preserve"> dated</w:t>
      </w:r>
      <w:r w:rsidRPr="0005209A">
        <w:rPr>
          <w:rFonts w:cs="Arial"/>
          <w:iCs/>
        </w:rPr>
        <w:t xml:space="preserve"> 21 October 2013</w:t>
      </w:r>
      <w:r>
        <w:rPr>
          <w:rFonts w:cs="Arial"/>
          <w:iCs/>
        </w:rPr>
        <w:t>.</w:t>
      </w:r>
      <w:r w:rsidRPr="0005209A">
        <w:rPr>
          <w:rFonts w:cs="Arial"/>
          <w:iCs/>
        </w:rPr>
        <w:t xml:space="preserve">  </w:t>
      </w:r>
      <w:hyperlink r:id="rId23" w:history="1">
        <w:r w:rsidRPr="00936914">
          <w:rPr>
            <w:rStyle w:val="Hyperlink"/>
            <w:rFonts w:eastAsiaTheme="majorEastAsia"/>
          </w:rPr>
          <w:t>http://archive.defensenews.com/article/20131021/DEFREG01/310210039/Turkey-Reduces-Length-Compulsory-Military-Service</w:t>
        </w:r>
      </w:hyperlink>
      <w:r w:rsidRPr="0005209A">
        <w:rPr>
          <w:rFonts w:cs="Arial"/>
        </w:rPr>
        <w:t xml:space="preserve"> Date accessed: 23 February 2015.</w:t>
      </w:r>
    </w:p>
  </w:footnote>
  <w:footnote w:id="25">
    <w:p w:rsidR="00046792" w:rsidRPr="0005209A" w:rsidRDefault="00046792" w:rsidP="00412403">
      <w:pPr>
        <w:spacing w:after="0"/>
        <w:rPr>
          <w:sz w:val="20"/>
          <w:szCs w:val="20"/>
        </w:rPr>
      </w:pPr>
      <w:r w:rsidRPr="0005209A">
        <w:rPr>
          <w:rStyle w:val="FootnoteReference"/>
          <w:sz w:val="20"/>
          <w:szCs w:val="20"/>
        </w:rPr>
        <w:footnoteRef/>
      </w:r>
      <w:r w:rsidRPr="0005209A">
        <w:rPr>
          <w:sz w:val="20"/>
          <w:szCs w:val="20"/>
        </w:rPr>
        <w:t xml:space="preserve"> Hurriyet Daily News</w:t>
      </w:r>
      <w:r>
        <w:rPr>
          <w:sz w:val="20"/>
          <w:szCs w:val="20"/>
        </w:rPr>
        <w:t>.</w:t>
      </w:r>
      <w:r w:rsidRPr="0005209A">
        <w:rPr>
          <w:sz w:val="20"/>
          <w:szCs w:val="20"/>
        </w:rPr>
        <w:t xml:space="preserve"> ‘Thousands of soldiers discharged after reduction of compulsory military service</w:t>
      </w:r>
      <w:r>
        <w:rPr>
          <w:sz w:val="20"/>
          <w:szCs w:val="20"/>
        </w:rPr>
        <w:t>,</w:t>
      </w:r>
      <w:r w:rsidRPr="0005209A">
        <w:rPr>
          <w:color w:val="000000"/>
          <w:sz w:val="20"/>
          <w:szCs w:val="20"/>
        </w:rPr>
        <w:t>’</w:t>
      </w:r>
      <w:r>
        <w:rPr>
          <w:color w:val="000000"/>
          <w:sz w:val="20"/>
          <w:szCs w:val="20"/>
        </w:rPr>
        <w:t xml:space="preserve"> dated</w:t>
      </w:r>
      <w:r w:rsidRPr="0005209A">
        <w:rPr>
          <w:color w:val="000000"/>
          <w:sz w:val="20"/>
          <w:szCs w:val="20"/>
        </w:rPr>
        <w:t xml:space="preserve"> 1 January 20</w:t>
      </w:r>
      <w:r w:rsidRPr="0005209A">
        <w:rPr>
          <w:iCs/>
          <w:sz w:val="20"/>
          <w:szCs w:val="20"/>
        </w:rPr>
        <w:t>14</w:t>
      </w:r>
      <w:r>
        <w:rPr>
          <w:iCs/>
          <w:sz w:val="20"/>
          <w:szCs w:val="20"/>
        </w:rPr>
        <w:t>.</w:t>
      </w:r>
      <w:r w:rsidRPr="0005209A">
        <w:rPr>
          <w:iCs/>
          <w:sz w:val="20"/>
          <w:szCs w:val="20"/>
        </w:rPr>
        <w:t xml:space="preserve"> </w:t>
      </w:r>
      <w:hyperlink r:id="rId24" w:history="1">
        <w:r w:rsidRPr="00936914">
          <w:rPr>
            <w:rStyle w:val="Hyperlink"/>
            <w:sz w:val="20"/>
            <w:szCs w:val="20"/>
          </w:rPr>
          <w:t>http://www.hurriyetdailynews.com/thousands-of-soldiers-discharged-after-reduction-of-compulsory-military-service.aspx?pageID=238&amp;nID=60419&amp;NewsCatID=341</w:t>
        </w:r>
      </w:hyperlink>
      <w:r w:rsidRPr="0005209A">
        <w:rPr>
          <w:sz w:val="20"/>
          <w:szCs w:val="20"/>
        </w:rPr>
        <w:t xml:space="preserve"> Date accessed: 23 February 2015.</w:t>
      </w:r>
    </w:p>
  </w:footnote>
  <w:footnote w:id="26">
    <w:p w:rsidR="00046792" w:rsidRPr="00412403" w:rsidRDefault="00046792" w:rsidP="00E3771E">
      <w:pPr>
        <w:pStyle w:val="CPITFootnoteLinks"/>
      </w:pPr>
      <w:r w:rsidRPr="00412403">
        <w:rPr>
          <w:rStyle w:val="FootnoteReference"/>
          <w:rFonts w:cs="Arial"/>
        </w:rPr>
        <w:footnoteRef/>
      </w:r>
      <w:r w:rsidRPr="00412403">
        <w:rPr>
          <w:rFonts w:cs="Arial"/>
        </w:rPr>
        <w:t xml:space="preserve"> Immigration and Refugee Board of Canada</w:t>
      </w:r>
      <w:r>
        <w:rPr>
          <w:rFonts w:cs="Arial"/>
        </w:rPr>
        <w:t>.</w:t>
      </w:r>
      <w:r w:rsidRPr="00412403">
        <w:rPr>
          <w:rFonts w:cs="Arial"/>
          <w:shd w:val="clear" w:color="auto" w:fill="F9F9F9"/>
        </w:rPr>
        <w:t xml:space="preserve"> </w:t>
      </w:r>
      <w:r w:rsidRPr="00412403">
        <w:rPr>
          <w:rFonts w:cs="Arial"/>
          <w:color w:val="000000"/>
          <w:shd w:val="clear" w:color="auto" w:fill="FFFFFF"/>
        </w:rPr>
        <w:t>Response to Information Requests</w:t>
      </w:r>
      <w:r w:rsidRPr="00412403">
        <w:rPr>
          <w:rFonts w:cs="Arial"/>
          <w:shd w:val="clear" w:color="auto" w:fill="F9F9F9"/>
        </w:rPr>
        <w:t xml:space="preserve">, </w:t>
      </w:r>
      <w:r w:rsidRPr="00412403">
        <w:rPr>
          <w:rFonts w:cs="Arial"/>
        </w:rPr>
        <w:t xml:space="preserve">4 June 2014, </w:t>
      </w:r>
      <w:r w:rsidRPr="00412403">
        <w:rPr>
          <w:rFonts w:cs="Arial"/>
          <w:shd w:val="clear" w:color="auto" w:fill="F9F9F9"/>
        </w:rPr>
        <w:t xml:space="preserve">Ref: </w:t>
      </w:r>
      <w:r w:rsidRPr="00412403">
        <w:rPr>
          <w:rStyle w:val="Strong"/>
          <w:rFonts w:cs="Arial"/>
          <w:b w:val="0"/>
          <w:shd w:val="clear" w:color="auto" w:fill="FFFFFF"/>
        </w:rPr>
        <w:t>TUR104876.E</w:t>
      </w:r>
      <w:r>
        <w:rPr>
          <w:rStyle w:val="Strong"/>
          <w:rFonts w:cs="Arial"/>
          <w:b w:val="0"/>
          <w:shd w:val="clear" w:color="auto" w:fill="FFFFFF"/>
        </w:rPr>
        <w:t>.</w:t>
      </w:r>
      <w:r w:rsidRPr="00412403">
        <w:rPr>
          <w:rFonts w:cs="Arial"/>
          <w:shd w:val="clear" w:color="auto" w:fill="F9F9F9"/>
        </w:rPr>
        <w:t xml:space="preserve"> </w:t>
      </w:r>
      <w:hyperlink r:id="rId25" w:history="1">
        <w:r w:rsidRPr="00026B0F">
          <w:rPr>
            <w:rStyle w:val="Hyperlink"/>
            <w:rFonts w:eastAsiaTheme="majorEastAsia"/>
          </w:rPr>
          <w:t>http://irb-cisr.gc.ca/Eng/ResRec/RirRdi/Pages/index.aspx?doc=455353&amp;pls=1</w:t>
        </w:r>
      </w:hyperlink>
      <w:r w:rsidRPr="00412403">
        <w:rPr>
          <w:rFonts w:cs="Arial"/>
        </w:rPr>
        <w:t xml:space="preserve"> Date accessed: 23 February 2015.</w:t>
      </w:r>
    </w:p>
  </w:footnote>
  <w:footnote w:id="27">
    <w:p w:rsidR="00046792" w:rsidRDefault="00046792" w:rsidP="00E3771E">
      <w:pPr>
        <w:pStyle w:val="CPITFootnoteLinks"/>
      </w:pPr>
      <w:r w:rsidRPr="00412403">
        <w:rPr>
          <w:rStyle w:val="FootnoteReference"/>
        </w:rPr>
        <w:footnoteRef/>
      </w:r>
      <w:r w:rsidRPr="00412403">
        <w:t xml:space="preserve"> </w:t>
      </w:r>
      <w:r w:rsidRPr="00412403">
        <w:rPr>
          <w:rFonts w:cs="Arial"/>
        </w:rPr>
        <w:t>Torun, H; Tumen, S</w:t>
      </w:r>
      <w:r w:rsidR="00D517A0">
        <w:rPr>
          <w:rFonts w:cs="Arial"/>
        </w:rPr>
        <w:t>.</w:t>
      </w:r>
      <w:r w:rsidRPr="00412403">
        <w:rPr>
          <w:rFonts w:cs="Arial"/>
        </w:rPr>
        <w:t xml:space="preserve"> ‘</w:t>
      </w:r>
      <w:r w:rsidRPr="00412403">
        <w:rPr>
          <w:kern w:val="36"/>
        </w:rPr>
        <w:t>The Effects of Compulsory Military Service Exemption on Education and Labor Market Outcomes: Evidence from a Natural Experiment</w:t>
      </w:r>
      <w:r>
        <w:rPr>
          <w:kern w:val="36"/>
        </w:rPr>
        <w:t>,</w:t>
      </w:r>
      <w:r w:rsidRPr="00412403">
        <w:rPr>
          <w:kern w:val="36"/>
        </w:rPr>
        <w:t>’</w:t>
      </w:r>
      <w:r>
        <w:rPr>
          <w:kern w:val="36"/>
        </w:rPr>
        <w:t xml:space="preserve"> dated</w:t>
      </w:r>
      <w:r w:rsidRPr="00412403">
        <w:rPr>
          <w:kern w:val="36"/>
        </w:rPr>
        <w:t xml:space="preserve"> 30 January 2015</w:t>
      </w:r>
      <w:r w:rsidRPr="007B70DA">
        <w:t xml:space="preserve"> </w:t>
      </w:r>
      <w:r w:rsidRPr="00412403">
        <w:t>(section 3.1)</w:t>
      </w:r>
      <w:r w:rsidRPr="00412403">
        <w:rPr>
          <w:rFonts w:cs="Arial"/>
        </w:rPr>
        <w:t xml:space="preserve">. </w:t>
      </w:r>
      <w:r w:rsidRPr="00412403">
        <w:rPr>
          <w:kern w:val="36"/>
        </w:rPr>
        <w:t xml:space="preserve"> </w:t>
      </w:r>
      <w:hyperlink r:id="rId26" w:history="1">
        <w:r w:rsidRPr="00026B0F">
          <w:rPr>
            <w:rStyle w:val="Hyperlink"/>
            <w:rFonts w:eastAsiaTheme="majorEastAsia"/>
          </w:rPr>
          <w:t>http://mpra.ub.uni-muenchen.de/61722/1/MPRA_paper_61722.pdf</w:t>
        </w:r>
      </w:hyperlink>
      <w:r w:rsidRPr="00412403">
        <w:t xml:space="preserve"> </w:t>
      </w:r>
      <w:r w:rsidRPr="00412403">
        <w:rPr>
          <w:rFonts w:cs="Arial"/>
        </w:rPr>
        <w:t>Date accessed: 23 February 2015.</w:t>
      </w:r>
    </w:p>
  </w:footnote>
  <w:footnote w:id="28">
    <w:p w:rsidR="00046792" w:rsidRPr="00412403" w:rsidRDefault="00046792" w:rsidP="00412403">
      <w:pPr>
        <w:pStyle w:val="CPITFootnoteLinks"/>
      </w:pPr>
      <w:r w:rsidRPr="00412403">
        <w:rPr>
          <w:rStyle w:val="FootnoteReference"/>
        </w:rPr>
        <w:footnoteRef/>
      </w:r>
      <w:r w:rsidRPr="00412403">
        <w:t xml:space="preserve"> </w:t>
      </w:r>
      <w:r w:rsidRPr="00412403">
        <w:rPr>
          <w:rFonts w:cs="Arial"/>
        </w:rPr>
        <w:t>Torun, H; Tumen, S</w:t>
      </w:r>
      <w:r w:rsidR="00D517A0">
        <w:rPr>
          <w:rFonts w:cs="Arial"/>
        </w:rPr>
        <w:t>.</w:t>
      </w:r>
      <w:r w:rsidRPr="00412403">
        <w:rPr>
          <w:rFonts w:cs="Arial"/>
        </w:rPr>
        <w:t xml:space="preserve"> ‘</w:t>
      </w:r>
      <w:r w:rsidRPr="00412403">
        <w:rPr>
          <w:kern w:val="36"/>
        </w:rPr>
        <w:t>The Effects of Compulsory Military Service Exemption on Education and Labor Market Outcomes: Evidence from a Natural Experiment</w:t>
      </w:r>
      <w:r>
        <w:rPr>
          <w:kern w:val="36"/>
        </w:rPr>
        <w:t>,</w:t>
      </w:r>
      <w:r w:rsidRPr="00412403">
        <w:rPr>
          <w:kern w:val="36"/>
        </w:rPr>
        <w:t>’</w:t>
      </w:r>
      <w:r>
        <w:rPr>
          <w:kern w:val="36"/>
        </w:rPr>
        <w:t xml:space="preserve"> dated</w:t>
      </w:r>
      <w:r w:rsidRPr="00412403">
        <w:rPr>
          <w:kern w:val="36"/>
        </w:rPr>
        <w:t xml:space="preserve"> 30 January 2015</w:t>
      </w:r>
      <w:r>
        <w:rPr>
          <w:kern w:val="36"/>
        </w:rPr>
        <w:t xml:space="preserve"> (section 3.1).</w:t>
      </w:r>
      <w:r w:rsidRPr="00412403">
        <w:rPr>
          <w:kern w:val="36"/>
        </w:rPr>
        <w:t xml:space="preserve"> </w:t>
      </w:r>
      <w:hyperlink r:id="rId27" w:history="1">
        <w:r w:rsidRPr="00026B0F">
          <w:rPr>
            <w:rStyle w:val="Hyperlink"/>
            <w:rFonts w:eastAsiaTheme="majorEastAsia"/>
          </w:rPr>
          <w:t>http://mpra.ub.uni-muenchen.de/61722/1/MPRA_paper_61722.pdf</w:t>
        </w:r>
      </w:hyperlink>
      <w:r w:rsidRPr="002D6961">
        <w:rPr>
          <w:rFonts w:cs="Arial"/>
        </w:rPr>
        <w:t xml:space="preserve"> </w:t>
      </w:r>
      <w:r w:rsidRPr="00412403">
        <w:rPr>
          <w:rFonts w:cs="Arial"/>
        </w:rPr>
        <w:t>Date accessed: 23 February 2015.</w:t>
      </w:r>
    </w:p>
  </w:footnote>
  <w:footnote w:id="29">
    <w:p w:rsidR="00046792" w:rsidRPr="00412403" w:rsidRDefault="00046792" w:rsidP="00E3771E">
      <w:pPr>
        <w:pStyle w:val="CPITFootnoteLinks"/>
      </w:pPr>
      <w:r w:rsidRPr="00412403">
        <w:rPr>
          <w:vertAlign w:val="superscript"/>
        </w:rPr>
        <w:footnoteRef/>
      </w:r>
      <w:r w:rsidRPr="00412403">
        <w:t xml:space="preserve"> Today’s Z</w:t>
      </w:r>
      <w:r w:rsidR="00D517A0">
        <w:t>a</w:t>
      </w:r>
      <w:r w:rsidRPr="00412403">
        <w:t>man</w:t>
      </w:r>
      <w:r>
        <w:t>.</w:t>
      </w:r>
      <w:r w:rsidRPr="00412403">
        <w:t xml:space="preserve"> ‘Can dual citizen Turks enter Turkey without doing mili</w:t>
      </w:r>
      <w:r>
        <w:t xml:space="preserve">tary service?’, </w:t>
      </w:r>
      <w:r w:rsidR="00CD4C52">
        <w:t xml:space="preserve">dated </w:t>
      </w:r>
      <w:r>
        <w:t>8 November 2010.</w:t>
      </w:r>
      <w:r w:rsidRPr="00412403">
        <w:t xml:space="preserve"> </w:t>
      </w:r>
      <w:r w:rsidRPr="00AB790E">
        <w:rPr>
          <w:rStyle w:val="Hyperlink"/>
          <w:rFonts w:eastAsiaTheme="majorEastAsia"/>
        </w:rPr>
        <w:t>http://www.todayszaman.com/columnist/berk-cektir/can-dual-citizen-turks-enter-turkey-without-doing-military-service_226608.htm</w:t>
      </w:r>
      <w:hyperlink r:id="rId28" w:history="1">
        <w:r w:rsidRPr="00AB790E">
          <w:rPr>
            <w:rStyle w:val="Hyperlink"/>
            <w:rFonts w:eastAsiaTheme="majorEastAsia"/>
          </w:rPr>
          <w:t>l</w:t>
        </w:r>
      </w:hyperlink>
      <w:r w:rsidRPr="00412403">
        <w:t xml:space="preserve"> Date accessed: 9 April 2015.</w:t>
      </w:r>
    </w:p>
  </w:footnote>
  <w:footnote w:id="30">
    <w:p w:rsidR="00046792" w:rsidRPr="00412403" w:rsidRDefault="00046792" w:rsidP="00E3771E">
      <w:pPr>
        <w:pStyle w:val="CPITFootnoteLinks"/>
      </w:pPr>
      <w:r w:rsidRPr="00412403">
        <w:rPr>
          <w:rStyle w:val="FootnoteReference"/>
        </w:rPr>
        <w:footnoteRef/>
      </w:r>
      <w:r w:rsidRPr="00412403">
        <w:t xml:space="preserve"> </w:t>
      </w:r>
      <w:r>
        <w:rPr>
          <w:rFonts w:cs="Arial"/>
        </w:rPr>
        <w:t>War Resisters International.</w:t>
      </w:r>
      <w:r w:rsidRPr="00412403">
        <w:rPr>
          <w:rFonts w:cs="Arial"/>
        </w:rPr>
        <w:t xml:space="preserve"> ‘</w:t>
      </w:r>
      <w:r w:rsidRPr="00412403">
        <w:rPr>
          <w:kern w:val="36"/>
        </w:rPr>
        <w:t>Briefing paper for the Universal Periodic Review: Turkey</w:t>
      </w:r>
      <w:r>
        <w:rPr>
          <w:kern w:val="36"/>
        </w:rPr>
        <w:t>,</w:t>
      </w:r>
      <w:r w:rsidRPr="00412403">
        <w:rPr>
          <w:kern w:val="36"/>
        </w:rPr>
        <w:t>’</w:t>
      </w:r>
      <w:r>
        <w:rPr>
          <w:kern w:val="36"/>
        </w:rPr>
        <w:t xml:space="preserve"> dated</w:t>
      </w:r>
      <w:r w:rsidRPr="00412403">
        <w:rPr>
          <w:kern w:val="36"/>
        </w:rPr>
        <w:t xml:space="preserve"> 3 December 2014</w:t>
      </w:r>
      <w:r>
        <w:rPr>
          <w:kern w:val="36"/>
        </w:rPr>
        <w:t>.</w:t>
      </w:r>
      <w:r w:rsidRPr="00412403">
        <w:rPr>
          <w:kern w:val="36"/>
        </w:rPr>
        <w:t xml:space="preserve"> </w:t>
      </w:r>
      <w:hyperlink r:id="rId29" w:history="1">
        <w:r w:rsidRPr="00AB790E">
          <w:rPr>
            <w:rStyle w:val="Hyperlink"/>
            <w:rFonts w:eastAsiaTheme="majorEastAsia"/>
          </w:rPr>
          <w:t>http://www.wri-irg.org/UPR-Turkey-2014</w:t>
        </w:r>
      </w:hyperlink>
      <w:r w:rsidRPr="00412403">
        <w:rPr>
          <w:rFonts w:cs="Arial"/>
        </w:rPr>
        <w:t xml:space="preserve"> Date accessed: 19 February 2015.</w:t>
      </w:r>
    </w:p>
  </w:footnote>
  <w:footnote w:id="31">
    <w:p w:rsidR="00046792" w:rsidRPr="00412403" w:rsidRDefault="00046792" w:rsidP="00E3771E">
      <w:pPr>
        <w:pStyle w:val="CPITFootnoteLinks"/>
        <w:ind w:left="40"/>
        <w:rPr>
          <w:rFonts w:cs="Arial"/>
        </w:rPr>
      </w:pPr>
      <w:r w:rsidRPr="00412403">
        <w:rPr>
          <w:rStyle w:val="FootnoteReference"/>
          <w:rFonts w:cs="Arial"/>
        </w:rPr>
        <w:footnoteRef/>
      </w:r>
      <w:r w:rsidRPr="00412403">
        <w:rPr>
          <w:rFonts w:cs="Arial"/>
        </w:rPr>
        <w:t xml:space="preserve"> Hurriyet Daily News</w:t>
      </w:r>
      <w:r>
        <w:rPr>
          <w:rFonts w:cs="Arial"/>
        </w:rPr>
        <w:t>.</w:t>
      </w:r>
      <w:r w:rsidRPr="00412403">
        <w:rPr>
          <w:rFonts w:cs="Arial"/>
        </w:rPr>
        <w:t xml:space="preserve"> ‘</w:t>
      </w:r>
      <w:r w:rsidRPr="00412403">
        <w:rPr>
          <w:rFonts w:cs="Arial"/>
          <w:bCs/>
          <w:kern w:val="36"/>
        </w:rPr>
        <w:t>If there is a dictator, topple him at elections, says Turkish PM Erdoğan</w:t>
      </w:r>
      <w:r>
        <w:rPr>
          <w:rFonts w:cs="Arial"/>
          <w:bCs/>
          <w:kern w:val="36"/>
        </w:rPr>
        <w:t>,</w:t>
      </w:r>
      <w:r w:rsidRPr="00412403">
        <w:rPr>
          <w:rFonts w:cs="Arial"/>
          <w:kern w:val="36"/>
        </w:rPr>
        <w:t>’</w:t>
      </w:r>
      <w:r>
        <w:rPr>
          <w:rFonts w:cs="Arial"/>
          <w:kern w:val="36"/>
        </w:rPr>
        <w:t xml:space="preserve"> dated</w:t>
      </w:r>
      <w:r w:rsidRPr="00412403">
        <w:rPr>
          <w:rFonts w:cs="Arial"/>
          <w:kern w:val="36"/>
        </w:rPr>
        <w:t xml:space="preserve"> 25 October 2013</w:t>
      </w:r>
      <w:r>
        <w:rPr>
          <w:rFonts w:cs="Arial"/>
          <w:kern w:val="36"/>
        </w:rPr>
        <w:t>.</w:t>
      </w:r>
      <w:r w:rsidRPr="00412403">
        <w:rPr>
          <w:rFonts w:cs="Arial"/>
          <w:kern w:val="36"/>
        </w:rPr>
        <w:t xml:space="preserve"> </w:t>
      </w:r>
      <w:hyperlink r:id="rId30" w:history="1">
        <w:r w:rsidRPr="00AB790E">
          <w:rPr>
            <w:rStyle w:val="Hyperlink"/>
            <w:rFonts w:eastAsiaTheme="majorEastAsia"/>
          </w:rPr>
          <w:t>http://www.hurriyetdailynews.com/if-there-is-a-dictator-topple-him-at-elections-says-turkish-pm-erdogan.aspx?pageID=238&amp;nID=56846&amp;NewsCatID=338</w:t>
        </w:r>
      </w:hyperlink>
      <w:r w:rsidRPr="00412403">
        <w:rPr>
          <w:rFonts w:cs="Arial"/>
        </w:rPr>
        <w:t xml:space="preserve"> Date accessed: 19 February 2015.</w:t>
      </w:r>
    </w:p>
  </w:footnote>
  <w:footnote w:id="32">
    <w:p w:rsidR="00046792" w:rsidRPr="0085422B" w:rsidRDefault="00046792" w:rsidP="00E3771E">
      <w:pPr>
        <w:pStyle w:val="CPITFootnoteLinks"/>
        <w:ind w:left="40"/>
        <w:rPr>
          <w:rFonts w:cs="Arial"/>
        </w:rPr>
      </w:pPr>
      <w:r w:rsidRPr="00412403">
        <w:rPr>
          <w:rStyle w:val="FootnoteReference"/>
          <w:rFonts w:cs="Arial"/>
        </w:rPr>
        <w:footnoteRef/>
      </w:r>
      <w:r w:rsidRPr="00412403">
        <w:rPr>
          <w:rFonts w:cs="Arial"/>
        </w:rPr>
        <w:t xml:space="preserve"> War Resisters International</w:t>
      </w:r>
      <w:r>
        <w:rPr>
          <w:rFonts w:cs="Arial"/>
        </w:rPr>
        <w:t>.</w:t>
      </w:r>
      <w:r w:rsidRPr="00412403">
        <w:rPr>
          <w:rFonts w:cs="Arial"/>
        </w:rPr>
        <w:t xml:space="preserve"> ‘</w:t>
      </w:r>
      <w:r w:rsidRPr="00412403">
        <w:rPr>
          <w:rFonts w:cs="Arial"/>
          <w:kern w:val="36"/>
        </w:rPr>
        <w:t>Briefing paper for the Universal Periodic Review: Turkey</w:t>
      </w:r>
      <w:r>
        <w:rPr>
          <w:rFonts w:cs="Arial"/>
          <w:kern w:val="36"/>
        </w:rPr>
        <w:t>,</w:t>
      </w:r>
      <w:r w:rsidRPr="00412403">
        <w:rPr>
          <w:rFonts w:cs="Arial"/>
          <w:kern w:val="36"/>
        </w:rPr>
        <w:t>’</w:t>
      </w:r>
      <w:r>
        <w:rPr>
          <w:rFonts w:cs="Arial"/>
          <w:kern w:val="36"/>
        </w:rPr>
        <w:t xml:space="preserve"> dated</w:t>
      </w:r>
      <w:r w:rsidRPr="00412403">
        <w:rPr>
          <w:rFonts w:cs="Arial"/>
          <w:kern w:val="36"/>
        </w:rPr>
        <w:t xml:space="preserve"> 3 December 2014</w:t>
      </w:r>
      <w:r>
        <w:rPr>
          <w:rFonts w:cs="Arial"/>
          <w:kern w:val="36"/>
        </w:rPr>
        <w:t>.</w:t>
      </w:r>
      <w:r w:rsidRPr="00412403">
        <w:rPr>
          <w:rFonts w:cs="Arial"/>
          <w:kern w:val="36"/>
        </w:rPr>
        <w:t xml:space="preserve"> </w:t>
      </w:r>
      <w:hyperlink r:id="rId31" w:history="1">
        <w:r w:rsidRPr="00AB790E">
          <w:rPr>
            <w:rStyle w:val="Hyperlink"/>
            <w:rFonts w:eastAsiaTheme="majorEastAsia"/>
          </w:rPr>
          <w:t>http://www.wri-irg.org/UPR-Turkey-2014</w:t>
        </w:r>
      </w:hyperlink>
      <w:r w:rsidRPr="00412403">
        <w:rPr>
          <w:rFonts w:cs="Arial"/>
        </w:rPr>
        <w:t xml:space="preserve"> Date accessed: 19 February 2015.</w:t>
      </w:r>
    </w:p>
  </w:footnote>
  <w:footnote w:id="33">
    <w:p w:rsidR="00046792" w:rsidRPr="00412403" w:rsidRDefault="00046792" w:rsidP="00E3771E">
      <w:pPr>
        <w:pStyle w:val="CPITFootnoteLinks"/>
        <w:rPr>
          <w:rFonts w:cs="Arial"/>
        </w:rPr>
      </w:pPr>
      <w:r w:rsidRPr="00412403">
        <w:rPr>
          <w:rStyle w:val="FootnoteReference"/>
          <w:rFonts w:cs="Arial"/>
        </w:rPr>
        <w:footnoteRef/>
      </w:r>
      <w:r w:rsidRPr="00412403">
        <w:rPr>
          <w:rFonts w:cs="Arial"/>
        </w:rPr>
        <w:t xml:space="preserve"> Immigration and Refugee Board of Canada</w:t>
      </w:r>
      <w:r>
        <w:rPr>
          <w:rFonts w:cs="Arial"/>
          <w:shd w:val="clear" w:color="auto" w:fill="F9F9F9"/>
        </w:rPr>
        <w:t>.</w:t>
      </w:r>
      <w:r w:rsidRPr="00412403">
        <w:rPr>
          <w:rFonts w:cs="Arial"/>
          <w:shd w:val="clear" w:color="auto" w:fill="F9F9F9"/>
        </w:rPr>
        <w:t xml:space="preserve"> </w:t>
      </w:r>
      <w:r w:rsidRPr="00412403">
        <w:rPr>
          <w:rFonts w:cs="Arial"/>
          <w:color w:val="000000"/>
          <w:shd w:val="clear" w:color="auto" w:fill="FFFFFF"/>
        </w:rPr>
        <w:t>Response to Information Requests</w:t>
      </w:r>
      <w:r w:rsidRPr="00412403">
        <w:rPr>
          <w:rFonts w:cs="Arial"/>
          <w:shd w:val="clear" w:color="auto" w:fill="F9F9F9"/>
        </w:rPr>
        <w:t xml:space="preserve">, </w:t>
      </w:r>
      <w:r w:rsidRPr="00412403">
        <w:rPr>
          <w:rFonts w:cs="Arial"/>
        </w:rPr>
        <w:t xml:space="preserve">4 June 2014, </w:t>
      </w:r>
      <w:r w:rsidRPr="00412403">
        <w:rPr>
          <w:rFonts w:cs="Arial"/>
          <w:shd w:val="clear" w:color="auto" w:fill="F9F9F9"/>
        </w:rPr>
        <w:t xml:space="preserve">Ref: </w:t>
      </w:r>
      <w:r w:rsidRPr="00412403">
        <w:rPr>
          <w:rStyle w:val="Strong"/>
          <w:rFonts w:cs="Arial"/>
          <w:b w:val="0"/>
          <w:shd w:val="clear" w:color="auto" w:fill="FFFFFF"/>
        </w:rPr>
        <w:t>TUR104876.E</w:t>
      </w:r>
      <w:r>
        <w:rPr>
          <w:rStyle w:val="Strong"/>
          <w:rFonts w:cs="Arial"/>
          <w:b w:val="0"/>
          <w:shd w:val="clear" w:color="auto" w:fill="FFFFFF"/>
        </w:rPr>
        <w:t>.</w:t>
      </w:r>
      <w:r w:rsidRPr="00412403">
        <w:rPr>
          <w:rFonts w:cs="Arial"/>
          <w:shd w:val="clear" w:color="auto" w:fill="F9F9F9"/>
        </w:rPr>
        <w:t xml:space="preserve"> </w:t>
      </w:r>
      <w:hyperlink r:id="rId32" w:history="1">
        <w:r w:rsidRPr="00AB790E">
          <w:rPr>
            <w:rStyle w:val="Hyperlink"/>
            <w:rFonts w:eastAsiaTheme="majorEastAsia"/>
          </w:rPr>
          <w:t>http://irb-cisr.gc.ca/Eng/ResRec/RirRdi/Pages/index.aspx?doc=455353&amp;pls=1</w:t>
        </w:r>
      </w:hyperlink>
      <w:r w:rsidRPr="00412403">
        <w:rPr>
          <w:rFonts w:cs="Arial"/>
        </w:rPr>
        <w:t xml:space="preserve"> Date accessed: 19 February 2015.</w:t>
      </w:r>
    </w:p>
  </w:footnote>
  <w:footnote w:id="34">
    <w:p w:rsidR="00046792" w:rsidRPr="00412403" w:rsidRDefault="00046792" w:rsidP="00E3771E">
      <w:pPr>
        <w:pStyle w:val="CPITFootnoteLinks"/>
        <w:rPr>
          <w:rFonts w:cs="Arial"/>
        </w:rPr>
      </w:pPr>
      <w:r w:rsidRPr="007F76F0">
        <w:rPr>
          <w:rStyle w:val="FootnoteReference"/>
          <w:rFonts w:cs="Arial"/>
        </w:rPr>
        <w:footnoteRef/>
      </w:r>
      <w:r w:rsidRPr="00412403">
        <w:rPr>
          <w:rFonts w:cs="Arial"/>
        </w:rPr>
        <w:t xml:space="preserve"> Turkish Penal Code</w:t>
      </w:r>
      <w:r>
        <w:rPr>
          <w:rFonts w:cs="Arial"/>
        </w:rPr>
        <w:t>.</w:t>
      </w:r>
      <w:r w:rsidRPr="00412403">
        <w:rPr>
          <w:rFonts w:cs="Arial"/>
          <w:shd w:val="clear" w:color="auto" w:fill="F9F9F9"/>
        </w:rPr>
        <w:t xml:space="preserve"> </w:t>
      </w:r>
      <w:r w:rsidRPr="00412403">
        <w:rPr>
          <w:rFonts w:cs="Arial"/>
        </w:rPr>
        <w:t>CHAPTER THREE - Absentee conscripts, draft evaders, persons unregistered [for military service], and deserters, 22 May 1930, available via UNHCR’s RefWorld website</w:t>
      </w:r>
      <w:r>
        <w:rPr>
          <w:rFonts w:cs="Arial"/>
        </w:rPr>
        <w:t>:</w:t>
      </w:r>
      <w:r w:rsidRPr="00412403">
        <w:rPr>
          <w:rFonts w:cs="Arial"/>
        </w:rPr>
        <w:t xml:space="preserve"> </w:t>
      </w:r>
      <w:hyperlink r:id="rId33" w:history="1">
        <w:r w:rsidRPr="007B6102">
          <w:rPr>
            <w:rStyle w:val="Hyperlink"/>
            <w:rFonts w:eastAsiaTheme="majorEastAsia"/>
          </w:rPr>
          <w:t>http://www.refworld.org/cgi-bin/texis/vtx/rwmain?docid=3ae6b4d01c</w:t>
        </w:r>
      </w:hyperlink>
      <w:r w:rsidRPr="00412403">
        <w:rPr>
          <w:rFonts w:cs="Arial"/>
        </w:rPr>
        <w:t xml:space="preserve"> Date accessed: 19 February 2015.</w:t>
      </w:r>
    </w:p>
  </w:footnote>
  <w:footnote w:id="35">
    <w:p w:rsidR="00046792" w:rsidRPr="00D66048" w:rsidRDefault="00046792" w:rsidP="00E3771E">
      <w:pPr>
        <w:pStyle w:val="CPITFootnoteLinks"/>
      </w:pPr>
      <w:r w:rsidRPr="00412403">
        <w:rPr>
          <w:rFonts w:cs="Arial"/>
          <w:vertAlign w:val="superscript"/>
        </w:rPr>
        <w:footnoteRef/>
      </w:r>
      <w:r w:rsidRPr="00412403">
        <w:rPr>
          <w:rFonts w:cs="Arial"/>
        </w:rPr>
        <w:t xml:space="preserve"> Today’s Z</w:t>
      </w:r>
      <w:r w:rsidR="00CD4C52">
        <w:rPr>
          <w:rFonts w:cs="Arial"/>
        </w:rPr>
        <w:t>a</w:t>
      </w:r>
      <w:r w:rsidRPr="00412403">
        <w:rPr>
          <w:rFonts w:cs="Arial"/>
        </w:rPr>
        <w:t>man</w:t>
      </w:r>
      <w:r>
        <w:rPr>
          <w:rFonts w:cs="Arial"/>
        </w:rPr>
        <w:t>.</w:t>
      </w:r>
      <w:r w:rsidRPr="00412403">
        <w:rPr>
          <w:rFonts w:cs="Arial"/>
        </w:rPr>
        <w:t xml:space="preserve"> ‘Can dual citizen Turks enter Turkey w</w:t>
      </w:r>
      <w:r>
        <w:rPr>
          <w:rFonts w:cs="Arial"/>
        </w:rPr>
        <w:t>ithout doing military service?’ dated</w:t>
      </w:r>
      <w:r w:rsidRPr="00412403">
        <w:rPr>
          <w:rFonts w:cs="Arial"/>
        </w:rPr>
        <w:t xml:space="preserve"> 8 November 2010</w:t>
      </w:r>
      <w:r>
        <w:rPr>
          <w:rFonts w:cs="Arial"/>
        </w:rPr>
        <w:t>.</w:t>
      </w:r>
      <w:r w:rsidRPr="00412403">
        <w:rPr>
          <w:rFonts w:cs="Arial"/>
        </w:rPr>
        <w:t xml:space="preserve"> </w:t>
      </w:r>
      <w:hyperlink r:id="rId34" w:history="1">
        <w:r w:rsidRPr="007B6102">
          <w:rPr>
            <w:rStyle w:val="Hyperlink"/>
            <w:rFonts w:eastAsiaTheme="majorEastAsia"/>
          </w:rPr>
          <w:t>http://www.todayszaman.com/columnist/berk-cektir/can-dual-citizen-turks-enter-turkey-without-doing-military-service_226608.html</w:t>
        </w:r>
      </w:hyperlink>
      <w:r w:rsidRPr="00412403">
        <w:rPr>
          <w:rFonts w:cs="Arial"/>
        </w:rPr>
        <w:t xml:space="preserve"> Date accessed: 9 April 2015.</w:t>
      </w:r>
    </w:p>
  </w:footnote>
  <w:footnote w:id="36">
    <w:p w:rsidR="00046792" w:rsidRPr="00412403" w:rsidRDefault="00046792" w:rsidP="00E3771E">
      <w:pPr>
        <w:pStyle w:val="CPITFootnoteLinks"/>
      </w:pPr>
      <w:r w:rsidRPr="00412403">
        <w:rPr>
          <w:rStyle w:val="FootnoteReference"/>
        </w:rPr>
        <w:footnoteRef/>
      </w:r>
      <w:r w:rsidRPr="00412403">
        <w:t xml:space="preserve"> </w:t>
      </w:r>
      <w:r w:rsidRPr="00412403">
        <w:rPr>
          <w:rFonts w:cs="Arial"/>
        </w:rPr>
        <w:t>War Resisters International</w:t>
      </w:r>
      <w:r>
        <w:rPr>
          <w:rFonts w:cs="Arial"/>
        </w:rPr>
        <w:t>.</w:t>
      </w:r>
      <w:r w:rsidRPr="00412403">
        <w:rPr>
          <w:rFonts w:cs="Arial"/>
        </w:rPr>
        <w:t xml:space="preserve"> ‘</w:t>
      </w:r>
      <w:r w:rsidRPr="00412403">
        <w:rPr>
          <w:kern w:val="36"/>
        </w:rPr>
        <w:t>Briefing paper for the Universal Periodic Review: Turkey</w:t>
      </w:r>
      <w:r>
        <w:rPr>
          <w:kern w:val="36"/>
        </w:rPr>
        <w:t>,</w:t>
      </w:r>
      <w:r w:rsidRPr="00412403">
        <w:rPr>
          <w:kern w:val="36"/>
        </w:rPr>
        <w:t>’</w:t>
      </w:r>
      <w:r>
        <w:rPr>
          <w:kern w:val="36"/>
        </w:rPr>
        <w:t xml:space="preserve"> dated</w:t>
      </w:r>
      <w:r w:rsidRPr="00412403">
        <w:rPr>
          <w:kern w:val="36"/>
        </w:rPr>
        <w:t xml:space="preserve"> 3 December 2014</w:t>
      </w:r>
      <w:r>
        <w:rPr>
          <w:kern w:val="36"/>
        </w:rPr>
        <w:t>.</w:t>
      </w:r>
      <w:r w:rsidRPr="00412403">
        <w:rPr>
          <w:kern w:val="36"/>
        </w:rPr>
        <w:t xml:space="preserve"> </w:t>
      </w:r>
      <w:hyperlink r:id="rId35" w:history="1">
        <w:r w:rsidRPr="007B6102">
          <w:rPr>
            <w:rStyle w:val="Hyperlink"/>
            <w:rFonts w:eastAsiaTheme="majorEastAsia"/>
          </w:rPr>
          <w:t>http://www.wri-irg.org/UPR-Turkey-2014</w:t>
        </w:r>
      </w:hyperlink>
      <w:r w:rsidRPr="00412403">
        <w:rPr>
          <w:rFonts w:cs="Arial"/>
        </w:rPr>
        <w:t xml:space="preserve"> Date accessed: 19 February 2015.</w:t>
      </w:r>
    </w:p>
  </w:footnote>
  <w:footnote w:id="37">
    <w:p w:rsidR="00046792" w:rsidRPr="00412403" w:rsidRDefault="00046792" w:rsidP="00E3771E">
      <w:pPr>
        <w:pStyle w:val="CPITFootnoteLinks"/>
        <w:rPr>
          <w:rFonts w:cs="Arial"/>
        </w:rPr>
      </w:pPr>
      <w:r w:rsidRPr="00412403">
        <w:rPr>
          <w:rStyle w:val="FootnoteReference"/>
          <w:rFonts w:cs="Arial"/>
        </w:rPr>
        <w:footnoteRef/>
      </w:r>
      <w:r w:rsidRPr="00412403">
        <w:rPr>
          <w:rFonts w:cs="Arial"/>
        </w:rPr>
        <w:t xml:space="preserve"> War Resisters International</w:t>
      </w:r>
      <w:r>
        <w:rPr>
          <w:rFonts w:cs="Arial"/>
        </w:rPr>
        <w:t>.</w:t>
      </w:r>
      <w:r w:rsidRPr="00412403">
        <w:rPr>
          <w:rFonts w:cs="Arial"/>
        </w:rPr>
        <w:t xml:space="preserve"> ‘</w:t>
      </w:r>
      <w:r w:rsidRPr="00412403">
        <w:rPr>
          <w:rFonts w:cs="Arial"/>
          <w:kern w:val="36"/>
        </w:rPr>
        <w:t>Briefing paper for the Universal Periodic Review: Turkey</w:t>
      </w:r>
      <w:r>
        <w:rPr>
          <w:rFonts w:cs="Arial"/>
          <w:kern w:val="36"/>
        </w:rPr>
        <w:t>,</w:t>
      </w:r>
      <w:r w:rsidRPr="00412403">
        <w:rPr>
          <w:rFonts w:cs="Arial"/>
          <w:kern w:val="36"/>
        </w:rPr>
        <w:t>’</w:t>
      </w:r>
      <w:r>
        <w:rPr>
          <w:rFonts w:cs="Arial"/>
          <w:kern w:val="36"/>
        </w:rPr>
        <w:t xml:space="preserve"> dated </w:t>
      </w:r>
      <w:r w:rsidRPr="00412403">
        <w:rPr>
          <w:rFonts w:cs="Arial"/>
          <w:kern w:val="36"/>
        </w:rPr>
        <w:t>3 December 2014</w:t>
      </w:r>
      <w:r>
        <w:rPr>
          <w:rFonts w:cs="Arial"/>
          <w:kern w:val="36"/>
        </w:rPr>
        <w:t>.</w:t>
      </w:r>
      <w:r w:rsidRPr="00412403">
        <w:rPr>
          <w:rFonts w:cs="Arial"/>
          <w:kern w:val="36"/>
        </w:rPr>
        <w:t xml:space="preserve"> </w:t>
      </w:r>
      <w:hyperlink r:id="rId36" w:history="1">
        <w:r w:rsidRPr="007B6102">
          <w:rPr>
            <w:rStyle w:val="Hyperlink"/>
            <w:rFonts w:eastAsiaTheme="majorEastAsia"/>
          </w:rPr>
          <w:t>http://www.wri-irg.org/UPR-Turkey-2014</w:t>
        </w:r>
      </w:hyperlink>
      <w:r w:rsidRPr="00412403">
        <w:rPr>
          <w:rFonts w:cs="Arial"/>
        </w:rPr>
        <w:t xml:space="preserve"> Date accessed: 19 February 2015.</w:t>
      </w:r>
    </w:p>
  </w:footnote>
  <w:footnote w:id="38">
    <w:p w:rsidR="00046792" w:rsidRPr="00412403" w:rsidRDefault="00046792" w:rsidP="00412403">
      <w:pPr>
        <w:pStyle w:val="CPITFootnoteLinks"/>
        <w:rPr>
          <w:rFonts w:cs="Arial"/>
        </w:rPr>
      </w:pPr>
      <w:r w:rsidRPr="00412403">
        <w:rPr>
          <w:rStyle w:val="FootnoteReference"/>
          <w:rFonts w:cs="Arial"/>
        </w:rPr>
        <w:footnoteRef/>
      </w:r>
      <w:r w:rsidRPr="00412403">
        <w:rPr>
          <w:rFonts w:cs="Arial"/>
        </w:rPr>
        <w:t xml:space="preserve"> War Resisters International</w:t>
      </w:r>
      <w:r>
        <w:rPr>
          <w:rFonts w:cs="Arial"/>
        </w:rPr>
        <w:t>.</w:t>
      </w:r>
      <w:r w:rsidRPr="00412403">
        <w:rPr>
          <w:rFonts w:cs="Arial"/>
        </w:rPr>
        <w:t xml:space="preserve"> ‘</w:t>
      </w:r>
      <w:r w:rsidRPr="00412403">
        <w:rPr>
          <w:rFonts w:cs="Arial"/>
          <w:kern w:val="36"/>
        </w:rPr>
        <w:t>Briefing paper for the Universal Periodic Review: Turkey</w:t>
      </w:r>
      <w:r>
        <w:rPr>
          <w:rFonts w:cs="Arial"/>
          <w:kern w:val="36"/>
        </w:rPr>
        <w:t>,</w:t>
      </w:r>
      <w:r w:rsidRPr="00412403">
        <w:rPr>
          <w:rFonts w:cs="Arial"/>
          <w:kern w:val="36"/>
        </w:rPr>
        <w:t>’</w:t>
      </w:r>
      <w:r>
        <w:rPr>
          <w:rFonts w:cs="Arial"/>
          <w:kern w:val="36"/>
        </w:rPr>
        <w:t xml:space="preserve"> dated</w:t>
      </w:r>
      <w:r w:rsidRPr="00412403">
        <w:rPr>
          <w:rFonts w:cs="Arial"/>
          <w:kern w:val="36"/>
        </w:rPr>
        <w:t xml:space="preserve"> 3 December 2014</w:t>
      </w:r>
      <w:r>
        <w:rPr>
          <w:rFonts w:cs="Arial"/>
          <w:kern w:val="36"/>
        </w:rPr>
        <w:t>.</w:t>
      </w:r>
      <w:r w:rsidRPr="00412403">
        <w:rPr>
          <w:rFonts w:cs="Arial"/>
          <w:kern w:val="36"/>
        </w:rPr>
        <w:t xml:space="preserve"> </w:t>
      </w:r>
      <w:hyperlink r:id="rId37" w:history="1">
        <w:r w:rsidRPr="007B6102">
          <w:rPr>
            <w:rStyle w:val="Hyperlink"/>
            <w:rFonts w:eastAsiaTheme="majorEastAsia"/>
          </w:rPr>
          <w:t>http://www.wri-irg.org/UPR-Turkey-2014</w:t>
        </w:r>
      </w:hyperlink>
      <w:r w:rsidRPr="00412403">
        <w:rPr>
          <w:rFonts w:cs="Arial"/>
        </w:rPr>
        <w:t xml:space="preserve"> Date accessed: 19 February 2015.</w:t>
      </w:r>
    </w:p>
  </w:footnote>
  <w:footnote w:id="39">
    <w:p w:rsidR="00046792" w:rsidRPr="00412403" w:rsidRDefault="00046792" w:rsidP="00E3771E">
      <w:pPr>
        <w:pStyle w:val="CPITFootnoteLinks"/>
        <w:rPr>
          <w:rFonts w:cs="Arial"/>
        </w:rPr>
      </w:pPr>
      <w:r w:rsidRPr="00412403">
        <w:rPr>
          <w:rStyle w:val="FootnoteReference"/>
          <w:rFonts w:cs="Arial"/>
        </w:rPr>
        <w:footnoteRef/>
      </w:r>
      <w:r w:rsidRPr="00412403">
        <w:rPr>
          <w:rFonts w:cs="Arial"/>
        </w:rPr>
        <w:t xml:space="preserve"> Immigration and Refugee Board of Canada</w:t>
      </w:r>
      <w:r>
        <w:rPr>
          <w:rFonts w:cs="Arial"/>
        </w:rPr>
        <w:t>.</w:t>
      </w:r>
      <w:r w:rsidRPr="00412403">
        <w:rPr>
          <w:rFonts w:cs="Arial"/>
          <w:shd w:val="clear" w:color="auto" w:fill="F9F9F9"/>
        </w:rPr>
        <w:t xml:space="preserve"> </w:t>
      </w:r>
      <w:r w:rsidRPr="00412403">
        <w:rPr>
          <w:rFonts w:cs="Arial"/>
          <w:color w:val="000000"/>
          <w:shd w:val="clear" w:color="auto" w:fill="FFFFFF"/>
        </w:rPr>
        <w:t>Response to Information Requests</w:t>
      </w:r>
      <w:r w:rsidRPr="00412403">
        <w:rPr>
          <w:rFonts w:cs="Arial"/>
          <w:shd w:val="clear" w:color="auto" w:fill="F9F9F9"/>
        </w:rPr>
        <w:t xml:space="preserve">, </w:t>
      </w:r>
      <w:r w:rsidRPr="00412403">
        <w:rPr>
          <w:rFonts w:cs="Arial"/>
        </w:rPr>
        <w:t xml:space="preserve">4 June 2014, </w:t>
      </w:r>
      <w:r w:rsidRPr="00412403">
        <w:rPr>
          <w:rFonts w:cs="Arial"/>
          <w:shd w:val="clear" w:color="auto" w:fill="F9F9F9"/>
        </w:rPr>
        <w:t xml:space="preserve">Ref: </w:t>
      </w:r>
      <w:r w:rsidRPr="002278BA">
        <w:rPr>
          <w:rStyle w:val="Strong"/>
          <w:rFonts w:cs="Arial"/>
          <w:b w:val="0"/>
          <w:shd w:val="clear" w:color="auto" w:fill="FFFFFF"/>
        </w:rPr>
        <w:t>TUR104876.E</w:t>
      </w:r>
      <w:r>
        <w:rPr>
          <w:rStyle w:val="Strong"/>
          <w:rFonts w:cs="Arial"/>
          <w:b w:val="0"/>
          <w:shd w:val="clear" w:color="auto" w:fill="FFFFFF"/>
        </w:rPr>
        <w:t>.</w:t>
      </w:r>
      <w:r w:rsidRPr="00412403">
        <w:rPr>
          <w:rFonts w:cs="Arial"/>
          <w:shd w:val="clear" w:color="auto" w:fill="F9F9F9"/>
        </w:rPr>
        <w:t xml:space="preserve"> </w:t>
      </w:r>
      <w:hyperlink r:id="rId38" w:history="1">
        <w:r w:rsidRPr="005B7623">
          <w:rPr>
            <w:rStyle w:val="Hyperlink"/>
            <w:rFonts w:eastAsiaTheme="majorEastAsia"/>
          </w:rPr>
          <w:t>http://irb-cisr.gc.ca/Eng/ResRec/RirRdi/Pages/index.aspx?doc=455353&amp;pls=1</w:t>
        </w:r>
      </w:hyperlink>
      <w:r w:rsidRPr="00412403">
        <w:rPr>
          <w:rFonts w:cs="Arial"/>
        </w:rPr>
        <w:t xml:space="preserve"> Date accessed: 19 February 2015.</w:t>
      </w:r>
    </w:p>
  </w:footnote>
  <w:footnote w:id="40">
    <w:p w:rsidR="00046792" w:rsidRPr="00412403" w:rsidRDefault="00046792" w:rsidP="00E3771E">
      <w:pPr>
        <w:pStyle w:val="CPITFootnoteLinks"/>
        <w:rPr>
          <w:rFonts w:cs="Arial"/>
        </w:rPr>
      </w:pPr>
      <w:r w:rsidRPr="00412403">
        <w:rPr>
          <w:rStyle w:val="FootnoteReference"/>
          <w:rFonts w:cs="Arial"/>
        </w:rPr>
        <w:footnoteRef/>
      </w:r>
      <w:r w:rsidRPr="00412403">
        <w:rPr>
          <w:rFonts w:cs="Arial"/>
        </w:rPr>
        <w:t xml:space="preserve"> European Commission</w:t>
      </w:r>
      <w:r>
        <w:rPr>
          <w:rFonts w:cs="Arial"/>
        </w:rPr>
        <w:t>.</w:t>
      </w:r>
      <w:r w:rsidRPr="00412403">
        <w:rPr>
          <w:rFonts w:cs="Arial"/>
        </w:rPr>
        <w:t xml:space="preserve"> ‘2014 </w:t>
      </w:r>
      <w:r w:rsidRPr="00412403">
        <w:rPr>
          <w:rFonts w:cs="Arial"/>
          <w:iCs/>
        </w:rPr>
        <w:t>Progress Report on Turkey</w:t>
      </w:r>
      <w:r>
        <w:rPr>
          <w:rFonts w:cs="Arial"/>
          <w:iCs/>
        </w:rPr>
        <w:t>,</w:t>
      </w:r>
      <w:r w:rsidRPr="00412403">
        <w:rPr>
          <w:rFonts w:cs="Arial"/>
          <w:iCs/>
        </w:rPr>
        <w:t>’</w:t>
      </w:r>
      <w:r>
        <w:rPr>
          <w:rFonts w:cs="Arial"/>
          <w:iCs/>
        </w:rPr>
        <w:t xml:space="preserve"> dated </w:t>
      </w:r>
      <w:r w:rsidRPr="00412403">
        <w:rPr>
          <w:rFonts w:cs="Arial"/>
          <w:iCs/>
        </w:rPr>
        <w:t xml:space="preserve">8 October 2014 </w:t>
      </w:r>
      <w:r w:rsidRPr="00412403">
        <w:rPr>
          <w:rFonts w:cs="Arial"/>
        </w:rPr>
        <w:t>(page 12)</w:t>
      </w:r>
      <w:r w:rsidRPr="00412403">
        <w:rPr>
          <w:rFonts w:cs="Arial"/>
          <w:color w:val="3F3F3F"/>
          <w:shd w:val="clear" w:color="auto" w:fill="F9F9F9"/>
        </w:rPr>
        <w:t>.</w:t>
      </w:r>
      <w:r w:rsidRPr="00412403">
        <w:rPr>
          <w:rFonts w:cs="Arial"/>
        </w:rPr>
        <w:t xml:space="preserve"> </w:t>
      </w:r>
      <w:r w:rsidRPr="00412403">
        <w:rPr>
          <w:rFonts w:cs="Arial"/>
          <w:iCs/>
        </w:rPr>
        <w:t xml:space="preserve"> </w:t>
      </w:r>
      <w:hyperlink r:id="rId39" w:history="1">
        <w:r w:rsidRPr="005B7623">
          <w:rPr>
            <w:rStyle w:val="Hyperlink"/>
            <w:rFonts w:eastAsiaTheme="majorEastAsia"/>
          </w:rPr>
          <w:t>http://ec.europa.eu/enlargement/pdf/key_documents/2014/20141008-turkey-progress-report_en.pdf</w:t>
        </w:r>
      </w:hyperlink>
      <w:r w:rsidRPr="00412403">
        <w:rPr>
          <w:rFonts w:cs="Arial"/>
        </w:rPr>
        <w:t xml:space="preserve"> Date accessed: 17 February 2015.</w:t>
      </w:r>
    </w:p>
  </w:footnote>
  <w:footnote w:id="41">
    <w:p w:rsidR="00046792" w:rsidRPr="00C94601" w:rsidRDefault="00046792" w:rsidP="00E3771E">
      <w:pPr>
        <w:pStyle w:val="CPITFootnoteLinks"/>
        <w:rPr>
          <w:rFonts w:cs="Arial"/>
        </w:rPr>
      </w:pPr>
      <w:r w:rsidRPr="00C94601">
        <w:rPr>
          <w:rStyle w:val="FootnoteReference"/>
          <w:rFonts w:cs="Arial"/>
        </w:rPr>
        <w:footnoteRef/>
      </w:r>
      <w:r w:rsidRPr="00C94601">
        <w:rPr>
          <w:rFonts w:cs="Arial"/>
        </w:rPr>
        <w:t xml:space="preserve"> </w:t>
      </w:r>
      <w:r w:rsidRPr="00C94601">
        <w:rPr>
          <w:rFonts w:cs="Arial"/>
          <w:shd w:val="clear" w:color="auto" w:fill="FFFFFF"/>
        </w:rPr>
        <w:t>Özgür Heval Çınar</w:t>
      </w:r>
      <w:r>
        <w:rPr>
          <w:rFonts w:cs="Arial"/>
          <w:shd w:val="clear" w:color="auto" w:fill="FFFFFF"/>
        </w:rPr>
        <w:t>.</w:t>
      </w:r>
      <w:r w:rsidRPr="00C94601">
        <w:rPr>
          <w:rFonts w:cs="Arial"/>
        </w:rPr>
        <w:t xml:space="preserve"> ‘T</w:t>
      </w:r>
      <w:r w:rsidRPr="00C94601">
        <w:rPr>
          <w:rStyle w:val="fn"/>
          <w:rFonts w:cs="Arial"/>
        </w:rPr>
        <w:t>he Right to Conscientious Objection to Military Service and Turkey’s Obligations Under International Human Rights Law</w:t>
      </w:r>
      <w:r w:rsidRPr="00C94601">
        <w:rPr>
          <w:rFonts w:cs="Arial"/>
          <w:iCs/>
        </w:rPr>
        <w:t>,</w:t>
      </w:r>
      <w:r>
        <w:rPr>
          <w:rFonts w:cs="Arial"/>
          <w:iCs/>
        </w:rPr>
        <w:t>’</w:t>
      </w:r>
      <w:r w:rsidRPr="00C94601">
        <w:rPr>
          <w:rFonts w:cs="Arial"/>
          <w:iCs/>
        </w:rPr>
        <w:t xml:space="preserve"> </w:t>
      </w:r>
      <w:r w:rsidRPr="00C94601">
        <w:rPr>
          <w:rFonts w:cs="Arial"/>
          <w:shd w:val="clear" w:color="auto" w:fill="FFFFFF"/>
        </w:rPr>
        <w:t>Palgrave Macmillan (Palgrave Online) – Law,</w:t>
      </w:r>
      <w:r w:rsidRPr="00C94601">
        <w:rPr>
          <w:rStyle w:val="apple-converted-space"/>
          <w:rFonts w:cs="Arial"/>
          <w:shd w:val="clear" w:color="auto" w:fill="FFFFFF"/>
        </w:rPr>
        <w:t> </w:t>
      </w:r>
      <w:r w:rsidRPr="00C94601">
        <w:rPr>
          <w:rFonts w:cs="Arial"/>
          <w:shd w:val="clear" w:color="auto" w:fill="FFFFFF"/>
        </w:rPr>
        <w:t>26 July 2014</w:t>
      </w:r>
      <w:r w:rsidRPr="00C94601">
        <w:rPr>
          <w:rFonts w:cs="Arial"/>
          <w:iCs/>
        </w:rPr>
        <w:t xml:space="preserve"> </w:t>
      </w:r>
      <w:r w:rsidRPr="00C94601">
        <w:rPr>
          <w:rFonts w:cs="Arial"/>
        </w:rPr>
        <w:t>(page 121)</w:t>
      </w:r>
      <w:r w:rsidRPr="00C94601">
        <w:rPr>
          <w:rFonts w:cs="Arial"/>
          <w:color w:val="3F3F3F"/>
          <w:shd w:val="clear" w:color="auto" w:fill="F9F9F9"/>
        </w:rPr>
        <w:t>.</w:t>
      </w:r>
      <w:r w:rsidRPr="00C94601">
        <w:rPr>
          <w:rFonts w:cs="Arial"/>
        </w:rPr>
        <w:t xml:space="preserve"> </w:t>
      </w:r>
      <w:hyperlink r:id="rId40" w:anchor="v=onepage&amp;q=Turkish%20Military%20Pen" w:history="1">
        <w:r w:rsidRPr="005B7623">
          <w:rPr>
            <w:rStyle w:val="Hyperlink"/>
            <w:rFonts w:eastAsiaTheme="majorEastAsia"/>
          </w:rPr>
          <w:t>https://books.google.co.uk/books?id=bG0UBAAAQBAJ&amp;pg=PA121&amp;lpg=PA121&amp;dq=Turkish+Military+Penal+Code+article+45&amp;source=bl&amp;ots=XQZi64i-fN&amp;sig=Tg3rv-7Pw1DsIQHakDIA5E4nfoY&amp;hl=en&amp;sa=X&amp;ei=J9XlVIGeCcaa7gbr3oHwCw&amp;ved=0CDQQ6AEwAw#v=onepage&amp;q=Turkish%20Military%20Pen</w:t>
        </w:r>
      </w:hyperlink>
      <w:r w:rsidRPr="00C94601">
        <w:rPr>
          <w:rFonts w:cs="Arial"/>
        </w:rPr>
        <w:t xml:space="preserve"> Date accessed: 19 February 2015.</w:t>
      </w:r>
    </w:p>
  </w:footnote>
  <w:footnote w:id="42">
    <w:p w:rsidR="00046792" w:rsidRPr="00C94601" w:rsidRDefault="00046792" w:rsidP="00E3771E">
      <w:pPr>
        <w:pStyle w:val="CPITFootnoteLinks"/>
        <w:rPr>
          <w:rFonts w:cs="Arial"/>
        </w:rPr>
      </w:pPr>
      <w:r w:rsidRPr="005B7623">
        <w:rPr>
          <w:rStyle w:val="FootnoteReference"/>
          <w:rFonts w:cs="Arial"/>
        </w:rPr>
        <w:footnoteRef/>
      </w:r>
      <w:r w:rsidRPr="00C94601">
        <w:rPr>
          <w:rFonts w:cs="Arial"/>
        </w:rPr>
        <w:t xml:space="preserve"> Today’s Z</w:t>
      </w:r>
      <w:r>
        <w:rPr>
          <w:rFonts w:cs="Arial"/>
        </w:rPr>
        <w:t>a</w:t>
      </w:r>
      <w:r w:rsidRPr="00C94601">
        <w:rPr>
          <w:rFonts w:cs="Arial"/>
        </w:rPr>
        <w:t>man</w:t>
      </w:r>
      <w:r>
        <w:rPr>
          <w:rFonts w:cs="Arial"/>
        </w:rPr>
        <w:t>.</w:t>
      </w:r>
      <w:r w:rsidRPr="00C94601">
        <w:rPr>
          <w:rFonts w:cs="Arial"/>
        </w:rPr>
        <w:t xml:space="preserve"> ‘Turkey says working to </w:t>
      </w:r>
      <w:r>
        <w:rPr>
          <w:rFonts w:cs="Arial"/>
        </w:rPr>
        <w:t>address conscientious objection</w:t>
      </w:r>
      <w:r w:rsidRPr="00C94601">
        <w:rPr>
          <w:rFonts w:cs="Arial"/>
        </w:rPr>
        <w:t>,</w:t>
      </w:r>
      <w:r>
        <w:rPr>
          <w:rFonts w:cs="Arial"/>
        </w:rPr>
        <w:t xml:space="preserve">’ dated </w:t>
      </w:r>
      <w:r w:rsidRPr="00C94601">
        <w:rPr>
          <w:rFonts w:cs="Arial"/>
        </w:rPr>
        <w:t>27 June 2012</w:t>
      </w:r>
      <w:r>
        <w:rPr>
          <w:rFonts w:cs="Arial"/>
        </w:rPr>
        <w:t>.</w:t>
      </w:r>
      <w:r w:rsidRPr="00C94601">
        <w:rPr>
          <w:rFonts w:cs="Arial"/>
        </w:rPr>
        <w:t xml:space="preserve"> </w:t>
      </w:r>
      <w:hyperlink r:id="rId41" w:history="1">
        <w:r w:rsidRPr="005B7623">
          <w:rPr>
            <w:rStyle w:val="Hyperlink"/>
            <w:rFonts w:eastAsiaTheme="majorEastAsia"/>
          </w:rPr>
          <w:t>http://www.todayszaman.com/national_turkey-says-working-to-address-conscientious-objection_284772.html</w:t>
        </w:r>
      </w:hyperlink>
      <w:r w:rsidRPr="00C94601">
        <w:rPr>
          <w:rFonts w:cs="Arial"/>
        </w:rPr>
        <w:t xml:space="preserve"> Date accessed: 19 February 2015.</w:t>
      </w:r>
    </w:p>
  </w:footnote>
  <w:footnote w:id="43">
    <w:p w:rsidR="00046792" w:rsidRPr="00C94601" w:rsidRDefault="00046792" w:rsidP="00E3771E">
      <w:pPr>
        <w:pStyle w:val="CPITFootnoteLinks"/>
        <w:rPr>
          <w:rFonts w:cs="Arial"/>
        </w:rPr>
      </w:pPr>
      <w:r w:rsidRPr="00C94601">
        <w:rPr>
          <w:rStyle w:val="FootnoteReference"/>
          <w:rFonts w:cs="Arial"/>
        </w:rPr>
        <w:footnoteRef/>
      </w:r>
      <w:r w:rsidRPr="00C94601">
        <w:rPr>
          <w:rFonts w:cs="Arial"/>
        </w:rPr>
        <w:t xml:space="preserve"> War Resisters International</w:t>
      </w:r>
      <w:r>
        <w:rPr>
          <w:rFonts w:cs="Arial"/>
        </w:rPr>
        <w:t>.</w:t>
      </w:r>
      <w:r w:rsidRPr="00C94601">
        <w:rPr>
          <w:rFonts w:cs="Arial"/>
        </w:rPr>
        <w:t xml:space="preserve"> ‘</w:t>
      </w:r>
      <w:r w:rsidRPr="00C94601">
        <w:rPr>
          <w:rFonts w:cs="Arial"/>
          <w:kern w:val="36"/>
        </w:rPr>
        <w:t>Briefing paper for the Universal Periodic Review: Turkey,</w:t>
      </w:r>
      <w:r>
        <w:rPr>
          <w:rFonts w:cs="Arial"/>
          <w:kern w:val="36"/>
        </w:rPr>
        <w:t>’ dated</w:t>
      </w:r>
      <w:r w:rsidRPr="00C94601">
        <w:rPr>
          <w:rFonts w:cs="Arial"/>
          <w:kern w:val="36"/>
        </w:rPr>
        <w:t xml:space="preserve"> 3 December 2014</w:t>
      </w:r>
      <w:r>
        <w:rPr>
          <w:rFonts w:cs="Arial"/>
          <w:kern w:val="36"/>
        </w:rPr>
        <w:t>.</w:t>
      </w:r>
      <w:r w:rsidRPr="00C94601">
        <w:rPr>
          <w:rFonts w:cs="Arial"/>
          <w:kern w:val="36"/>
        </w:rPr>
        <w:t xml:space="preserve"> </w:t>
      </w:r>
      <w:hyperlink r:id="rId42" w:history="1">
        <w:r w:rsidRPr="005B7623">
          <w:rPr>
            <w:rStyle w:val="Hyperlink"/>
            <w:rFonts w:eastAsiaTheme="majorEastAsia"/>
          </w:rPr>
          <w:t>http://www.wri-irg.org/UPR-Turkey-2014</w:t>
        </w:r>
      </w:hyperlink>
      <w:r w:rsidRPr="00C94601">
        <w:rPr>
          <w:rFonts w:cs="Arial"/>
        </w:rPr>
        <w:t xml:space="preserve"> Date accessed: 19 February 2015.</w:t>
      </w:r>
    </w:p>
  </w:footnote>
  <w:footnote w:id="44">
    <w:p w:rsidR="00046792" w:rsidRPr="00C94601" w:rsidRDefault="00046792" w:rsidP="00D530A2">
      <w:pPr>
        <w:pStyle w:val="FootnoteText"/>
        <w:ind w:left="0" w:firstLine="0"/>
      </w:pPr>
      <w:r w:rsidRPr="00C94601">
        <w:rPr>
          <w:rStyle w:val="FootnoteReference"/>
        </w:rPr>
        <w:footnoteRef/>
      </w:r>
      <w:r w:rsidRPr="00C94601">
        <w:t xml:space="preserve"> UN Human Rights Committee</w:t>
      </w:r>
      <w:r>
        <w:t>.</w:t>
      </w:r>
      <w:r w:rsidRPr="00C94601">
        <w:t xml:space="preserve"> Concluding observations on the initial report of Turkey adopted by the Committee at its 106th session (15 October - 2 November 2012), C. Principal matters of concern and recommendations, </w:t>
      </w:r>
      <w:r w:rsidRPr="00C94601">
        <w:rPr>
          <w:lang w:val="en-US"/>
        </w:rPr>
        <w:t>paragraph 23, 13 November 2012</w:t>
      </w:r>
      <w:r>
        <w:rPr>
          <w:lang w:val="en-US"/>
        </w:rPr>
        <w:t>.</w:t>
      </w:r>
      <w:r w:rsidRPr="00C94601">
        <w:rPr>
          <w:lang w:val="en-US"/>
        </w:rPr>
        <w:t xml:space="preserve"> </w:t>
      </w:r>
      <w:hyperlink r:id="rId43" w:history="1">
        <w:r w:rsidRPr="00046792">
          <w:rPr>
            <w:rStyle w:val="Hyperlink"/>
          </w:rPr>
          <w:t>http://docstore.ohchr.org/SelfServices/FilesHandler.ashx?enc=6QkG1d%2fPPRiCAqhKb7yhshmKtQJn68GxgXXTdAYdq%2fuKuHnlZeSAm6riCmQa6vtlbHKIbogtDJZeptw7i5KBK45f81nqutF%2bjT0Lw1jBzkZCdXMbj%2ftmhFSUOAEge%2fUQ</w:t>
        </w:r>
      </w:hyperlink>
      <w:r w:rsidRPr="00C94601">
        <w:t xml:space="preserve"> Date accessed: 19 February 2015.</w:t>
      </w:r>
      <w:r w:rsidRPr="00C94601">
        <w:rPr>
          <w:lang w:val="en-US"/>
        </w:rPr>
        <w:t xml:space="preserve"> </w:t>
      </w:r>
    </w:p>
  </w:footnote>
  <w:footnote w:id="45">
    <w:p w:rsidR="00046792" w:rsidRPr="00C94601" w:rsidRDefault="00046792" w:rsidP="00D530A2">
      <w:pPr>
        <w:pStyle w:val="FootnoteText"/>
        <w:ind w:left="0" w:firstLine="0"/>
      </w:pPr>
      <w:r w:rsidRPr="00C94601">
        <w:rPr>
          <w:rStyle w:val="FootnoteReference"/>
        </w:rPr>
        <w:footnoteRef/>
      </w:r>
      <w:r w:rsidRPr="00C94601">
        <w:t xml:space="preserve"> UN Human Rights Committee</w:t>
      </w:r>
      <w:r>
        <w:t>.</w:t>
      </w:r>
      <w:r w:rsidRPr="00C94601">
        <w:t xml:space="preserve"> Concluding observations on the initial report of Turkey adopted by the Committee at its 106th session (15 October - 2 November 2012), C. Principal matters of concern and recommendations, </w:t>
      </w:r>
      <w:r w:rsidRPr="00C94601">
        <w:rPr>
          <w:lang w:val="en-US"/>
        </w:rPr>
        <w:t>paragraph 23, 13 November 2012</w:t>
      </w:r>
      <w:r>
        <w:rPr>
          <w:lang w:val="en-US"/>
        </w:rPr>
        <w:t>.</w:t>
      </w:r>
      <w:r w:rsidRPr="00C94601">
        <w:rPr>
          <w:lang w:val="en-US"/>
        </w:rPr>
        <w:t xml:space="preserve"> </w:t>
      </w:r>
      <w:hyperlink r:id="rId44" w:history="1">
        <w:r w:rsidRPr="00046792">
          <w:rPr>
            <w:rStyle w:val="Hyperlink"/>
          </w:rPr>
          <w:t>http://docstore.ohchr.org/SelfServices/FilesHandler.ashx?enc=6QkG1d%2fPPRiCAqhKb7yhshmKtQJn68GxgXXTdAYdq%2fuKuHnlZeSAm6riCmQa6vtlbHKIbogtDJZeptw7i5KBK45f81nqutF%2bjT0Lw1jBzkZCdXMbj%2ftmhFSUOAEge%2fUQ</w:t>
        </w:r>
      </w:hyperlink>
      <w:r w:rsidRPr="00C94601">
        <w:t xml:space="preserve"> Date accessed: 19 February 2015.</w:t>
      </w:r>
      <w:r w:rsidRPr="00C94601">
        <w:rPr>
          <w:lang w:val="en-US"/>
        </w:rPr>
        <w:t xml:space="preserve"> </w:t>
      </w:r>
    </w:p>
  </w:footnote>
  <w:footnote w:id="46">
    <w:p w:rsidR="00046792" w:rsidRPr="004262CA" w:rsidRDefault="00046792" w:rsidP="00D530A2">
      <w:pPr>
        <w:pStyle w:val="FootnoteText"/>
        <w:ind w:left="0" w:firstLine="0"/>
      </w:pPr>
      <w:r w:rsidRPr="004262CA">
        <w:rPr>
          <w:rStyle w:val="FootnoteReference"/>
        </w:rPr>
        <w:footnoteRef/>
      </w:r>
      <w:r w:rsidRPr="004262CA">
        <w:t xml:space="preserve"> Additional information submitted by the Government of Turkey on the issues specified in paragraphs 10, 13 and 23 of the concluding observations of the Human Rights Committee on the Initial Report of Turkey, UN Document reference INT/CCPR/AFR/TUR/18277/EN, 22 July 2014 (page 3). </w:t>
      </w:r>
      <w:hyperlink r:id="rId45" w:history="1">
        <w:r w:rsidRPr="00EA12AA">
          <w:rPr>
            <w:rStyle w:val="Hyperlink"/>
          </w:rPr>
          <w:t>http://tbinternet.ohchr.org/Treaties/CCPR/Shared%20Documents/TUR/INT_CCPR_AFR_TUR_18277_E.pdf</w:t>
        </w:r>
      </w:hyperlink>
      <w:r w:rsidRPr="004262CA">
        <w:t xml:space="preserve"> Date accessed: 19 February 2015.</w:t>
      </w:r>
    </w:p>
  </w:footnote>
  <w:footnote w:id="47">
    <w:p w:rsidR="00046792" w:rsidRPr="004262CA" w:rsidRDefault="00046792" w:rsidP="00D530A2">
      <w:pPr>
        <w:pStyle w:val="FootnoteText"/>
        <w:ind w:left="0" w:firstLine="0"/>
      </w:pPr>
      <w:r w:rsidRPr="004262CA">
        <w:rPr>
          <w:rStyle w:val="FootnoteReference"/>
        </w:rPr>
        <w:footnoteRef/>
      </w:r>
      <w:r w:rsidRPr="004262CA">
        <w:t xml:space="preserve"> European Bureau for Conscientious Objection. ‘2014 Annual Report</w:t>
      </w:r>
      <w:r w:rsidR="002E78FC">
        <w:t>,’</w:t>
      </w:r>
      <w:r w:rsidRPr="004262CA">
        <w:t xml:space="preserve"> October 2014 (section 1.2.8).  </w:t>
      </w:r>
      <w:hyperlink r:id="rId46" w:history="1">
        <w:r w:rsidRPr="00EA12AA">
          <w:rPr>
            <w:rStyle w:val="Hyperlink"/>
          </w:rPr>
          <w:t>http://ebco-beoc.org/sites/ebco-beoc.org/files/attachments/2014-EBCO-REPORT-EUROPE.pdf</w:t>
        </w:r>
      </w:hyperlink>
      <w:r w:rsidRPr="00EA12AA">
        <w:rPr>
          <w:rStyle w:val="COI-Link"/>
          <w:szCs w:val="20"/>
          <w:u w:val="none"/>
        </w:rPr>
        <w:t xml:space="preserve"> </w:t>
      </w:r>
      <w:r w:rsidRPr="004262CA">
        <w:t>Date accessed: 19 February 2015.</w:t>
      </w:r>
    </w:p>
  </w:footnote>
  <w:footnote w:id="48">
    <w:p w:rsidR="00046792" w:rsidRPr="004262CA" w:rsidRDefault="00046792" w:rsidP="00E3771E">
      <w:pPr>
        <w:pStyle w:val="CPITNumberedParagraphText"/>
        <w:spacing w:after="0"/>
        <w:rPr>
          <w:sz w:val="20"/>
          <w:szCs w:val="20"/>
        </w:rPr>
      </w:pPr>
      <w:r w:rsidRPr="004262CA">
        <w:rPr>
          <w:rStyle w:val="FootnoteReference"/>
          <w:sz w:val="20"/>
          <w:szCs w:val="20"/>
        </w:rPr>
        <w:footnoteRef/>
      </w:r>
      <w:r w:rsidRPr="004262CA">
        <w:rPr>
          <w:sz w:val="20"/>
          <w:szCs w:val="20"/>
        </w:rPr>
        <w:t xml:space="preserve"> Amnesty International. ‘Urgent Action: Conscientious Objector Detained in Turkey,’ </w:t>
      </w:r>
      <w:r w:rsidR="00CD4C52">
        <w:rPr>
          <w:sz w:val="20"/>
          <w:szCs w:val="20"/>
        </w:rPr>
        <w:t xml:space="preserve">dated </w:t>
      </w:r>
      <w:r w:rsidRPr="004262CA">
        <w:rPr>
          <w:sz w:val="20"/>
          <w:szCs w:val="20"/>
        </w:rPr>
        <w:t xml:space="preserve">18 July 2013. </w:t>
      </w:r>
      <w:hyperlink r:id="rId47" w:history="1">
        <w:r w:rsidRPr="00EA12AA">
          <w:rPr>
            <w:rStyle w:val="Hyperlink"/>
            <w:rFonts w:eastAsiaTheme="majorEastAsia"/>
            <w:sz w:val="20"/>
            <w:szCs w:val="20"/>
          </w:rPr>
          <w:t>http://www.amnesty.org/en/library/asset/EUR44/018/2013/en/8bd99777-d7c2-4c3c-a344-eb6a1cb2e01b/eur440182013en.pdf</w:t>
        </w:r>
      </w:hyperlink>
      <w:r w:rsidRPr="004262CA">
        <w:rPr>
          <w:sz w:val="20"/>
          <w:szCs w:val="20"/>
        </w:rPr>
        <w:t xml:space="preserve"> Date accessed: 19 February 2015.</w:t>
      </w:r>
    </w:p>
  </w:footnote>
  <w:footnote w:id="49">
    <w:p w:rsidR="00046792" w:rsidRPr="004262CA" w:rsidRDefault="00046792" w:rsidP="00E3771E">
      <w:pPr>
        <w:pStyle w:val="CPITFootnoteLinks"/>
        <w:rPr>
          <w:rFonts w:cs="Arial"/>
        </w:rPr>
      </w:pPr>
      <w:r w:rsidRPr="004262CA">
        <w:rPr>
          <w:rStyle w:val="FootnoteReference"/>
          <w:rFonts w:cs="Arial"/>
        </w:rPr>
        <w:footnoteRef/>
      </w:r>
      <w:r w:rsidRPr="004262CA">
        <w:rPr>
          <w:rFonts w:cs="Arial"/>
        </w:rPr>
        <w:t xml:space="preserve"> Immigration and Refugee Board of Canada.</w:t>
      </w:r>
      <w:r w:rsidRPr="004262CA">
        <w:rPr>
          <w:rFonts w:cs="Arial"/>
          <w:shd w:val="clear" w:color="auto" w:fill="F9F9F9"/>
        </w:rPr>
        <w:t xml:space="preserve"> </w:t>
      </w:r>
      <w:r w:rsidRPr="004262CA">
        <w:rPr>
          <w:rFonts w:cs="Arial"/>
          <w:color w:val="000000"/>
          <w:shd w:val="clear" w:color="auto" w:fill="FFFFFF"/>
        </w:rPr>
        <w:t>Response to Information Requests</w:t>
      </w:r>
      <w:r w:rsidRPr="004262CA">
        <w:rPr>
          <w:rFonts w:cs="Arial"/>
          <w:shd w:val="clear" w:color="auto" w:fill="F9F9F9"/>
        </w:rPr>
        <w:t xml:space="preserve">, </w:t>
      </w:r>
      <w:r w:rsidRPr="004262CA">
        <w:rPr>
          <w:rFonts w:cs="Arial"/>
        </w:rPr>
        <w:t xml:space="preserve">4 June 2014, </w:t>
      </w:r>
      <w:r w:rsidRPr="004262CA">
        <w:rPr>
          <w:rFonts w:cs="Arial"/>
          <w:shd w:val="clear" w:color="auto" w:fill="F9F9F9"/>
        </w:rPr>
        <w:t xml:space="preserve">Ref: </w:t>
      </w:r>
      <w:r w:rsidRPr="004262CA">
        <w:rPr>
          <w:rStyle w:val="Strong"/>
          <w:rFonts w:cs="Arial"/>
          <w:b w:val="0"/>
          <w:shd w:val="clear" w:color="auto" w:fill="FFFFFF"/>
        </w:rPr>
        <w:t>TUR104876.E.</w:t>
      </w:r>
      <w:r w:rsidRPr="004262CA">
        <w:rPr>
          <w:rFonts w:cs="Arial"/>
          <w:shd w:val="clear" w:color="auto" w:fill="F9F9F9"/>
        </w:rPr>
        <w:t xml:space="preserve"> </w:t>
      </w:r>
      <w:hyperlink r:id="rId48" w:history="1">
        <w:r w:rsidRPr="00EA12AA">
          <w:rPr>
            <w:rStyle w:val="Hyperlink"/>
            <w:rFonts w:eastAsiaTheme="majorEastAsia"/>
          </w:rPr>
          <w:t>http://irb-cisr.gc.ca/Eng/ResRec/RirRdi/Pages/index.aspx?doc=455353&amp;pls=1</w:t>
        </w:r>
      </w:hyperlink>
      <w:r w:rsidRPr="004262CA">
        <w:rPr>
          <w:rFonts w:cs="Arial"/>
        </w:rPr>
        <w:t xml:space="preserve"> Date accessed: 19 February 2015.</w:t>
      </w:r>
    </w:p>
  </w:footnote>
  <w:footnote w:id="50">
    <w:p w:rsidR="00046792" w:rsidRPr="004262CA" w:rsidRDefault="00046792" w:rsidP="00E3771E">
      <w:pPr>
        <w:pStyle w:val="CPITFootnoteLinks"/>
        <w:rPr>
          <w:rFonts w:cs="Arial"/>
        </w:rPr>
      </w:pPr>
      <w:r w:rsidRPr="004262CA">
        <w:rPr>
          <w:rStyle w:val="FootnoteReference"/>
          <w:rFonts w:cs="Arial"/>
        </w:rPr>
        <w:footnoteRef/>
      </w:r>
      <w:r w:rsidRPr="004262CA">
        <w:rPr>
          <w:rFonts w:cs="Arial"/>
        </w:rPr>
        <w:t xml:space="preserve"> European Commission. 2014 </w:t>
      </w:r>
      <w:r w:rsidRPr="004262CA">
        <w:rPr>
          <w:rFonts w:cs="Arial"/>
          <w:iCs/>
        </w:rPr>
        <w:t xml:space="preserve">Progress Report on Turkey, 8 October 2014 </w:t>
      </w:r>
      <w:r w:rsidRPr="004262CA">
        <w:rPr>
          <w:rFonts w:cs="Arial"/>
        </w:rPr>
        <w:t>(page 55)</w:t>
      </w:r>
      <w:r w:rsidRPr="004262CA">
        <w:rPr>
          <w:rFonts w:cs="Arial"/>
          <w:color w:val="3F3F3F"/>
          <w:shd w:val="clear" w:color="auto" w:fill="F9F9F9"/>
        </w:rPr>
        <w:t>.</w:t>
      </w:r>
      <w:r w:rsidRPr="004262CA">
        <w:rPr>
          <w:rFonts w:cs="Arial"/>
        </w:rPr>
        <w:t xml:space="preserve"> </w:t>
      </w:r>
      <w:hyperlink r:id="rId49" w:history="1">
        <w:r w:rsidRPr="00014790">
          <w:rPr>
            <w:rStyle w:val="Hyperlink"/>
            <w:rFonts w:eastAsiaTheme="majorEastAsia"/>
          </w:rPr>
          <w:t>http://ec.europa.eu/enlargement/pdf/key_documents/2014/20141008-turkey-progress-report_en.pdf</w:t>
        </w:r>
      </w:hyperlink>
      <w:r w:rsidRPr="00014790">
        <w:rPr>
          <w:rStyle w:val="Hyperlink"/>
        </w:rPr>
        <w:t xml:space="preserve"> </w:t>
      </w:r>
      <w:r w:rsidRPr="004262CA">
        <w:rPr>
          <w:rFonts w:cs="Arial"/>
        </w:rPr>
        <w:t>Date accessed: 17 February 2015.</w:t>
      </w:r>
    </w:p>
  </w:footnote>
  <w:footnote w:id="51">
    <w:p w:rsidR="00046792" w:rsidRPr="005607EE" w:rsidRDefault="00046792" w:rsidP="00D530A2">
      <w:pPr>
        <w:spacing w:after="0"/>
        <w:rPr>
          <w:sz w:val="20"/>
          <w:szCs w:val="20"/>
        </w:rPr>
      </w:pPr>
      <w:r w:rsidRPr="004262CA">
        <w:rPr>
          <w:rStyle w:val="FootnoteReference"/>
          <w:sz w:val="20"/>
          <w:szCs w:val="20"/>
        </w:rPr>
        <w:footnoteRef/>
      </w:r>
      <w:r w:rsidRPr="004262CA">
        <w:rPr>
          <w:sz w:val="20"/>
          <w:szCs w:val="20"/>
        </w:rPr>
        <w:t xml:space="preserve"> Hurriyet Daily News. ‘Turkish military court sentences conscientious objector to 15 months despite ECHR ruling</w:t>
      </w:r>
      <w:r w:rsidRPr="004262CA">
        <w:rPr>
          <w:iCs/>
          <w:sz w:val="20"/>
          <w:szCs w:val="20"/>
        </w:rPr>
        <w:t>,</w:t>
      </w:r>
      <w:r w:rsidR="00014790">
        <w:rPr>
          <w:iCs/>
          <w:sz w:val="20"/>
          <w:szCs w:val="20"/>
        </w:rPr>
        <w:t>’ dated</w:t>
      </w:r>
      <w:r w:rsidRPr="004262CA">
        <w:rPr>
          <w:iCs/>
          <w:sz w:val="20"/>
          <w:szCs w:val="20"/>
        </w:rPr>
        <w:t xml:space="preserve"> 11 February 2015.  </w:t>
      </w:r>
      <w:hyperlink r:id="rId50" w:history="1">
        <w:r w:rsidRPr="00014790">
          <w:rPr>
            <w:rStyle w:val="Hyperlink"/>
            <w:sz w:val="20"/>
            <w:szCs w:val="20"/>
          </w:rPr>
          <w:t>http://www.hurriyetdailynews.com/turkish-military-court-sentences-conscientious-objector-to-15-months-despite-echr-ruling.aspx?pageID=238&amp;nID=78208&amp;NewsCatID=339</w:t>
        </w:r>
      </w:hyperlink>
      <w:r w:rsidRPr="005607EE">
        <w:rPr>
          <w:sz w:val="20"/>
          <w:szCs w:val="20"/>
        </w:rPr>
        <w:t xml:space="preserve"> Date accessed: 17 February 2015.</w:t>
      </w:r>
    </w:p>
  </w:footnote>
  <w:footnote w:id="52">
    <w:p w:rsidR="00046792" w:rsidRPr="005607EE" w:rsidRDefault="00046792" w:rsidP="00E3771E">
      <w:pPr>
        <w:pStyle w:val="NormalWeb"/>
        <w:shd w:val="clear" w:color="auto" w:fill="FFFFFF"/>
        <w:spacing w:after="0" w:line="240" w:lineRule="auto"/>
        <w:jc w:val="left"/>
        <w:rPr>
          <w:rFonts w:ascii="Arial" w:hAnsi="Arial" w:cs="Arial"/>
          <w:color w:val="111111"/>
          <w:sz w:val="20"/>
          <w:szCs w:val="20"/>
        </w:rPr>
      </w:pPr>
      <w:r w:rsidRPr="005607EE">
        <w:rPr>
          <w:rStyle w:val="FootnoteReference"/>
          <w:rFonts w:ascii="Arial" w:hAnsi="Arial" w:cs="Arial"/>
          <w:sz w:val="20"/>
          <w:szCs w:val="20"/>
        </w:rPr>
        <w:footnoteRef/>
      </w:r>
      <w:r w:rsidRPr="005607EE">
        <w:rPr>
          <w:rFonts w:ascii="Arial" w:hAnsi="Arial" w:cs="Arial"/>
          <w:sz w:val="20"/>
          <w:szCs w:val="20"/>
        </w:rPr>
        <w:t xml:space="preserve"> Amnesty International. ‘</w:t>
      </w:r>
      <w:r w:rsidRPr="005607EE">
        <w:rPr>
          <w:rFonts w:ascii="Arial" w:hAnsi="Arial" w:cs="Arial"/>
          <w:bCs/>
          <w:color w:val="111111"/>
          <w:sz w:val="20"/>
          <w:szCs w:val="20"/>
        </w:rPr>
        <w:t>Turkey: Time to recognise right to conscientious objection</w:t>
      </w:r>
      <w:r w:rsidRPr="005607EE">
        <w:rPr>
          <w:rFonts w:ascii="Arial" w:hAnsi="Arial" w:cs="Arial"/>
          <w:iCs/>
          <w:sz w:val="20"/>
          <w:szCs w:val="20"/>
        </w:rPr>
        <w:t xml:space="preserve">,’ </w:t>
      </w:r>
      <w:r w:rsidR="001700D1">
        <w:rPr>
          <w:rFonts w:ascii="Arial" w:hAnsi="Arial" w:cs="Arial"/>
          <w:iCs/>
          <w:sz w:val="20"/>
          <w:szCs w:val="20"/>
        </w:rPr>
        <w:t xml:space="preserve">dated </w:t>
      </w:r>
      <w:r w:rsidRPr="005607EE">
        <w:rPr>
          <w:rFonts w:ascii="Arial" w:hAnsi="Arial" w:cs="Arial"/>
          <w:iCs/>
          <w:sz w:val="20"/>
          <w:szCs w:val="20"/>
        </w:rPr>
        <w:t xml:space="preserve">12 June 2012.  </w:t>
      </w:r>
      <w:hyperlink r:id="rId51" w:history="1">
        <w:r w:rsidRPr="00014790">
          <w:rPr>
            <w:rStyle w:val="Hyperlink"/>
            <w:rFonts w:ascii="Arial" w:eastAsiaTheme="majorEastAsia" w:hAnsi="Arial" w:cs="Arial"/>
            <w:sz w:val="20"/>
            <w:szCs w:val="20"/>
          </w:rPr>
          <w:t>http://www.amnesty.org/en/library/asset/EUR44/010/2012/en/17b8ac95-5b00-4523-b520-771a09c28d74/eur440102012en.html</w:t>
        </w:r>
      </w:hyperlink>
      <w:r w:rsidRPr="005607EE">
        <w:rPr>
          <w:rFonts w:ascii="Arial" w:hAnsi="Arial" w:cs="Arial"/>
          <w:sz w:val="20"/>
          <w:szCs w:val="20"/>
        </w:rPr>
        <w:t xml:space="preserve"> Date accessed: 19 February 2015.</w:t>
      </w:r>
    </w:p>
  </w:footnote>
  <w:footnote w:id="53">
    <w:p w:rsidR="00046792" w:rsidRPr="005607EE" w:rsidRDefault="00046792" w:rsidP="00A55DD4">
      <w:pPr>
        <w:spacing w:after="0"/>
        <w:rPr>
          <w:sz w:val="20"/>
          <w:szCs w:val="20"/>
        </w:rPr>
      </w:pPr>
      <w:r w:rsidRPr="005607EE">
        <w:rPr>
          <w:rStyle w:val="FootnoteReference"/>
          <w:sz w:val="20"/>
          <w:szCs w:val="20"/>
        </w:rPr>
        <w:footnoteRef/>
      </w:r>
      <w:r w:rsidRPr="005607EE">
        <w:rPr>
          <w:sz w:val="20"/>
          <w:szCs w:val="20"/>
        </w:rPr>
        <w:t xml:space="preserve"> European Commission. 2014 </w:t>
      </w:r>
      <w:r w:rsidRPr="005607EE">
        <w:rPr>
          <w:iCs/>
          <w:sz w:val="20"/>
          <w:szCs w:val="20"/>
        </w:rPr>
        <w:t>Progress Report on Turkey,</w:t>
      </w:r>
      <w:r w:rsidR="001700D1">
        <w:rPr>
          <w:iCs/>
          <w:sz w:val="20"/>
          <w:szCs w:val="20"/>
        </w:rPr>
        <w:t xml:space="preserve"> dated</w:t>
      </w:r>
      <w:r w:rsidRPr="005607EE">
        <w:rPr>
          <w:iCs/>
          <w:sz w:val="20"/>
          <w:szCs w:val="20"/>
        </w:rPr>
        <w:t xml:space="preserve"> 8 October 2014  </w:t>
      </w:r>
      <w:r w:rsidRPr="005607EE">
        <w:rPr>
          <w:sz w:val="20"/>
          <w:szCs w:val="20"/>
        </w:rPr>
        <w:t>(page 56)</w:t>
      </w:r>
      <w:r w:rsidRPr="005607EE">
        <w:rPr>
          <w:color w:val="3F3F3F"/>
          <w:sz w:val="20"/>
          <w:szCs w:val="20"/>
          <w:shd w:val="clear" w:color="auto" w:fill="F9F9F9"/>
        </w:rPr>
        <w:t>.</w:t>
      </w:r>
      <w:r w:rsidRPr="005607EE">
        <w:rPr>
          <w:sz w:val="20"/>
          <w:szCs w:val="20"/>
        </w:rPr>
        <w:t xml:space="preserve"> </w:t>
      </w:r>
      <w:hyperlink r:id="rId52" w:history="1">
        <w:r w:rsidRPr="00014790">
          <w:rPr>
            <w:rStyle w:val="Hyperlink"/>
            <w:sz w:val="20"/>
            <w:szCs w:val="20"/>
          </w:rPr>
          <w:t>http://ec.europa.eu/enlargement/pdf/key_documents/2014/20141008-turkey-progress-report_en.pdf</w:t>
        </w:r>
      </w:hyperlink>
      <w:r w:rsidRPr="005607EE">
        <w:rPr>
          <w:sz w:val="20"/>
          <w:szCs w:val="20"/>
        </w:rPr>
        <w:t xml:space="preserve"> Date accessed: 20 July 2015.</w:t>
      </w:r>
    </w:p>
  </w:footnote>
  <w:footnote w:id="54">
    <w:p w:rsidR="00046792" w:rsidRPr="005607EE" w:rsidRDefault="00046792" w:rsidP="00E3771E">
      <w:pPr>
        <w:pStyle w:val="CPITFootnoteLinks"/>
        <w:rPr>
          <w:rFonts w:cs="Arial"/>
        </w:rPr>
      </w:pPr>
      <w:r w:rsidRPr="005607EE">
        <w:rPr>
          <w:rStyle w:val="FootnoteReference"/>
          <w:rFonts w:cs="Arial"/>
        </w:rPr>
        <w:footnoteRef/>
      </w:r>
      <w:r w:rsidRPr="005607EE">
        <w:rPr>
          <w:rFonts w:cs="Arial"/>
        </w:rPr>
        <w:t xml:space="preserve"> Immigration and Refugee Board of Canada.</w:t>
      </w:r>
      <w:r w:rsidRPr="005607EE">
        <w:rPr>
          <w:rFonts w:cs="Arial"/>
          <w:shd w:val="clear" w:color="auto" w:fill="F9F9F9"/>
        </w:rPr>
        <w:t xml:space="preserve"> </w:t>
      </w:r>
      <w:r w:rsidRPr="005607EE">
        <w:rPr>
          <w:rFonts w:cs="Arial"/>
          <w:color w:val="000000"/>
          <w:shd w:val="clear" w:color="auto" w:fill="FFFFFF"/>
        </w:rPr>
        <w:t>Response to Information Requests</w:t>
      </w:r>
      <w:r w:rsidRPr="005607EE">
        <w:rPr>
          <w:rFonts w:cs="Arial"/>
          <w:shd w:val="clear" w:color="auto" w:fill="F9F9F9"/>
        </w:rPr>
        <w:t xml:space="preserve">, </w:t>
      </w:r>
      <w:r w:rsidRPr="005607EE">
        <w:rPr>
          <w:rFonts w:cs="Arial"/>
        </w:rPr>
        <w:t xml:space="preserve">4 June 2014, </w:t>
      </w:r>
      <w:r w:rsidRPr="005607EE">
        <w:rPr>
          <w:rFonts w:cs="Arial"/>
          <w:shd w:val="clear" w:color="auto" w:fill="F9F9F9"/>
        </w:rPr>
        <w:t xml:space="preserve">Ref: </w:t>
      </w:r>
      <w:r w:rsidRPr="005607EE">
        <w:rPr>
          <w:rStyle w:val="Strong"/>
          <w:rFonts w:cs="Arial"/>
          <w:b w:val="0"/>
          <w:shd w:val="clear" w:color="auto" w:fill="FFFFFF"/>
        </w:rPr>
        <w:t>TUR104876.E.</w:t>
      </w:r>
      <w:r w:rsidRPr="005607EE">
        <w:rPr>
          <w:rFonts w:cs="Arial"/>
          <w:shd w:val="clear" w:color="auto" w:fill="F9F9F9"/>
        </w:rPr>
        <w:t xml:space="preserve"> </w:t>
      </w:r>
      <w:hyperlink r:id="rId53" w:history="1">
        <w:r w:rsidRPr="00F74E73">
          <w:rPr>
            <w:rStyle w:val="Hyperlink"/>
            <w:rFonts w:eastAsiaTheme="majorEastAsia"/>
          </w:rPr>
          <w:t>http://irb-cisr.gc.ca/Eng/ResRec/RirRdi/Pages/index.aspx?doc=455353&amp;pls=1</w:t>
        </w:r>
      </w:hyperlink>
      <w:r w:rsidRPr="005607EE">
        <w:rPr>
          <w:rFonts w:cs="Arial"/>
        </w:rPr>
        <w:t xml:space="preserve"> Date accessed: 17 February 2015.</w:t>
      </w:r>
    </w:p>
  </w:footnote>
  <w:footnote w:id="55">
    <w:p w:rsidR="00046792" w:rsidRPr="005607EE" w:rsidRDefault="00046792" w:rsidP="00D530A2">
      <w:pPr>
        <w:pStyle w:val="CPITFootnoteLinks"/>
        <w:rPr>
          <w:rFonts w:cs="Arial"/>
        </w:rPr>
      </w:pPr>
      <w:r w:rsidRPr="005607EE">
        <w:rPr>
          <w:rStyle w:val="FootnoteReference"/>
          <w:rFonts w:cs="Arial"/>
        </w:rPr>
        <w:footnoteRef/>
      </w:r>
      <w:r w:rsidRPr="005607EE">
        <w:rPr>
          <w:rFonts w:cs="Arial"/>
        </w:rPr>
        <w:t xml:space="preserve"> Immigration and Refugee Board of Canada.</w:t>
      </w:r>
      <w:r w:rsidRPr="005607EE">
        <w:rPr>
          <w:rFonts w:cs="Arial"/>
          <w:shd w:val="clear" w:color="auto" w:fill="F9F9F9"/>
        </w:rPr>
        <w:t xml:space="preserve"> </w:t>
      </w:r>
      <w:r w:rsidRPr="005607EE">
        <w:rPr>
          <w:rFonts w:cs="Arial"/>
          <w:color w:val="000000"/>
          <w:shd w:val="clear" w:color="auto" w:fill="FFFFFF"/>
        </w:rPr>
        <w:t>Response to Information Requests</w:t>
      </w:r>
      <w:r w:rsidRPr="005607EE">
        <w:rPr>
          <w:rFonts w:cs="Arial"/>
          <w:shd w:val="clear" w:color="auto" w:fill="F9F9F9"/>
        </w:rPr>
        <w:t xml:space="preserve">, </w:t>
      </w:r>
      <w:r w:rsidRPr="005607EE">
        <w:rPr>
          <w:rFonts w:cs="Arial"/>
        </w:rPr>
        <w:t xml:space="preserve">4 June 2014, </w:t>
      </w:r>
      <w:r w:rsidRPr="005607EE">
        <w:rPr>
          <w:rFonts w:cs="Arial"/>
          <w:shd w:val="clear" w:color="auto" w:fill="F9F9F9"/>
        </w:rPr>
        <w:t xml:space="preserve">Ref: </w:t>
      </w:r>
      <w:r w:rsidRPr="005607EE">
        <w:rPr>
          <w:rStyle w:val="Strong"/>
          <w:rFonts w:cs="Arial"/>
          <w:b w:val="0"/>
          <w:shd w:val="clear" w:color="auto" w:fill="FFFFFF"/>
        </w:rPr>
        <w:t>TUR104876.E.</w:t>
      </w:r>
      <w:r w:rsidRPr="005607EE">
        <w:rPr>
          <w:rFonts w:cs="Arial"/>
          <w:shd w:val="clear" w:color="auto" w:fill="F9F9F9"/>
        </w:rPr>
        <w:t xml:space="preserve"> </w:t>
      </w:r>
      <w:hyperlink r:id="rId54" w:history="1">
        <w:r w:rsidRPr="00F74E73">
          <w:rPr>
            <w:rStyle w:val="Hyperlink"/>
            <w:rFonts w:eastAsiaTheme="majorEastAsia"/>
          </w:rPr>
          <w:t>http://irb-cisr.gc.ca/Eng/ResRec/RirRdi/Pages/index.aspx?doc=455353&amp;pls=1</w:t>
        </w:r>
      </w:hyperlink>
      <w:r w:rsidRPr="00F74E73">
        <w:rPr>
          <w:rStyle w:val="Hyperlink"/>
          <w:u w:val="none"/>
        </w:rPr>
        <w:t xml:space="preserve"> </w:t>
      </w:r>
      <w:r w:rsidRPr="005607EE">
        <w:rPr>
          <w:rFonts w:cs="Arial"/>
        </w:rPr>
        <w:t>Date accessed: 17 February 2015.</w:t>
      </w:r>
    </w:p>
  </w:footnote>
  <w:footnote w:id="56">
    <w:p w:rsidR="00046792" w:rsidRPr="005607EE" w:rsidRDefault="00046792" w:rsidP="00E3771E">
      <w:pPr>
        <w:pStyle w:val="CPITFootnoteLinks"/>
        <w:rPr>
          <w:rFonts w:cs="Arial"/>
        </w:rPr>
      </w:pPr>
      <w:r w:rsidRPr="005607EE">
        <w:rPr>
          <w:rStyle w:val="FootnoteReference"/>
          <w:rFonts w:cs="Arial"/>
        </w:rPr>
        <w:footnoteRef/>
      </w:r>
      <w:r w:rsidRPr="005607EE">
        <w:rPr>
          <w:rFonts w:cs="Arial"/>
        </w:rPr>
        <w:t xml:space="preserve"> European Commission. 2014 </w:t>
      </w:r>
      <w:r w:rsidRPr="005607EE">
        <w:rPr>
          <w:rFonts w:cs="Arial"/>
          <w:iCs/>
        </w:rPr>
        <w:t xml:space="preserve">Progress Report on Turkey, 8 October 2014  </w:t>
      </w:r>
      <w:r w:rsidRPr="005607EE">
        <w:rPr>
          <w:rFonts w:cs="Arial"/>
        </w:rPr>
        <w:t>(page 12)</w:t>
      </w:r>
      <w:r w:rsidRPr="005607EE">
        <w:rPr>
          <w:rFonts w:cs="Arial"/>
          <w:color w:val="3F3F3F"/>
          <w:shd w:val="clear" w:color="auto" w:fill="F9F9F9"/>
        </w:rPr>
        <w:t>.</w:t>
      </w:r>
      <w:r w:rsidRPr="005607EE">
        <w:rPr>
          <w:rFonts w:cs="Arial"/>
        </w:rPr>
        <w:t xml:space="preserve"> </w:t>
      </w:r>
      <w:hyperlink r:id="rId55" w:history="1">
        <w:r w:rsidRPr="00F74E73">
          <w:rPr>
            <w:rStyle w:val="Hyperlink"/>
            <w:rFonts w:eastAsiaTheme="majorEastAsia"/>
          </w:rPr>
          <w:t>http://ec.europa.eu/enlargement/pdf/key_documents/2014/20141008-turkey-progress-report_en.pdf</w:t>
        </w:r>
      </w:hyperlink>
      <w:r w:rsidRPr="005607EE">
        <w:rPr>
          <w:rFonts w:cs="Arial"/>
        </w:rPr>
        <w:t xml:space="preserve"> Date accessed: 17 February 2015.</w:t>
      </w:r>
    </w:p>
  </w:footnote>
  <w:footnote w:id="57">
    <w:p w:rsidR="00046792" w:rsidRPr="00611B7A" w:rsidRDefault="00046792" w:rsidP="00E3771E">
      <w:pPr>
        <w:pStyle w:val="CPITFootnoteLinks"/>
        <w:rPr>
          <w:rFonts w:cs="Arial"/>
        </w:rPr>
      </w:pPr>
      <w:r w:rsidRPr="00611B7A">
        <w:rPr>
          <w:rStyle w:val="FootnoteReference"/>
          <w:rFonts w:cs="Arial"/>
        </w:rPr>
        <w:footnoteRef/>
      </w:r>
      <w:r w:rsidRPr="00611B7A">
        <w:rPr>
          <w:rFonts w:cs="Arial"/>
        </w:rPr>
        <w:t xml:space="preserve"> European Commission. 2014 </w:t>
      </w:r>
      <w:r w:rsidRPr="00611B7A">
        <w:rPr>
          <w:rFonts w:cs="Arial"/>
          <w:iCs/>
        </w:rPr>
        <w:t xml:space="preserve">Progress Report on Turkey, 8 October 2014  </w:t>
      </w:r>
      <w:r w:rsidRPr="00611B7A">
        <w:rPr>
          <w:rFonts w:cs="Arial"/>
        </w:rPr>
        <w:t>(page 50)</w:t>
      </w:r>
      <w:r w:rsidRPr="00611B7A">
        <w:rPr>
          <w:rFonts w:cs="Arial"/>
          <w:color w:val="3F3F3F"/>
          <w:shd w:val="clear" w:color="auto" w:fill="F9F9F9"/>
        </w:rPr>
        <w:t>.</w:t>
      </w:r>
      <w:r w:rsidRPr="00611B7A">
        <w:rPr>
          <w:rFonts w:cs="Arial"/>
        </w:rPr>
        <w:t xml:space="preserve"> </w:t>
      </w:r>
      <w:hyperlink r:id="rId56" w:history="1">
        <w:r w:rsidRPr="00F74E73">
          <w:rPr>
            <w:rStyle w:val="Hyperlink"/>
            <w:rFonts w:eastAsiaTheme="majorEastAsia"/>
          </w:rPr>
          <w:t>http://ec.europa.eu/enlargement/pdf/key_documents/2014/20141008-turkey-progress-report_en.pdf</w:t>
        </w:r>
      </w:hyperlink>
      <w:r w:rsidRPr="00611B7A">
        <w:rPr>
          <w:rFonts w:cs="Arial"/>
        </w:rPr>
        <w:t xml:space="preserve"> Date accessed: 17 February 2015. </w:t>
      </w:r>
    </w:p>
  </w:footnote>
  <w:footnote w:id="58">
    <w:p w:rsidR="00046792" w:rsidRPr="00611B7A" w:rsidRDefault="00046792" w:rsidP="00E3771E">
      <w:pPr>
        <w:pStyle w:val="CPITFootnoteLinks"/>
      </w:pPr>
      <w:r w:rsidRPr="00611B7A">
        <w:rPr>
          <w:rStyle w:val="FootnoteReference"/>
          <w:rFonts w:cs="Arial"/>
        </w:rPr>
        <w:footnoteRef/>
      </w:r>
      <w:r w:rsidRPr="00611B7A">
        <w:rPr>
          <w:rFonts w:cs="Arial"/>
        </w:rPr>
        <w:t xml:space="preserve"> European Commission. 2014 </w:t>
      </w:r>
      <w:r w:rsidRPr="00611B7A">
        <w:rPr>
          <w:rFonts w:cs="Arial"/>
          <w:iCs/>
        </w:rPr>
        <w:t xml:space="preserve">Progress Report on Turkey, 8 October 2014 </w:t>
      </w:r>
      <w:r w:rsidRPr="00611B7A">
        <w:rPr>
          <w:rFonts w:cs="Arial"/>
        </w:rPr>
        <w:t>(page 50)</w:t>
      </w:r>
      <w:r w:rsidRPr="00611B7A">
        <w:rPr>
          <w:rFonts w:cs="Arial"/>
          <w:color w:val="3F3F3F"/>
          <w:shd w:val="clear" w:color="auto" w:fill="F9F9F9"/>
        </w:rPr>
        <w:t>.</w:t>
      </w:r>
      <w:r w:rsidRPr="00611B7A">
        <w:rPr>
          <w:rFonts w:cs="Arial"/>
        </w:rPr>
        <w:t xml:space="preserve"> </w:t>
      </w:r>
      <w:r w:rsidRPr="00611B7A">
        <w:rPr>
          <w:rFonts w:cs="Arial"/>
          <w:iCs/>
        </w:rPr>
        <w:t xml:space="preserve"> </w:t>
      </w:r>
      <w:hyperlink r:id="rId57" w:history="1">
        <w:r w:rsidRPr="00F74E73">
          <w:rPr>
            <w:rStyle w:val="Hyperlink"/>
            <w:rFonts w:eastAsiaTheme="majorEastAsia"/>
          </w:rPr>
          <w:t>http://ec.europa.eu/enlargement/pdf/key_documents/2014/20141008-turkey-progress-report_en.pdf</w:t>
        </w:r>
      </w:hyperlink>
      <w:r w:rsidRPr="00F74E73">
        <w:rPr>
          <w:rStyle w:val="Hyperlink"/>
        </w:rPr>
        <w:t xml:space="preserve"> </w:t>
      </w:r>
      <w:r w:rsidRPr="00611B7A">
        <w:rPr>
          <w:rFonts w:cs="Arial"/>
        </w:rPr>
        <w:t>Date accessed: 17 February 2015.</w:t>
      </w:r>
    </w:p>
  </w:footnote>
  <w:footnote w:id="59">
    <w:p w:rsidR="00046792" w:rsidRPr="00611B7A" w:rsidRDefault="00046792" w:rsidP="00C91D3C">
      <w:pPr>
        <w:spacing w:after="0"/>
        <w:rPr>
          <w:sz w:val="20"/>
          <w:szCs w:val="20"/>
        </w:rPr>
      </w:pPr>
      <w:r w:rsidRPr="00611B7A">
        <w:rPr>
          <w:rStyle w:val="FootnoteReference"/>
          <w:sz w:val="20"/>
          <w:szCs w:val="20"/>
        </w:rPr>
        <w:footnoteRef/>
      </w:r>
      <w:r w:rsidRPr="00611B7A">
        <w:rPr>
          <w:sz w:val="20"/>
          <w:szCs w:val="20"/>
        </w:rPr>
        <w:t xml:space="preserve"> US Department of State. Country Reports on Human Rights Practices for 2014; Turkey</w:t>
      </w:r>
      <w:r w:rsidRPr="00611B7A">
        <w:rPr>
          <w:color w:val="000000"/>
          <w:sz w:val="20"/>
          <w:szCs w:val="20"/>
        </w:rPr>
        <w:t xml:space="preserve"> (Section 1c. Prison and Detention Center Conditions),</w:t>
      </w:r>
      <w:r w:rsidRPr="00611B7A">
        <w:rPr>
          <w:sz w:val="20"/>
          <w:szCs w:val="20"/>
        </w:rPr>
        <w:t xml:space="preserve"> published 25 June 2015.</w:t>
      </w:r>
      <w:r w:rsidRPr="00611B7A">
        <w:rPr>
          <w:rStyle w:val="COI-Link-Margin"/>
          <w:sz w:val="20"/>
          <w:szCs w:val="20"/>
        </w:rPr>
        <w:t xml:space="preserve"> </w:t>
      </w:r>
      <w:hyperlink r:id="rId58" w:history="1">
        <w:r w:rsidRPr="00F74E73">
          <w:rPr>
            <w:rStyle w:val="Hyperlink"/>
            <w:color w:val="0070C0"/>
            <w:sz w:val="20"/>
            <w:szCs w:val="20"/>
          </w:rPr>
          <w:t>http://www.state.gov/j/drl/rls/hrrpt/humanrightsreport/index.htm?year=2014&amp;dlid=236586</w:t>
        </w:r>
      </w:hyperlink>
      <w:r w:rsidRPr="00611B7A">
        <w:rPr>
          <w:sz w:val="20"/>
          <w:szCs w:val="20"/>
        </w:rPr>
        <w:t xml:space="preserve"> Date accessed: 20 July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C6E" w:rsidRDefault="00140C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99563" o:spid="_x0000_s14339" type="#_x0000_t136" style="position:absolute;margin-left:0;margin-top:0;width:595.05pt;height:41pt;rotation:315;z-index:-251652096;mso-position-horizontal:center;mso-position-horizontal-relative:margin;mso-position-vertical:center;mso-position-vertical-relative:margin" o:allowincell="f" fillcolor="silver" stroked="f">
          <v:fill opacity=".5"/>
          <v:textpath style="font-family:&quot;Arial&quot;;font-size:1pt" string="NOW UPDATED - DO NOT US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792" w:rsidRDefault="00140C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99564" o:spid="_x0000_s14340" type="#_x0000_t136" style="position:absolute;margin-left:0;margin-top:0;width:595.05pt;height:41pt;rotation:315;z-index:-251650048;mso-position-horizontal:center;mso-position-horizontal-relative:margin;mso-position-vertical:center;mso-position-vertical-relative:margin" o:allowincell="f" fillcolor="silver" stroked="f">
          <v:fill opacity=".5"/>
          <v:textpath style="font-family:&quot;Arial&quot;;font-size:1pt" string="NOW UPDATED - DO NOT USE."/>
        </v:shape>
      </w:pict>
    </w:r>
    <w:r w:rsidR="0027641F">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97888"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rsidR="00046792" w:rsidRDefault="000467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792" w:rsidRDefault="00140C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99562" o:spid="_x0000_s14338" type="#_x0000_t136" style="position:absolute;margin-left:0;margin-top:0;width:595.05pt;height:41pt;rotation:315;z-index:-251654144;mso-position-horizontal:center;mso-position-horizontal-relative:margin;mso-position-vertical:center;mso-position-vertical-relative:margin" o:allowincell="f" fillcolor="silver" stroked="f">
          <v:fill opacity=".5"/>
          <v:textpath style="font-family:&quot;Arial&quot;;font-size:1pt" string="NOW UPDATED - DO NOT USE."/>
        </v:shape>
      </w:pict>
    </w:r>
  </w:p>
  <w:p w:rsidR="00046792" w:rsidRDefault="00046792">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pPr>
      <w:pStyle w:val="Header"/>
    </w:pPr>
  </w:p>
  <w:p w:rsidR="00046792" w:rsidRDefault="000467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1871"/>
    <w:multiLevelType w:val="multilevel"/>
    <w:tmpl w:val="9C12D1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241E473B"/>
    <w:multiLevelType w:val="multilevel"/>
    <w:tmpl w:val="4D681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6B5EC9"/>
    <w:multiLevelType w:val="hybridMultilevel"/>
    <w:tmpl w:val="BA0ABF4C"/>
    <w:lvl w:ilvl="0" w:tplc="68E6CF8A">
      <w:start w:val="1"/>
      <w:numFmt w:val="decimal"/>
      <w:pStyle w:val="CPITIssuetoConsider"/>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247F02"/>
    <w:multiLevelType w:val="multilevel"/>
    <w:tmpl w:val="6C8E0C1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F1B6360"/>
    <w:multiLevelType w:val="hybridMultilevel"/>
    <w:tmpl w:val="0E4CE7FC"/>
    <w:lvl w:ilvl="0" w:tplc="5D26CFA0">
      <w:start w:val="1"/>
      <w:numFmt w:val="lowerLetter"/>
      <w:lvlText w:val="(%1)"/>
      <w:lvlJc w:val="left"/>
      <w:pPr>
        <w:ind w:left="2640" w:hanging="360"/>
      </w:pPr>
      <w:rPr>
        <w:rFonts w:hint="default"/>
      </w:rPr>
    </w:lvl>
    <w:lvl w:ilvl="1" w:tplc="08090019" w:tentative="1">
      <w:start w:val="1"/>
      <w:numFmt w:val="lowerLetter"/>
      <w:lvlText w:val="%2."/>
      <w:lvlJc w:val="left"/>
      <w:pPr>
        <w:ind w:left="3360" w:hanging="360"/>
      </w:pPr>
    </w:lvl>
    <w:lvl w:ilvl="2" w:tplc="0809001B" w:tentative="1">
      <w:start w:val="1"/>
      <w:numFmt w:val="lowerRoman"/>
      <w:lvlText w:val="%3."/>
      <w:lvlJc w:val="right"/>
      <w:pPr>
        <w:ind w:left="4080" w:hanging="180"/>
      </w:pPr>
    </w:lvl>
    <w:lvl w:ilvl="3" w:tplc="0809000F" w:tentative="1">
      <w:start w:val="1"/>
      <w:numFmt w:val="decimal"/>
      <w:lvlText w:val="%4."/>
      <w:lvlJc w:val="left"/>
      <w:pPr>
        <w:ind w:left="4800" w:hanging="360"/>
      </w:pPr>
    </w:lvl>
    <w:lvl w:ilvl="4" w:tplc="08090019" w:tentative="1">
      <w:start w:val="1"/>
      <w:numFmt w:val="lowerLetter"/>
      <w:lvlText w:val="%5."/>
      <w:lvlJc w:val="left"/>
      <w:pPr>
        <w:ind w:left="5520" w:hanging="360"/>
      </w:pPr>
    </w:lvl>
    <w:lvl w:ilvl="5" w:tplc="0809001B" w:tentative="1">
      <w:start w:val="1"/>
      <w:numFmt w:val="lowerRoman"/>
      <w:lvlText w:val="%6."/>
      <w:lvlJc w:val="right"/>
      <w:pPr>
        <w:ind w:left="6240" w:hanging="180"/>
      </w:pPr>
    </w:lvl>
    <w:lvl w:ilvl="6" w:tplc="0809000F" w:tentative="1">
      <w:start w:val="1"/>
      <w:numFmt w:val="decimal"/>
      <w:lvlText w:val="%7."/>
      <w:lvlJc w:val="left"/>
      <w:pPr>
        <w:ind w:left="6960" w:hanging="360"/>
      </w:pPr>
    </w:lvl>
    <w:lvl w:ilvl="7" w:tplc="08090019" w:tentative="1">
      <w:start w:val="1"/>
      <w:numFmt w:val="lowerLetter"/>
      <w:lvlText w:val="%8."/>
      <w:lvlJc w:val="left"/>
      <w:pPr>
        <w:ind w:left="7680" w:hanging="360"/>
      </w:pPr>
    </w:lvl>
    <w:lvl w:ilvl="8" w:tplc="0809001B" w:tentative="1">
      <w:start w:val="1"/>
      <w:numFmt w:val="lowerRoman"/>
      <w:lvlText w:val="%9."/>
      <w:lvlJc w:val="right"/>
      <w:pPr>
        <w:ind w:left="8400" w:hanging="180"/>
      </w:pPr>
    </w:lvl>
  </w:abstractNum>
  <w:abstractNum w:abstractNumId="6" w15:restartNumberingAfterBreak="0">
    <w:nsid w:val="34DD3831"/>
    <w:multiLevelType w:val="hybridMultilevel"/>
    <w:tmpl w:val="C436C2D4"/>
    <w:lvl w:ilvl="0" w:tplc="08090001">
      <w:start w:val="1"/>
      <w:numFmt w:val="bullet"/>
      <w:lvlText w:val=""/>
      <w:lvlJc w:val="left"/>
      <w:pPr>
        <w:ind w:left="1080" w:hanging="360"/>
      </w:pPr>
      <w:rPr>
        <w:rFonts w:ascii="Symbol" w:hAnsi="Symbol" w:hint="default"/>
        <w:color w:val="7030A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F52B04"/>
    <w:multiLevelType w:val="hybridMultilevel"/>
    <w:tmpl w:val="E236F052"/>
    <w:lvl w:ilvl="0" w:tplc="BC523C46">
      <w:start w:val="1"/>
      <w:numFmt w:val="bullet"/>
      <w:lvlText w:val=""/>
      <w:lvlJc w:val="left"/>
      <w:pPr>
        <w:ind w:left="1069" w:hanging="360"/>
      </w:pPr>
      <w:rPr>
        <w:rFonts w:ascii="Symbol" w:hAnsi="Symbol" w:hint="default"/>
        <w:color w:val="7030A0"/>
        <w:sz w:val="20"/>
        <w:szCs w:val="20"/>
      </w:rPr>
    </w:lvl>
    <w:lvl w:ilvl="1" w:tplc="C9F664DE" w:tentative="1">
      <w:start w:val="1"/>
      <w:numFmt w:val="bullet"/>
      <w:lvlText w:val="o"/>
      <w:lvlJc w:val="left"/>
      <w:pPr>
        <w:ind w:left="1789" w:hanging="360"/>
      </w:pPr>
      <w:rPr>
        <w:rFonts w:ascii="Courier New" w:hAnsi="Courier New" w:cs="Courier New" w:hint="default"/>
      </w:rPr>
    </w:lvl>
    <w:lvl w:ilvl="2" w:tplc="F22C2F96" w:tentative="1">
      <w:start w:val="1"/>
      <w:numFmt w:val="bullet"/>
      <w:lvlText w:val=""/>
      <w:lvlJc w:val="left"/>
      <w:pPr>
        <w:ind w:left="2509" w:hanging="360"/>
      </w:pPr>
      <w:rPr>
        <w:rFonts w:ascii="Wingdings" w:hAnsi="Wingdings" w:hint="default"/>
      </w:rPr>
    </w:lvl>
    <w:lvl w:ilvl="3" w:tplc="1ACEC65E" w:tentative="1">
      <w:start w:val="1"/>
      <w:numFmt w:val="bullet"/>
      <w:lvlText w:val=""/>
      <w:lvlJc w:val="left"/>
      <w:pPr>
        <w:ind w:left="3229" w:hanging="360"/>
      </w:pPr>
      <w:rPr>
        <w:rFonts w:ascii="Symbol" w:hAnsi="Symbol" w:hint="default"/>
      </w:rPr>
    </w:lvl>
    <w:lvl w:ilvl="4" w:tplc="A5AAEAEC" w:tentative="1">
      <w:start w:val="1"/>
      <w:numFmt w:val="bullet"/>
      <w:lvlText w:val="o"/>
      <w:lvlJc w:val="left"/>
      <w:pPr>
        <w:ind w:left="3949" w:hanging="360"/>
      </w:pPr>
      <w:rPr>
        <w:rFonts w:ascii="Courier New" w:hAnsi="Courier New" w:cs="Courier New" w:hint="default"/>
      </w:rPr>
    </w:lvl>
    <w:lvl w:ilvl="5" w:tplc="07EC441A" w:tentative="1">
      <w:start w:val="1"/>
      <w:numFmt w:val="bullet"/>
      <w:lvlText w:val=""/>
      <w:lvlJc w:val="left"/>
      <w:pPr>
        <w:ind w:left="4669" w:hanging="360"/>
      </w:pPr>
      <w:rPr>
        <w:rFonts w:ascii="Wingdings" w:hAnsi="Wingdings" w:hint="default"/>
      </w:rPr>
    </w:lvl>
    <w:lvl w:ilvl="6" w:tplc="2144790A" w:tentative="1">
      <w:start w:val="1"/>
      <w:numFmt w:val="bullet"/>
      <w:lvlText w:val=""/>
      <w:lvlJc w:val="left"/>
      <w:pPr>
        <w:ind w:left="5389" w:hanging="360"/>
      </w:pPr>
      <w:rPr>
        <w:rFonts w:ascii="Symbol" w:hAnsi="Symbol" w:hint="default"/>
      </w:rPr>
    </w:lvl>
    <w:lvl w:ilvl="7" w:tplc="123CD352" w:tentative="1">
      <w:start w:val="1"/>
      <w:numFmt w:val="bullet"/>
      <w:lvlText w:val="o"/>
      <w:lvlJc w:val="left"/>
      <w:pPr>
        <w:ind w:left="6109" w:hanging="360"/>
      </w:pPr>
      <w:rPr>
        <w:rFonts w:ascii="Courier New" w:hAnsi="Courier New" w:cs="Courier New" w:hint="default"/>
      </w:rPr>
    </w:lvl>
    <w:lvl w:ilvl="8" w:tplc="7522297C" w:tentative="1">
      <w:start w:val="1"/>
      <w:numFmt w:val="bullet"/>
      <w:lvlText w:val=""/>
      <w:lvlJc w:val="left"/>
      <w:pPr>
        <w:ind w:left="6829" w:hanging="360"/>
      </w:pPr>
      <w:rPr>
        <w:rFonts w:ascii="Wingdings" w:hAnsi="Wingdings" w:hint="default"/>
      </w:rPr>
    </w:lvl>
  </w:abstractNum>
  <w:abstractNum w:abstractNumId="8" w15:restartNumberingAfterBreak="0">
    <w:nsid w:val="494D5B29"/>
    <w:multiLevelType w:val="hybridMultilevel"/>
    <w:tmpl w:val="1CB258D0"/>
    <w:lvl w:ilvl="0" w:tplc="34E0D978">
      <w:start w:val="1"/>
      <w:numFmt w:val="decimal"/>
      <w:lvlText w:val="2.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6A72CC"/>
    <w:multiLevelType w:val="multilevel"/>
    <w:tmpl w:val="9CAA9A0A"/>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943C55"/>
    <w:multiLevelType w:val="hybridMultilevel"/>
    <w:tmpl w:val="1924CB0C"/>
    <w:lvl w:ilvl="0" w:tplc="BC523C46">
      <w:start w:val="1"/>
      <w:numFmt w:val="bullet"/>
      <w:lvlText w:val=""/>
      <w:lvlJc w:val="left"/>
      <w:pPr>
        <w:ind w:left="1080" w:hanging="360"/>
      </w:pPr>
      <w:rPr>
        <w:rFonts w:ascii="Symbol" w:hAnsi="Symbol" w:hint="default"/>
        <w:color w:val="7030A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3B2D73"/>
    <w:multiLevelType w:val="hybridMultilevel"/>
    <w:tmpl w:val="2F820168"/>
    <w:lvl w:ilvl="0" w:tplc="D5E2EAC2">
      <w:start w:val="1"/>
      <w:numFmt w:val="bullet"/>
      <w:lvlText w:val=""/>
      <w:lvlJc w:val="left"/>
      <w:pPr>
        <w:tabs>
          <w:tab w:val="num" w:pos="567"/>
        </w:tabs>
        <w:ind w:left="567" w:hanging="283"/>
      </w:pPr>
      <w:rPr>
        <w:rFonts w:ascii="Symbol" w:hAnsi="Symbol" w:hint="default"/>
      </w:rPr>
    </w:lvl>
    <w:lvl w:ilvl="1" w:tplc="C37CEC54" w:tentative="1">
      <w:start w:val="1"/>
      <w:numFmt w:val="bullet"/>
      <w:lvlText w:val="o"/>
      <w:lvlJc w:val="left"/>
      <w:pPr>
        <w:ind w:left="1440" w:hanging="360"/>
      </w:pPr>
      <w:rPr>
        <w:rFonts w:ascii="Courier New" w:hAnsi="Courier New" w:cs="Courier New" w:hint="default"/>
      </w:rPr>
    </w:lvl>
    <w:lvl w:ilvl="2" w:tplc="F72606B4">
      <w:start w:val="1"/>
      <w:numFmt w:val="bullet"/>
      <w:lvlText w:val=""/>
      <w:lvlJc w:val="left"/>
      <w:pPr>
        <w:ind w:left="2160" w:hanging="360"/>
      </w:pPr>
      <w:rPr>
        <w:rFonts w:ascii="Wingdings" w:hAnsi="Wingdings" w:hint="default"/>
      </w:rPr>
    </w:lvl>
    <w:lvl w:ilvl="3" w:tplc="6610D492" w:tentative="1">
      <w:start w:val="1"/>
      <w:numFmt w:val="bullet"/>
      <w:lvlText w:val=""/>
      <w:lvlJc w:val="left"/>
      <w:pPr>
        <w:ind w:left="2880" w:hanging="360"/>
      </w:pPr>
      <w:rPr>
        <w:rFonts w:ascii="Symbol" w:hAnsi="Symbol" w:hint="default"/>
      </w:rPr>
    </w:lvl>
    <w:lvl w:ilvl="4" w:tplc="A058C3F8" w:tentative="1">
      <w:start w:val="1"/>
      <w:numFmt w:val="bullet"/>
      <w:lvlText w:val="o"/>
      <w:lvlJc w:val="left"/>
      <w:pPr>
        <w:ind w:left="3600" w:hanging="360"/>
      </w:pPr>
      <w:rPr>
        <w:rFonts w:ascii="Courier New" w:hAnsi="Courier New" w:cs="Courier New" w:hint="default"/>
      </w:rPr>
    </w:lvl>
    <w:lvl w:ilvl="5" w:tplc="971A57EE" w:tentative="1">
      <w:start w:val="1"/>
      <w:numFmt w:val="bullet"/>
      <w:lvlText w:val=""/>
      <w:lvlJc w:val="left"/>
      <w:pPr>
        <w:ind w:left="4320" w:hanging="360"/>
      </w:pPr>
      <w:rPr>
        <w:rFonts w:ascii="Wingdings" w:hAnsi="Wingdings" w:hint="default"/>
      </w:rPr>
    </w:lvl>
    <w:lvl w:ilvl="6" w:tplc="D038B4AA" w:tentative="1">
      <w:start w:val="1"/>
      <w:numFmt w:val="bullet"/>
      <w:lvlText w:val=""/>
      <w:lvlJc w:val="left"/>
      <w:pPr>
        <w:ind w:left="5040" w:hanging="360"/>
      </w:pPr>
      <w:rPr>
        <w:rFonts w:ascii="Symbol" w:hAnsi="Symbol" w:hint="default"/>
      </w:rPr>
    </w:lvl>
    <w:lvl w:ilvl="7" w:tplc="7CD21F76" w:tentative="1">
      <w:start w:val="1"/>
      <w:numFmt w:val="bullet"/>
      <w:lvlText w:val="o"/>
      <w:lvlJc w:val="left"/>
      <w:pPr>
        <w:ind w:left="5760" w:hanging="360"/>
      </w:pPr>
      <w:rPr>
        <w:rFonts w:ascii="Courier New" w:hAnsi="Courier New" w:cs="Courier New" w:hint="default"/>
      </w:rPr>
    </w:lvl>
    <w:lvl w:ilvl="8" w:tplc="7BC0DCD8" w:tentative="1">
      <w:start w:val="1"/>
      <w:numFmt w:val="bullet"/>
      <w:lvlText w:val=""/>
      <w:lvlJc w:val="left"/>
      <w:pPr>
        <w:ind w:left="6480" w:hanging="360"/>
      </w:pPr>
      <w:rPr>
        <w:rFonts w:ascii="Wingdings" w:hAnsi="Wingdings" w:hint="default"/>
      </w:rPr>
    </w:lvl>
  </w:abstractNum>
  <w:abstractNum w:abstractNumId="13" w15:restartNumberingAfterBreak="0">
    <w:nsid w:val="68EB3F66"/>
    <w:multiLevelType w:val="hybridMultilevel"/>
    <w:tmpl w:val="219221D4"/>
    <w:lvl w:ilvl="0" w:tplc="34D0820A">
      <w:start w:val="1"/>
      <w:numFmt w:val="lowerLetter"/>
      <w:lvlText w:val="(%1)"/>
      <w:lvlJc w:val="left"/>
      <w:pPr>
        <w:ind w:left="1211" w:hanging="360"/>
      </w:pPr>
      <w:rPr>
        <w:rFonts w:hint="default"/>
      </w:rPr>
    </w:lvl>
    <w:lvl w:ilvl="1" w:tplc="5BD6BBA8" w:tentative="1">
      <w:start w:val="1"/>
      <w:numFmt w:val="lowerLetter"/>
      <w:lvlText w:val="%2."/>
      <w:lvlJc w:val="left"/>
      <w:pPr>
        <w:ind w:left="1931" w:hanging="360"/>
      </w:pPr>
    </w:lvl>
    <w:lvl w:ilvl="2" w:tplc="C50852F6" w:tentative="1">
      <w:start w:val="1"/>
      <w:numFmt w:val="lowerRoman"/>
      <w:lvlText w:val="%3."/>
      <w:lvlJc w:val="right"/>
      <w:pPr>
        <w:ind w:left="2651" w:hanging="180"/>
      </w:pPr>
    </w:lvl>
    <w:lvl w:ilvl="3" w:tplc="226872EE" w:tentative="1">
      <w:start w:val="1"/>
      <w:numFmt w:val="decimal"/>
      <w:lvlText w:val="%4."/>
      <w:lvlJc w:val="left"/>
      <w:pPr>
        <w:ind w:left="3371" w:hanging="360"/>
      </w:pPr>
    </w:lvl>
    <w:lvl w:ilvl="4" w:tplc="9334BB72" w:tentative="1">
      <w:start w:val="1"/>
      <w:numFmt w:val="lowerLetter"/>
      <w:lvlText w:val="%5."/>
      <w:lvlJc w:val="left"/>
      <w:pPr>
        <w:ind w:left="4091" w:hanging="360"/>
      </w:pPr>
    </w:lvl>
    <w:lvl w:ilvl="5" w:tplc="A84CD65A" w:tentative="1">
      <w:start w:val="1"/>
      <w:numFmt w:val="lowerRoman"/>
      <w:lvlText w:val="%6."/>
      <w:lvlJc w:val="right"/>
      <w:pPr>
        <w:ind w:left="4811" w:hanging="180"/>
      </w:pPr>
    </w:lvl>
    <w:lvl w:ilvl="6" w:tplc="E348F64A" w:tentative="1">
      <w:start w:val="1"/>
      <w:numFmt w:val="decimal"/>
      <w:lvlText w:val="%7."/>
      <w:lvlJc w:val="left"/>
      <w:pPr>
        <w:ind w:left="5531" w:hanging="360"/>
      </w:pPr>
    </w:lvl>
    <w:lvl w:ilvl="7" w:tplc="1F9AA484" w:tentative="1">
      <w:start w:val="1"/>
      <w:numFmt w:val="lowerLetter"/>
      <w:lvlText w:val="%8."/>
      <w:lvlJc w:val="left"/>
      <w:pPr>
        <w:ind w:left="6251" w:hanging="360"/>
      </w:pPr>
    </w:lvl>
    <w:lvl w:ilvl="8" w:tplc="C4269656" w:tentative="1">
      <w:start w:val="1"/>
      <w:numFmt w:val="lowerRoman"/>
      <w:lvlText w:val="%9."/>
      <w:lvlJc w:val="right"/>
      <w:pPr>
        <w:ind w:left="6971" w:hanging="180"/>
      </w:pPr>
    </w:lvl>
  </w:abstractNum>
  <w:abstractNum w:abstractNumId="14" w15:restartNumberingAfterBreak="0">
    <w:nsid w:val="787C7087"/>
    <w:multiLevelType w:val="hybridMultilevel"/>
    <w:tmpl w:val="8636571C"/>
    <w:lvl w:ilvl="0" w:tplc="D5E2EAC2">
      <w:start w:val="1"/>
      <w:numFmt w:val="bullet"/>
      <w:lvlText w:val=""/>
      <w:lvlJc w:val="left"/>
      <w:pPr>
        <w:ind w:left="1080" w:hanging="360"/>
      </w:pPr>
      <w:rPr>
        <w:rFonts w:ascii="Symbol" w:hAnsi="Symbol" w:hint="default"/>
        <w:color w:val="7030A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1"/>
  </w:num>
  <w:num w:numId="4">
    <w:abstractNumId w:val="11"/>
  </w:num>
  <w:num w:numId="5">
    <w:abstractNumId w:val="3"/>
  </w:num>
  <w:num w:numId="6">
    <w:abstractNumId w:val="0"/>
  </w:num>
  <w:num w:numId="7">
    <w:abstractNumId w:val="2"/>
  </w:num>
  <w:num w:numId="8">
    <w:abstractNumId w:val="5"/>
  </w:num>
  <w:num w:numId="9">
    <w:abstractNumId w:val="13"/>
  </w:num>
  <w:num w:numId="10">
    <w:abstractNumId w:val="7"/>
  </w:num>
  <w:num w:numId="11">
    <w:abstractNumId w:val="6"/>
  </w:num>
  <w:num w:numId="12">
    <w:abstractNumId w:val="8"/>
  </w:num>
  <w:num w:numId="13">
    <w:abstractNumId w:val="9"/>
  </w:num>
  <w:num w:numId="14">
    <w:abstractNumId w:val="4"/>
  </w:num>
  <w:num w:numId="15">
    <w:abstractNumId w:val="10"/>
  </w:num>
  <w:num w:numId="16">
    <w:abstractNumId w:val="1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14341"/>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F2"/>
    <w:rsid w:val="000006B0"/>
    <w:rsid w:val="00003BC0"/>
    <w:rsid w:val="00003DDE"/>
    <w:rsid w:val="00007A59"/>
    <w:rsid w:val="00014790"/>
    <w:rsid w:val="00014ED5"/>
    <w:rsid w:val="00016063"/>
    <w:rsid w:val="000211B5"/>
    <w:rsid w:val="00021B45"/>
    <w:rsid w:val="00026B0F"/>
    <w:rsid w:val="00037276"/>
    <w:rsid w:val="00043BB8"/>
    <w:rsid w:val="00046792"/>
    <w:rsid w:val="0005209A"/>
    <w:rsid w:val="00056A0F"/>
    <w:rsid w:val="00067EBF"/>
    <w:rsid w:val="000766F0"/>
    <w:rsid w:val="00087C5B"/>
    <w:rsid w:val="00092895"/>
    <w:rsid w:val="000A4906"/>
    <w:rsid w:val="000A6CAC"/>
    <w:rsid w:val="000B1359"/>
    <w:rsid w:val="000B1A8B"/>
    <w:rsid w:val="000B7B95"/>
    <w:rsid w:val="000C0DC7"/>
    <w:rsid w:val="000C3F17"/>
    <w:rsid w:val="000C4ABB"/>
    <w:rsid w:val="000C6DF4"/>
    <w:rsid w:val="000D2C38"/>
    <w:rsid w:val="000E4576"/>
    <w:rsid w:val="000E6D81"/>
    <w:rsid w:val="000F0A54"/>
    <w:rsid w:val="000F3D88"/>
    <w:rsid w:val="000F3F00"/>
    <w:rsid w:val="000F65B2"/>
    <w:rsid w:val="00100156"/>
    <w:rsid w:val="0012607F"/>
    <w:rsid w:val="00140C6E"/>
    <w:rsid w:val="00156211"/>
    <w:rsid w:val="00156A30"/>
    <w:rsid w:val="001576C8"/>
    <w:rsid w:val="0016076E"/>
    <w:rsid w:val="001644CD"/>
    <w:rsid w:val="001700D1"/>
    <w:rsid w:val="00171206"/>
    <w:rsid w:val="001755FD"/>
    <w:rsid w:val="00176D73"/>
    <w:rsid w:val="001778D2"/>
    <w:rsid w:val="00180EAA"/>
    <w:rsid w:val="001824D8"/>
    <w:rsid w:val="00182726"/>
    <w:rsid w:val="001856A6"/>
    <w:rsid w:val="00197163"/>
    <w:rsid w:val="00197E25"/>
    <w:rsid w:val="001A1AB5"/>
    <w:rsid w:val="001A43BB"/>
    <w:rsid w:val="001C21A8"/>
    <w:rsid w:val="001C450B"/>
    <w:rsid w:val="001D2409"/>
    <w:rsid w:val="001D30BA"/>
    <w:rsid w:val="001D7B53"/>
    <w:rsid w:val="001E32F4"/>
    <w:rsid w:val="001F266C"/>
    <w:rsid w:val="001F3E37"/>
    <w:rsid w:val="0020053E"/>
    <w:rsid w:val="00201549"/>
    <w:rsid w:val="00204949"/>
    <w:rsid w:val="00205709"/>
    <w:rsid w:val="00207CED"/>
    <w:rsid w:val="00207D92"/>
    <w:rsid w:val="00214180"/>
    <w:rsid w:val="00217E18"/>
    <w:rsid w:val="00225E62"/>
    <w:rsid w:val="00226320"/>
    <w:rsid w:val="002278BA"/>
    <w:rsid w:val="002319FF"/>
    <w:rsid w:val="0023332C"/>
    <w:rsid w:val="002408AC"/>
    <w:rsid w:val="00242A50"/>
    <w:rsid w:val="00252B91"/>
    <w:rsid w:val="00254D35"/>
    <w:rsid w:val="002579BE"/>
    <w:rsid w:val="00263848"/>
    <w:rsid w:val="00270C8D"/>
    <w:rsid w:val="00274608"/>
    <w:rsid w:val="0027641F"/>
    <w:rsid w:val="00281AF1"/>
    <w:rsid w:val="00282BA4"/>
    <w:rsid w:val="00283BA0"/>
    <w:rsid w:val="00294DEE"/>
    <w:rsid w:val="002A2FBC"/>
    <w:rsid w:val="002B102B"/>
    <w:rsid w:val="002B640E"/>
    <w:rsid w:val="002C20C2"/>
    <w:rsid w:val="002C4796"/>
    <w:rsid w:val="002C4A99"/>
    <w:rsid w:val="002C60FD"/>
    <w:rsid w:val="002C7E99"/>
    <w:rsid w:val="002C7F11"/>
    <w:rsid w:val="002D6961"/>
    <w:rsid w:val="002E78FC"/>
    <w:rsid w:val="0030299E"/>
    <w:rsid w:val="0031447A"/>
    <w:rsid w:val="00314FA3"/>
    <w:rsid w:val="00316DB9"/>
    <w:rsid w:val="00322A02"/>
    <w:rsid w:val="003339C3"/>
    <w:rsid w:val="0033423C"/>
    <w:rsid w:val="00334D1A"/>
    <w:rsid w:val="00342846"/>
    <w:rsid w:val="0034471F"/>
    <w:rsid w:val="003523FC"/>
    <w:rsid w:val="0035499B"/>
    <w:rsid w:val="00370AC0"/>
    <w:rsid w:val="00390593"/>
    <w:rsid w:val="00394C2B"/>
    <w:rsid w:val="00396845"/>
    <w:rsid w:val="003A69F6"/>
    <w:rsid w:val="003B0B48"/>
    <w:rsid w:val="003B3418"/>
    <w:rsid w:val="003B3FBB"/>
    <w:rsid w:val="003B4317"/>
    <w:rsid w:val="003D3AC5"/>
    <w:rsid w:val="003D707A"/>
    <w:rsid w:val="003F2FB4"/>
    <w:rsid w:val="003F5F72"/>
    <w:rsid w:val="0040612D"/>
    <w:rsid w:val="00412403"/>
    <w:rsid w:val="00416540"/>
    <w:rsid w:val="004262CA"/>
    <w:rsid w:val="004366CB"/>
    <w:rsid w:val="00441648"/>
    <w:rsid w:val="0045006C"/>
    <w:rsid w:val="0045163C"/>
    <w:rsid w:val="00457084"/>
    <w:rsid w:val="00463817"/>
    <w:rsid w:val="00463F2B"/>
    <w:rsid w:val="0046788D"/>
    <w:rsid w:val="00470976"/>
    <w:rsid w:val="00472463"/>
    <w:rsid w:val="004730AD"/>
    <w:rsid w:val="0047650E"/>
    <w:rsid w:val="00482D72"/>
    <w:rsid w:val="00487050"/>
    <w:rsid w:val="0049139F"/>
    <w:rsid w:val="0049176F"/>
    <w:rsid w:val="004979F2"/>
    <w:rsid w:val="004A2BA7"/>
    <w:rsid w:val="004A419C"/>
    <w:rsid w:val="004A7771"/>
    <w:rsid w:val="004B1BB8"/>
    <w:rsid w:val="004B2EE2"/>
    <w:rsid w:val="004C196C"/>
    <w:rsid w:val="004C6A2A"/>
    <w:rsid w:val="004C6A95"/>
    <w:rsid w:val="004C6E90"/>
    <w:rsid w:val="004D01DE"/>
    <w:rsid w:val="004D0D2A"/>
    <w:rsid w:val="004D4202"/>
    <w:rsid w:val="004E26DA"/>
    <w:rsid w:val="004E2B81"/>
    <w:rsid w:val="004F6C4A"/>
    <w:rsid w:val="005101D0"/>
    <w:rsid w:val="005150A1"/>
    <w:rsid w:val="00517CA5"/>
    <w:rsid w:val="00520F7D"/>
    <w:rsid w:val="00524DDD"/>
    <w:rsid w:val="00525253"/>
    <w:rsid w:val="005252C0"/>
    <w:rsid w:val="00530A41"/>
    <w:rsid w:val="0053616A"/>
    <w:rsid w:val="00542AF3"/>
    <w:rsid w:val="00543DC5"/>
    <w:rsid w:val="00556938"/>
    <w:rsid w:val="005607EE"/>
    <w:rsid w:val="005624FE"/>
    <w:rsid w:val="00567567"/>
    <w:rsid w:val="005808FE"/>
    <w:rsid w:val="00584079"/>
    <w:rsid w:val="005B1CE3"/>
    <w:rsid w:val="005B5812"/>
    <w:rsid w:val="005B7623"/>
    <w:rsid w:val="005C2721"/>
    <w:rsid w:val="005C67FE"/>
    <w:rsid w:val="005C7B1F"/>
    <w:rsid w:val="005D31E8"/>
    <w:rsid w:val="005D7E42"/>
    <w:rsid w:val="005E2F30"/>
    <w:rsid w:val="005E37CB"/>
    <w:rsid w:val="005E4A58"/>
    <w:rsid w:val="005E4AC3"/>
    <w:rsid w:val="005E755D"/>
    <w:rsid w:val="005F2807"/>
    <w:rsid w:val="00603B7B"/>
    <w:rsid w:val="00605C65"/>
    <w:rsid w:val="00605FCD"/>
    <w:rsid w:val="0060785E"/>
    <w:rsid w:val="00611B7A"/>
    <w:rsid w:val="006140C4"/>
    <w:rsid w:val="00621100"/>
    <w:rsid w:val="00624865"/>
    <w:rsid w:val="006320AD"/>
    <w:rsid w:val="0063552E"/>
    <w:rsid w:val="00640657"/>
    <w:rsid w:val="00641438"/>
    <w:rsid w:val="00651F65"/>
    <w:rsid w:val="00653531"/>
    <w:rsid w:val="006537AD"/>
    <w:rsid w:val="006560EA"/>
    <w:rsid w:val="0066224E"/>
    <w:rsid w:val="00663740"/>
    <w:rsid w:val="006654BD"/>
    <w:rsid w:val="00666A67"/>
    <w:rsid w:val="00681A26"/>
    <w:rsid w:val="00683B58"/>
    <w:rsid w:val="00684BB9"/>
    <w:rsid w:val="00686538"/>
    <w:rsid w:val="00686CBD"/>
    <w:rsid w:val="006872FD"/>
    <w:rsid w:val="00691B7C"/>
    <w:rsid w:val="006943C8"/>
    <w:rsid w:val="00695723"/>
    <w:rsid w:val="006A16FF"/>
    <w:rsid w:val="006A2A85"/>
    <w:rsid w:val="006A6B6F"/>
    <w:rsid w:val="006B14C6"/>
    <w:rsid w:val="006B1C63"/>
    <w:rsid w:val="006C3795"/>
    <w:rsid w:val="006D5364"/>
    <w:rsid w:val="006E4074"/>
    <w:rsid w:val="006E686E"/>
    <w:rsid w:val="006F1B89"/>
    <w:rsid w:val="006F575C"/>
    <w:rsid w:val="00700D18"/>
    <w:rsid w:val="00706228"/>
    <w:rsid w:val="00706BED"/>
    <w:rsid w:val="00710260"/>
    <w:rsid w:val="00710D1E"/>
    <w:rsid w:val="007110C4"/>
    <w:rsid w:val="00715D77"/>
    <w:rsid w:val="00723CEB"/>
    <w:rsid w:val="007242E8"/>
    <w:rsid w:val="0073050F"/>
    <w:rsid w:val="0073321D"/>
    <w:rsid w:val="00743555"/>
    <w:rsid w:val="00744ADD"/>
    <w:rsid w:val="00755CF5"/>
    <w:rsid w:val="00767E4B"/>
    <w:rsid w:val="00771FE7"/>
    <w:rsid w:val="00773DD3"/>
    <w:rsid w:val="007812FB"/>
    <w:rsid w:val="007824BC"/>
    <w:rsid w:val="00782AD4"/>
    <w:rsid w:val="00782F5D"/>
    <w:rsid w:val="00784494"/>
    <w:rsid w:val="00784670"/>
    <w:rsid w:val="007B3592"/>
    <w:rsid w:val="007B6102"/>
    <w:rsid w:val="007B70DA"/>
    <w:rsid w:val="007C399F"/>
    <w:rsid w:val="007C3AAF"/>
    <w:rsid w:val="007C442A"/>
    <w:rsid w:val="007D5EDE"/>
    <w:rsid w:val="007D6F3D"/>
    <w:rsid w:val="007D7179"/>
    <w:rsid w:val="007E2121"/>
    <w:rsid w:val="007E2942"/>
    <w:rsid w:val="007E626C"/>
    <w:rsid w:val="007F0796"/>
    <w:rsid w:val="007F543F"/>
    <w:rsid w:val="007F76F0"/>
    <w:rsid w:val="00805F32"/>
    <w:rsid w:val="00816517"/>
    <w:rsid w:val="00821106"/>
    <w:rsid w:val="008307BB"/>
    <w:rsid w:val="008314C9"/>
    <w:rsid w:val="00831DB1"/>
    <w:rsid w:val="00833A0D"/>
    <w:rsid w:val="0083792B"/>
    <w:rsid w:val="00847D21"/>
    <w:rsid w:val="008604BE"/>
    <w:rsid w:val="00862F2C"/>
    <w:rsid w:val="008737DF"/>
    <w:rsid w:val="00876A1C"/>
    <w:rsid w:val="00876A94"/>
    <w:rsid w:val="00880791"/>
    <w:rsid w:val="0088411E"/>
    <w:rsid w:val="00890246"/>
    <w:rsid w:val="00891F39"/>
    <w:rsid w:val="0089606B"/>
    <w:rsid w:val="00896669"/>
    <w:rsid w:val="008976DD"/>
    <w:rsid w:val="008A3675"/>
    <w:rsid w:val="008B2D10"/>
    <w:rsid w:val="008B3877"/>
    <w:rsid w:val="008C7550"/>
    <w:rsid w:val="008D5382"/>
    <w:rsid w:val="008D69BF"/>
    <w:rsid w:val="008E1B67"/>
    <w:rsid w:val="008E2B18"/>
    <w:rsid w:val="008F276D"/>
    <w:rsid w:val="00901802"/>
    <w:rsid w:val="00910187"/>
    <w:rsid w:val="009137BA"/>
    <w:rsid w:val="00916D38"/>
    <w:rsid w:val="0092421E"/>
    <w:rsid w:val="00926295"/>
    <w:rsid w:val="00927C94"/>
    <w:rsid w:val="009304E0"/>
    <w:rsid w:val="00936914"/>
    <w:rsid w:val="00936BAF"/>
    <w:rsid w:val="00940E17"/>
    <w:rsid w:val="009427C4"/>
    <w:rsid w:val="00943D7D"/>
    <w:rsid w:val="00950728"/>
    <w:rsid w:val="00962F07"/>
    <w:rsid w:val="00971C18"/>
    <w:rsid w:val="0097400F"/>
    <w:rsid w:val="009847E2"/>
    <w:rsid w:val="00987C1A"/>
    <w:rsid w:val="00991159"/>
    <w:rsid w:val="00996918"/>
    <w:rsid w:val="009A2049"/>
    <w:rsid w:val="009A42CC"/>
    <w:rsid w:val="009A4D18"/>
    <w:rsid w:val="009A64C9"/>
    <w:rsid w:val="009B0C7C"/>
    <w:rsid w:val="009B7019"/>
    <w:rsid w:val="009C0938"/>
    <w:rsid w:val="009C1B6C"/>
    <w:rsid w:val="009C22D3"/>
    <w:rsid w:val="009C38B4"/>
    <w:rsid w:val="009D2A09"/>
    <w:rsid w:val="009D6CAD"/>
    <w:rsid w:val="009E4807"/>
    <w:rsid w:val="009E641B"/>
    <w:rsid w:val="009F099D"/>
    <w:rsid w:val="009F4B66"/>
    <w:rsid w:val="00A023DD"/>
    <w:rsid w:val="00A02542"/>
    <w:rsid w:val="00A110AA"/>
    <w:rsid w:val="00A11980"/>
    <w:rsid w:val="00A14203"/>
    <w:rsid w:val="00A156AD"/>
    <w:rsid w:val="00A24420"/>
    <w:rsid w:val="00A248EF"/>
    <w:rsid w:val="00A32083"/>
    <w:rsid w:val="00A40D57"/>
    <w:rsid w:val="00A411F5"/>
    <w:rsid w:val="00A456EE"/>
    <w:rsid w:val="00A46D86"/>
    <w:rsid w:val="00A524BF"/>
    <w:rsid w:val="00A531AB"/>
    <w:rsid w:val="00A54E62"/>
    <w:rsid w:val="00A55DD4"/>
    <w:rsid w:val="00A608FE"/>
    <w:rsid w:val="00A625FF"/>
    <w:rsid w:val="00A657EF"/>
    <w:rsid w:val="00A670AB"/>
    <w:rsid w:val="00A70477"/>
    <w:rsid w:val="00A75CFD"/>
    <w:rsid w:val="00A820A4"/>
    <w:rsid w:val="00A85A21"/>
    <w:rsid w:val="00A85B8D"/>
    <w:rsid w:val="00A9630B"/>
    <w:rsid w:val="00AA12C0"/>
    <w:rsid w:val="00AB76A5"/>
    <w:rsid w:val="00AB790E"/>
    <w:rsid w:val="00AC497C"/>
    <w:rsid w:val="00AC679B"/>
    <w:rsid w:val="00AD380E"/>
    <w:rsid w:val="00AD7345"/>
    <w:rsid w:val="00AE1B7B"/>
    <w:rsid w:val="00AE7C2A"/>
    <w:rsid w:val="00AF1745"/>
    <w:rsid w:val="00AF2D78"/>
    <w:rsid w:val="00AF4D69"/>
    <w:rsid w:val="00B02ADF"/>
    <w:rsid w:val="00B04A12"/>
    <w:rsid w:val="00B0613A"/>
    <w:rsid w:val="00B100FA"/>
    <w:rsid w:val="00B12595"/>
    <w:rsid w:val="00B14581"/>
    <w:rsid w:val="00B22DAB"/>
    <w:rsid w:val="00B25C95"/>
    <w:rsid w:val="00B27742"/>
    <w:rsid w:val="00B305BA"/>
    <w:rsid w:val="00B4066C"/>
    <w:rsid w:val="00B40C17"/>
    <w:rsid w:val="00B423A4"/>
    <w:rsid w:val="00B54BC7"/>
    <w:rsid w:val="00B55289"/>
    <w:rsid w:val="00B60887"/>
    <w:rsid w:val="00B63EB3"/>
    <w:rsid w:val="00B64D73"/>
    <w:rsid w:val="00B666ED"/>
    <w:rsid w:val="00B6695A"/>
    <w:rsid w:val="00B746DD"/>
    <w:rsid w:val="00B867DB"/>
    <w:rsid w:val="00B86E7C"/>
    <w:rsid w:val="00B90BDF"/>
    <w:rsid w:val="00B90F07"/>
    <w:rsid w:val="00B91692"/>
    <w:rsid w:val="00B9412B"/>
    <w:rsid w:val="00BA2789"/>
    <w:rsid w:val="00BA281A"/>
    <w:rsid w:val="00BA37D2"/>
    <w:rsid w:val="00BB2733"/>
    <w:rsid w:val="00BB5136"/>
    <w:rsid w:val="00BC36A5"/>
    <w:rsid w:val="00BD3999"/>
    <w:rsid w:val="00BD3FC2"/>
    <w:rsid w:val="00BD7A34"/>
    <w:rsid w:val="00BE1567"/>
    <w:rsid w:val="00BE5379"/>
    <w:rsid w:val="00BE58E5"/>
    <w:rsid w:val="00BF5D0D"/>
    <w:rsid w:val="00C01B13"/>
    <w:rsid w:val="00C11320"/>
    <w:rsid w:val="00C14988"/>
    <w:rsid w:val="00C25292"/>
    <w:rsid w:val="00C32511"/>
    <w:rsid w:val="00C33A6B"/>
    <w:rsid w:val="00C353A5"/>
    <w:rsid w:val="00C44E39"/>
    <w:rsid w:val="00C52F82"/>
    <w:rsid w:val="00C56816"/>
    <w:rsid w:val="00C67713"/>
    <w:rsid w:val="00C71406"/>
    <w:rsid w:val="00C77525"/>
    <w:rsid w:val="00C826E8"/>
    <w:rsid w:val="00C86173"/>
    <w:rsid w:val="00C86E1B"/>
    <w:rsid w:val="00C91D3C"/>
    <w:rsid w:val="00C93BCA"/>
    <w:rsid w:val="00C94601"/>
    <w:rsid w:val="00C94660"/>
    <w:rsid w:val="00C957D6"/>
    <w:rsid w:val="00C97E5F"/>
    <w:rsid w:val="00CA5FA8"/>
    <w:rsid w:val="00CA636A"/>
    <w:rsid w:val="00CA6AD1"/>
    <w:rsid w:val="00CA7932"/>
    <w:rsid w:val="00CB3ABF"/>
    <w:rsid w:val="00CC01A5"/>
    <w:rsid w:val="00CD264C"/>
    <w:rsid w:val="00CD4C52"/>
    <w:rsid w:val="00CE0B54"/>
    <w:rsid w:val="00CF4E76"/>
    <w:rsid w:val="00D002F3"/>
    <w:rsid w:val="00D107E5"/>
    <w:rsid w:val="00D14F75"/>
    <w:rsid w:val="00D24B76"/>
    <w:rsid w:val="00D32A1B"/>
    <w:rsid w:val="00D3516E"/>
    <w:rsid w:val="00D376D6"/>
    <w:rsid w:val="00D405E5"/>
    <w:rsid w:val="00D47387"/>
    <w:rsid w:val="00D517A0"/>
    <w:rsid w:val="00D530A2"/>
    <w:rsid w:val="00D56791"/>
    <w:rsid w:val="00D6408F"/>
    <w:rsid w:val="00D728BE"/>
    <w:rsid w:val="00D82C03"/>
    <w:rsid w:val="00D91F7D"/>
    <w:rsid w:val="00D92EAB"/>
    <w:rsid w:val="00DA5094"/>
    <w:rsid w:val="00DB07F8"/>
    <w:rsid w:val="00DB4478"/>
    <w:rsid w:val="00DB4E5B"/>
    <w:rsid w:val="00DB6F02"/>
    <w:rsid w:val="00DD0527"/>
    <w:rsid w:val="00DD09F1"/>
    <w:rsid w:val="00DD21C6"/>
    <w:rsid w:val="00DE0294"/>
    <w:rsid w:val="00DE2C60"/>
    <w:rsid w:val="00DE3F5E"/>
    <w:rsid w:val="00DE4FAA"/>
    <w:rsid w:val="00DE6118"/>
    <w:rsid w:val="00DE731A"/>
    <w:rsid w:val="00DF33C7"/>
    <w:rsid w:val="00E00E90"/>
    <w:rsid w:val="00E01191"/>
    <w:rsid w:val="00E01199"/>
    <w:rsid w:val="00E03896"/>
    <w:rsid w:val="00E11B32"/>
    <w:rsid w:val="00E1290F"/>
    <w:rsid w:val="00E17879"/>
    <w:rsid w:val="00E21AFE"/>
    <w:rsid w:val="00E21B0A"/>
    <w:rsid w:val="00E24450"/>
    <w:rsid w:val="00E27C20"/>
    <w:rsid w:val="00E31750"/>
    <w:rsid w:val="00E3771E"/>
    <w:rsid w:val="00E43010"/>
    <w:rsid w:val="00E43B64"/>
    <w:rsid w:val="00E44CB3"/>
    <w:rsid w:val="00E453B2"/>
    <w:rsid w:val="00E5175D"/>
    <w:rsid w:val="00E557F9"/>
    <w:rsid w:val="00E61D6E"/>
    <w:rsid w:val="00E84926"/>
    <w:rsid w:val="00E92D8B"/>
    <w:rsid w:val="00E9564E"/>
    <w:rsid w:val="00EA12AA"/>
    <w:rsid w:val="00EA18AD"/>
    <w:rsid w:val="00EB3F27"/>
    <w:rsid w:val="00EC35C7"/>
    <w:rsid w:val="00EC7DF2"/>
    <w:rsid w:val="00ED3EDA"/>
    <w:rsid w:val="00ED6669"/>
    <w:rsid w:val="00ED67A7"/>
    <w:rsid w:val="00ED77A9"/>
    <w:rsid w:val="00EE2D99"/>
    <w:rsid w:val="00EF3DBB"/>
    <w:rsid w:val="00F05044"/>
    <w:rsid w:val="00F064CD"/>
    <w:rsid w:val="00F12E20"/>
    <w:rsid w:val="00F1553D"/>
    <w:rsid w:val="00F16A74"/>
    <w:rsid w:val="00F3282B"/>
    <w:rsid w:val="00F42CD1"/>
    <w:rsid w:val="00F55CD1"/>
    <w:rsid w:val="00F63F73"/>
    <w:rsid w:val="00F6762B"/>
    <w:rsid w:val="00F704DE"/>
    <w:rsid w:val="00F74E73"/>
    <w:rsid w:val="00F80B98"/>
    <w:rsid w:val="00F81B23"/>
    <w:rsid w:val="00F83EE3"/>
    <w:rsid w:val="00F87F3E"/>
    <w:rsid w:val="00F91727"/>
    <w:rsid w:val="00F91ACA"/>
    <w:rsid w:val="00F94523"/>
    <w:rsid w:val="00FA24A2"/>
    <w:rsid w:val="00FA707D"/>
    <w:rsid w:val="00FB34EA"/>
    <w:rsid w:val="00FB706C"/>
    <w:rsid w:val="00FB763A"/>
    <w:rsid w:val="00FD6B57"/>
    <w:rsid w:val="00FE0C08"/>
    <w:rsid w:val="00FE33F9"/>
    <w:rsid w:val="00FE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5:docId w15:val="{5D1B4FC0-D540-4EA0-8140-D83A853C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472463"/>
    <w:pPr>
      <w:contextualSpacing/>
    </w:pPr>
    <w:rPr>
      <w:b/>
      <w:color w:val="7030A0"/>
    </w:rPr>
  </w:style>
  <w:style w:type="character" w:customStyle="1" w:styleId="SubheadingChar">
    <w:name w:val="Sub heading Char"/>
    <w:basedOn w:val="DefaultParagraphFont"/>
    <w:link w:val="Subheading"/>
    <w:rsid w:val="00472463"/>
    <w:rPr>
      <w:b/>
      <w:color w:val="7030A0"/>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uiPriority w:val="34"/>
    <w:qFormat/>
    <w:rsid w:val="00FE3E58"/>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D107E5"/>
    <w:pPr>
      <w:widowControl w:val="0"/>
      <w:spacing w:after="0"/>
      <w:ind w:left="720" w:hanging="720"/>
    </w:pPr>
    <w:rPr>
      <w:sz w:val="20"/>
      <w:szCs w:val="20"/>
    </w:rPr>
  </w:style>
  <w:style w:type="character" w:customStyle="1" w:styleId="FootnoteTextChar">
    <w:name w:val="Footnote Text Char"/>
    <w:aliases w:val="5_G Char"/>
    <w:basedOn w:val="DefaultParagraphFont"/>
    <w:link w:val="FootnoteText"/>
    <w:uiPriority w:val="99"/>
    <w:rsid w:val="00D107E5"/>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CPITIssuetoConsider">
    <w:name w:val="CPIT Issue to Consider"/>
    <w:basedOn w:val="Normal"/>
    <w:rsid w:val="00E3771E"/>
    <w:pPr>
      <w:numPr>
        <w:numId w:val="5"/>
      </w:numPr>
      <w:spacing w:before="120"/>
    </w:pPr>
    <w:rPr>
      <w:rFonts w:eastAsia="Times New Roman" w:cs="Times New Roman"/>
      <w:color w:val="8F23B3"/>
      <w:szCs w:val="20"/>
      <w:lang w:eastAsia="en-GB"/>
    </w:rPr>
  </w:style>
  <w:style w:type="paragraph" w:customStyle="1" w:styleId="CPITBacktoContentsLinks">
    <w:name w:val="CPIT Back to Contents Links"/>
    <w:basedOn w:val="Normal"/>
    <w:rsid w:val="00E3771E"/>
    <w:pPr>
      <w:ind w:left="720" w:right="-1"/>
      <w:jc w:val="right"/>
    </w:pPr>
    <w:rPr>
      <w:rFonts w:eastAsia="Times New Roman" w:cs="Times New Roman"/>
      <w:szCs w:val="20"/>
      <w:u w:val="single" w:color="8F23B3"/>
      <w:lang w:eastAsia="en-GB"/>
    </w:rPr>
  </w:style>
  <w:style w:type="paragraph" w:customStyle="1" w:styleId="ParagraphText">
    <w:name w:val="Paragraph Text"/>
    <w:link w:val="ParagraphTextChar"/>
    <w:rsid w:val="00E3771E"/>
    <w:pPr>
      <w:tabs>
        <w:tab w:val="left" w:pos="851"/>
      </w:tabs>
      <w:spacing w:after="120" w:line="240" w:lineRule="auto"/>
      <w:ind w:left="720" w:hanging="720"/>
    </w:pPr>
    <w:rPr>
      <w:rFonts w:eastAsia="Times New Roman"/>
      <w:szCs w:val="24"/>
      <w:lang w:eastAsia="en-GB"/>
    </w:rPr>
  </w:style>
  <w:style w:type="character" w:customStyle="1" w:styleId="ParagraphTextChar">
    <w:name w:val="Paragraph Text Char"/>
    <w:basedOn w:val="DefaultParagraphFont"/>
    <w:link w:val="ParagraphText"/>
    <w:rsid w:val="00E3771E"/>
    <w:rPr>
      <w:rFonts w:eastAsia="Times New Roman"/>
      <w:szCs w:val="24"/>
      <w:lang w:eastAsia="en-GB"/>
    </w:rPr>
  </w:style>
  <w:style w:type="paragraph" w:customStyle="1" w:styleId="CPITNon-NumberedParagraphText">
    <w:name w:val="CPIT Non-Numbered Paragraph Text"/>
    <w:basedOn w:val="CPITNumberedParagraphText"/>
    <w:rsid w:val="00E3771E"/>
    <w:rPr>
      <w:rFonts w:cs="Times New Roman"/>
      <w:szCs w:val="20"/>
    </w:rPr>
  </w:style>
  <w:style w:type="paragraph" w:customStyle="1" w:styleId="CPITFootnoteLinks">
    <w:name w:val="CPIT Footnote Links"/>
    <w:basedOn w:val="FootnoteText"/>
    <w:rsid w:val="00E3771E"/>
    <w:pPr>
      <w:widowControl/>
      <w:ind w:left="0" w:firstLine="0"/>
    </w:pPr>
    <w:rPr>
      <w:rFonts w:eastAsia="Times New Roman" w:cs="Times New Roman"/>
      <w:lang w:eastAsia="en-GB"/>
    </w:rPr>
  </w:style>
  <w:style w:type="character" w:customStyle="1" w:styleId="apple-converted-space">
    <w:name w:val="apple-converted-space"/>
    <w:basedOn w:val="DefaultParagraphFont"/>
    <w:rsid w:val="00E3771E"/>
  </w:style>
  <w:style w:type="character" w:styleId="Strong">
    <w:name w:val="Strong"/>
    <w:basedOn w:val="DefaultParagraphFont"/>
    <w:uiPriority w:val="22"/>
    <w:qFormat/>
    <w:rsid w:val="00E3771E"/>
    <w:rPr>
      <w:b/>
      <w:bCs/>
    </w:rPr>
  </w:style>
  <w:style w:type="character" w:customStyle="1" w:styleId="fn">
    <w:name w:val="fn"/>
    <w:basedOn w:val="DefaultParagraphFont"/>
    <w:rsid w:val="00E3771E"/>
  </w:style>
  <w:style w:type="paragraph" w:styleId="NormalWeb">
    <w:name w:val="Normal (Web)"/>
    <w:basedOn w:val="Normal"/>
    <w:uiPriority w:val="99"/>
    <w:unhideWhenUsed/>
    <w:rsid w:val="00E3771E"/>
    <w:pPr>
      <w:spacing w:after="301" w:line="301" w:lineRule="atLeast"/>
      <w:jc w:val="both"/>
    </w:pPr>
    <w:rPr>
      <w:rFonts w:ascii="Times New Roman" w:eastAsia="Times New Roman" w:hAnsi="Times New Roman" w:cs="Times New Roman"/>
      <w:szCs w:val="24"/>
      <w:lang w:eastAsia="en-GB"/>
    </w:rPr>
  </w:style>
  <w:style w:type="paragraph" w:customStyle="1" w:styleId="COI-FootnoteLink">
    <w:name w:val="COI-Footnote Link"/>
    <w:basedOn w:val="FootnoteText"/>
    <w:link w:val="COI-FootnoteLinkChar"/>
    <w:qFormat/>
    <w:rsid w:val="00E3771E"/>
    <w:pPr>
      <w:widowControl/>
      <w:ind w:left="0" w:firstLine="0"/>
    </w:pPr>
    <w:rPr>
      <w:rFonts w:eastAsia="Times New Roman" w:cs="Times New Roman"/>
      <w:color w:val="000000"/>
      <w:u w:val="single" w:color="8F23B3"/>
    </w:rPr>
  </w:style>
  <w:style w:type="character" w:customStyle="1" w:styleId="COI-FootnoteLinkChar">
    <w:name w:val="COI-Footnote Link Char"/>
    <w:basedOn w:val="FootnoteTextChar"/>
    <w:link w:val="COI-FootnoteLink"/>
    <w:rsid w:val="00E3771E"/>
    <w:rPr>
      <w:rFonts w:eastAsia="Times New Roman" w:cs="Times New Roman"/>
      <w:color w:val="000000"/>
      <w:sz w:val="20"/>
      <w:szCs w:val="20"/>
      <w:u w:val="single" w:color="8F23B3"/>
    </w:rPr>
  </w:style>
  <w:style w:type="character" w:styleId="Emphasis">
    <w:name w:val="Emphasis"/>
    <w:basedOn w:val="DefaultParagraphFont"/>
    <w:uiPriority w:val="20"/>
    <w:qFormat/>
    <w:rsid w:val="00E3771E"/>
    <w:rPr>
      <w:i/>
      <w:iCs/>
    </w:rPr>
  </w:style>
  <w:style w:type="character" w:customStyle="1" w:styleId="highlight">
    <w:name w:val="highlight"/>
    <w:basedOn w:val="DefaultParagraphFont"/>
    <w:rsid w:val="000F65B2"/>
  </w:style>
  <w:style w:type="character" w:customStyle="1" w:styleId="COI-Link-Margin">
    <w:name w:val="COI-Link-Margin"/>
    <w:uiPriority w:val="1"/>
    <w:rsid w:val="00C91D3C"/>
    <w:rPr>
      <w:rFonts w:ascii="Arial" w:hAnsi="Arial" w:cs="Times New Roman"/>
      <w:sz w:val="22"/>
      <w:u w:val="single" w:color="8F23B3"/>
    </w:rPr>
  </w:style>
  <w:style w:type="paragraph" w:customStyle="1" w:styleId="s32b251d">
    <w:name w:val="s32b251d"/>
    <w:basedOn w:val="Normal"/>
    <w:rsid w:val="00C97E5F"/>
    <w:pPr>
      <w:spacing w:before="100" w:beforeAutospacing="1" w:after="100" w:afterAutospacing="1"/>
    </w:pPr>
    <w:rPr>
      <w:rFonts w:ascii="Times New Roman" w:eastAsia="Times New Roman" w:hAnsi="Times New Roman" w:cs="Times New Roman"/>
      <w:szCs w:val="24"/>
      <w:lang w:eastAsia="en-GB"/>
    </w:rPr>
  </w:style>
  <w:style w:type="character" w:customStyle="1" w:styleId="s6b621b36">
    <w:name w:val="s6b621b36"/>
    <w:basedOn w:val="DefaultParagraphFont"/>
    <w:rsid w:val="00C97E5F"/>
  </w:style>
  <w:style w:type="paragraph" w:customStyle="1" w:styleId="s30eec3f8">
    <w:name w:val="s30eec3f8"/>
    <w:basedOn w:val="Normal"/>
    <w:rsid w:val="00C97E5F"/>
    <w:pPr>
      <w:spacing w:before="100" w:beforeAutospacing="1" w:after="100" w:afterAutospacing="1"/>
    </w:pPr>
    <w:rPr>
      <w:rFonts w:ascii="Times New Roman" w:eastAsia="Times New Roman" w:hAnsi="Times New Roman" w:cs="Times New Roman"/>
      <w:szCs w:val="24"/>
      <w:lang w:eastAsia="en-GB"/>
    </w:rPr>
  </w:style>
  <w:style w:type="character" w:customStyle="1" w:styleId="sb8d990e2">
    <w:name w:val="sb8d990e2"/>
    <w:basedOn w:val="DefaultParagraphFont"/>
    <w:rsid w:val="00C97E5F"/>
  </w:style>
  <w:style w:type="paragraph" w:customStyle="1" w:styleId="western">
    <w:name w:val="western"/>
    <w:basedOn w:val="Normal"/>
    <w:rsid w:val="00C97E5F"/>
    <w:pPr>
      <w:spacing w:before="100" w:beforeAutospacing="1" w:after="119"/>
    </w:pPr>
    <w:rPr>
      <w:rFonts w:eastAsia="Times New Roman"/>
      <w:color w:val="000000"/>
      <w:sz w:val="20"/>
      <w:szCs w:val="20"/>
      <w:lang w:eastAsia="en-GB"/>
    </w:rPr>
  </w:style>
  <w:style w:type="character" w:customStyle="1" w:styleId="wordhighlighted">
    <w:name w:val="wordhighlighted"/>
    <w:basedOn w:val="DefaultParagraphFont"/>
    <w:rsid w:val="00C93BCA"/>
  </w:style>
  <w:style w:type="character" w:customStyle="1" w:styleId="s15a9198a">
    <w:name w:val="s15a9198a"/>
    <w:basedOn w:val="DefaultParagraphFont"/>
    <w:rsid w:val="00C93BCA"/>
  </w:style>
  <w:style w:type="character" w:customStyle="1" w:styleId="s7098d28f">
    <w:name w:val="s7098d28f"/>
    <w:basedOn w:val="DefaultParagraphFont"/>
    <w:rsid w:val="00C93BCA"/>
  </w:style>
  <w:style w:type="character" w:customStyle="1" w:styleId="s4b00453d">
    <w:name w:val="s4b00453d"/>
    <w:basedOn w:val="DefaultParagraphFont"/>
    <w:rsid w:val="00C93BCA"/>
  </w:style>
  <w:style w:type="paragraph" w:customStyle="1" w:styleId="CSLT">
    <w:name w:val="CSLT"/>
    <w:basedOn w:val="Normal"/>
    <w:rsid w:val="00DD0527"/>
    <w:pPr>
      <w:spacing w:after="0"/>
      <w:ind w:left="851" w:hanging="85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2105">
      <w:bodyDiv w:val="1"/>
      <w:marLeft w:val="0"/>
      <w:marRight w:val="0"/>
      <w:marTop w:val="0"/>
      <w:marBottom w:val="0"/>
      <w:divBdr>
        <w:top w:val="none" w:sz="0" w:space="0" w:color="auto"/>
        <w:left w:val="none" w:sz="0" w:space="0" w:color="auto"/>
        <w:bottom w:val="none" w:sz="0" w:space="0" w:color="auto"/>
        <w:right w:val="none" w:sz="0" w:space="0" w:color="auto"/>
      </w:divBdr>
      <w:divsChild>
        <w:div w:id="1414157763">
          <w:marLeft w:val="0"/>
          <w:marRight w:val="0"/>
          <w:marTop w:val="0"/>
          <w:marBottom w:val="0"/>
          <w:divBdr>
            <w:top w:val="none" w:sz="0" w:space="0" w:color="auto"/>
            <w:left w:val="none" w:sz="0" w:space="0" w:color="auto"/>
            <w:bottom w:val="none" w:sz="0" w:space="0" w:color="auto"/>
            <w:right w:val="none" w:sz="0" w:space="0" w:color="auto"/>
          </w:divBdr>
          <w:divsChild>
            <w:div w:id="1956517928">
              <w:marLeft w:val="0"/>
              <w:marRight w:val="0"/>
              <w:marTop w:val="0"/>
              <w:marBottom w:val="0"/>
              <w:divBdr>
                <w:top w:val="none" w:sz="0" w:space="0" w:color="auto"/>
                <w:left w:val="none" w:sz="0" w:space="0" w:color="auto"/>
                <w:bottom w:val="none" w:sz="0" w:space="0" w:color="auto"/>
                <w:right w:val="none" w:sz="0" w:space="0" w:color="auto"/>
              </w:divBdr>
              <w:divsChild>
                <w:div w:id="1624965997">
                  <w:marLeft w:val="0"/>
                  <w:marRight w:val="0"/>
                  <w:marTop w:val="0"/>
                  <w:marBottom w:val="0"/>
                  <w:divBdr>
                    <w:top w:val="none" w:sz="0" w:space="0" w:color="auto"/>
                    <w:left w:val="none" w:sz="0" w:space="0" w:color="auto"/>
                    <w:bottom w:val="none" w:sz="0" w:space="0" w:color="auto"/>
                    <w:right w:val="none" w:sz="0" w:space="0" w:color="auto"/>
                  </w:divBdr>
                  <w:divsChild>
                    <w:div w:id="296952487">
                      <w:marLeft w:val="0"/>
                      <w:marRight w:val="0"/>
                      <w:marTop w:val="0"/>
                      <w:marBottom w:val="0"/>
                      <w:divBdr>
                        <w:top w:val="none" w:sz="0" w:space="0" w:color="auto"/>
                        <w:left w:val="none" w:sz="0" w:space="0" w:color="auto"/>
                        <w:bottom w:val="none" w:sz="0" w:space="0" w:color="auto"/>
                        <w:right w:val="none" w:sz="0" w:space="0" w:color="auto"/>
                      </w:divBdr>
                      <w:divsChild>
                        <w:div w:id="27265165">
                          <w:marLeft w:val="0"/>
                          <w:marRight w:val="0"/>
                          <w:marTop w:val="0"/>
                          <w:marBottom w:val="0"/>
                          <w:divBdr>
                            <w:top w:val="none" w:sz="0" w:space="0" w:color="auto"/>
                            <w:left w:val="none" w:sz="0" w:space="0" w:color="auto"/>
                            <w:bottom w:val="none" w:sz="0" w:space="0" w:color="auto"/>
                            <w:right w:val="none" w:sz="0" w:space="0" w:color="auto"/>
                          </w:divBdr>
                          <w:divsChild>
                            <w:div w:id="8331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002081">
      <w:bodyDiv w:val="1"/>
      <w:marLeft w:val="0"/>
      <w:marRight w:val="0"/>
      <w:marTop w:val="0"/>
      <w:marBottom w:val="0"/>
      <w:divBdr>
        <w:top w:val="none" w:sz="0" w:space="0" w:color="auto"/>
        <w:left w:val="none" w:sz="0" w:space="0" w:color="auto"/>
        <w:bottom w:val="none" w:sz="0" w:space="0" w:color="auto"/>
        <w:right w:val="none" w:sz="0" w:space="0" w:color="auto"/>
      </w:divBdr>
      <w:divsChild>
        <w:div w:id="155465063">
          <w:marLeft w:val="0"/>
          <w:marRight w:val="0"/>
          <w:marTop w:val="0"/>
          <w:marBottom w:val="0"/>
          <w:divBdr>
            <w:top w:val="none" w:sz="0" w:space="0" w:color="auto"/>
            <w:left w:val="none" w:sz="0" w:space="0" w:color="auto"/>
            <w:bottom w:val="none" w:sz="0" w:space="0" w:color="auto"/>
            <w:right w:val="none" w:sz="0" w:space="0" w:color="auto"/>
          </w:divBdr>
          <w:divsChild>
            <w:div w:id="351346140">
              <w:marLeft w:val="0"/>
              <w:marRight w:val="0"/>
              <w:marTop w:val="0"/>
              <w:marBottom w:val="0"/>
              <w:divBdr>
                <w:top w:val="none" w:sz="0" w:space="0" w:color="auto"/>
                <w:left w:val="none" w:sz="0" w:space="0" w:color="auto"/>
                <w:bottom w:val="none" w:sz="0" w:space="0" w:color="auto"/>
                <w:right w:val="none" w:sz="0" w:space="0" w:color="auto"/>
              </w:divBdr>
              <w:divsChild>
                <w:div w:id="78449088">
                  <w:marLeft w:val="0"/>
                  <w:marRight w:val="0"/>
                  <w:marTop w:val="0"/>
                  <w:marBottom w:val="0"/>
                  <w:divBdr>
                    <w:top w:val="none" w:sz="0" w:space="0" w:color="auto"/>
                    <w:left w:val="none" w:sz="0" w:space="0" w:color="auto"/>
                    <w:bottom w:val="none" w:sz="0" w:space="0" w:color="auto"/>
                    <w:right w:val="none" w:sz="0" w:space="0" w:color="auto"/>
                  </w:divBdr>
                  <w:divsChild>
                    <w:div w:id="1368600830">
                      <w:marLeft w:val="0"/>
                      <w:marRight w:val="0"/>
                      <w:marTop w:val="0"/>
                      <w:marBottom w:val="0"/>
                      <w:divBdr>
                        <w:top w:val="none" w:sz="0" w:space="0" w:color="auto"/>
                        <w:left w:val="none" w:sz="0" w:space="0" w:color="auto"/>
                        <w:bottom w:val="none" w:sz="0" w:space="0" w:color="auto"/>
                        <w:right w:val="none" w:sz="0" w:space="0" w:color="auto"/>
                      </w:divBdr>
                      <w:divsChild>
                        <w:div w:id="382751965">
                          <w:marLeft w:val="0"/>
                          <w:marRight w:val="0"/>
                          <w:marTop w:val="0"/>
                          <w:marBottom w:val="0"/>
                          <w:divBdr>
                            <w:top w:val="none" w:sz="0" w:space="0" w:color="auto"/>
                            <w:left w:val="none" w:sz="0" w:space="0" w:color="auto"/>
                            <w:bottom w:val="none" w:sz="0" w:space="0" w:color="auto"/>
                            <w:right w:val="none" w:sz="0" w:space="0" w:color="auto"/>
                          </w:divBdr>
                          <w:divsChild>
                            <w:div w:id="190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icinspector.independent.gov.uk/country-information-reviews/" TargetMode="External"/><Relationship Id="rId26" Type="http://schemas.openxmlformats.org/officeDocument/2006/relationships/hyperlink" Target="http://www.bailii.org/cgi-bin/markup.cgi?doc=/uk/cases/UKHL/2003/15.html&amp;query=Sepet&amp;method=boolean" TargetMode="External"/><Relationship Id="rId39" Type="http://schemas.openxmlformats.org/officeDocument/2006/relationships/hyperlink" Target="mailto:cois@homeoffice.gsi.gov.uk" TargetMode="External"/><Relationship Id="rId3" Type="http://schemas.openxmlformats.org/officeDocument/2006/relationships/customXml" Target="../customXml/item3.xml"/><Relationship Id="rId21" Type="http://schemas.openxmlformats.org/officeDocument/2006/relationships/hyperlink" Target="https://www.gov.uk/government/publications/language-analysis-instruction" TargetMode="External"/><Relationship Id="rId34" Type="http://schemas.openxmlformats.org/officeDocument/2006/relationships/hyperlink" Target="https://www.gov.uk/government/publications/considering-asylum-claims-and-assessing-credibility-instructio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iefinspectorukba@icinspector.gsi.gov.uk" TargetMode="External"/><Relationship Id="rId25" Type="http://schemas.openxmlformats.org/officeDocument/2006/relationships/hyperlink" Target="https://www.gov.uk/government/publications/asylum-instruction-exclusion-article-1f-of-the-refugee-convention" TargetMode="External"/><Relationship Id="rId33" Type="http://schemas.openxmlformats.org/officeDocument/2006/relationships/hyperlink" Target="http://hudoc.echr.coe.int/sites/eng/pages/search.aspx?i=001-111414" TargetMode="External"/><Relationship Id="rId38" Type="http://schemas.openxmlformats.org/officeDocument/2006/relationships/hyperlink" Target="https://www.gov.uk/government/publications/turkey-country-information-and-guidance"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ois@homeoffice.gsi.gov.uk?subject=Feedback%20on%20CIG" TargetMode="External"/><Relationship Id="rId20" Type="http://schemas.openxmlformats.org/officeDocument/2006/relationships/hyperlink" Target="https://www.gov.uk/government/publications/visa-matches-handling-asylum-claims-from-uk-visa-applicants-instruction" TargetMode="External"/><Relationship Id="rId29" Type="http://schemas.openxmlformats.org/officeDocument/2006/relationships/hyperlink" Target="https://www.gov.uk/government/publications/turkey-country-information-and-guidanc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military-service-and-conscientious-objection-process" TargetMode="External"/><Relationship Id="rId32" Type="http://schemas.openxmlformats.org/officeDocument/2006/relationships/hyperlink" Target="https://www.gov.uk/government/publications/military-service-and-conscientious-objection-process" TargetMode="External"/><Relationship Id="rId37" Type="http://schemas.openxmlformats.org/officeDocument/2006/relationships/hyperlink" Target="https://www.gov.uk/government/publications/turkey-country-information-and-guidance" TargetMode="External"/><Relationship Id="rId40" Type="http://schemas.openxmlformats.org/officeDocument/2006/relationships/hyperlink" Target="mailto:Modernisedguidanceteam@ukba.gsi.gov.uk"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ec.europa.eu/dgs/home-affairs/what-we-do/policies/asylum/european-asylum-support-office/coireportmethodologyfinallayout_en.pdf" TargetMode="External"/><Relationship Id="rId23" Type="http://schemas.openxmlformats.org/officeDocument/2006/relationships/hyperlink" Target="http://www.bailii.org/cgi-bin/markup.cgi?doc=/uk/cases/UKHL/2003/15.html&amp;query=Sepet&amp;method=boolean" TargetMode="External"/><Relationship Id="rId28" Type="http://schemas.openxmlformats.org/officeDocument/2006/relationships/hyperlink" Target="https://tribunalsdecisions.service.gov.uk/utiac/decisions/2013-ukut-612" TargetMode="External"/><Relationship Id="rId36"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10" Type="http://schemas.openxmlformats.org/officeDocument/2006/relationships/settings" Target="settings.xml"/><Relationship Id="rId19" Type="http://schemas.openxmlformats.org/officeDocument/2006/relationships/hyperlink" Target="https://www.gov.uk/government/publications/considering-asylum-claims-and-assessing-credibility-instruction" TargetMode="External"/><Relationship Id="rId31" Type="http://schemas.openxmlformats.org/officeDocument/2006/relationships/hyperlink" Target="http://www.bailii.org/cgi-bin/markup.cgi?doc=/uk/cases/UKHL/2003/15.html&amp;query=Sepet&amp;method=boolea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ogle.co.uk/url?sa=t&amp;rct=j&amp;q=&amp;esrc=s&amp;source=web&amp;cd=2&amp;cad=rja&amp;uact=8&amp;ved=0CCgQFjAB&amp;url=http%3A%2F%2Fwww.refworld.org%2Fpdfid%2F4f33c8d92.pdf&amp;ei=BGqqVIfeM6X67AbJ4oGwAQ&amp;usg=AFQjCNEHdb2KEtDbJ9X4nB-lEhJHP1ZJNw&amp;sig2=CQr55LqPGSoaKl2tTjg60w&amp;bvm=bv.820"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www.bailii.org/cgi-bin/markup.cgi?doc=/uk/cases/UKHL/2003/15.html&amp;query=Sepet&amp;method=boolean" TargetMode="External"/><Relationship Id="rId35" Type="http://schemas.openxmlformats.org/officeDocument/2006/relationships/hyperlink" Target="https://www.gov.uk/government/publications/considering-asylum-claims-and-assessing-credibility-instruction" TargetMode="External"/><Relationship Id="rId43" Type="http://schemas.openxmlformats.org/officeDocument/2006/relationships/footer" Target="foot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irb-cisr.gc.ca/Eng/ResRec/RirRdi/Pages/index.aspx?doc=455353&amp;pls=1" TargetMode="External"/><Relationship Id="rId18" Type="http://schemas.openxmlformats.org/officeDocument/2006/relationships/hyperlink" Target="http://www.dailysabah.com/nation/2014/12/15/applications-for-paid-exemption-from-military-service-open" TargetMode="External"/><Relationship Id="rId26" Type="http://schemas.openxmlformats.org/officeDocument/2006/relationships/hyperlink" Target="http://mpra.ub.uni-muenchen.de/61722/1/MPRA_paper_61722.pdf" TargetMode="External"/><Relationship Id="rId39" Type="http://schemas.openxmlformats.org/officeDocument/2006/relationships/hyperlink" Target="http://ec.europa.eu/enlargement/pdf/key_documents/2014/20141008-turkey-progress-report_en.pdf" TargetMode="External"/><Relationship Id="rId21" Type="http://schemas.openxmlformats.org/officeDocument/2006/relationships/hyperlink" Target="http://www.state.gov/j/drl/rls/hrrpt/humanrightsreport/index.htm?year=2013&amp;dlid=220341" TargetMode="External"/><Relationship Id="rId34" Type="http://schemas.openxmlformats.org/officeDocument/2006/relationships/hyperlink" Target="http://www.todayszaman.com/columnist/berk-cektir/can-dual-citizen-turks-enter-turkey-without-doing-military-service_226608.html" TargetMode="External"/><Relationship Id="rId42" Type="http://schemas.openxmlformats.org/officeDocument/2006/relationships/hyperlink" Target="http://www.wri-irg.org/UPR-Turkey-2014" TargetMode="External"/><Relationship Id="rId47" Type="http://schemas.openxmlformats.org/officeDocument/2006/relationships/hyperlink" Target="http://www.amnesty.org/en/library/asset/EUR44/018/2013/en/8bd99777-d7c2-4c3c-a344-eb6a1cb2e01b/eur440182013en.pdf" TargetMode="External"/><Relationship Id="rId50" Type="http://schemas.openxmlformats.org/officeDocument/2006/relationships/hyperlink" Target="http://www.hurriyetdailynews.com/turkish-military-court-sentences-conscientious-objector-to-15-months-despite-echr-ruling.aspx?pageID=238&amp;nID=78208&amp;NewsCatID=339" TargetMode="External"/><Relationship Id="rId55" Type="http://schemas.openxmlformats.org/officeDocument/2006/relationships/hyperlink" Target="http://ec.europa.eu/enlargement/pdf/key_documents/2014/20141008-turkey-progress-report_en.pdf" TargetMode="External"/><Relationship Id="rId7" Type="http://schemas.openxmlformats.org/officeDocument/2006/relationships/hyperlink" Target="http://mpra.ub.uni-muenchen.de/61722/1/MPRA_paper_61722.pdf" TargetMode="External"/><Relationship Id="rId12" Type="http://schemas.openxmlformats.org/officeDocument/2006/relationships/hyperlink" Target="http://mpra.ub.uni-muenchen.de/61722/1/MPRA_paper_61722.pdf" TargetMode="External"/><Relationship Id="rId17" Type="http://schemas.openxmlformats.org/officeDocument/2006/relationships/hyperlink" Target="http://www.dailysabah.com/nation/2014/12/15/applications-for-paid-exemption-from-military-service-open" TargetMode="External"/><Relationship Id="rId25" Type="http://schemas.openxmlformats.org/officeDocument/2006/relationships/hyperlink" Target="http://irb-cisr.gc.ca/Eng/ResRec/RirRdi/Pages/index.aspx?doc=455353&amp;pls=1" TargetMode="External"/><Relationship Id="rId33" Type="http://schemas.openxmlformats.org/officeDocument/2006/relationships/hyperlink" Target="http://www.refworld.org/cgi-bin/texis/vtx/rwmain?docid=3ae6b4d01c" TargetMode="External"/><Relationship Id="rId38" Type="http://schemas.openxmlformats.org/officeDocument/2006/relationships/hyperlink" Target="http://irb-cisr.gc.ca/Eng/ResRec/RirRdi/Pages/index.aspx?doc=455353&amp;pls=1" TargetMode="External"/><Relationship Id="rId46" Type="http://schemas.openxmlformats.org/officeDocument/2006/relationships/hyperlink" Target="http://ebco-beoc.org/sites/ebco-beoc.org/files/attachments/2014-EBCO-REPORT-EUROPE.pdf" TargetMode="External"/><Relationship Id="rId2" Type="http://schemas.openxmlformats.org/officeDocument/2006/relationships/hyperlink" Target="http://www.refworld.org/docid/3ae6b4d020.html" TargetMode="External"/><Relationship Id="rId16" Type="http://schemas.openxmlformats.org/officeDocument/2006/relationships/hyperlink" Target="http://www.hurriyetdailynews.com/turkish-govt-revisits-exempted-military-service-before-2015-polls.aspx?PageID=238&amp;NID=75106&amp;NewsCatID=338" TargetMode="External"/><Relationship Id="rId20" Type="http://schemas.openxmlformats.org/officeDocument/2006/relationships/hyperlink" Target="http://www.non-discrimination.net/content/media/TR-21-Turkish%20Parliament%20passes%20a%20bill%20renderind%20homosexuality%20ground%20for%20dismissal%20from%20the%20army.pdf" TargetMode="External"/><Relationship Id="rId29" Type="http://schemas.openxmlformats.org/officeDocument/2006/relationships/hyperlink" Target="http://www.wri-irg.org/UPR-Turkey-2014" TargetMode="External"/><Relationship Id="rId41" Type="http://schemas.openxmlformats.org/officeDocument/2006/relationships/hyperlink" Target="http://www.todayszaman.com/national_turkey-says-working-to-address-conscientious-objection_284772.html" TargetMode="External"/><Relationship Id="rId54" Type="http://schemas.openxmlformats.org/officeDocument/2006/relationships/hyperlink" Target="http://irb-cisr.gc.ca/Eng/ResRec/RirRdi/Pages/index.aspx?doc=455353&amp;pls=1" TargetMode="External"/><Relationship Id="rId1" Type="http://schemas.openxmlformats.org/officeDocument/2006/relationships/hyperlink" Target="http://global.tbmm.gov.tr/docs/constitution_en.pdf" TargetMode="External"/><Relationship Id="rId6" Type="http://schemas.openxmlformats.org/officeDocument/2006/relationships/hyperlink" Target="http://www.wri-irg.org/UPR-Turkey-2014" TargetMode="External"/><Relationship Id="rId11" Type="http://schemas.openxmlformats.org/officeDocument/2006/relationships/hyperlink" Target="http://mpra.ub.uni-muenchen.de/61722/1/MPRA_paper_61722.pdf" TargetMode="External"/><Relationship Id="rId24" Type="http://schemas.openxmlformats.org/officeDocument/2006/relationships/hyperlink" Target="http://www.hurriyetdailynews.com/thousands-of-soldiers-discharged-after-reduction-of-compulsory-military-service.aspx?pageID=238&amp;nID=60419&amp;NewsCatID=341" TargetMode="External"/><Relationship Id="rId32" Type="http://schemas.openxmlformats.org/officeDocument/2006/relationships/hyperlink" Target="http://irb-cisr.gc.ca/Eng/ResRec/RirRdi/Pages/index.aspx?doc=455353&amp;pls=1" TargetMode="External"/><Relationship Id="rId37" Type="http://schemas.openxmlformats.org/officeDocument/2006/relationships/hyperlink" Target="http://www.wri-irg.org/UPR-Turkey-2014" TargetMode="External"/><Relationship Id="rId40" Type="http://schemas.openxmlformats.org/officeDocument/2006/relationships/hyperlink" Target="https://books.google.co.uk/books?id=bG0UBAAAQBAJ&amp;pg=PA121&amp;lpg=PA121&amp;dq=Turkish+Military+Penal+Code+article+45&amp;source=bl&amp;ots=XQZi64i-fN&amp;sig=Tg3rv-7Pw1DsIQHakDIA5E4nfoY&amp;hl=en&amp;sa=X&amp;ei=J9XlVIGeCcaa7gbr3oHwCw&amp;ved=0CDQQ6AEwAw" TargetMode="External"/><Relationship Id="rId45" Type="http://schemas.openxmlformats.org/officeDocument/2006/relationships/hyperlink" Target="http://tbinternet.ohchr.org/Treaties/CCPR/Shared%20Documents/TUR/INT_CCPR_AFR_TUR_18277_E.pdf" TargetMode="External"/><Relationship Id="rId53" Type="http://schemas.openxmlformats.org/officeDocument/2006/relationships/hyperlink" Target="http://irb-cisr.gc.ca/Eng/ResRec/RirRdi/Pages/index.aspx?doc=455353&amp;pls=1" TargetMode="External"/><Relationship Id="rId58" Type="http://schemas.openxmlformats.org/officeDocument/2006/relationships/hyperlink" Target="http://www.state.gov/j/drl/rls/hrrpt/humanrightsreport/index.htm?year=2014&amp;dlid=236586" TargetMode="External"/><Relationship Id="rId5" Type="http://schemas.openxmlformats.org/officeDocument/2006/relationships/hyperlink" Target="http://www.refworld.org/docid/3ae6b4d020.html" TargetMode="External"/><Relationship Id="rId15" Type="http://schemas.openxmlformats.org/officeDocument/2006/relationships/hyperlink" Target="http://www.al-monitor.com/pulse/originals/2014/12/turkey-compulsory-military-service-buy-exemption.html" TargetMode="External"/><Relationship Id="rId23" Type="http://schemas.openxmlformats.org/officeDocument/2006/relationships/hyperlink" Target="http://archive.defensenews.com/article/20131021/DEFREG01/310210039/Turkey-Reduces-Length-Compulsory-Military-Service" TargetMode="External"/><Relationship Id="rId28" Type="http://schemas.openxmlformats.org/officeDocument/2006/relationships/hyperlink" Target="http://www.todayszaman.com/columnist/berk-cektir/can-dual-citizen-turks-enter-turkey-without-doing-military-service_226608.html" TargetMode="External"/><Relationship Id="rId36" Type="http://schemas.openxmlformats.org/officeDocument/2006/relationships/hyperlink" Target="http://www.wri-irg.org/UPR-Turkey-2014" TargetMode="External"/><Relationship Id="rId49" Type="http://schemas.openxmlformats.org/officeDocument/2006/relationships/hyperlink" Target="http://ec.europa.eu/enlargement/pdf/key_documents/2014/20141008-turkey-progress-report_en.pdf" TargetMode="External"/><Relationship Id="rId57" Type="http://schemas.openxmlformats.org/officeDocument/2006/relationships/hyperlink" Target="http://ec.europa.eu/enlargement/pdf/key_documents/2014/20141008-turkey-progress-report_en.pdf" TargetMode="External"/><Relationship Id="rId10" Type="http://schemas.openxmlformats.org/officeDocument/2006/relationships/hyperlink" Target="http://irb-cisr.gc.ca/Eng/ResRec/RirRdi/Pages/index.aspx?doc=455353&amp;pls=1" TargetMode="External"/><Relationship Id="rId19" Type="http://schemas.openxmlformats.org/officeDocument/2006/relationships/hyperlink" Target="http://www.todayszaman.com/national_military-service-paid-exemption-option-sees-record-number-of-applicants_372598.html" TargetMode="External"/><Relationship Id="rId31" Type="http://schemas.openxmlformats.org/officeDocument/2006/relationships/hyperlink" Target="http://www.wri-irg.org/UPR-Turkey-2014" TargetMode="External"/><Relationship Id="rId44" Type="http://schemas.openxmlformats.org/officeDocument/2006/relationships/hyperlink" Target="http://docstore.ohchr.org/SelfServices/FilesHandler.ashx?enc=6QkG1d%2fPPRiCAqhKb7yhshmKtQJn68GxgXXTdAYdq%2fuKuHnlZeSAm6riCmQa6vtlbHKIbogtDJZeptw7i5KBK45f81nqutF%2bjT0Lw1jBzkZCdXMbj%2ftmhFSUOAEge%2fUQ" TargetMode="External"/><Relationship Id="rId52" Type="http://schemas.openxmlformats.org/officeDocument/2006/relationships/hyperlink" Target="http://ec.europa.eu/enlargement/pdf/key_documents/2014/20141008-turkey-progress-report_en.pdf" TargetMode="External"/><Relationship Id="rId4" Type="http://schemas.openxmlformats.org/officeDocument/2006/relationships/hyperlink" Target="http://irb-cisr.gc.ca/Eng/ResRec/RirRdi/Pages/index.aspx?doc=455353&amp;pls=1" TargetMode="External"/><Relationship Id="rId9" Type="http://schemas.openxmlformats.org/officeDocument/2006/relationships/hyperlink" Target="http://www.globalfirepower.com/country-military-strength-detail.asp?country_id=turkey" TargetMode="External"/><Relationship Id="rId14" Type="http://schemas.openxmlformats.org/officeDocument/2006/relationships/hyperlink" Target="http://www.refworld.org/docid/3ae6b4d020.html" TargetMode="External"/><Relationship Id="rId22" Type="http://schemas.openxmlformats.org/officeDocument/2006/relationships/hyperlink" Target="http://ec.europa.eu/enlargement/pdf/key_documents/2014/20141008-turkey-progress-report_en.pdf" TargetMode="External"/><Relationship Id="rId27" Type="http://schemas.openxmlformats.org/officeDocument/2006/relationships/hyperlink" Target="http://mpra.ub.uni-muenchen.de/61722/1/MPRA_paper_61722.pdf" TargetMode="External"/><Relationship Id="rId30" Type="http://schemas.openxmlformats.org/officeDocument/2006/relationships/hyperlink" Target="http://www.hurriyetdailynews.com/if-there-is-a-dictator-topple-him-at-elections-says-turkish-pm-erdogan.aspx?pageID=238&amp;nID=56846&amp;NewsCatID=338" TargetMode="External"/><Relationship Id="rId35" Type="http://schemas.openxmlformats.org/officeDocument/2006/relationships/hyperlink" Target="http://www.wri-irg.org/UPR-Turkey-2014" TargetMode="External"/><Relationship Id="rId43" Type="http://schemas.openxmlformats.org/officeDocument/2006/relationships/hyperlink" Target="http://docstore.ohchr.org/SelfServices/FilesHandler.ashx?enc=6QkG1d%2fPPRiCAqhKb7yhshmKtQJn68GxgXXTdAYdq%2fuKuHnlZeSAm6riCmQa6vtlbHKIbogtDJZeptw7i5KBK45f81nqutF%2bjT0Lw1jBzkZCdXMbj%2ftmhFSUOAEge%2fUQ" TargetMode="External"/><Relationship Id="rId48" Type="http://schemas.openxmlformats.org/officeDocument/2006/relationships/hyperlink" Target="http://irb-cisr.gc.ca/Eng/ResRec/RirRdi/Pages/index.aspx?doc=455353&amp;pls=1" TargetMode="External"/><Relationship Id="rId56" Type="http://schemas.openxmlformats.org/officeDocument/2006/relationships/hyperlink" Target="http://ec.europa.eu/enlargement/pdf/key_documents/2014/20141008-turkey-progress-report_en.pdf" TargetMode="External"/><Relationship Id="rId8" Type="http://schemas.openxmlformats.org/officeDocument/2006/relationships/hyperlink" Target="http://www.todayszaman.com/op-ed_paid-exemptions-and-falling-fertility-rates-mean-challenges-ahead-for-turkeys-military_368398.html" TargetMode="External"/><Relationship Id="rId51" Type="http://schemas.openxmlformats.org/officeDocument/2006/relationships/hyperlink" Target="http://www.amnesty.org/en/library/asset/EUR44/010/2012/en/17b8ac95-5b00-4523-b520-771a09c28d74/eur440102012en.html" TargetMode="External"/><Relationship Id="rId3" Type="http://schemas.openxmlformats.org/officeDocument/2006/relationships/hyperlink" Target="http://irb-cisr.gc.ca/Eng/ResRec/RirRdi/Pages/index.aspx?doc=455353&amp;pls=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2017-03-02T12:48:32+00:00</_dlc_ExpireDate>
    <_dlc_DocId xmlns="6118b057-8ff5-44e4-b1de-321b26ad5719">HOPROCBF-12-315</_dlc_DocId>
    <_dlc_DocIdUrl xmlns="6118b057-8ff5-44e4-b1de-321b26ad5719">
      <Url>https://teams.ho.cedrm.fgs-cloud.com/sites/PROCBF/CPIPROC/_layouts/DocIdRedir.aspx?ID=HOPROCBF-12-315</Url>
      <Description>HOPROCBF-12-315</Description>
    </_dlc_DocIdUrl>
  </documentManagement>
</p:properties>
</file>

<file path=customXml/item2.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34ce4787-90fb-4999-a291-ca9299122cd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3.xml><?xml version="1.0" encoding="utf-8"?>
<?mso-contentType ?>
<SharedContentType xmlns="Microsoft.SharePoint.Taxonomy.ContentTypeSync" SourceId="47c09a6c-e0e3-4477-ae9b-2effd2a8cb0c" ContentTypeId="0x01010013C1D610CEDDE9499BC03C1C1CDDDA230601" PreviousValue="tru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2" ma:contentTypeDescription="Process Support Document" ma:contentTypeScope="" ma:versionID="e3d57bc6a4b2ce24c0c68691a76e633d">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3793e2189b80a21af697d8aafbaa7a64"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empt from Policy" ma:hidden="true" ma:internalName="_dlc_Exempt" ma:readOnly="true">
      <xsd:simpleType>
        <xsd:restriction base="dms:Unknown"/>
      </xsd:simpleType>
    </xsd:element>
    <xsd:element name="_dlc_ExpireDateSaved" ma:index="35" nillable="true" ma:displayName="Original Expiration Date" ma:hidden="true" ma:internalName="_dlc_ExpireDateSaved" ma:readOnly="true">
      <xsd:simpleType>
        <xsd:restriction base="dms:DateTime"/>
      </xsd:simpleType>
    </xsd:element>
    <xsd:element name="_dlc_ExpireDate" ma:index="36"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purl.org/dc/terms/"/>
    <ds:schemaRef ds:uri="6118b057-8ff5-44e4-b1de-321b26ad5719"/>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DDA9F23-21F5-41FC-80FE-4004B66B41CF}">
  <ds:schemaRefs>
    <ds:schemaRef ds:uri="office.server.policy"/>
  </ds:schemaRefs>
</ds:datastoreItem>
</file>

<file path=customXml/itemProps3.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4.xml><?xml version="1.0" encoding="utf-8"?>
<ds:datastoreItem xmlns:ds="http://schemas.openxmlformats.org/officeDocument/2006/customXml" ds:itemID="{0CF985BA-9836-4116-A7E2-7DF6F04FC94A}">
  <ds:schemaRefs>
    <ds:schemaRef ds:uri="http://schemas.microsoft.com/sharepoint/events"/>
  </ds:schemaRefs>
</ds:datastoreItem>
</file>

<file path=customXml/itemProps5.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6.xml><?xml version="1.0" encoding="utf-8"?>
<ds:datastoreItem xmlns:ds="http://schemas.openxmlformats.org/officeDocument/2006/customXml" ds:itemID="{64B7AFD7-11A8-4FE0-9886-2EF468E03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FB95932-E4D6-4E83-B946-53DABA2A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652DC6F3</Template>
  <TotalTime>1</TotalTime>
  <Pages>22</Pages>
  <Words>6624</Words>
  <Characters>37760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44296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Template</dc:title>
  <dc:creator>Country Policy &amp; Information Team</dc:creator>
  <cp:lastModifiedBy>Coles Ros</cp:lastModifiedBy>
  <cp:revision>3</cp:revision>
  <dcterms:created xsi:type="dcterms:W3CDTF">2018-09-06T14:58:00Z</dcterms:created>
  <dcterms:modified xsi:type="dcterms:W3CDTF">2018-09-06T14:59:00Z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c937f088-1f13-4e8c-8642-dac438cb3fce</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Business Function Level 3">
    <vt:lpwstr/>
  </property>
</Properties>
</file>