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D3C7C" w:rsidP="009D3C7C">
            <w:pPr>
              <w:jc w:val="right"/>
            </w:pPr>
            <w:r w:rsidRPr="009D3C7C">
              <w:rPr>
                <w:sz w:val="40"/>
              </w:rPr>
              <w:t>A</w:t>
            </w:r>
            <w:r>
              <w:t>/HRC/38/16/Add.1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66C2B"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D3C7C" w:rsidP="009D3C7C">
            <w:pPr>
              <w:spacing w:before="240" w:line="240" w:lineRule="exact"/>
            </w:pPr>
            <w:r>
              <w:t>Distr.: General</w:t>
            </w:r>
          </w:p>
          <w:p w:rsidR="009D3C7C" w:rsidRDefault="003F60A1" w:rsidP="009D3C7C">
            <w:pPr>
              <w:spacing w:line="240" w:lineRule="exact"/>
            </w:pPr>
            <w:r>
              <w:t>5</w:t>
            </w:r>
            <w:r w:rsidR="009D3C7C">
              <w:t xml:space="preserve"> June 2018</w:t>
            </w:r>
          </w:p>
          <w:p w:rsidR="009D3C7C" w:rsidRDefault="009D3C7C" w:rsidP="009D3C7C">
            <w:pPr>
              <w:spacing w:line="240" w:lineRule="exact"/>
            </w:pPr>
          </w:p>
          <w:p w:rsidR="009D3C7C" w:rsidRDefault="009D3C7C" w:rsidP="009D3C7C">
            <w:pPr>
              <w:spacing w:line="240" w:lineRule="exact"/>
            </w:pPr>
            <w:r>
              <w:t>Original: English</w:t>
            </w:r>
          </w:p>
        </w:tc>
      </w:tr>
    </w:tbl>
    <w:p w:rsidR="009D3C7C" w:rsidRPr="006C7248" w:rsidRDefault="009D3C7C" w:rsidP="009D3C7C">
      <w:pPr>
        <w:spacing w:before="120"/>
        <w:rPr>
          <w:b/>
          <w:bCs/>
          <w:sz w:val="24"/>
          <w:szCs w:val="24"/>
        </w:rPr>
      </w:pPr>
      <w:r w:rsidRPr="006C7248">
        <w:rPr>
          <w:b/>
          <w:bCs/>
          <w:sz w:val="24"/>
          <w:szCs w:val="24"/>
        </w:rPr>
        <w:t>Human Rights Council</w:t>
      </w:r>
      <w:r w:rsidR="008152EB">
        <w:rPr>
          <w:noProof/>
        </w:rPr>
        <w:pict>
          <v:rect id="Picture 1" o:spid="_x0000_s1026" alt="Add" style="position:absolute;margin-left:432.25pt;margin-top:632.1pt;width:50.25pt;height:50.2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9D3C7C" w:rsidRPr="006C7248" w:rsidRDefault="009D3C7C" w:rsidP="009D3C7C">
      <w:pPr>
        <w:rPr>
          <w:b/>
          <w:bCs/>
        </w:rPr>
      </w:pPr>
      <w:r w:rsidRPr="006C7248">
        <w:rPr>
          <w:b/>
          <w:bCs/>
        </w:rPr>
        <w:t>Thirty-</w:t>
      </w:r>
      <w:r>
        <w:rPr>
          <w:b/>
          <w:bCs/>
        </w:rPr>
        <w:t>eight</w:t>
      </w:r>
      <w:r w:rsidRPr="006C7248">
        <w:rPr>
          <w:b/>
          <w:bCs/>
        </w:rPr>
        <w:t>h session</w:t>
      </w:r>
    </w:p>
    <w:p w:rsidR="009D3C7C" w:rsidRPr="006C7248" w:rsidRDefault="009D3C7C" w:rsidP="009D3C7C">
      <w:r w:rsidRPr="006C7248">
        <w:t>Agenda item 6</w:t>
      </w:r>
    </w:p>
    <w:p w:rsidR="009D3C7C" w:rsidRPr="006C7248" w:rsidRDefault="009D3C7C" w:rsidP="009D3C7C">
      <w:pPr>
        <w:rPr>
          <w:b/>
        </w:rPr>
      </w:pPr>
      <w:r w:rsidRPr="006C7248">
        <w:rPr>
          <w:b/>
        </w:rPr>
        <w:t>Universal Periodic Review</w:t>
      </w:r>
    </w:p>
    <w:p w:rsidR="009D3C7C" w:rsidRPr="006C7248" w:rsidRDefault="009D3C7C" w:rsidP="009D3C7C">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DF5CBE">
        <w:footnoteReference w:customMarkFollows="1" w:id="2"/>
        <w:t>*</w:t>
      </w:r>
    </w:p>
    <w:p w:rsidR="009D3C7C" w:rsidRPr="006C7248" w:rsidRDefault="009D3C7C" w:rsidP="009D3C7C">
      <w:pPr>
        <w:keepNext/>
        <w:keepLines/>
        <w:tabs>
          <w:tab w:val="right" w:pos="851"/>
        </w:tabs>
        <w:spacing w:before="360" w:after="240" w:line="300" w:lineRule="exact"/>
        <w:ind w:left="1134" w:right="1134" w:hanging="1134"/>
        <w:rPr>
          <w:b/>
          <w:sz w:val="28"/>
        </w:rPr>
      </w:pPr>
      <w:r>
        <w:rPr>
          <w:b/>
          <w:sz w:val="28"/>
        </w:rPr>
        <w:tab/>
      </w:r>
      <w:r>
        <w:rPr>
          <w:b/>
          <w:sz w:val="28"/>
        </w:rPr>
        <w:tab/>
        <w:t>Liechtenstein</w:t>
      </w:r>
    </w:p>
    <w:p w:rsidR="009D3C7C" w:rsidRPr="006C7248" w:rsidRDefault="009D3C7C" w:rsidP="009D3C7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D3C7C" w:rsidRPr="006C7248" w:rsidRDefault="009D3C7C" w:rsidP="009D3C7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D3C7C" w:rsidRPr="009D3C7C" w:rsidRDefault="009D3C7C" w:rsidP="00BC229C">
      <w:pPr>
        <w:pStyle w:val="HChG"/>
        <w:ind w:firstLine="0"/>
      </w:pPr>
      <w:r w:rsidRPr="006C7248">
        <w:br w:type="page"/>
      </w:r>
      <w:r w:rsidRPr="009D3C7C">
        <w:lastRenderedPageBreak/>
        <w:t>Response of the Government of the Principality of Liechtenstein to the recommendations made during its third UPR</w:t>
      </w:r>
    </w:p>
    <w:p w:rsidR="009D3C7C" w:rsidRPr="009D3C7C" w:rsidRDefault="009D3C7C" w:rsidP="00BC229C">
      <w:pPr>
        <w:pStyle w:val="SingleTxtG"/>
        <w:ind w:firstLine="567"/>
      </w:pPr>
      <w:r w:rsidRPr="009D3C7C">
        <w:t>Liechtenstein welcomes the recommendations made during its Universal Periodic Review on 24 January 2018. After thorough consideration and consultations, Liechtenstein is pleased to provide the following responses:</w:t>
      </w:r>
    </w:p>
    <w:p w:rsidR="009D3C7C" w:rsidRPr="009D3C7C" w:rsidRDefault="009D3C7C" w:rsidP="00BC229C">
      <w:pPr>
        <w:pStyle w:val="SingleTxtG"/>
        <w:rPr>
          <w:b/>
        </w:rPr>
      </w:pPr>
      <w:r w:rsidRPr="009D3C7C">
        <w:rPr>
          <w:b/>
        </w:rPr>
        <w:t>Recommendation 108.1.</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108.2.</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Please refer to the response to the similar recommendation in Liechtenstein's first UPR in 2008 (A/HRC/10/77/Add.1).</w:t>
      </w:r>
    </w:p>
    <w:p w:rsidR="009D3C7C" w:rsidRPr="009D3C7C" w:rsidRDefault="009D3C7C" w:rsidP="00BC229C">
      <w:pPr>
        <w:pStyle w:val="SingleTxtG"/>
        <w:rPr>
          <w:b/>
        </w:rPr>
      </w:pPr>
      <w:r w:rsidRPr="009D3C7C">
        <w:rPr>
          <w:b/>
        </w:rPr>
        <w:t>Recommendation 108.4.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w:t>
      </w:r>
    </w:p>
    <w:p w:rsidR="009D3C7C" w:rsidRPr="009D3C7C" w:rsidRDefault="009D3C7C" w:rsidP="00BC229C">
      <w:pPr>
        <w:pStyle w:val="SingleTxtG"/>
        <w:rPr>
          <w:b/>
        </w:rPr>
      </w:pPr>
      <w:r w:rsidRPr="009D3C7C">
        <w:rPr>
          <w:b/>
        </w:rPr>
        <w:t>Recommendation 108.5.</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108.6.</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Government is planning a process to clarify in detail the expected effects of ratification in cooperation with affected stakeholders and civil society. A final decision on ratification will be taken only on the basis of the outcome of this process.</w:t>
      </w:r>
    </w:p>
    <w:p w:rsidR="009D3C7C" w:rsidRPr="009D3C7C" w:rsidRDefault="009D3C7C" w:rsidP="00BC229C">
      <w:pPr>
        <w:pStyle w:val="SingleTxtG"/>
        <w:rPr>
          <w:b/>
        </w:rPr>
      </w:pPr>
      <w:r w:rsidRPr="009D3C7C">
        <w:rPr>
          <w:b/>
        </w:rPr>
        <w:t>Recommendation 108.8.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lastRenderedPageBreak/>
        <w:t>Recommendation 108.13.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Liechtenstein plans to submit the proposal for ratification of the Istanbul Convention to Parliament by the end of 2018.</w:t>
      </w:r>
    </w:p>
    <w:p w:rsidR="009D3C7C" w:rsidRPr="009D3C7C" w:rsidRDefault="009D3C7C" w:rsidP="00BC229C">
      <w:pPr>
        <w:pStyle w:val="SingleTxtG"/>
        <w:rPr>
          <w:b/>
        </w:rPr>
      </w:pPr>
      <w:r w:rsidRPr="009D3C7C">
        <w:rPr>
          <w:b/>
        </w:rPr>
        <w:t>Recommendation 108.18.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108.17.</w:t>
      </w:r>
    </w:p>
    <w:p w:rsidR="009D3C7C" w:rsidRPr="009D3C7C" w:rsidRDefault="009D3C7C" w:rsidP="00BC229C">
      <w:pPr>
        <w:pStyle w:val="SingleTxtG"/>
        <w:rPr>
          <w:b/>
        </w:rPr>
      </w:pPr>
      <w:r w:rsidRPr="009D3C7C">
        <w:rPr>
          <w:b/>
        </w:rPr>
        <w:t>Recommendation 108.19.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Liechtenstein was the first State to ratify the Kampala Amendments on 8 May 2012.</w:t>
      </w:r>
    </w:p>
    <w:p w:rsidR="009D3C7C" w:rsidRPr="009D3C7C" w:rsidRDefault="009D3C7C" w:rsidP="00BC229C">
      <w:pPr>
        <w:pStyle w:val="SingleTxtG"/>
        <w:rPr>
          <w:b/>
        </w:rPr>
      </w:pPr>
      <w:r w:rsidRPr="009D3C7C">
        <w:rPr>
          <w:b/>
        </w:rPr>
        <w:t>Recommendation 108.20.</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108.21.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Liechtenstein is a party to the OECD Convention on Mutual Administrative Assistance in Tax Matters and exchanges information on financial accounts with almost 100 countries based on this legal framework. Financial accounts of private foundations are subject to this OECD standard for the automatic exchange of financial information in tax matters.</w:t>
      </w:r>
    </w:p>
    <w:p w:rsidR="009D3C7C" w:rsidRPr="009D3C7C" w:rsidRDefault="009D3C7C" w:rsidP="00BC229C">
      <w:pPr>
        <w:pStyle w:val="SingleTxtG"/>
        <w:rPr>
          <w:b/>
        </w:rPr>
      </w:pPr>
      <w:r w:rsidRPr="009D3C7C">
        <w:rPr>
          <w:b/>
        </w:rPr>
        <w:t>Recommendation 108.22.</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108.23.</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108.24.</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108.25.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Accreditation of the Association for Human Rights (VMR) with the Global Alliance for National Human Rights Institutions (GANHRI) does not fall within the competence of the State, but rather of the VMR, which acts completely independently.</w:t>
      </w:r>
    </w:p>
    <w:p w:rsidR="009D3C7C" w:rsidRPr="009D3C7C" w:rsidRDefault="009D3C7C" w:rsidP="00BC229C">
      <w:pPr>
        <w:pStyle w:val="SingleTxtG"/>
        <w:rPr>
          <w:b/>
        </w:rPr>
      </w:pPr>
      <w:r w:rsidRPr="009D3C7C">
        <w:rPr>
          <w:b/>
        </w:rPr>
        <w:lastRenderedPageBreak/>
        <w:t>Recommendation 108.26.</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108.27.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108.26</w:t>
      </w:r>
    </w:p>
    <w:p w:rsidR="009D3C7C" w:rsidRPr="009D3C7C" w:rsidRDefault="009D3C7C" w:rsidP="00BC229C">
      <w:pPr>
        <w:pStyle w:val="SingleTxtG"/>
        <w:rPr>
          <w:b/>
        </w:rPr>
      </w:pPr>
      <w:r w:rsidRPr="009D3C7C">
        <w:rPr>
          <w:b/>
        </w:rPr>
        <w:t>Recommendation 108.28.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As part of the regular exchange with the VMR, possible accreditation with GANHRI as well as international exchanges are discussed. However, the VMR acts independently.</w:t>
      </w:r>
    </w:p>
    <w:p w:rsidR="009D3C7C" w:rsidRPr="009D3C7C" w:rsidRDefault="009D3C7C" w:rsidP="00BC229C">
      <w:pPr>
        <w:pStyle w:val="SingleTxtG"/>
        <w:rPr>
          <w:b/>
        </w:rPr>
      </w:pPr>
      <w:r w:rsidRPr="009D3C7C">
        <w:rPr>
          <w:b/>
        </w:rPr>
        <w:t>Recommendation 108.29.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will continue annual campaigns ("Violence – No way!") and implement special projects, but a National Action Plan is not currently planned.</w:t>
      </w:r>
    </w:p>
    <w:p w:rsidR="009D3C7C" w:rsidRPr="009D3C7C" w:rsidRDefault="009D3C7C" w:rsidP="00BC229C">
      <w:pPr>
        <w:pStyle w:val="SingleTxtG"/>
        <w:rPr>
          <w:b/>
        </w:rPr>
      </w:pPr>
      <w:r w:rsidRPr="009D3C7C">
        <w:rPr>
          <w:b/>
        </w:rPr>
        <w:t>Recommendation 108.31.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On the basis of existing laws, Liechtenstein provides comprehensive protection against discrimination. However, the introduction of a general anti-discrimination law would contradict the liberal economic order of the country and provoke possible conflicts with the principle of freedom of contract.</w:t>
      </w:r>
    </w:p>
    <w:p w:rsidR="009D3C7C" w:rsidRPr="009D3C7C" w:rsidRDefault="009D3C7C" w:rsidP="00BC229C">
      <w:pPr>
        <w:pStyle w:val="SingleTxtG"/>
        <w:rPr>
          <w:b/>
        </w:rPr>
      </w:pPr>
      <w:r w:rsidRPr="009D3C7C">
        <w:rPr>
          <w:b/>
        </w:rPr>
        <w:t>Recommendation 108.32.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108.33.</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Government currently wants to focus existing resources in this area on developing and implementing an integration strategy.</w:t>
      </w:r>
    </w:p>
    <w:p w:rsidR="009D3C7C" w:rsidRPr="009D3C7C" w:rsidRDefault="009D3C7C" w:rsidP="00BC229C">
      <w:pPr>
        <w:pStyle w:val="SingleTxtG"/>
        <w:rPr>
          <w:b/>
        </w:rPr>
      </w:pPr>
      <w:r w:rsidRPr="009D3C7C">
        <w:rPr>
          <w:b/>
        </w:rPr>
        <w:t>Recommendation 108.35.</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108.37.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108.33.</w:t>
      </w:r>
    </w:p>
    <w:p w:rsidR="009D3C7C" w:rsidRPr="009D3C7C" w:rsidRDefault="009D3C7C" w:rsidP="00BC229C">
      <w:pPr>
        <w:pStyle w:val="SingleTxtG"/>
        <w:rPr>
          <w:b/>
        </w:rPr>
      </w:pPr>
      <w:r w:rsidRPr="009D3C7C">
        <w:rPr>
          <w:b/>
        </w:rPr>
        <w:t>Recommendation 108.38.</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108.39.</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ind w:firstLine="567"/>
      </w:pPr>
      <w:r w:rsidRPr="009D3C7C">
        <w:t>On behalf of the Government, the Liechtenstein Institute published the study "Islam in Liechtenstein" in 2017, which provides a comprehensive picture of the situation of Muslims in Liechtenstein. The planned integration strategy will cover all ethnic groups, religions, etc.</w:t>
      </w:r>
    </w:p>
    <w:p w:rsidR="009D3C7C" w:rsidRPr="009D3C7C" w:rsidRDefault="009D3C7C" w:rsidP="00BC229C">
      <w:pPr>
        <w:pStyle w:val="SingleTxtG"/>
        <w:rPr>
          <w:b/>
        </w:rPr>
      </w:pPr>
      <w:r w:rsidRPr="009D3C7C">
        <w:rPr>
          <w:b/>
        </w:rPr>
        <w:t>Recommendation 108.40.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108.41.</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The promotion of mutual understanding and the fight against all forms of discrimination and xenophobia are integral parts of the curriculum.</w:t>
      </w:r>
    </w:p>
    <w:p w:rsidR="009D3C7C" w:rsidRPr="009D3C7C" w:rsidRDefault="009D3C7C" w:rsidP="00BC229C">
      <w:pPr>
        <w:pStyle w:val="SingleTxtG"/>
        <w:rPr>
          <w:b/>
        </w:rPr>
      </w:pPr>
      <w:r w:rsidRPr="009D3C7C">
        <w:rPr>
          <w:b/>
        </w:rPr>
        <w:t>Recommendation 108.42.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108.43.</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108.44.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108.45.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Economic actors subject to international sanctions are not permitted to register in Liechtenstein.</w:t>
      </w:r>
    </w:p>
    <w:p w:rsidR="009D3C7C" w:rsidRPr="009D3C7C" w:rsidRDefault="009D3C7C" w:rsidP="00BC229C">
      <w:pPr>
        <w:pStyle w:val="SingleTxtG"/>
        <w:rPr>
          <w:b/>
        </w:rPr>
      </w:pPr>
      <w:r w:rsidRPr="009D3C7C">
        <w:rPr>
          <w:b/>
        </w:rPr>
        <w:t>Recommendation 108.46.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As part of the process of implementing the Sustainable Development Goals, the Government has confirmed its long-term target in principle of achieving an ODA percentage of 0.7%. In the coming years, expenditure is to be increased so that an ODA percentage of 0.5% is reached.</w:t>
      </w:r>
    </w:p>
    <w:p w:rsidR="009D3C7C" w:rsidRPr="009D3C7C" w:rsidRDefault="009D3C7C" w:rsidP="00BC229C">
      <w:pPr>
        <w:pStyle w:val="SingleTxtG"/>
        <w:rPr>
          <w:b/>
        </w:rPr>
      </w:pPr>
      <w:r w:rsidRPr="009D3C7C">
        <w:rPr>
          <w:b/>
        </w:rPr>
        <w:t>Recommendation 108.47.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believes that the existing legal framework is sufficient to promote compliance with international standards in these areas. This legal framework is based, inter alia, on the conclusion of free trade agreements which contain strong commitments to maintaining international standards with regard to trade and investment in labour and the environment.</w:t>
      </w:r>
    </w:p>
    <w:p w:rsidR="009D3C7C" w:rsidRPr="009D3C7C" w:rsidRDefault="009D3C7C" w:rsidP="00BC229C">
      <w:pPr>
        <w:pStyle w:val="SingleTxtG"/>
        <w:rPr>
          <w:b/>
        </w:rPr>
      </w:pPr>
      <w:r w:rsidRPr="009D3C7C">
        <w:rPr>
          <w:b/>
        </w:rPr>
        <w:t>Recommendation 108.48.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All legal persons in Liechtenstein, including private foundations, are subject to the criminal liability of companies with regard to corruption offences.</w:t>
      </w:r>
    </w:p>
    <w:p w:rsidR="009D3C7C" w:rsidRPr="009D3C7C" w:rsidRDefault="009D3C7C" w:rsidP="00BC229C">
      <w:pPr>
        <w:pStyle w:val="SingleTxtG"/>
        <w:ind w:firstLine="567"/>
      </w:pPr>
      <w:r w:rsidRPr="009D3C7C">
        <w:t>See 108.21.</w:t>
      </w:r>
    </w:p>
    <w:p w:rsidR="009D3C7C" w:rsidRPr="009D3C7C" w:rsidRDefault="009D3C7C" w:rsidP="00BC229C">
      <w:pPr>
        <w:pStyle w:val="SingleTxtG"/>
        <w:rPr>
          <w:b/>
        </w:rPr>
      </w:pPr>
      <w:r w:rsidRPr="009D3C7C">
        <w:rPr>
          <w:b/>
        </w:rPr>
        <w:t>Recommendation 108.49.</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Together with the United Nations University, Liechtenstein has launched an international initiative aimed at implementing calls of the UN Security Council to States and the financial sector to combat modern slavery and human trafficking. This is to be achieved by ensuring effective corporate due diligence in global value chains.</w:t>
      </w:r>
    </w:p>
    <w:p w:rsidR="009D3C7C" w:rsidRPr="009D3C7C" w:rsidRDefault="009D3C7C" w:rsidP="00BC229C">
      <w:pPr>
        <w:pStyle w:val="SingleTxtG"/>
        <w:rPr>
          <w:b/>
        </w:rPr>
      </w:pPr>
      <w:r w:rsidRPr="009D3C7C">
        <w:rPr>
          <w:b/>
        </w:rPr>
        <w:t>Recommendation 108.50.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implements sanctions in accordance with international law and on the basis of Security Council resolutions and EU decisions.</w:t>
      </w:r>
    </w:p>
    <w:p w:rsidR="009D3C7C" w:rsidRPr="009D3C7C" w:rsidRDefault="009D3C7C" w:rsidP="00BC229C">
      <w:pPr>
        <w:pStyle w:val="SingleTxtG"/>
        <w:rPr>
          <w:b/>
        </w:rPr>
      </w:pPr>
      <w:r w:rsidRPr="009D3C7C">
        <w:rPr>
          <w:b/>
        </w:rPr>
        <w:t>Recommendation 108.51.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Consultation on the revision of the Criminal Code was launched at the beginning of 2018. The consultation proposal provides for the introduction of a new offence of torture in accordance with the recommendations of various UN and Council of Europe committees.</w:t>
      </w:r>
    </w:p>
    <w:p w:rsidR="009D3C7C" w:rsidRPr="009D3C7C" w:rsidRDefault="009D3C7C" w:rsidP="00BC229C">
      <w:pPr>
        <w:pStyle w:val="SingleTxtG"/>
        <w:rPr>
          <w:b/>
        </w:rPr>
      </w:pPr>
      <w:r w:rsidRPr="009D3C7C">
        <w:rPr>
          <w:b/>
        </w:rPr>
        <w:t>Recommendation 108.52.</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Further measures based on the recommendations of the Corrections Commission and international mechanisms are being examined on an ongoing basis.</w:t>
      </w:r>
    </w:p>
    <w:p w:rsidR="009D3C7C" w:rsidRPr="009D3C7C" w:rsidRDefault="009D3C7C" w:rsidP="00BC229C">
      <w:pPr>
        <w:pStyle w:val="SingleTxtG"/>
        <w:rPr>
          <w:b/>
        </w:rPr>
      </w:pPr>
      <w:r w:rsidRPr="009D3C7C">
        <w:rPr>
          <w:b/>
        </w:rPr>
        <w:t>Recommendation 108.53.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108.51.</w:t>
      </w:r>
    </w:p>
    <w:p w:rsidR="009D3C7C" w:rsidRPr="009D3C7C" w:rsidRDefault="009D3C7C" w:rsidP="00BC229C">
      <w:pPr>
        <w:pStyle w:val="SingleTxtG"/>
        <w:rPr>
          <w:b/>
        </w:rPr>
      </w:pPr>
      <w:r w:rsidRPr="009D3C7C">
        <w:rPr>
          <w:b/>
        </w:rPr>
        <w:t>Recommendation 108.54.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108.51.</w:t>
      </w:r>
    </w:p>
    <w:p w:rsidR="009D3C7C" w:rsidRPr="009D3C7C" w:rsidRDefault="009D3C7C" w:rsidP="00BC229C">
      <w:pPr>
        <w:pStyle w:val="SingleTxtG"/>
        <w:rPr>
          <w:b/>
        </w:rPr>
      </w:pPr>
      <w:r w:rsidRPr="009D3C7C">
        <w:rPr>
          <w:b/>
        </w:rPr>
        <w:t>Recommendation 108.55.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Usually, a maximum of one young person is imprisoned in the National Prison. In this case, a special regime adapted to the individual case is organised to alleviate the conditions of solitary confinement as far as possible.</w:t>
      </w:r>
    </w:p>
    <w:p w:rsidR="009D3C7C" w:rsidRPr="009D3C7C" w:rsidRDefault="009D3C7C" w:rsidP="00BC229C">
      <w:pPr>
        <w:pStyle w:val="SingleTxtG"/>
        <w:rPr>
          <w:b/>
        </w:rPr>
      </w:pPr>
      <w:r w:rsidRPr="009D3C7C">
        <w:rPr>
          <w:b/>
        </w:rPr>
        <w:t>Recommendation 108.56.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So far there have been no cases of human trafficking, modern slavery, or child labour in Liechtenstein. The Round Table on Human Trafficking monitors the situation on an ongoing basis and initiates measures if necessary.</w:t>
      </w:r>
    </w:p>
    <w:p w:rsidR="009D3C7C" w:rsidRPr="009D3C7C" w:rsidRDefault="009D3C7C" w:rsidP="00BC229C">
      <w:pPr>
        <w:pStyle w:val="SingleTxtG"/>
        <w:rPr>
          <w:b/>
        </w:rPr>
      </w:pPr>
      <w:r w:rsidRPr="009D3C7C">
        <w:rPr>
          <w:b/>
        </w:rPr>
        <w:t>Recommendation 108.57.</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According to § 147 of the Code of Criminal Procedure, every suspect has the right to communicate with a defence counsel before questioning and to consult that defence counsel for the examination. This also applies to young people who, under § 21a of the Juvenile Courts Act, additionally have the right to appoint a person of confidence for the examination.</w:t>
      </w:r>
    </w:p>
    <w:p w:rsidR="009D3C7C" w:rsidRPr="009D3C7C" w:rsidRDefault="009D3C7C" w:rsidP="00BC229C">
      <w:pPr>
        <w:pStyle w:val="SingleTxtG"/>
        <w:rPr>
          <w:b/>
        </w:rPr>
      </w:pPr>
      <w:r w:rsidRPr="009D3C7C">
        <w:rPr>
          <w:b/>
        </w:rPr>
        <w:t>Recommendation 108.58.</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108.59.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lastRenderedPageBreak/>
        <w:t>In Liechtenstein, numerous services of public authorities are already available electronically. This includes completing and submitting forms, viewing official announcements in the Official Journal, applying for stipends, VAT accounting, and a mailbox for official documents. Since 2012, Liechtenstein has had an E-Government Act that was revised in 2016. Liechtenstein is also one of the signatories of the Tallinn Declaration on eGovernment with the basic commitment to further develop e-government.</w:t>
      </w:r>
    </w:p>
    <w:p w:rsidR="009D3C7C" w:rsidRPr="009D3C7C" w:rsidRDefault="009D3C7C" w:rsidP="00BC229C">
      <w:pPr>
        <w:pStyle w:val="SingleTxtG"/>
        <w:rPr>
          <w:b/>
        </w:rPr>
      </w:pPr>
      <w:r w:rsidRPr="009D3C7C">
        <w:rPr>
          <w:b/>
        </w:rPr>
        <w:t>Recommendation 108.60.</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A custody registry has been introduced. According to § 128a of the Code of Criminal Procedure (StPO), every detained person must be informed during the arrest or immediately afterwards of the right to notify a defence counsel and of the right not to testify. Persons taken into police custody are always given the opportunity to contact a lawyer. According to § 147 of the Code of Criminal Procedure, every suspect has the right to communicate with a defence counsel before questioning and to consult that defence counsel for the examination. This also applies to police interrogations. Monitoring under § 30(3) of the Code of Criminal Procedure is only possible with a reasoned decision by the judge. In practice, the National Police do not know of any case in recent years in which a conversation between the suspect and the defence counsel has been monitored.</w:t>
      </w:r>
    </w:p>
    <w:p w:rsidR="009D3C7C" w:rsidRPr="009D3C7C" w:rsidRDefault="009D3C7C" w:rsidP="00BC229C">
      <w:pPr>
        <w:pStyle w:val="SingleTxtG"/>
        <w:rPr>
          <w:b/>
        </w:rPr>
      </w:pPr>
      <w:r w:rsidRPr="009D3C7C">
        <w:rPr>
          <w:b/>
        </w:rPr>
        <w:t>Recommendation 108.61.</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Only in exceptional circumstances and in accordance with the principle of proportionality may the right to privacy be infringed and personal data processed. In Liechtenstein, electronic communication may be monitored only in the context of criminal proceedings.</w:t>
      </w:r>
    </w:p>
    <w:p w:rsidR="009D3C7C" w:rsidRPr="009D3C7C" w:rsidRDefault="009D3C7C" w:rsidP="00BC229C">
      <w:pPr>
        <w:pStyle w:val="SingleTxtG"/>
        <w:rPr>
          <w:b/>
        </w:rPr>
      </w:pPr>
      <w:r w:rsidRPr="009D3C7C">
        <w:rPr>
          <w:b/>
        </w:rPr>
        <w:t>Recommendation 108.62.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has no intelligence service.</w:t>
      </w:r>
    </w:p>
    <w:p w:rsidR="009D3C7C" w:rsidRPr="009D3C7C" w:rsidRDefault="009D3C7C" w:rsidP="00BC229C">
      <w:pPr>
        <w:pStyle w:val="SingleTxtG"/>
        <w:rPr>
          <w:b/>
        </w:rPr>
      </w:pPr>
      <w:r w:rsidRPr="009D3C7C">
        <w:rPr>
          <w:b/>
        </w:rPr>
        <w:t>Recommendation 108.63.</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108.64.</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108.65.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Government implements measures on an ongoing basis to increase the political participation of women, including the politics course for women that has been held for many years. A campaign was launched for the 2019 municipal elections to make female politicians visible. However, the introduction of quotas or systems to achieve gender parity is not planned. In general, gender equality is one of Liechtenstein's priorities in implementing the Sustainable Development Goals of the 2030 Agenda.</w:t>
      </w:r>
    </w:p>
    <w:p w:rsidR="009D3C7C" w:rsidRPr="009D3C7C" w:rsidRDefault="009D3C7C" w:rsidP="00BC229C">
      <w:pPr>
        <w:pStyle w:val="SingleTxtG"/>
        <w:rPr>
          <w:b/>
        </w:rPr>
      </w:pPr>
      <w:r w:rsidRPr="009D3C7C">
        <w:rPr>
          <w:b/>
        </w:rPr>
        <w:t>Recommendation 108.66.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108.67.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Ensuring a balanced representation of both genders in political bodies would ultimately require the introduction of a quota.</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lastRenderedPageBreak/>
        <w:t>Recommendation 108.68.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108.69.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108.70.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Government implements measures on an ongoing basis to promote the compatibility of family and work and to combat role stereotypes.</w:t>
      </w:r>
    </w:p>
    <w:p w:rsidR="009D3C7C" w:rsidRPr="009D3C7C" w:rsidRDefault="009D3C7C" w:rsidP="00BC229C">
      <w:pPr>
        <w:pStyle w:val="SingleTxtG"/>
        <w:rPr>
          <w:b/>
        </w:rPr>
      </w:pPr>
      <w:r w:rsidRPr="009D3C7C">
        <w:rPr>
          <w:b/>
        </w:rPr>
        <w:t>Recommendation 108.71.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private sector is involved in this process through the implementation of the 2030 Agenda/SDGs and through the established NGO dialogue on human rights issues, to which business associations are also invited.</w:t>
      </w:r>
    </w:p>
    <w:p w:rsidR="009D3C7C" w:rsidRPr="009D3C7C" w:rsidRDefault="009D3C7C" w:rsidP="00BC229C">
      <w:pPr>
        <w:pStyle w:val="SingleTxtG"/>
        <w:rPr>
          <w:b/>
        </w:rPr>
      </w:pPr>
      <w:r w:rsidRPr="009D3C7C">
        <w:rPr>
          <w:b/>
        </w:rPr>
        <w:t>Recommendation 108.72.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introduction of paid parental leave is currently not planned.</w:t>
      </w:r>
    </w:p>
    <w:p w:rsidR="009D3C7C" w:rsidRPr="009D3C7C" w:rsidRDefault="009D3C7C" w:rsidP="00BC229C">
      <w:pPr>
        <w:pStyle w:val="SingleTxtG"/>
        <w:rPr>
          <w:b/>
        </w:rPr>
      </w:pPr>
      <w:r w:rsidRPr="009D3C7C">
        <w:rPr>
          <w:b/>
        </w:rPr>
        <w:t>Recommendation 108.73.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pursuit of an active gender equality policy and the promotion of the compatibility of work and family life are among the priorities of Liechtenstein's gender equality policy. Two working groups of the Ministry for Social Affairs are currently working on the future of family policy and the financing of child care outside the home.</w:t>
      </w:r>
    </w:p>
    <w:p w:rsidR="009D3C7C" w:rsidRPr="009D3C7C" w:rsidRDefault="009D3C7C" w:rsidP="00BC229C">
      <w:pPr>
        <w:pStyle w:val="SingleTxtG"/>
        <w:rPr>
          <w:b/>
        </w:rPr>
      </w:pPr>
      <w:r w:rsidRPr="009D3C7C">
        <w:rPr>
          <w:b/>
        </w:rPr>
        <w:t>Recommendation 108.74.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108.72.</w:t>
      </w:r>
    </w:p>
    <w:p w:rsidR="009D3C7C" w:rsidRPr="009D3C7C" w:rsidRDefault="009D3C7C" w:rsidP="00BC229C">
      <w:pPr>
        <w:pStyle w:val="SingleTxtG"/>
        <w:rPr>
          <w:b/>
        </w:rPr>
      </w:pPr>
      <w:r w:rsidRPr="009D3C7C">
        <w:rPr>
          <w:b/>
        </w:rPr>
        <w:t>Recommendation 108.75.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108.76.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108.77.</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108.78.</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adapted the legal provisions on abortion in 2015 and does not plan any further changes at present.</w:t>
      </w:r>
    </w:p>
    <w:p w:rsidR="009D3C7C" w:rsidRPr="009D3C7C" w:rsidRDefault="009D3C7C" w:rsidP="00BC229C">
      <w:pPr>
        <w:pStyle w:val="SingleTxtG"/>
        <w:rPr>
          <w:b/>
        </w:rPr>
      </w:pPr>
      <w:r w:rsidRPr="009D3C7C">
        <w:rPr>
          <w:b/>
        </w:rPr>
        <w:t>Recommendation 108.79.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At 87.2%, the school attendance of 15- to 19-year-olds after completing compulsory schooling is at a gratifyingly high level and thus also above the OECD average. The aim is to provide all young people with a secondary level diploma. A wide range of educational </w:t>
      </w:r>
      <w:r w:rsidRPr="009D3C7C">
        <w:lastRenderedPageBreak/>
        <w:t>opportunities is offered to meet the skills and needs of young people – both in general and through vocational training. Both paths guarantee admission to tertiary education.</w:t>
      </w:r>
    </w:p>
    <w:p w:rsidR="009D3C7C" w:rsidRPr="009D3C7C" w:rsidRDefault="009D3C7C" w:rsidP="00BC229C">
      <w:pPr>
        <w:pStyle w:val="SingleTxtG"/>
        <w:rPr>
          <w:b/>
        </w:rPr>
      </w:pPr>
      <w:r w:rsidRPr="009D3C7C">
        <w:rPr>
          <w:b/>
        </w:rPr>
        <w:t>Recommendation 108.80.</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In the new Liechtenstein curriculum LiLe, the topics of gender and social justice as well as the handling of diversity and discrimination play an important role. In general, schools promote skills in dealing with the opposite sex and other cultures as well as ethnic and religious tolerance.</w:t>
      </w:r>
    </w:p>
    <w:p w:rsidR="009D3C7C" w:rsidRPr="009D3C7C" w:rsidRDefault="009D3C7C" w:rsidP="00BC229C">
      <w:pPr>
        <w:pStyle w:val="SingleTxtG"/>
        <w:rPr>
          <w:b/>
        </w:rPr>
      </w:pPr>
      <w:r w:rsidRPr="009D3C7C">
        <w:rPr>
          <w:b/>
        </w:rPr>
        <w:t>Recommendation 108.81.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Compulsory schooling is already enshrined in the Constitution (Article 16(2)). Public schools are open to all and attendance is in principle free of charge (Article 7 of the Education Act). There is also a corresponding reference in the Children and Youth Act (Article 1(1)(g) and Article 3).</w:t>
      </w:r>
    </w:p>
    <w:p w:rsidR="009D3C7C" w:rsidRPr="009D3C7C" w:rsidRDefault="009D3C7C" w:rsidP="00BC229C">
      <w:pPr>
        <w:pStyle w:val="SingleTxtG"/>
        <w:rPr>
          <w:b/>
        </w:rPr>
      </w:pPr>
      <w:r w:rsidRPr="009D3C7C">
        <w:rPr>
          <w:b/>
        </w:rPr>
        <w:t>Recommendation 108.82.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108.81.</w:t>
      </w:r>
    </w:p>
    <w:p w:rsidR="009D3C7C" w:rsidRPr="009D3C7C" w:rsidRDefault="009D3C7C" w:rsidP="00BC229C">
      <w:pPr>
        <w:pStyle w:val="SingleTxtG"/>
        <w:rPr>
          <w:b/>
        </w:rPr>
      </w:pPr>
      <w:r w:rsidRPr="009D3C7C">
        <w:rPr>
          <w:b/>
        </w:rPr>
        <w:t>Recommendation 108.83.</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Liechtenstein law guarantees the principle of equality and non-discrimination at the constitutional and statutory level and is thus aimed at eliminating disadvantages, inequalities, and discrimination.</w:t>
      </w:r>
    </w:p>
    <w:p w:rsidR="009D3C7C" w:rsidRPr="009D3C7C" w:rsidRDefault="009D3C7C" w:rsidP="00BC229C">
      <w:pPr>
        <w:pStyle w:val="SingleTxtG"/>
        <w:rPr>
          <w:b/>
        </w:rPr>
      </w:pPr>
      <w:r w:rsidRPr="009D3C7C">
        <w:rPr>
          <w:b/>
        </w:rPr>
        <w:t>Recommendation 108.84.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Liechtenstein Government is clearly committed to combating discrimination against women and unjustified disadvantages in various areas of life.</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108.88.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108.89.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108.90.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lastRenderedPageBreak/>
        <w:t>Recommendation 108.91.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improvement of the framework conditions for reconciling family and work planned by the Government is a key factor in achieving a balanced representation of women in decision-making positions in business and politics in the future.</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108.92.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Regular events such as the National Future Day and projects such as "concerns: role models" are held to promote the education of women in non-traditional areas. Please also note the measures taken to promote STEM/MINT subjects such as the "pepperMINT" laboratory in Vaduz, where girls in particular are addressed.</w:t>
      </w:r>
    </w:p>
    <w:p w:rsidR="009D3C7C" w:rsidRPr="009D3C7C" w:rsidRDefault="009D3C7C" w:rsidP="00BC229C">
      <w:pPr>
        <w:pStyle w:val="SingleTxtG"/>
        <w:rPr>
          <w:b/>
        </w:rPr>
      </w:pPr>
      <w:r w:rsidRPr="009D3C7C">
        <w:rPr>
          <w:b/>
        </w:rPr>
        <w:t>Recommendation 108.99.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108.100.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108.101.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108.102.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separate Equal Opportunities Unit no longer exists, and its official tasks have been transferred to the Equal Opportunities Unit of the Office of Social Services. The new Equal Opportunities Unit has sufficient human and financial resources at its disposal.</w:t>
      </w:r>
    </w:p>
    <w:p w:rsidR="009D3C7C" w:rsidRPr="009D3C7C" w:rsidRDefault="009D3C7C" w:rsidP="00BC229C">
      <w:pPr>
        <w:pStyle w:val="SingleTxtG"/>
        <w:rPr>
          <w:b/>
        </w:rPr>
      </w:pPr>
      <w:r w:rsidRPr="009D3C7C">
        <w:rPr>
          <w:b/>
        </w:rPr>
        <w:lastRenderedPageBreak/>
        <w:t>Recommendation 108.103.</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is pursuing various projects in this context, but there are currently no plans to develop a strategy.</w:t>
      </w:r>
    </w:p>
    <w:p w:rsidR="009D3C7C" w:rsidRPr="009D3C7C" w:rsidRDefault="009D3C7C" w:rsidP="00BC229C">
      <w:pPr>
        <w:pStyle w:val="SingleTxtG"/>
        <w:rPr>
          <w:b/>
        </w:rPr>
      </w:pPr>
      <w:r w:rsidRPr="009D3C7C">
        <w:rPr>
          <w:b/>
        </w:rPr>
        <w:t>Recommendation 108.104.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108.105.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Various projects are being carried out in these areas, but there are currently no plans to develop a strategy.</w:t>
      </w:r>
    </w:p>
    <w:p w:rsidR="009D3C7C" w:rsidRPr="009D3C7C" w:rsidRDefault="009D3C7C" w:rsidP="00BC229C">
      <w:pPr>
        <w:pStyle w:val="SingleTxtG"/>
        <w:rPr>
          <w:b/>
        </w:rPr>
      </w:pPr>
      <w:r w:rsidRPr="009D3C7C">
        <w:rPr>
          <w:b/>
        </w:rPr>
        <w:t>Recommendation 108.106.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There are no national or linguistic minorities in Liechtenstein.</w:t>
      </w:r>
    </w:p>
    <w:p w:rsidR="009D3C7C" w:rsidRPr="009D3C7C" w:rsidRDefault="009D3C7C" w:rsidP="00BC229C">
      <w:pPr>
        <w:pStyle w:val="SingleTxtG"/>
        <w:rPr>
          <w:b/>
        </w:rPr>
      </w:pPr>
      <w:r w:rsidRPr="009D3C7C">
        <w:rPr>
          <w:b/>
        </w:rPr>
        <w:t>Recommendation 108.107.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Disability Equality Act prohibits direct and indirect discrimination of persons with disabilities.</w:t>
      </w:r>
    </w:p>
    <w:p w:rsidR="009D3C7C" w:rsidRPr="009D3C7C" w:rsidRDefault="009D3C7C" w:rsidP="00BC229C">
      <w:pPr>
        <w:pStyle w:val="SingleTxtG"/>
        <w:rPr>
          <w:b/>
        </w:rPr>
      </w:pPr>
      <w:r w:rsidRPr="009D3C7C">
        <w:rPr>
          <w:b/>
        </w:rPr>
        <w:t>Recommendation 108.108.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108.107 and 108.109-111.</w:t>
      </w:r>
    </w:p>
    <w:p w:rsidR="009D3C7C" w:rsidRPr="009D3C7C" w:rsidRDefault="009D3C7C" w:rsidP="00BC229C">
      <w:pPr>
        <w:pStyle w:val="SingleTxtG"/>
        <w:rPr>
          <w:b/>
        </w:rPr>
      </w:pPr>
      <w:r w:rsidRPr="009D3C7C">
        <w:rPr>
          <w:b/>
        </w:rPr>
        <w:t>Recommendation 108.109.</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Liechtenstein has a very elaborate system in place to provide appropriate support for children with disabilities. The overall concept "Support Measures in the Liechtenstein Education System" (2012) represents a major step towards the integration of children with disabilities.</w:t>
      </w:r>
    </w:p>
    <w:p w:rsidR="009D3C7C" w:rsidRPr="009D3C7C" w:rsidRDefault="009D3C7C" w:rsidP="00BC229C">
      <w:pPr>
        <w:pStyle w:val="SingleTxtG"/>
        <w:rPr>
          <w:b/>
        </w:rPr>
      </w:pPr>
      <w:r w:rsidRPr="009D3C7C">
        <w:rPr>
          <w:b/>
        </w:rPr>
        <w:t>Recommendation 108.110.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Disability Equality Act requires the State to ensure barrier-free access to public buildings and facilities.</w:t>
      </w:r>
    </w:p>
    <w:p w:rsidR="009D3C7C" w:rsidRPr="009D3C7C" w:rsidRDefault="009D3C7C" w:rsidP="00BC229C">
      <w:pPr>
        <w:pStyle w:val="SingleTxtG"/>
        <w:rPr>
          <w:b/>
        </w:rPr>
      </w:pPr>
      <w:r w:rsidRPr="009D3C7C">
        <w:rPr>
          <w:b/>
        </w:rPr>
        <w:t>Recommendation 108.111.</w:t>
      </w:r>
    </w:p>
    <w:p w:rsidR="009D3C7C" w:rsidRPr="009D3C7C" w:rsidRDefault="009D3C7C" w:rsidP="00BC229C">
      <w:pPr>
        <w:pStyle w:val="SingleTxtG"/>
        <w:ind w:firstLine="567"/>
      </w:pPr>
      <w:r w:rsidRPr="009D3C7C">
        <w:t>Accepted.</w:t>
      </w:r>
    </w:p>
    <w:p w:rsidR="009D3C7C" w:rsidRPr="009D3C7C" w:rsidRDefault="009D3C7C" w:rsidP="00BC229C">
      <w:pPr>
        <w:pStyle w:val="SingleTxtG"/>
      </w:pPr>
      <w:r w:rsidRPr="009D3C7C">
        <w:t>The Disability Equality Act (Article 19) requires the State to promote the integration of persons with disabilities and to implement programmes that serve to improve integration. Article 21 (Information, counselling, and effectiveness review) also stipulates that the public sector can carry out information campaigns to increase understanding of the equality and integration of persons with disabilities. The State also finances the Office for Persons with Disabilities, which was created under the Disability Equality Act (Article 22) and is affiliated with the Liechtenstein Association for People with Disabilities (LBV) under a service agreement.</w:t>
      </w:r>
    </w:p>
    <w:p w:rsidR="009D3C7C" w:rsidRPr="009D3C7C" w:rsidRDefault="009D3C7C" w:rsidP="00BC229C">
      <w:pPr>
        <w:pStyle w:val="SingleTxtG"/>
        <w:rPr>
          <w:b/>
        </w:rPr>
      </w:pPr>
      <w:r w:rsidRPr="009D3C7C">
        <w:rPr>
          <w:b/>
        </w:rPr>
        <w:t>Recommendation 108.112.</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108.113.</w:t>
      </w:r>
    </w:p>
    <w:p w:rsidR="009D3C7C" w:rsidRPr="009D3C7C" w:rsidRDefault="009D3C7C" w:rsidP="00BC229C">
      <w:pPr>
        <w:pStyle w:val="SingleTxtG"/>
        <w:ind w:firstLine="567"/>
      </w:pPr>
      <w:r w:rsidRPr="009D3C7C">
        <w:lastRenderedPageBreak/>
        <w:t>Noted.</w:t>
      </w:r>
    </w:p>
    <w:p w:rsidR="009D3C7C" w:rsidRPr="009D3C7C" w:rsidRDefault="009D3C7C" w:rsidP="00BC229C">
      <w:pPr>
        <w:pStyle w:val="SingleTxtG"/>
        <w:ind w:firstLine="567"/>
      </w:pPr>
      <w:r w:rsidRPr="009D3C7C">
        <w:t>See 108.3.</w:t>
      </w:r>
    </w:p>
    <w:p w:rsidR="009D3C7C" w:rsidRPr="009D3C7C" w:rsidRDefault="009D3C7C" w:rsidP="00BC229C">
      <w:pPr>
        <w:pStyle w:val="SingleTxtG"/>
        <w:rPr>
          <w:b/>
        </w:rPr>
      </w:pPr>
      <w:r w:rsidRPr="009D3C7C">
        <w:rPr>
          <w:b/>
        </w:rPr>
        <w:t>Recommendation 108.114.</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108.115.</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108.116.</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legal representation of asylum seekers is guaranteed, and further expansion is not necessary. However, relevant legislative projects in neighbouring countries are monitored and the current legal provisions are reviewed as necessary.</w:t>
      </w:r>
    </w:p>
    <w:p w:rsidR="009D3C7C" w:rsidRPr="009D3C7C" w:rsidRDefault="009D3C7C" w:rsidP="00BC229C">
      <w:pPr>
        <w:pStyle w:val="SingleTxtG"/>
        <w:rPr>
          <w:b/>
        </w:rPr>
      </w:pPr>
      <w:r w:rsidRPr="009D3C7C">
        <w:rPr>
          <w:b/>
        </w:rPr>
        <w:t>Recommendation 108.118.</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108.119.</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Family reunification is possible for both asylum seekers and nationals of third countries in accordance with the Asylum Act and the Foreigners Act, albeit with restrictions and subject to certain hurdles.</w:t>
      </w:r>
    </w:p>
    <w:p w:rsidR="009D3C7C" w:rsidRPr="009D3C7C" w:rsidRDefault="009D3C7C" w:rsidP="00BC229C">
      <w:pPr>
        <w:pStyle w:val="SingleTxtG"/>
        <w:rPr>
          <w:b/>
        </w:rPr>
      </w:pPr>
      <w:r w:rsidRPr="009D3C7C">
        <w:rPr>
          <w:b/>
        </w:rPr>
        <w:t>Recommendation 108.120.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108.121.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asylum procedure in Liechtenstein functions satisfactorily and complies with the principles of the rule of law.</w:t>
      </w:r>
    </w:p>
    <w:p w:rsidR="009D3C7C" w:rsidRPr="009D3C7C" w:rsidRDefault="009D3C7C" w:rsidP="00BC229C">
      <w:pPr>
        <w:pStyle w:val="SingleTxtG"/>
        <w:rPr>
          <w:b/>
        </w:rPr>
      </w:pPr>
      <w:r w:rsidRPr="009D3C7C">
        <w:rPr>
          <w:b/>
        </w:rPr>
        <w:t>Recommendation 108.122.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108.123.</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108.124.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has so far refrained from introducing such subsidiary protection with reference to the similarly structured "provisional admission".</w:t>
      </w:r>
    </w:p>
    <w:p w:rsidR="009D3C7C" w:rsidRPr="009D3C7C" w:rsidRDefault="009D3C7C" w:rsidP="00BC229C">
      <w:pPr>
        <w:pStyle w:val="SingleTxtG"/>
        <w:rPr>
          <w:b/>
        </w:rPr>
      </w:pPr>
      <w:r w:rsidRPr="009D3C7C">
        <w:rPr>
          <w:b/>
        </w:rPr>
        <w:t>Recommendation 108.125.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employees of the Migration and Passport Office have the appropriate experience. Basic or further training in this field does not currently take place.</w:t>
      </w:r>
    </w:p>
    <w:p w:rsidR="009D3C7C" w:rsidRPr="009D3C7C" w:rsidRDefault="009D3C7C" w:rsidP="00BC229C">
      <w:pPr>
        <w:pStyle w:val="SingleTxtG"/>
        <w:rPr>
          <w:b/>
        </w:rPr>
      </w:pPr>
      <w:r w:rsidRPr="009D3C7C">
        <w:rPr>
          <w:b/>
        </w:rPr>
        <w:t>Recommendation 108.126.</w:t>
      </w:r>
    </w:p>
    <w:p w:rsidR="009D3C7C" w:rsidRPr="009D3C7C" w:rsidRDefault="009D3C7C" w:rsidP="00BC229C">
      <w:pPr>
        <w:pStyle w:val="SingleTxtG"/>
        <w:ind w:firstLine="567"/>
      </w:pPr>
      <w:r w:rsidRPr="009D3C7C">
        <w:t>Accepted, and considered already implemented.</w:t>
      </w:r>
    </w:p>
    <w:p w:rsidR="009D3C7C" w:rsidRDefault="009D3C7C" w:rsidP="00BC229C">
      <w:pPr>
        <w:pStyle w:val="SingleTxtG"/>
      </w:pPr>
      <w:r w:rsidRPr="009D3C7C">
        <w:lastRenderedPageBreak/>
        <w:t>Stateless persons born in Liechtenstein are entitled to citizenship if they have been stateless since birth and have lived in Liechtenstein for at least five years.</w:t>
      </w:r>
    </w:p>
    <w:p w:rsidR="00CF586F" w:rsidRPr="00BC229C" w:rsidRDefault="00BC229C" w:rsidP="00BC229C">
      <w:pPr>
        <w:pStyle w:val="SingleTxtG"/>
        <w:spacing w:before="240" w:after="0"/>
        <w:jc w:val="center"/>
        <w:rPr>
          <w:u w:val="single"/>
        </w:rPr>
      </w:pPr>
      <w:r>
        <w:rPr>
          <w:u w:val="single"/>
        </w:rPr>
        <w:tab/>
      </w:r>
      <w:r>
        <w:rPr>
          <w:u w:val="single"/>
        </w:rPr>
        <w:tab/>
      </w:r>
      <w:r>
        <w:rPr>
          <w:u w:val="single"/>
        </w:rPr>
        <w:tab/>
      </w:r>
    </w:p>
    <w:sectPr w:rsidR="00CF586F" w:rsidRPr="00BC229C" w:rsidSect="009D3C7C">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EB" w:rsidRDefault="008152EB"/>
  </w:endnote>
  <w:endnote w:type="continuationSeparator" w:id="0">
    <w:p w:rsidR="008152EB" w:rsidRDefault="008152EB"/>
  </w:endnote>
  <w:endnote w:type="continuationNotice" w:id="1">
    <w:p w:rsidR="008152EB" w:rsidRDefault="0081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9D3C7C" w:rsidP="009D3C7C">
    <w:pPr>
      <w:pStyle w:val="Fuzeile"/>
      <w:tabs>
        <w:tab w:val="right" w:pos="9638"/>
      </w:tabs>
      <w:rPr>
        <w:sz w:val="18"/>
      </w:rPr>
    </w:pPr>
    <w:r w:rsidRPr="009D3C7C">
      <w:rPr>
        <w:b/>
        <w:sz w:val="18"/>
      </w:rPr>
      <w:fldChar w:fldCharType="begin"/>
    </w:r>
    <w:r w:rsidRPr="009D3C7C">
      <w:rPr>
        <w:b/>
        <w:sz w:val="18"/>
      </w:rPr>
      <w:instrText xml:space="preserve"> PAGE  \* MERGEFORMAT </w:instrText>
    </w:r>
    <w:r w:rsidRPr="009D3C7C">
      <w:rPr>
        <w:b/>
        <w:sz w:val="18"/>
      </w:rPr>
      <w:fldChar w:fldCharType="separate"/>
    </w:r>
    <w:r w:rsidR="00BA02DC">
      <w:rPr>
        <w:b/>
        <w:noProof/>
        <w:sz w:val="18"/>
      </w:rPr>
      <w:t>2</w:t>
    </w:r>
    <w:r w:rsidRPr="009D3C7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9D3C7C" w:rsidP="009D3C7C">
    <w:pPr>
      <w:pStyle w:val="Fuzeile"/>
      <w:tabs>
        <w:tab w:val="right" w:pos="9638"/>
      </w:tabs>
      <w:rPr>
        <w:b/>
        <w:sz w:val="18"/>
      </w:rPr>
    </w:pPr>
    <w:r>
      <w:tab/>
    </w:r>
    <w:r w:rsidRPr="009D3C7C">
      <w:rPr>
        <w:b/>
        <w:sz w:val="18"/>
      </w:rPr>
      <w:fldChar w:fldCharType="begin"/>
    </w:r>
    <w:r w:rsidRPr="009D3C7C">
      <w:rPr>
        <w:b/>
        <w:sz w:val="18"/>
      </w:rPr>
      <w:instrText xml:space="preserve"> PAGE  \* MERGEFORMAT </w:instrText>
    </w:r>
    <w:r w:rsidRPr="009D3C7C">
      <w:rPr>
        <w:b/>
        <w:sz w:val="18"/>
      </w:rPr>
      <w:fldChar w:fldCharType="separate"/>
    </w:r>
    <w:r w:rsidR="00BA02DC">
      <w:rPr>
        <w:b/>
        <w:noProof/>
        <w:sz w:val="18"/>
      </w:rPr>
      <w:t>3</w:t>
    </w:r>
    <w:r w:rsidRPr="009D3C7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EB" w:rsidRPr="000B175B" w:rsidRDefault="008152EB" w:rsidP="000B175B">
      <w:pPr>
        <w:tabs>
          <w:tab w:val="right" w:pos="2155"/>
        </w:tabs>
        <w:spacing w:after="80"/>
        <w:ind w:left="680"/>
        <w:rPr>
          <w:u w:val="single"/>
        </w:rPr>
      </w:pPr>
      <w:r>
        <w:rPr>
          <w:u w:val="single"/>
        </w:rPr>
        <w:tab/>
      </w:r>
    </w:p>
  </w:footnote>
  <w:footnote w:type="continuationSeparator" w:id="0">
    <w:p w:rsidR="008152EB" w:rsidRPr="00FC68B7" w:rsidRDefault="008152EB" w:rsidP="00FC68B7">
      <w:pPr>
        <w:tabs>
          <w:tab w:val="left" w:pos="2155"/>
        </w:tabs>
        <w:spacing w:after="80"/>
        <w:ind w:left="680"/>
        <w:rPr>
          <w:u w:val="single"/>
        </w:rPr>
      </w:pPr>
      <w:r>
        <w:rPr>
          <w:u w:val="single"/>
        </w:rPr>
        <w:tab/>
      </w:r>
    </w:p>
  </w:footnote>
  <w:footnote w:type="continuationNotice" w:id="1">
    <w:p w:rsidR="008152EB" w:rsidRDefault="008152EB"/>
  </w:footnote>
  <w:footnote w:id="2">
    <w:p w:rsidR="009D3C7C" w:rsidRDefault="009D3C7C" w:rsidP="009D3C7C">
      <w:pPr>
        <w:pStyle w:val="Funotentext"/>
        <w:rPr>
          <w:szCs w:val="18"/>
        </w:rPr>
      </w:pPr>
      <w:r>
        <w:tab/>
      </w:r>
      <w:r w:rsidRPr="00DF5CBE">
        <w:rPr>
          <w:rStyle w:val="Funotenzeichen"/>
          <w:sz w:val="20"/>
          <w:vertAlign w:val="baseline"/>
        </w:rPr>
        <w:t>*</w:t>
      </w:r>
      <w:r w:rsidRPr="00DF5CBE">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8152EB">
    <w:pPr>
      <w:pStyle w:val="Kopfzeile"/>
    </w:pPr>
    <w:r>
      <w:fldChar w:fldCharType="begin"/>
    </w:r>
    <w:r>
      <w:instrText xml:space="preserve"> TITLE  \* MERGEFORMAT </w:instrText>
    </w:r>
    <w:r>
      <w:fldChar w:fldCharType="separate"/>
    </w:r>
    <w:r w:rsidR="009D3C7C">
      <w:t>A/HRC/38/16/Add.1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8152EB" w:rsidP="009D3C7C">
    <w:pPr>
      <w:pStyle w:val="Kopfzeile"/>
      <w:jc w:val="right"/>
    </w:pPr>
    <w:r>
      <w:fldChar w:fldCharType="begin"/>
    </w:r>
    <w:r>
      <w:instrText xml:space="preserve"> TITLE  \* MERGEFORMAT </w:instrText>
    </w:r>
    <w:r>
      <w:fldChar w:fldCharType="separate"/>
    </w:r>
    <w:r w:rsidR="009D3C7C">
      <w:t>A/HRC/38/16/Add.1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C7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60A1"/>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2EB"/>
    <w:rsid w:val="008155C3"/>
    <w:rsid w:val="008175E9"/>
    <w:rsid w:val="0082243E"/>
    <w:rsid w:val="008242D7"/>
    <w:rsid w:val="00856CD2"/>
    <w:rsid w:val="00861BC6"/>
    <w:rsid w:val="00866C2B"/>
    <w:rsid w:val="00871FD5"/>
    <w:rsid w:val="008847BB"/>
    <w:rsid w:val="008979B1"/>
    <w:rsid w:val="008A6B25"/>
    <w:rsid w:val="008A6C4F"/>
    <w:rsid w:val="008C1E4D"/>
    <w:rsid w:val="008E0E46"/>
    <w:rsid w:val="00902454"/>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3C7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0624"/>
    <w:rsid w:val="00B53013"/>
    <w:rsid w:val="00B67F5E"/>
    <w:rsid w:val="00B73E65"/>
    <w:rsid w:val="00B81E12"/>
    <w:rsid w:val="00B87110"/>
    <w:rsid w:val="00B97FA8"/>
    <w:rsid w:val="00BA02DC"/>
    <w:rsid w:val="00BC1385"/>
    <w:rsid w:val="00BC229C"/>
    <w:rsid w:val="00BC74E9"/>
    <w:rsid w:val="00BE618E"/>
    <w:rsid w:val="00BE655C"/>
    <w:rsid w:val="00C217E7"/>
    <w:rsid w:val="00C24693"/>
    <w:rsid w:val="00C35F0B"/>
    <w:rsid w:val="00C37066"/>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5CBE"/>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1A2D5-152A-461E-B3B4-6529D77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92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semiHidden/>
    <w:qFormat/>
    <w:rsid w:val="00CF0214"/>
    <w:pPr>
      <w:spacing w:line="240" w:lineRule="auto"/>
      <w:outlineLvl w:val="1"/>
    </w:pPr>
  </w:style>
  <w:style w:type="paragraph" w:styleId="berschrift3">
    <w:name w:val="heading 3"/>
    <w:basedOn w:val="Standard"/>
    <w:next w:val="Standard"/>
    <w:semiHidden/>
    <w:qFormat/>
    <w:rsid w:val="00CF0214"/>
    <w:pPr>
      <w:spacing w:line="240" w:lineRule="auto"/>
      <w:outlineLvl w:val="2"/>
    </w:pPr>
  </w:style>
  <w:style w:type="paragraph" w:styleId="berschrift4">
    <w:name w:val="heading 4"/>
    <w:basedOn w:val="Standard"/>
    <w:next w:val="Standard"/>
    <w:semiHidden/>
    <w:qFormat/>
    <w:rsid w:val="00CF0214"/>
    <w:pPr>
      <w:spacing w:line="240" w:lineRule="auto"/>
      <w:outlineLvl w:val="3"/>
    </w:pPr>
  </w:style>
  <w:style w:type="paragraph" w:styleId="berschrift5">
    <w:name w:val="heading 5"/>
    <w:basedOn w:val="Standard"/>
    <w:next w:val="Standard"/>
    <w:semiHidden/>
    <w:qFormat/>
    <w:rsid w:val="00CF0214"/>
    <w:pPr>
      <w:spacing w:line="240" w:lineRule="auto"/>
      <w:outlineLvl w:val="4"/>
    </w:pPr>
  </w:style>
  <w:style w:type="paragraph" w:styleId="berschrift6">
    <w:name w:val="heading 6"/>
    <w:basedOn w:val="Standard"/>
    <w:next w:val="Standard"/>
    <w:semiHidden/>
    <w:qFormat/>
    <w:rsid w:val="00CF0214"/>
    <w:pPr>
      <w:spacing w:line="240" w:lineRule="auto"/>
      <w:outlineLvl w:val="5"/>
    </w:pPr>
  </w:style>
  <w:style w:type="paragraph" w:styleId="berschrift7">
    <w:name w:val="heading 7"/>
    <w:basedOn w:val="Standard"/>
    <w:next w:val="Standard"/>
    <w:semiHidden/>
    <w:qFormat/>
    <w:rsid w:val="00CF0214"/>
    <w:pPr>
      <w:spacing w:line="240" w:lineRule="auto"/>
      <w:outlineLvl w:val="6"/>
    </w:pPr>
  </w:style>
  <w:style w:type="paragraph" w:styleId="berschrift8">
    <w:name w:val="heading 8"/>
    <w:basedOn w:val="Standard"/>
    <w:next w:val="Standard"/>
    <w:semiHidden/>
    <w:qFormat/>
    <w:rsid w:val="00CF0214"/>
    <w:pPr>
      <w:spacing w:line="240" w:lineRule="auto"/>
      <w:outlineLvl w:val="7"/>
    </w:pPr>
  </w:style>
  <w:style w:type="paragraph" w:styleId="berschrift9">
    <w:name w:val="heading 9"/>
    <w:basedOn w:val="Standard"/>
    <w:next w:val="Standard"/>
    <w:semiHidden/>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qFormat/>
    <w:rsid w:val="00CF0214"/>
    <w:pPr>
      <w:spacing w:after="120"/>
      <w:ind w:left="1134" w:right="1134"/>
      <w:jc w:val="both"/>
    </w:pPr>
  </w:style>
  <w:style w:type="paragraph" w:customStyle="1" w:styleId="HMG">
    <w:name w:val="_ H __M_G"/>
    <w:basedOn w:val="Standard"/>
    <w:next w:val="Standard"/>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qFormat/>
    <w:rsid w:val="00CF0214"/>
    <w:rPr>
      <w:rFonts w:ascii="Times New Roman" w:hAnsi="Times New Roman"/>
      <w:sz w:val="18"/>
      <w:vertAlign w:val="superscript"/>
    </w:rPr>
  </w:style>
  <w:style w:type="character" w:styleId="Endnotenzeichen">
    <w:name w:val="endnote reference"/>
    <w:aliases w:val="1_G"/>
    <w:qFormat/>
    <w:rsid w:val="00CF0214"/>
    <w:rPr>
      <w:rFonts w:ascii="Times New Roman" w:hAnsi="Times New Roman"/>
      <w:sz w:val="18"/>
      <w:vertAlign w:val="superscript"/>
    </w:rPr>
  </w:style>
  <w:style w:type="paragraph" w:styleId="Kopfzeile">
    <w:name w:val="header"/>
    <w:aliases w:val="6_G"/>
    <w:basedOn w:val="Standard"/>
    <w:qFormat/>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qFormat/>
    <w:rsid w:val="00CF0214"/>
    <w:pPr>
      <w:tabs>
        <w:tab w:val="right" w:pos="1021"/>
      </w:tabs>
      <w:spacing w:line="220" w:lineRule="exact"/>
      <w:ind w:left="1134" w:right="1134" w:hanging="1134"/>
    </w:pPr>
    <w:rPr>
      <w:sz w:val="18"/>
    </w:rPr>
  </w:style>
  <w:style w:type="paragraph" w:styleId="Endnotentext">
    <w:name w:val="endnote text"/>
    <w:aliases w:val="2_G"/>
    <w:basedOn w:val="Funotentext"/>
    <w:qFormat/>
    <w:rsid w:val="00CF0214"/>
  </w:style>
  <w:style w:type="character" w:styleId="Seitenzahl">
    <w:name w:val="page number"/>
    <w:aliases w:val="7_G"/>
    <w:qFormat/>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qFormat/>
    <w:rsid w:val="00CF0214"/>
    <w:pPr>
      <w:numPr>
        <w:numId w:val="6"/>
      </w:numPr>
      <w:spacing w:after="120"/>
      <w:ind w:right="1134"/>
      <w:jc w:val="both"/>
    </w:pPr>
  </w:style>
  <w:style w:type="paragraph" w:styleId="Fuzeile">
    <w:name w:val="footer"/>
    <w:aliases w:val="3_G"/>
    <w:basedOn w:val="Standard"/>
    <w:qFormat/>
    <w:rsid w:val="00CF0214"/>
    <w:pPr>
      <w:spacing w:line="240" w:lineRule="auto"/>
    </w:pPr>
    <w:rPr>
      <w:sz w:val="16"/>
    </w:rPr>
  </w:style>
  <w:style w:type="paragraph" w:customStyle="1" w:styleId="Bullet2G">
    <w:name w:val="_Bullet 2_G"/>
    <w:basedOn w:val="Standard"/>
    <w:qFormat/>
    <w:rsid w:val="00CF0214"/>
    <w:pPr>
      <w:numPr>
        <w:numId w:val="7"/>
      </w:numPr>
      <w:spacing w:after="120"/>
      <w:ind w:right="1134"/>
      <w:jc w:val="both"/>
    </w:pPr>
  </w:style>
  <w:style w:type="paragraph" w:customStyle="1" w:styleId="H1G">
    <w:name w:val="_ H_1_G"/>
    <w:basedOn w:val="Standard"/>
    <w:next w:val="Standard"/>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CF0214"/>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semiHidden/>
    <w:rsid w:val="00946575"/>
    <w:pPr>
      <w:spacing w:line="240" w:lineRule="auto"/>
    </w:pPr>
    <w:rPr>
      <w:rFonts w:ascii="Tahoma" w:hAnsi="Tahoma" w:cs="Tahoma"/>
      <w:sz w:val="16"/>
      <w:szCs w:val="16"/>
    </w:rPr>
  </w:style>
  <w:style w:type="character" w:customStyle="1" w:styleId="SprechblasentextZchn">
    <w:name w:val="Sprechblasentext Zchn"/>
    <w:link w:val="Sprechblase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unotentextZchn">
    <w:name w:val="Fußnotentext Zchn"/>
    <w:aliases w:val="5_G Zchn"/>
    <w:link w:val="Funotentext"/>
    <w:uiPriority w:val="99"/>
    <w:rsid w:val="009D3C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D077C-F1DA-4DE4-88EF-98EDECCADD42}">
  <ds:schemaRefs>
    <ds:schemaRef ds:uri="http://schemas.microsoft.com/sharepoint/v3/contenttype/forms"/>
  </ds:schemaRefs>
</ds:datastoreItem>
</file>

<file path=customXml/itemProps2.xml><?xml version="1.0" encoding="utf-8"?>
<ds:datastoreItem xmlns:ds="http://schemas.openxmlformats.org/officeDocument/2006/customXml" ds:itemID="{5F1E8034-04CA-46E2-B777-AC9756790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785E4-56A5-4028-A38A-FEB85AD8F5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A_E</Template>
  <TotalTime>0</TotalTime>
  <Pages>13</Pages>
  <Words>2559</Words>
  <Characters>16122</Characters>
  <Application>Microsoft Office Word</Application>
  <DocSecurity>0</DocSecurity>
  <Lines>134</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A/HRC/38/16/Add.1</vt:lpstr>
      <vt:lpstr>A/HRC/38/16/Add.1</vt:lpstr>
      <vt:lpstr/>
    </vt:vector>
  </TitlesOfParts>
  <Company>CSD</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A/HRC/38/16/Add.1</dc:title>
  <dc:creator>Sumiko IHARA</dc:creator>
  <cp:lastModifiedBy>Allacher Harald (OeRK)</cp:lastModifiedBy>
  <cp:revision>2</cp:revision>
  <cp:lastPrinted>2008-01-29T08:30:00Z</cp:lastPrinted>
  <dcterms:created xsi:type="dcterms:W3CDTF">2018-06-27T10:40:00Z</dcterms:created>
  <dcterms:modified xsi:type="dcterms:W3CDTF">2018-06-27T10:40:00Z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