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45E9" w:rsidRDefault="004701A3" w:rsidP="00E17201">
      <w:pPr>
        <w:rPr>
          <w:rFonts w:ascii="Arial" w:hAnsi="Arial" w:cs="Arial"/>
          <w:sz w:val="40"/>
          <w:szCs w:val="40"/>
          <w:lang w:val="en-US"/>
        </w:rPr>
      </w:pPr>
      <w:r>
        <w:object w:dxaOrig="1079"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3.85pt" o:ole="">
            <v:imagedata r:id="rId12" o:title=""/>
          </v:shape>
          <o:OLEObject Type="Embed" ProgID="Photoshop.Image.12" ShapeID="_x0000_i1025" DrawAspect="Content" ObjectID="_1447142730" r:id="rId13">
            <o:FieldCodes>\s</o:FieldCodes>
          </o:OLEObject>
        </w:object>
      </w:r>
      <w:r w:rsidR="00E17201">
        <w:rPr>
          <w:rFonts w:ascii="Arial" w:hAnsi="Arial" w:cs="Arial"/>
          <w:noProof/>
          <w:sz w:val="40"/>
          <w:szCs w:val="40"/>
          <w:lang w:val="de-AT" w:eastAsia="de-AT"/>
        </w:rPr>
        <w:drawing>
          <wp:inline distT="0" distB="0" distL="0" distR="0" wp14:anchorId="0AAA251F" wp14:editId="3C5ECF35">
            <wp:extent cx="1841679" cy="6278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ICC officia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1679" cy="627889"/>
                    </a:xfrm>
                    <a:prstGeom prst="rect">
                      <a:avLst/>
                    </a:prstGeom>
                  </pic:spPr>
                </pic:pic>
              </a:graphicData>
            </a:graphic>
          </wp:inline>
        </w:drawing>
      </w:r>
      <w:r w:rsidR="00E17201">
        <w:rPr>
          <w:rFonts w:ascii="Arial" w:hAnsi="Arial" w:cs="Arial"/>
          <w:noProof/>
          <w:sz w:val="40"/>
          <w:szCs w:val="40"/>
          <w:lang w:val="de-AT" w:eastAsia="de-AT"/>
        </w:rPr>
        <w:drawing>
          <wp:inline distT="0" distB="0" distL="0" distR="0" wp14:anchorId="06CA3D3F" wp14:editId="179C5396">
            <wp:extent cx="920839" cy="920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ition for Independent Liv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0841" cy="920841"/>
                    </a:xfrm>
                    <a:prstGeom prst="rect">
                      <a:avLst/>
                    </a:prstGeom>
                  </pic:spPr>
                </pic:pic>
              </a:graphicData>
            </a:graphic>
          </wp:inline>
        </w:drawing>
      </w:r>
      <w:r w:rsidR="00E17201">
        <w:rPr>
          <w:rFonts w:ascii="Arial" w:hAnsi="Arial" w:cs="Arial"/>
          <w:noProof/>
          <w:sz w:val="40"/>
          <w:szCs w:val="40"/>
          <w:lang w:val="de-AT" w:eastAsia="de-AT"/>
        </w:rPr>
        <w:drawing>
          <wp:inline distT="0" distB="0" distL="0" distR="0" wp14:anchorId="3A83DD6E" wp14:editId="6FD29B0D">
            <wp:extent cx="1159098" cy="9213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7531" cy="928036"/>
                    </a:xfrm>
                    <a:prstGeom prst="rect">
                      <a:avLst/>
                    </a:prstGeom>
                    <a:noFill/>
                  </pic:spPr>
                </pic:pic>
              </a:graphicData>
            </a:graphic>
          </wp:inline>
        </w:drawing>
      </w:r>
      <w:r w:rsidR="00E17201">
        <w:rPr>
          <w:rFonts w:ascii="Arial" w:hAnsi="Arial" w:cs="Arial"/>
          <w:noProof/>
          <w:sz w:val="40"/>
          <w:szCs w:val="40"/>
          <w:lang w:val="de-AT" w:eastAsia="de-AT"/>
        </w:rPr>
        <w:drawing>
          <wp:inline distT="0" distB="0" distL="0" distR="0" wp14:anchorId="4D95A7E0" wp14:editId="015620C8">
            <wp:extent cx="866775" cy="866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YLA (2).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5961" cy="865961"/>
                    </a:xfrm>
                    <a:prstGeom prst="rect">
                      <a:avLst/>
                    </a:prstGeom>
                  </pic:spPr>
                </pic:pic>
              </a:graphicData>
            </a:graphic>
          </wp:inline>
        </w:drawing>
      </w:r>
      <w:r w:rsidR="00E17201">
        <w:rPr>
          <w:rFonts w:ascii="Arial" w:hAnsi="Arial" w:cs="Arial"/>
          <w:noProof/>
          <w:sz w:val="40"/>
          <w:szCs w:val="40"/>
          <w:lang w:val="de-AT" w:eastAsia="de-AT"/>
        </w:rPr>
        <w:drawing>
          <wp:inline distT="0" distB="0" distL="0" distR="0" wp14:anchorId="16421F56" wp14:editId="01B8D0E1">
            <wp:extent cx="904659" cy="9465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FED_logo alternative versi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6394" cy="948414"/>
                    </a:xfrm>
                    <a:prstGeom prst="rect">
                      <a:avLst/>
                    </a:prstGeom>
                  </pic:spPr>
                </pic:pic>
              </a:graphicData>
            </a:graphic>
          </wp:inline>
        </w:drawing>
      </w:r>
      <w:r w:rsidR="00E17201">
        <w:rPr>
          <w:rFonts w:ascii="Arial" w:hAnsi="Arial" w:cs="Arial"/>
          <w:noProof/>
          <w:sz w:val="40"/>
          <w:szCs w:val="40"/>
          <w:lang w:val="de-AT" w:eastAsia="de-AT"/>
        </w:rPr>
        <w:drawing>
          <wp:inline distT="0" distB="0" distL="0" distR="0" wp14:anchorId="0BB336D5" wp14:editId="754B51D5">
            <wp:extent cx="938842"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8006" cy="913586"/>
                    </a:xfrm>
                    <a:prstGeom prst="rect">
                      <a:avLst/>
                    </a:prstGeom>
                    <a:noFill/>
                  </pic:spPr>
                </pic:pic>
              </a:graphicData>
            </a:graphic>
          </wp:inline>
        </w:drawing>
      </w:r>
      <w:r w:rsidR="002E3980">
        <w:t xml:space="preserve"> </w:t>
      </w:r>
      <w:r w:rsidR="00E17201">
        <w:rPr>
          <w:rFonts w:ascii="Arial" w:hAnsi="Arial" w:cs="Arial"/>
          <w:noProof/>
          <w:sz w:val="40"/>
          <w:szCs w:val="40"/>
          <w:lang w:val="de-AT" w:eastAsia="de-AT"/>
        </w:rPr>
        <w:drawing>
          <wp:inline distT="0" distB="0" distL="0" distR="0" wp14:anchorId="629B1A6A" wp14:editId="73513829">
            <wp:extent cx="2002665" cy="5991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 logo with new strapline 2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1174" cy="598711"/>
                    </a:xfrm>
                    <a:prstGeom prst="rect">
                      <a:avLst/>
                    </a:prstGeom>
                  </pic:spPr>
                </pic:pic>
              </a:graphicData>
            </a:graphic>
          </wp:inline>
        </w:drawing>
      </w:r>
      <w:r w:rsidR="002E3980">
        <w:t xml:space="preserve"> </w:t>
      </w:r>
      <w:r w:rsidR="00E17201">
        <w:rPr>
          <w:rFonts w:ascii="Arial" w:hAnsi="Arial" w:cs="Arial"/>
          <w:noProof/>
          <w:sz w:val="40"/>
          <w:szCs w:val="40"/>
          <w:lang w:val="de-AT" w:eastAsia="de-AT"/>
        </w:rPr>
        <w:drawing>
          <wp:inline distT="0" distB="0" distL="0" distR="0" wp14:anchorId="49C35A11" wp14:editId="66631D68">
            <wp:extent cx="1558344" cy="6301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ქალთა საინფორმაციო ცენტრი.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65106" cy="632838"/>
                    </a:xfrm>
                    <a:prstGeom prst="rect">
                      <a:avLst/>
                    </a:prstGeom>
                  </pic:spPr>
                </pic:pic>
              </a:graphicData>
            </a:graphic>
          </wp:inline>
        </w:drawing>
      </w:r>
    </w:p>
    <w:p w:rsidR="006245E9" w:rsidRDefault="006245E9">
      <w:pPr>
        <w:jc w:val="left"/>
        <w:rPr>
          <w:rFonts w:ascii="Arial" w:hAnsi="Arial" w:cs="Arial"/>
          <w:sz w:val="40"/>
          <w:szCs w:val="40"/>
          <w:lang w:val="en-US"/>
        </w:rPr>
      </w:pPr>
    </w:p>
    <w:p w:rsidR="006245E9" w:rsidRDefault="006245E9">
      <w:pPr>
        <w:jc w:val="left"/>
        <w:rPr>
          <w:rFonts w:ascii="Arial" w:hAnsi="Arial" w:cs="Arial"/>
          <w:sz w:val="40"/>
          <w:szCs w:val="40"/>
          <w:lang w:val="en-US"/>
        </w:rPr>
      </w:pPr>
    </w:p>
    <w:p w:rsidR="006245E9" w:rsidRDefault="006245E9">
      <w:pPr>
        <w:jc w:val="left"/>
        <w:rPr>
          <w:rFonts w:ascii="Arial" w:hAnsi="Arial" w:cs="Arial"/>
          <w:sz w:val="40"/>
          <w:szCs w:val="40"/>
          <w:lang w:val="en-US"/>
        </w:rPr>
      </w:pPr>
    </w:p>
    <w:p w:rsidR="006245E9" w:rsidRDefault="006245E9">
      <w:pPr>
        <w:jc w:val="left"/>
        <w:rPr>
          <w:rFonts w:ascii="Arial" w:hAnsi="Arial" w:cs="Arial"/>
          <w:sz w:val="40"/>
          <w:szCs w:val="40"/>
          <w:lang w:val="en-US"/>
        </w:rPr>
      </w:pPr>
    </w:p>
    <w:p w:rsidR="006245E9" w:rsidRDefault="006245E9">
      <w:pPr>
        <w:jc w:val="left"/>
        <w:rPr>
          <w:rFonts w:ascii="Arial" w:hAnsi="Arial" w:cs="Arial"/>
          <w:sz w:val="40"/>
          <w:szCs w:val="40"/>
          <w:lang w:val="en-US"/>
        </w:rPr>
      </w:pPr>
    </w:p>
    <w:p w:rsidR="006245E9" w:rsidRDefault="006245E9" w:rsidP="006245E9">
      <w:pPr>
        <w:jc w:val="center"/>
        <w:rPr>
          <w:rFonts w:ascii="Arial" w:hAnsi="Arial" w:cs="Arial"/>
          <w:sz w:val="40"/>
          <w:szCs w:val="40"/>
          <w:lang w:val="en-US"/>
        </w:rPr>
      </w:pPr>
      <w:r w:rsidRPr="006245E9">
        <w:rPr>
          <w:rFonts w:ascii="Arial" w:hAnsi="Arial" w:cs="Arial"/>
          <w:sz w:val="40"/>
          <w:szCs w:val="40"/>
          <w:lang w:val="en-US"/>
        </w:rPr>
        <w:t xml:space="preserve">NGO Coalition Report on </w:t>
      </w:r>
    </w:p>
    <w:p w:rsidR="006245E9" w:rsidRDefault="006245E9" w:rsidP="006245E9">
      <w:pPr>
        <w:jc w:val="center"/>
        <w:rPr>
          <w:rFonts w:ascii="Arial" w:hAnsi="Arial" w:cs="Arial"/>
          <w:sz w:val="40"/>
          <w:szCs w:val="40"/>
          <w:lang w:val="en-US"/>
        </w:rPr>
      </w:pPr>
      <w:r w:rsidRPr="006245E9">
        <w:rPr>
          <w:rFonts w:ascii="Arial" w:hAnsi="Arial" w:cs="Arial"/>
          <w:sz w:val="40"/>
          <w:szCs w:val="40"/>
          <w:lang w:val="en-US"/>
        </w:rPr>
        <w:t>Georgia’s Compliance</w:t>
      </w:r>
      <w:r w:rsidR="00195896">
        <w:rPr>
          <w:rFonts w:ascii="Arial" w:hAnsi="Arial" w:cs="Arial"/>
          <w:sz w:val="40"/>
          <w:szCs w:val="40"/>
          <w:lang w:val="en-US"/>
        </w:rPr>
        <w:t xml:space="preserve"> </w:t>
      </w:r>
      <w:r w:rsidRPr="006245E9">
        <w:rPr>
          <w:rFonts w:ascii="Arial" w:hAnsi="Arial" w:cs="Arial"/>
          <w:sz w:val="40"/>
          <w:szCs w:val="40"/>
          <w:lang w:val="en-US"/>
        </w:rPr>
        <w:t xml:space="preserve">with the </w:t>
      </w:r>
    </w:p>
    <w:p w:rsidR="006245E9" w:rsidRDefault="006245E9" w:rsidP="006245E9">
      <w:pPr>
        <w:jc w:val="center"/>
        <w:rPr>
          <w:rFonts w:ascii="Arial" w:hAnsi="Arial" w:cs="Arial"/>
          <w:sz w:val="40"/>
          <w:szCs w:val="40"/>
          <w:lang w:val="en-US"/>
        </w:rPr>
      </w:pPr>
      <w:r w:rsidRPr="006245E9">
        <w:rPr>
          <w:rFonts w:ascii="Arial" w:hAnsi="Arial" w:cs="Arial"/>
          <w:sz w:val="40"/>
          <w:szCs w:val="40"/>
          <w:lang w:val="en-US"/>
        </w:rPr>
        <w:t>International Covenant on Civil and Political Rights</w:t>
      </w:r>
    </w:p>
    <w:p w:rsidR="006245E9" w:rsidRDefault="006245E9" w:rsidP="00575540">
      <w:pPr>
        <w:rPr>
          <w:rFonts w:ascii="Arial" w:hAnsi="Arial" w:cs="Arial"/>
          <w:sz w:val="40"/>
          <w:szCs w:val="40"/>
          <w:lang w:val="en-US"/>
        </w:rPr>
      </w:pPr>
    </w:p>
    <w:p w:rsidR="006245E9" w:rsidRDefault="006245E9" w:rsidP="006245E9">
      <w:pPr>
        <w:jc w:val="center"/>
        <w:rPr>
          <w:rFonts w:ascii="Arial" w:hAnsi="Arial" w:cs="Arial"/>
          <w:sz w:val="40"/>
          <w:szCs w:val="40"/>
          <w:lang w:val="en-US"/>
        </w:rPr>
      </w:pPr>
    </w:p>
    <w:p w:rsidR="006245E9" w:rsidRDefault="00FB0569" w:rsidP="006245E9">
      <w:pPr>
        <w:jc w:val="center"/>
        <w:rPr>
          <w:rFonts w:ascii="Arial" w:hAnsi="Arial" w:cs="Arial"/>
          <w:sz w:val="32"/>
          <w:szCs w:val="32"/>
          <w:lang w:val="en-US"/>
        </w:rPr>
      </w:pPr>
      <w:r>
        <w:rPr>
          <w:rFonts w:ascii="Arial" w:hAnsi="Arial" w:cs="Arial"/>
          <w:sz w:val="32"/>
          <w:szCs w:val="32"/>
          <w:lang w:val="en-US"/>
        </w:rPr>
        <w:t>August</w:t>
      </w:r>
      <w:r w:rsidR="006245E9">
        <w:rPr>
          <w:rFonts w:ascii="Arial" w:hAnsi="Arial" w:cs="Arial"/>
          <w:sz w:val="32"/>
          <w:szCs w:val="32"/>
          <w:lang w:val="en-US"/>
        </w:rPr>
        <w:t xml:space="preserve"> 2013</w:t>
      </w:r>
    </w:p>
    <w:p w:rsidR="0000358E" w:rsidRDefault="006245E9" w:rsidP="006245E9">
      <w:pPr>
        <w:jc w:val="center"/>
        <w:rPr>
          <w:rFonts w:ascii="Arial" w:hAnsi="Arial" w:cs="Arial"/>
          <w:sz w:val="32"/>
          <w:szCs w:val="32"/>
          <w:lang w:val="en-US"/>
        </w:rPr>
        <w:sectPr w:rsidR="0000358E" w:rsidSect="0000358E">
          <w:footerReference w:type="default" r:id="rId22"/>
          <w:pgSz w:w="12240" w:h="15840"/>
          <w:pgMar w:top="1440" w:right="1440" w:bottom="1440" w:left="1440" w:header="720" w:footer="720" w:gutter="0"/>
          <w:pgNumType w:start="1"/>
          <w:cols w:space="720"/>
          <w:docGrid w:linePitch="360"/>
        </w:sectPr>
      </w:pPr>
      <w:r>
        <w:rPr>
          <w:rFonts w:ascii="Arial" w:hAnsi="Arial" w:cs="Arial"/>
          <w:sz w:val="32"/>
          <w:szCs w:val="32"/>
          <w:lang w:val="en-US"/>
        </w:rPr>
        <w:t>Do not cite without permission</w:t>
      </w:r>
    </w:p>
    <w:p w:rsidR="00F60F9F" w:rsidRDefault="00F60F9F" w:rsidP="0000358E">
      <w:pPr>
        <w:jc w:val="center"/>
        <w:rPr>
          <w:rFonts w:ascii="Arial" w:hAnsi="Arial" w:cs="Arial"/>
          <w:sz w:val="18"/>
          <w:szCs w:val="18"/>
          <w:lang w:val="en-GB"/>
        </w:rPr>
      </w:pPr>
    </w:p>
    <w:p w:rsidR="0000358E" w:rsidRDefault="0000358E" w:rsidP="0000358E">
      <w:pPr>
        <w:jc w:val="center"/>
        <w:rPr>
          <w:rFonts w:ascii="Arial" w:hAnsi="Arial" w:cs="Arial"/>
          <w:sz w:val="18"/>
          <w:szCs w:val="18"/>
          <w:lang w:val="en-GB"/>
        </w:rPr>
      </w:pPr>
    </w:p>
    <w:p w:rsidR="0000358E" w:rsidRDefault="0000358E" w:rsidP="0000358E">
      <w:pPr>
        <w:jc w:val="center"/>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r>
        <w:rPr>
          <w:noProof/>
          <w:lang w:val="de-AT" w:eastAsia="de-AT"/>
        </w:rPr>
        <w:drawing>
          <wp:anchor distT="0" distB="0" distL="114300" distR="114300" simplePos="0" relativeHeight="251659264" behindDoc="0" locked="0" layoutInCell="1" allowOverlap="1" wp14:anchorId="010F91A8" wp14:editId="4D538471">
            <wp:simplePos x="0" y="0"/>
            <wp:positionH relativeFrom="column">
              <wp:posOffset>4912360</wp:posOffset>
            </wp:positionH>
            <wp:positionV relativeFrom="paragraph">
              <wp:posOffset>247015</wp:posOffset>
            </wp:positionV>
            <wp:extent cx="726440" cy="14554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6440" cy="1455420"/>
                    </a:xfrm>
                    <a:prstGeom prst="rect">
                      <a:avLst/>
                    </a:prstGeom>
                  </pic:spPr>
                </pic:pic>
              </a:graphicData>
            </a:graphic>
            <wp14:sizeRelV relativeFrom="margin">
              <wp14:pctHeight>0</wp14:pctHeight>
            </wp14:sizeRelV>
          </wp:anchor>
        </w:drawing>
      </w:r>
    </w:p>
    <w:p w:rsidR="00F60F9F" w:rsidRDefault="00F60F9F" w:rsidP="00575540">
      <w:pPr>
        <w:autoSpaceDE w:val="0"/>
        <w:autoSpaceDN w:val="0"/>
        <w:spacing w:before="100" w:beforeAutospacing="1" w:after="100" w:afterAutospacing="1"/>
        <w:rPr>
          <w:rFonts w:ascii="Arial" w:hAnsi="Arial" w:cs="Arial"/>
          <w:sz w:val="18"/>
          <w:szCs w:val="18"/>
          <w:lang w:val="en-GB"/>
        </w:rPr>
      </w:pPr>
    </w:p>
    <w:tbl>
      <w:tblPr>
        <w:tblW w:w="6515" w:type="dxa"/>
        <w:tblCellSpacing w:w="0" w:type="dxa"/>
        <w:tblCellMar>
          <w:left w:w="0" w:type="dxa"/>
          <w:right w:w="0" w:type="dxa"/>
        </w:tblCellMar>
        <w:tblLook w:val="04A0" w:firstRow="1" w:lastRow="0" w:firstColumn="1" w:lastColumn="0" w:noHBand="0" w:noVBand="1"/>
      </w:tblPr>
      <w:tblGrid>
        <w:gridCol w:w="6229"/>
        <w:gridCol w:w="286"/>
      </w:tblGrid>
      <w:tr w:rsidR="00B56F0B" w:rsidTr="00B56F0B">
        <w:trPr>
          <w:tblCellSpacing w:w="0" w:type="dxa"/>
        </w:trPr>
        <w:tc>
          <w:tcPr>
            <w:tcW w:w="4470" w:type="dxa"/>
            <w:hideMark/>
          </w:tcPr>
          <w:p w:rsidR="00B56F0B" w:rsidRDefault="00B56F0B">
            <w:pPr>
              <w:rPr>
                <w:rFonts w:ascii="Times New Roman" w:hAnsi="Times New Roman"/>
                <w:sz w:val="24"/>
                <w:szCs w:val="24"/>
              </w:rPr>
            </w:pPr>
            <w:r>
              <w:rPr>
                <w:rFonts w:ascii="Times New Roman" w:eastAsiaTheme="minorEastAsia" w:hAnsi="Times New Roman"/>
                <w:noProof/>
                <w:sz w:val="24"/>
                <w:szCs w:val="24"/>
                <w:lang w:val="de-AT" w:eastAsia="de-AT"/>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D4CH6OVQIAAJsEAAAOAAAAAAAAAAAAAAAAAC4CAABkcnMvZTJvRG9jLnhtbFBLAQItABQABgAI&#10;AAAAIQCGW4fV2AAAAAUBAAAPAAAAAAAAAAAAAAAAAK8EAABkcnMvZG93bnJldi54bWxQSwUGAAAA&#10;AAQABADzAAAAtAUAAAAA&#10;" filled="f" stroked="f">
                      <o:lock v:ext="edit" selection="t"/>
                    </v:rect>
                  </w:pict>
                </mc:Fallback>
              </mc:AlternateContent>
            </w:r>
            <w:r>
              <w:rPr>
                <w:rFonts w:ascii="Times New Roman" w:eastAsiaTheme="minorEastAsia" w:hAnsi="Times New Roman"/>
                <w:noProof/>
                <w:sz w:val="24"/>
                <w:szCs w:val="24"/>
                <w:lang w:val="de-AT" w:eastAsia="de-AT"/>
              </w:rPr>
              <w:drawing>
                <wp:inline distT="0" distB="0" distL="0" distR="0">
                  <wp:extent cx="2828925" cy="1181100"/>
                  <wp:effectExtent l="0" t="0" r="9525" b="0"/>
                  <wp:docPr id="3" name="Picture 3" descr="http://www.ungift.org/images/ungift/logos/OHCHR_logo_EN_blue.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gift.org/images/ungift/logos/OHCHR_logo_EN_blue.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8925" cy="1181100"/>
                          </a:xfrm>
                          <a:prstGeom prst="rect">
                            <a:avLst/>
                          </a:prstGeom>
                          <a:noFill/>
                          <a:ln>
                            <a:noFill/>
                          </a:ln>
                        </pic:spPr>
                      </pic:pic>
                    </a:graphicData>
                  </a:graphic>
                </wp:inline>
              </w:drawing>
            </w:r>
          </w:p>
        </w:tc>
        <w:tc>
          <w:tcPr>
            <w:tcW w:w="205" w:type="dxa"/>
            <w:hideMark/>
          </w:tcPr>
          <w:p w:rsidR="00B56F0B" w:rsidRDefault="00B56F0B">
            <w:pPr>
              <w:spacing w:line="276" w:lineRule="auto"/>
              <w:rPr>
                <w:szCs w:val="22"/>
              </w:rPr>
            </w:pPr>
          </w:p>
        </w:tc>
      </w:tr>
    </w:tbl>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F60F9F" w:rsidRDefault="00F60F9F" w:rsidP="00575540">
      <w:pPr>
        <w:autoSpaceDE w:val="0"/>
        <w:autoSpaceDN w:val="0"/>
        <w:spacing w:before="100" w:beforeAutospacing="1" w:after="100" w:afterAutospacing="1"/>
        <w:rPr>
          <w:rFonts w:ascii="Arial" w:hAnsi="Arial" w:cs="Arial"/>
          <w:sz w:val="18"/>
          <w:szCs w:val="18"/>
          <w:lang w:val="en-GB"/>
        </w:rPr>
      </w:pPr>
    </w:p>
    <w:p w:rsidR="00575540" w:rsidRPr="007D50E1" w:rsidRDefault="00575540" w:rsidP="00575540">
      <w:pPr>
        <w:autoSpaceDE w:val="0"/>
        <w:autoSpaceDN w:val="0"/>
        <w:spacing w:before="100" w:beforeAutospacing="1" w:after="100" w:afterAutospacing="1"/>
        <w:rPr>
          <w:rFonts w:ascii="Arial" w:hAnsi="Arial" w:cs="Arial"/>
          <w:sz w:val="18"/>
          <w:szCs w:val="18"/>
        </w:rPr>
      </w:pPr>
      <w:proofErr w:type="gramStart"/>
      <w:r w:rsidRPr="007D50E1">
        <w:rPr>
          <w:rFonts w:ascii="Arial" w:hAnsi="Arial" w:cs="Arial"/>
          <w:sz w:val="18"/>
          <w:szCs w:val="18"/>
          <w:lang w:val="en-GB"/>
        </w:rPr>
        <w:t>Prepared by the NGO Coalition with the support of the Office of the High Commissioner for Human Rights (UN OHCHR) in Georgia and the United Nations Development Programme (UNDP) in Georgia.</w:t>
      </w:r>
      <w:proofErr w:type="gramEnd"/>
    </w:p>
    <w:p w:rsidR="00575540" w:rsidRPr="007D50E1" w:rsidRDefault="00575540" w:rsidP="00575540">
      <w:pPr>
        <w:autoSpaceDE w:val="0"/>
        <w:autoSpaceDN w:val="0"/>
        <w:spacing w:before="100" w:beforeAutospacing="1" w:after="100" w:afterAutospacing="1"/>
        <w:rPr>
          <w:rFonts w:ascii="Arial" w:hAnsi="Arial" w:cs="Arial"/>
          <w:sz w:val="18"/>
          <w:szCs w:val="18"/>
        </w:rPr>
      </w:pPr>
      <w:r w:rsidRPr="007D50E1">
        <w:rPr>
          <w:rFonts w:ascii="Arial" w:hAnsi="Arial" w:cs="Arial"/>
          <w:sz w:val="18"/>
          <w:szCs w:val="18"/>
          <w:lang w:val="en-GB"/>
        </w:rPr>
        <w:t xml:space="preserve">The views expressed in this publication are those of the author/s and do not necessarily represent those of OHCHR or UNDP. </w:t>
      </w:r>
    </w:p>
    <w:p w:rsidR="006245E9" w:rsidRPr="006245E9" w:rsidRDefault="006245E9" w:rsidP="006245E9">
      <w:pPr>
        <w:jc w:val="center"/>
        <w:rPr>
          <w:rFonts w:ascii="Arial" w:hAnsi="Arial" w:cs="Arial"/>
          <w:sz w:val="32"/>
          <w:szCs w:val="32"/>
          <w:lang w:val="en-US"/>
        </w:rPr>
      </w:pPr>
      <w:r w:rsidRPr="006245E9">
        <w:rPr>
          <w:rFonts w:ascii="Arial" w:hAnsi="Arial" w:cs="Arial"/>
          <w:sz w:val="32"/>
          <w:szCs w:val="32"/>
          <w:lang w:val="en-US"/>
        </w:rPr>
        <w:br w:type="page"/>
      </w:r>
      <w:r w:rsidR="004701A3">
        <w:rPr>
          <w:rFonts w:ascii="Arial" w:hAnsi="Arial" w:cs="Arial"/>
          <w:sz w:val="32"/>
          <w:szCs w:val="32"/>
          <w:lang w:val="en-US"/>
        </w:rPr>
        <w:lastRenderedPageBreak/>
        <w:softHyphen/>
      </w:r>
      <w:r w:rsidR="004701A3">
        <w:rPr>
          <w:rFonts w:ascii="Arial" w:hAnsi="Arial" w:cs="Arial"/>
          <w:sz w:val="32"/>
          <w:szCs w:val="32"/>
          <w:lang w:val="en-US"/>
        </w:rPr>
        <w:softHyphen/>
      </w:r>
      <w:r w:rsidR="004701A3">
        <w:rPr>
          <w:rFonts w:ascii="Arial" w:hAnsi="Arial" w:cs="Arial"/>
          <w:sz w:val="32"/>
          <w:szCs w:val="32"/>
          <w:lang w:val="en-US"/>
        </w:rPr>
        <w:softHyphen/>
      </w:r>
      <w:r w:rsidR="004701A3">
        <w:rPr>
          <w:rFonts w:ascii="Arial" w:hAnsi="Arial" w:cs="Arial"/>
          <w:sz w:val="32"/>
          <w:szCs w:val="32"/>
          <w:lang w:val="en-US"/>
        </w:rPr>
        <w:softHyphen/>
      </w:r>
    </w:p>
    <w:sdt>
      <w:sdtPr>
        <w:rPr>
          <w:rFonts w:ascii="Garamond" w:hAnsi="Garamond"/>
          <w:b w:val="0"/>
          <w:bCs w:val="0"/>
          <w:color w:val="auto"/>
          <w:sz w:val="22"/>
          <w:szCs w:val="20"/>
          <w:lang w:val="en-AU"/>
        </w:rPr>
        <w:id w:val="297027776"/>
        <w:docPartObj>
          <w:docPartGallery w:val="Table of Contents"/>
          <w:docPartUnique/>
        </w:docPartObj>
      </w:sdtPr>
      <w:sdtEndPr/>
      <w:sdtContent>
        <w:p w:rsidR="004E5D65" w:rsidRPr="00575540" w:rsidRDefault="004E5D65">
          <w:pPr>
            <w:pStyle w:val="Inhaltsverzeichnisberschrift"/>
            <w:rPr>
              <w:lang w:val="en-US"/>
            </w:rPr>
          </w:pPr>
          <w:r w:rsidRPr="00575540">
            <w:rPr>
              <w:lang w:val="en-US"/>
            </w:rPr>
            <w:t>Contents</w:t>
          </w:r>
        </w:p>
        <w:p w:rsidR="008450F3" w:rsidRDefault="002C4FB6">
          <w:pPr>
            <w:pStyle w:val="Verzeichnis1"/>
            <w:tabs>
              <w:tab w:val="right" w:leader="dot" w:pos="9350"/>
            </w:tabs>
            <w:rPr>
              <w:rFonts w:asciiTheme="minorHAnsi" w:eastAsiaTheme="minorEastAsia" w:hAnsiTheme="minorHAnsi" w:cstheme="minorBidi"/>
              <w:noProof/>
              <w:szCs w:val="22"/>
              <w:lang w:val="en-US"/>
            </w:rPr>
          </w:pPr>
          <w:r>
            <w:fldChar w:fldCharType="begin"/>
          </w:r>
          <w:r w:rsidR="004E5D65">
            <w:instrText xml:space="preserve"> TOC \o "1-3" \h \z \u </w:instrText>
          </w:r>
          <w:r>
            <w:fldChar w:fldCharType="separate"/>
          </w:r>
          <w:hyperlink w:anchor="_Toc363492720" w:history="1">
            <w:r w:rsidR="008450F3" w:rsidRPr="00A633A9">
              <w:rPr>
                <w:rStyle w:val="Hyperlink"/>
                <w:noProof/>
                <w:lang w:val="en-US"/>
              </w:rPr>
              <w:t>Executive Summary</w:t>
            </w:r>
            <w:r w:rsidR="008450F3">
              <w:rPr>
                <w:noProof/>
                <w:webHidden/>
              </w:rPr>
              <w:tab/>
            </w:r>
            <w:r w:rsidR="008450F3">
              <w:rPr>
                <w:noProof/>
                <w:webHidden/>
              </w:rPr>
              <w:fldChar w:fldCharType="begin"/>
            </w:r>
            <w:r w:rsidR="008450F3">
              <w:rPr>
                <w:noProof/>
                <w:webHidden/>
              </w:rPr>
              <w:instrText xml:space="preserve"> PAGEREF _Toc363492720 \h </w:instrText>
            </w:r>
            <w:r w:rsidR="008450F3">
              <w:rPr>
                <w:noProof/>
                <w:webHidden/>
              </w:rPr>
            </w:r>
            <w:r w:rsidR="008450F3">
              <w:rPr>
                <w:noProof/>
                <w:webHidden/>
              </w:rPr>
              <w:fldChar w:fldCharType="separate"/>
            </w:r>
            <w:r w:rsidR="002E3980">
              <w:rPr>
                <w:noProof/>
                <w:webHidden/>
              </w:rPr>
              <w:t>3</w:t>
            </w:r>
            <w:r w:rsidR="008450F3">
              <w:rPr>
                <w:noProof/>
                <w:webHidden/>
              </w:rPr>
              <w:fldChar w:fldCharType="end"/>
            </w:r>
          </w:hyperlink>
        </w:p>
        <w:p w:rsidR="008450F3" w:rsidRDefault="001F2E06">
          <w:pPr>
            <w:pStyle w:val="Verzeichnis1"/>
            <w:tabs>
              <w:tab w:val="left" w:pos="440"/>
              <w:tab w:val="right" w:leader="dot" w:pos="9350"/>
            </w:tabs>
            <w:rPr>
              <w:rFonts w:asciiTheme="minorHAnsi" w:eastAsiaTheme="minorEastAsia" w:hAnsiTheme="minorHAnsi" w:cstheme="minorBidi"/>
              <w:noProof/>
              <w:szCs w:val="22"/>
              <w:lang w:val="en-US"/>
            </w:rPr>
          </w:pPr>
          <w:hyperlink w:anchor="_Toc363492721" w:history="1">
            <w:r w:rsidR="008450F3" w:rsidRPr="00A633A9">
              <w:rPr>
                <w:rStyle w:val="Hyperlink"/>
                <w:noProof/>
                <w:lang w:val="en-US"/>
              </w:rPr>
              <w:t>1</w:t>
            </w:r>
            <w:r w:rsidR="008450F3">
              <w:rPr>
                <w:rFonts w:asciiTheme="minorHAnsi" w:eastAsiaTheme="minorEastAsia" w:hAnsiTheme="minorHAnsi" w:cstheme="minorBidi"/>
                <w:noProof/>
                <w:szCs w:val="22"/>
                <w:lang w:val="en-US"/>
              </w:rPr>
              <w:tab/>
            </w:r>
            <w:r w:rsidR="008450F3" w:rsidRPr="00A633A9">
              <w:rPr>
                <w:rStyle w:val="Hyperlink"/>
                <w:noProof/>
                <w:lang w:val="en-US"/>
              </w:rPr>
              <w:t>Discrimination on the basis of gender, ethnicity and disability</w:t>
            </w:r>
            <w:r w:rsidR="008450F3">
              <w:rPr>
                <w:noProof/>
                <w:webHidden/>
              </w:rPr>
              <w:tab/>
            </w:r>
            <w:r w:rsidR="008450F3">
              <w:rPr>
                <w:noProof/>
                <w:webHidden/>
              </w:rPr>
              <w:fldChar w:fldCharType="begin"/>
            </w:r>
            <w:r w:rsidR="008450F3">
              <w:rPr>
                <w:noProof/>
                <w:webHidden/>
              </w:rPr>
              <w:instrText xml:space="preserve"> PAGEREF _Toc363492721 \h </w:instrText>
            </w:r>
            <w:r w:rsidR="008450F3">
              <w:rPr>
                <w:noProof/>
                <w:webHidden/>
              </w:rPr>
            </w:r>
            <w:r w:rsidR="008450F3">
              <w:rPr>
                <w:noProof/>
                <w:webHidden/>
              </w:rPr>
              <w:fldChar w:fldCharType="separate"/>
            </w:r>
            <w:r w:rsidR="002E3980">
              <w:rPr>
                <w:noProof/>
                <w:webHidden/>
              </w:rPr>
              <w:t>6</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22" w:history="1">
            <w:r w:rsidR="008450F3" w:rsidRPr="00A633A9">
              <w:rPr>
                <w:rStyle w:val="Hyperlink"/>
                <w:rFonts w:ascii="Times New Roman" w:hAnsi="Times New Roman"/>
                <w:noProof/>
                <w:lang w:val="en-US"/>
              </w:rPr>
              <w:t>1.1</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Observations,Paragraph 8: Domestic Violence</w:t>
            </w:r>
            <w:r w:rsidR="008450F3">
              <w:rPr>
                <w:noProof/>
                <w:webHidden/>
              </w:rPr>
              <w:tab/>
            </w:r>
            <w:r w:rsidR="008450F3">
              <w:rPr>
                <w:noProof/>
                <w:webHidden/>
              </w:rPr>
              <w:fldChar w:fldCharType="begin"/>
            </w:r>
            <w:r w:rsidR="008450F3">
              <w:rPr>
                <w:noProof/>
                <w:webHidden/>
              </w:rPr>
              <w:instrText xml:space="preserve"> PAGEREF _Toc363492722 \h </w:instrText>
            </w:r>
            <w:r w:rsidR="008450F3">
              <w:rPr>
                <w:noProof/>
                <w:webHidden/>
              </w:rPr>
            </w:r>
            <w:r w:rsidR="008450F3">
              <w:rPr>
                <w:noProof/>
                <w:webHidden/>
              </w:rPr>
              <w:fldChar w:fldCharType="separate"/>
            </w:r>
            <w:r w:rsidR="002E3980">
              <w:rPr>
                <w:noProof/>
                <w:webHidden/>
              </w:rPr>
              <w:t>6</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23" w:history="1">
            <w:r w:rsidR="008450F3" w:rsidRPr="00A633A9">
              <w:rPr>
                <w:rStyle w:val="Hyperlink"/>
                <w:rFonts w:ascii="Times New Roman" w:hAnsi="Times New Roman"/>
                <w:noProof/>
                <w:lang w:val="en-US"/>
              </w:rPr>
              <w:t>1.2</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12: Protection of the rights of IDPs (Article 12 and 26)</w:t>
            </w:r>
            <w:r w:rsidR="008450F3">
              <w:rPr>
                <w:noProof/>
                <w:webHidden/>
              </w:rPr>
              <w:tab/>
            </w:r>
            <w:r w:rsidR="008450F3">
              <w:rPr>
                <w:noProof/>
                <w:webHidden/>
              </w:rPr>
              <w:fldChar w:fldCharType="begin"/>
            </w:r>
            <w:r w:rsidR="008450F3">
              <w:rPr>
                <w:noProof/>
                <w:webHidden/>
              </w:rPr>
              <w:instrText xml:space="preserve"> PAGEREF _Toc363492723 \h </w:instrText>
            </w:r>
            <w:r w:rsidR="008450F3">
              <w:rPr>
                <w:noProof/>
                <w:webHidden/>
              </w:rPr>
            </w:r>
            <w:r w:rsidR="008450F3">
              <w:rPr>
                <w:noProof/>
                <w:webHidden/>
              </w:rPr>
              <w:fldChar w:fldCharType="separate"/>
            </w:r>
            <w:r w:rsidR="002E3980">
              <w:rPr>
                <w:noProof/>
                <w:webHidden/>
              </w:rPr>
              <w:t>8</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24" w:history="1">
            <w:r w:rsidR="008450F3" w:rsidRPr="00A633A9">
              <w:rPr>
                <w:rStyle w:val="Hyperlink"/>
                <w:rFonts w:ascii="Times New Roman" w:hAnsi="Times New Roman"/>
                <w:noProof/>
                <w:lang w:val="en-US"/>
              </w:rPr>
              <w:t>1.3</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15:Religious Discrimination (article 18)</w:t>
            </w:r>
            <w:r w:rsidR="008450F3">
              <w:rPr>
                <w:noProof/>
                <w:webHidden/>
              </w:rPr>
              <w:tab/>
            </w:r>
            <w:r w:rsidR="008450F3">
              <w:rPr>
                <w:noProof/>
                <w:webHidden/>
              </w:rPr>
              <w:fldChar w:fldCharType="begin"/>
            </w:r>
            <w:r w:rsidR="008450F3">
              <w:rPr>
                <w:noProof/>
                <w:webHidden/>
              </w:rPr>
              <w:instrText xml:space="preserve"> PAGEREF _Toc363492724 \h </w:instrText>
            </w:r>
            <w:r w:rsidR="008450F3">
              <w:rPr>
                <w:noProof/>
                <w:webHidden/>
              </w:rPr>
            </w:r>
            <w:r w:rsidR="008450F3">
              <w:rPr>
                <w:noProof/>
                <w:webHidden/>
              </w:rPr>
              <w:fldChar w:fldCharType="separate"/>
            </w:r>
            <w:r w:rsidR="002E3980">
              <w:rPr>
                <w:noProof/>
                <w:webHidden/>
              </w:rPr>
              <w:t>8</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25" w:history="1">
            <w:r w:rsidR="008450F3" w:rsidRPr="00A633A9">
              <w:rPr>
                <w:rStyle w:val="Hyperlink"/>
                <w:rFonts w:ascii="Times New Roman" w:hAnsi="Times New Roman"/>
                <w:noProof/>
                <w:lang w:val="en-US"/>
              </w:rPr>
              <w:t>1.4</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17: Obstacles Facing Minorities (Articles 25 and 26)</w:t>
            </w:r>
            <w:r w:rsidR="008450F3">
              <w:rPr>
                <w:noProof/>
                <w:webHidden/>
              </w:rPr>
              <w:tab/>
            </w:r>
            <w:r w:rsidR="008450F3">
              <w:rPr>
                <w:noProof/>
                <w:webHidden/>
              </w:rPr>
              <w:fldChar w:fldCharType="begin"/>
            </w:r>
            <w:r w:rsidR="008450F3">
              <w:rPr>
                <w:noProof/>
                <w:webHidden/>
              </w:rPr>
              <w:instrText xml:space="preserve"> PAGEREF _Toc363492725 \h </w:instrText>
            </w:r>
            <w:r w:rsidR="008450F3">
              <w:rPr>
                <w:noProof/>
                <w:webHidden/>
              </w:rPr>
            </w:r>
            <w:r w:rsidR="008450F3">
              <w:rPr>
                <w:noProof/>
                <w:webHidden/>
              </w:rPr>
              <w:fldChar w:fldCharType="separate"/>
            </w:r>
            <w:r w:rsidR="002E3980">
              <w:rPr>
                <w:noProof/>
                <w:webHidden/>
              </w:rPr>
              <w:t>10</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26" w:history="1">
            <w:r w:rsidR="008450F3" w:rsidRPr="00A633A9">
              <w:rPr>
                <w:rStyle w:val="Hyperlink"/>
                <w:rFonts w:ascii="Times New Roman" w:hAnsi="Times New Roman"/>
                <w:noProof/>
                <w:lang w:val="en-US"/>
              </w:rPr>
              <w:t>1.5</w:t>
            </w:r>
            <w:r w:rsidR="008450F3">
              <w:rPr>
                <w:rFonts w:asciiTheme="minorHAnsi" w:eastAsiaTheme="minorEastAsia" w:hAnsiTheme="minorHAnsi" w:cstheme="minorBidi"/>
                <w:noProof/>
                <w:szCs w:val="22"/>
                <w:lang w:val="en-US"/>
              </w:rPr>
              <w:tab/>
            </w:r>
            <w:r w:rsidR="008450F3" w:rsidRPr="00A633A9">
              <w:rPr>
                <w:rStyle w:val="Hyperlink"/>
                <w:noProof/>
              </w:rPr>
              <w:t>Broader issues of Discrimination</w:t>
            </w:r>
            <w:r w:rsidR="008450F3">
              <w:rPr>
                <w:noProof/>
                <w:webHidden/>
              </w:rPr>
              <w:tab/>
            </w:r>
            <w:r w:rsidR="008450F3">
              <w:rPr>
                <w:noProof/>
                <w:webHidden/>
              </w:rPr>
              <w:fldChar w:fldCharType="begin"/>
            </w:r>
            <w:r w:rsidR="008450F3">
              <w:rPr>
                <w:noProof/>
                <w:webHidden/>
              </w:rPr>
              <w:instrText xml:space="preserve"> PAGEREF _Toc363492726 \h </w:instrText>
            </w:r>
            <w:r w:rsidR="008450F3">
              <w:rPr>
                <w:noProof/>
                <w:webHidden/>
              </w:rPr>
            </w:r>
            <w:r w:rsidR="008450F3">
              <w:rPr>
                <w:noProof/>
                <w:webHidden/>
              </w:rPr>
              <w:fldChar w:fldCharType="separate"/>
            </w:r>
            <w:r w:rsidR="002E3980">
              <w:rPr>
                <w:noProof/>
                <w:webHidden/>
              </w:rPr>
              <w:t>12</w:t>
            </w:r>
            <w:r w:rsidR="008450F3">
              <w:rPr>
                <w:noProof/>
                <w:webHidden/>
              </w:rPr>
              <w:fldChar w:fldCharType="end"/>
            </w:r>
          </w:hyperlink>
        </w:p>
        <w:p w:rsidR="008450F3" w:rsidRDefault="001F2E06">
          <w:pPr>
            <w:pStyle w:val="Verzeichnis3"/>
            <w:tabs>
              <w:tab w:val="left" w:pos="1320"/>
              <w:tab w:val="right" w:leader="dot" w:pos="9350"/>
            </w:tabs>
            <w:rPr>
              <w:rFonts w:asciiTheme="minorHAnsi" w:eastAsiaTheme="minorEastAsia" w:hAnsiTheme="minorHAnsi" w:cstheme="minorBidi"/>
              <w:noProof/>
              <w:szCs w:val="22"/>
              <w:lang w:val="en-US"/>
            </w:rPr>
          </w:pPr>
          <w:hyperlink w:anchor="_Toc363492727" w:history="1">
            <w:r w:rsidR="008450F3" w:rsidRPr="00A633A9">
              <w:rPr>
                <w:rStyle w:val="Hyperlink"/>
                <w:rFonts w:ascii="Sylfaen" w:hAnsi="Sylfaen"/>
                <w:iCs/>
                <w:noProof/>
                <w:lang w:val="en-GB"/>
              </w:rPr>
              <w:t>1.5.1</w:t>
            </w:r>
            <w:r w:rsidR="008450F3">
              <w:rPr>
                <w:rFonts w:asciiTheme="minorHAnsi" w:eastAsiaTheme="minorEastAsia" w:hAnsiTheme="minorHAnsi" w:cstheme="minorBidi"/>
                <w:noProof/>
                <w:szCs w:val="22"/>
                <w:lang w:val="en-US"/>
              </w:rPr>
              <w:tab/>
            </w:r>
            <w:r w:rsidR="008450F3" w:rsidRPr="00A633A9">
              <w:rPr>
                <w:rStyle w:val="Hyperlink"/>
                <w:noProof/>
                <w:shd w:val="clear" w:color="auto" w:fill="FFFFFF"/>
              </w:rPr>
              <w:t>Gender Discrimination</w:t>
            </w:r>
            <w:r w:rsidR="008450F3">
              <w:rPr>
                <w:noProof/>
                <w:webHidden/>
              </w:rPr>
              <w:tab/>
            </w:r>
            <w:r w:rsidR="008450F3">
              <w:rPr>
                <w:noProof/>
                <w:webHidden/>
              </w:rPr>
              <w:fldChar w:fldCharType="begin"/>
            </w:r>
            <w:r w:rsidR="008450F3">
              <w:rPr>
                <w:noProof/>
                <w:webHidden/>
              </w:rPr>
              <w:instrText xml:space="preserve"> PAGEREF _Toc363492727 \h </w:instrText>
            </w:r>
            <w:r w:rsidR="008450F3">
              <w:rPr>
                <w:noProof/>
                <w:webHidden/>
              </w:rPr>
            </w:r>
            <w:r w:rsidR="008450F3">
              <w:rPr>
                <w:noProof/>
                <w:webHidden/>
              </w:rPr>
              <w:fldChar w:fldCharType="separate"/>
            </w:r>
            <w:r w:rsidR="002E3980">
              <w:rPr>
                <w:noProof/>
                <w:webHidden/>
              </w:rPr>
              <w:t>12</w:t>
            </w:r>
            <w:r w:rsidR="008450F3">
              <w:rPr>
                <w:noProof/>
                <w:webHidden/>
              </w:rPr>
              <w:fldChar w:fldCharType="end"/>
            </w:r>
          </w:hyperlink>
        </w:p>
        <w:p w:rsidR="008450F3" w:rsidRDefault="001F2E06">
          <w:pPr>
            <w:pStyle w:val="Verzeichnis3"/>
            <w:tabs>
              <w:tab w:val="left" w:pos="1320"/>
              <w:tab w:val="right" w:leader="dot" w:pos="9350"/>
            </w:tabs>
            <w:rPr>
              <w:rFonts w:asciiTheme="minorHAnsi" w:eastAsiaTheme="minorEastAsia" w:hAnsiTheme="minorHAnsi" w:cstheme="minorBidi"/>
              <w:noProof/>
              <w:szCs w:val="22"/>
              <w:lang w:val="en-US"/>
            </w:rPr>
          </w:pPr>
          <w:hyperlink w:anchor="_Toc363492728" w:history="1">
            <w:r w:rsidR="008450F3" w:rsidRPr="00A633A9">
              <w:rPr>
                <w:rStyle w:val="Hyperlink"/>
                <w:rFonts w:ascii="Sylfaen" w:hAnsi="Sylfaen"/>
                <w:noProof/>
              </w:rPr>
              <w:t>1.5.2</w:t>
            </w:r>
            <w:r w:rsidR="008450F3">
              <w:rPr>
                <w:rFonts w:asciiTheme="minorHAnsi" w:eastAsiaTheme="minorEastAsia" w:hAnsiTheme="minorHAnsi" w:cstheme="minorBidi"/>
                <w:noProof/>
                <w:szCs w:val="22"/>
                <w:lang w:val="en-US"/>
              </w:rPr>
              <w:tab/>
            </w:r>
            <w:r w:rsidR="008450F3" w:rsidRPr="00A633A9">
              <w:rPr>
                <w:rStyle w:val="Hyperlink"/>
                <w:noProof/>
              </w:rPr>
              <w:t>Discrimination on the Basis of Disability</w:t>
            </w:r>
            <w:r w:rsidR="008450F3">
              <w:rPr>
                <w:noProof/>
                <w:webHidden/>
              </w:rPr>
              <w:tab/>
            </w:r>
            <w:r w:rsidR="008450F3">
              <w:rPr>
                <w:noProof/>
                <w:webHidden/>
              </w:rPr>
              <w:fldChar w:fldCharType="begin"/>
            </w:r>
            <w:r w:rsidR="008450F3">
              <w:rPr>
                <w:noProof/>
                <w:webHidden/>
              </w:rPr>
              <w:instrText xml:space="preserve"> PAGEREF _Toc363492728 \h </w:instrText>
            </w:r>
            <w:r w:rsidR="008450F3">
              <w:rPr>
                <w:noProof/>
                <w:webHidden/>
              </w:rPr>
            </w:r>
            <w:r w:rsidR="008450F3">
              <w:rPr>
                <w:noProof/>
                <w:webHidden/>
              </w:rPr>
              <w:fldChar w:fldCharType="separate"/>
            </w:r>
            <w:r w:rsidR="002E3980">
              <w:rPr>
                <w:noProof/>
                <w:webHidden/>
              </w:rPr>
              <w:t>13</w:t>
            </w:r>
            <w:r w:rsidR="008450F3">
              <w:rPr>
                <w:noProof/>
                <w:webHidden/>
              </w:rPr>
              <w:fldChar w:fldCharType="end"/>
            </w:r>
          </w:hyperlink>
        </w:p>
        <w:p w:rsidR="008450F3" w:rsidRDefault="001F2E06">
          <w:pPr>
            <w:pStyle w:val="Verzeichnis1"/>
            <w:tabs>
              <w:tab w:val="left" w:pos="440"/>
              <w:tab w:val="right" w:leader="dot" w:pos="9350"/>
            </w:tabs>
            <w:rPr>
              <w:rFonts w:asciiTheme="minorHAnsi" w:eastAsiaTheme="minorEastAsia" w:hAnsiTheme="minorHAnsi" w:cstheme="minorBidi"/>
              <w:noProof/>
              <w:szCs w:val="22"/>
              <w:lang w:val="en-US"/>
            </w:rPr>
          </w:pPr>
          <w:hyperlink w:anchor="_Toc363492729" w:history="1">
            <w:r w:rsidR="008450F3" w:rsidRPr="00A633A9">
              <w:rPr>
                <w:rStyle w:val="Hyperlink"/>
                <w:noProof/>
              </w:rPr>
              <w:t>2</w:t>
            </w:r>
            <w:r w:rsidR="008450F3">
              <w:rPr>
                <w:rFonts w:asciiTheme="minorHAnsi" w:eastAsiaTheme="minorEastAsia" w:hAnsiTheme="minorHAnsi" w:cstheme="minorBidi"/>
                <w:noProof/>
                <w:szCs w:val="22"/>
                <w:lang w:val="en-US"/>
              </w:rPr>
              <w:tab/>
            </w:r>
            <w:r w:rsidR="008450F3" w:rsidRPr="00A633A9">
              <w:rPr>
                <w:rStyle w:val="Hyperlink"/>
                <w:noProof/>
              </w:rPr>
              <w:t>The police, the procedure for arrest, prisons and the pre-trial detention</w:t>
            </w:r>
            <w:r w:rsidR="008450F3">
              <w:rPr>
                <w:noProof/>
                <w:webHidden/>
              </w:rPr>
              <w:tab/>
            </w:r>
            <w:r w:rsidR="008450F3">
              <w:rPr>
                <w:noProof/>
                <w:webHidden/>
              </w:rPr>
              <w:fldChar w:fldCharType="begin"/>
            </w:r>
            <w:r w:rsidR="008450F3">
              <w:rPr>
                <w:noProof/>
                <w:webHidden/>
              </w:rPr>
              <w:instrText xml:space="preserve"> PAGEREF _Toc363492729 \h </w:instrText>
            </w:r>
            <w:r w:rsidR="008450F3">
              <w:rPr>
                <w:noProof/>
                <w:webHidden/>
              </w:rPr>
            </w:r>
            <w:r w:rsidR="008450F3">
              <w:rPr>
                <w:noProof/>
                <w:webHidden/>
              </w:rPr>
              <w:fldChar w:fldCharType="separate"/>
            </w:r>
            <w:r w:rsidR="002E3980">
              <w:rPr>
                <w:noProof/>
                <w:webHidden/>
              </w:rPr>
              <w:t>15</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0" w:history="1">
            <w:r w:rsidR="008450F3" w:rsidRPr="00A633A9">
              <w:rPr>
                <w:rStyle w:val="Hyperlink"/>
                <w:rFonts w:ascii="Times New Roman" w:hAnsi="Times New Roman"/>
                <w:noProof/>
                <w:lang w:val="en-US"/>
              </w:rPr>
              <w:t>2.1</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10: torture and ill treatment during arrest (relating to articles 2, 7, 9)</w:t>
            </w:r>
            <w:r w:rsidR="008450F3">
              <w:rPr>
                <w:noProof/>
                <w:webHidden/>
              </w:rPr>
              <w:tab/>
            </w:r>
            <w:r w:rsidR="008450F3">
              <w:rPr>
                <w:noProof/>
                <w:webHidden/>
              </w:rPr>
              <w:fldChar w:fldCharType="begin"/>
            </w:r>
            <w:r w:rsidR="008450F3">
              <w:rPr>
                <w:noProof/>
                <w:webHidden/>
              </w:rPr>
              <w:instrText xml:space="preserve"> PAGEREF _Toc363492730 \h </w:instrText>
            </w:r>
            <w:r w:rsidR="008450F3">
              <w:rPr>
                <w:noProof/>
                <w:webHidden/>
              </w:rPr>
            </w:r>
            <w:r w:rsidR="008450F3">
              <w:rPr>
                <w:noProof/>
                <w:webHidden/>
              </w:rPr>
              <w:fldChar w:fldCharType="separate"/>
            </w:r>
            <w:r w:rsidR="002E3980">
              <w:rPr>
                <w:noProof/>
                <w:webHidden/>
              </w:rPr>
              <w:t>15</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1" w:history="1">
            <w:r w:rsidR="008450F3" w:rsidRPr="00A633A9">
              <w:rPr>
                <w:rStyle w:val="Hyperlink"/>
                <w:rFonts w:ascii="Times New Roman" w:hAnsi="Times New Roman"/>
                <w:noProof/>
                <w:lang w:val="en-US"/>
              </w:rPr>
              <w:t>2.2</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9: Excess use of force by police and prison officials (relating to article 6)</w:t>
            </w:r>
            <w:r w:rsidR="008450F3">
              <w:rPr>
                <w:noProof/>
                <w:webHidden/>
              </w:rPr>
              <w:tab/>
            </w:r>
            <w:r w:rsidR="008450F3">
              <w:rPr>
                <w:noProof/>
                <w:webHidden/>
              </w:rPr>
              <w:fldChar w:fldCharType="begin"/>
            </w:r>
            <w:r w:rsidR="008450F3">
              <w:rPr>
                <w:noProof/>
                <w:webHidden/>
              </w:rPr>
              <w:instrText xml:space="preserve"> PAGEREF _Toc363492731 \h </w:instrText>
            </w:r>
            <w:r w:rsidR="008450F3">
              <w:rPr>
                <w:noProof/>
                <w:webHidden/>
              </w:rPr>
            </w:r>
            <w:r w:rsidR="008450F3">
              <w:rPr>
                <w:noProof/>
                <w:webHidden/>
              </w:rPr>
              <w:fldChar w:fldCharType="separate"/>
            </w:r>
            <w:r w:rsidR="002E3980">
              <w:rPr>
                <w:noProof/>
                <w:webHidden/>
              </w:rPr>
              <w:t>17</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2" w:history="1">
            <w:r w:rsidR="008450F3" w:rsidRPr="00A633A9">
              <w:rPr>
                <w:rStyle w:val="Hyperlink"/>
                <w:rFonts w:ascii="Times New Roman" w:hAnsi="Times New Roman"/>
                <w:noProof/>
                <w:lang w:val="en-US"/>
              </w:rPr>
              <w:t>2.3</w:t>
            </w:r>
            <w:r w:rsidR="008450F3">
              <w:rPr>
                <w:rFonts w:asciiTheme="minorHAnsi" w:eastAsiaTheme="minorEastAsia" w:hAnsiTheme="minorHAnsi" w:cstheme="minorBidi"/>
                <w:noProof/>
                <w:szCs w:val="22"/>
                <w:lang w:val="en-US"/>
              </w:rPr>
              <w:tab/>
            </w:r>
            <w:r w:rsidR="008450F3" w:rsidRPr="00A633A9">
              <w:rPr>
                <w:rStyle w:val="Hyperlink"/>
                <w:noProof/>
                <w:lang w:val="en-US"/>
              </w:rPr>
              <w:t>HRC Observations Paragraph 11: Poor conditions in prisons (relating to article 10)</w:t>
            </w:r>
            <w:r w:rsidR="008450F3">
              <w:rPr>
                <w:noProof/>
                <w:webHidden/>
              </w:rPr>
              <w:tab/>
            </w:r>
            <w:r w:rsidR="008450F3">
              <w:rPr>
                <w:noProof/>
                <w:webHidden/>
              </w:rPr>
              <w:fldChar w:fldCharType="begin"/>
            </w:r>
            <w:r w:rsidR="008450F3">
              <w:rPr>
                <w:noProof/>
                <w:webHidden/>
              </w:rPr>
              <w:instrText xml:space="preserve"> PAGEREF _Toc363492732 \h </w:instrText>
            </w:r>
            <w:r w:rsidR="008450F3">
              <w:rPr>
                <w:noProof/>
                <w:webHidden/>
              </w:rPr>
            </w:r>
            <w:r w:rsidR="008450F3">
              <w:rPr>
                <w:noProof/>
                <w:webHidden/>
              </w:rPr>
              <w:fldChar w:fldCharType="separate"/>
            </w:r>
            <w:r w:rsidR="002E3980">
              <w:rPr>
                <w:noProof/>
                <w:webHidden/>
              </w:rPr>
              <w:t>17</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3" w:history="1">
            <w:r w:rsidR="008450F3" w:rsidRPr="00A633A9">
              <w:rPr>
                <w:rStyle w:val="Hyperlink"/>
                <w:rFonts w:ascii="Times New Roman" w:hAnsi="Times New Roman"/>
                <w:noProof/>
                <w:lang w:val="en-US"/>
              </w:rPr>
              <w:t>2.4</w:t>
            </w:r>
            <w:r w:rsidR="008450F3">
              <w:rPr>
                <w:rFonts w:asciiTheme="minorHAnsi" w:eastAsiaTheme="minorEastAsia" w:hAnsiTheme="minorHAnsi" w:cstheme="minorBidi"/>
                <w:noProof/>
                <w:szCs w:val="22"/>
                <w:lang w:val="en-US"/>
              </w:rPr>
              <w:tab/>
            </w:r>
            <w:r w:rsidR="008450F3" w:rsidRPr="00A633A9">
              <w:rPr>
                <w:rStyle w:val="Hyperlink"/>
                <w:noProof/>
                <w:lang w:val="en-US"/>
              </w:rPr>
              <w:t>Broader issues on unlawful imprisonment</w:t>
            </w:r>
            <w:r w:rsidR="008450F3">
              <w:rPr>
                <w:noProof/>
                <w:webHidden/>
              </w:rPr>
              <w:tab/>
            </w:r>
            <w:r w:rsidR="008450F3">
              <w:rPr>
                <w:noProof/>
                <w:webHidden/>
              </w:rPr>
              <w:fldChar w:fldCharType="begin"/>
            </w:r>
            <w:r w:rsidR="008450F3">
              <w:rPr>
                <w:noProof/>
                <w:webHidden/>
              </w:rPr>
              <w:instrText xml:space="preserve"> PAGEREF _Toc363492733 \h </w:instrText>
            </w:r>
            <w:r w:rsidR="008450F3">
              <w:rPr>
                <w:noProof/>
                <w:webHidden/>
              </w:rPr>
            </w:r>
            <w:r w:rsidR="008450F3">
              <w:rPr>
                <w:noProof/>
                <w:webHidden/>
              </w:rPr>
              <w:fldChar w:fldCharType="separate"/>
            </w:r>
            <w:r w:rsidR="002E3980">
              <w:rPr>
                <w:noProof/>
                <w:webHidden/>
              </w:rPr>
              <w:t>20</w:t>
            </w:r>
            <w:r w:rsidR="008450F3">
              <w:rPr>
                <w:noProof/>
                <w:webHidden/>
              </w:rPr>
              <w:fldChar w:fldCharType="end"/>
            </w:r>
          </w:hyperlink>
        </w:p>
        <w:p w:rsidR="008450F3" w:rsidRDefault="001F2E06">
          <w:pPr>
            <w:pStyle w:val="Verzeichnis3"/>
            <w:tabs>
              <w:tab w:val="left" w:pos="1100"/>
              <w:tab w:val="right" w:leader="dot" w:pos="9350"/>
            </w:tabs>
            <w:rPr>
              <w:rFonts w:asciiTheme="minorHAnsi" w:eastAsiaTheme="minorEastAsia" w:hAnsiTheme="minorHAnsi" w:cstheme="minorBidi"/>
              <w:noProof/>
              <w:szCs w:val="22"/>
              <w:lang w:val="en-US"/>
            </w:rPr>
          </w:pPr>
          <w:hyperlink w:anchor="_Toc363492734" w:history="1">
            <w:r w:rsidR="008450F3" w:rsidRPr="00A633A9">
              <w:rPr>
                <w:rStyle w:val="Hyperlink"/>
                <w:noProof/>
                <w:lang w:val="en-GB"/>
              </w:rPr>
              <w:t>2.4.1</w:t>
            </w:r>
            <w:r w:rsidR="008450F3">
              <w:rPr>
                <w:rFonts w:asciiTheme="minorHAnsi" w:eastAsiaTheme="minorEastAsia" w:hAnsiTheme="minorHAnsi" w:cstheme="minorBidi"/>
                <w:noProof/>
                <w:szCs w:val="22"/>
                <w:lang w:val="en-US"/>
              </w:rPr>
              <w:tab/>
            </w:r>
            <w:r w:rsidR="008450F3" w:rsidRPr="00A633A9">
              <w:rPr>
                <w:rStyle w:val="Hyperlink"/>
                <w:noProof/>
                <w:lang w:val="en-GB"/>
              </w:rPr>
              <w:t>Deficiencies in the Legislation</w:t>
            </w:r>
            <w:r w:rsidR="008450F3">
              <w:rPr>
                <w:noProof/>
                <w:webHidden/>
              </w:rPr>
              <w:tab/>
            </w:r>
            <w:r w:rsidR="008450F3">
              <w:rPr>
                <w:noProof/>
                <w:webHidden/>
              </w:rPr>
              <w:fldChar w:fldCharType="begin"/>
            </w:r>
            <w:r w:rsidR="008450F3">
              <w:rPr>
                <w:noProof/>
                <w:webHidden/>
              </w:rPr>
              <w:instrText xml:space="preserve"> PAGEREF _Toc363492734 \h </w:instrText>
            </w:r>
            <w:r w:rsidR="008450F3">
              <w:rPr>
                <w:noProof/>
                <w:webHidden/>
              </w:rPr>
            </w:r>
            <w:r w:rsidR="008450F3">
              <w:rPr>
                <w:noProof/>
                <w:webHidden/>
              </w:rPr>
              <w:fldChar w:fldCharType="separate"/>
            </w:r>
            <w:r w:rsidR="002E3980">
              <w:rPr>
                <w:noProof/>
                <w:webHidden/>
              </w:rPr>
              <w:t>20</w:t>
            </w:r>
            <w:r w:rsidR="008450F3">
              <w:rPr>
                <w:noProof/>
                <w:webHidden/>
              </w:rPr>
              <w:fldChar w:fldCharType="end"/>
            </w:r>
          </w:hyperlink>
        </w:p>
        <w:p w:rsidR="008450F3" w:rsidRDefault="001F2E06">
          <w:pPr>
            <w:pStyle w:val="Verzeichnis3"/>
            <w:tabs>
              <w:tab w:val="left" w:pos="1100"/>
              <w:tab w:val="right" w:leader="dot" w:pos="9350"/>
            </w:tabs>
            <w:rPr>
              <w:rFonts w:asciiTheme="minorHAnsi" w:eastAsiaTheme="minorEastAsia" w:hAnsiTheme="minorHAnsi" w:cstheme="minorBidi"/>
              <w:noProof/>
              <w:szCs w:val="22"/>
              <w:lang w:val="en-US"/>
            </w:rPr>
          </w:pPr>
          <w:hyperlink w:anchor="_Toc363492735" w:history="1">
            <w:r w:rsidR="008450F3" w:rsidRPr="00A633A9">
              <w:rPr>
                <w:rStyle w:val="Hyperlink"/>
                <w:noProof/>
                <w:lang w:val="en-GB"/>
              </w:rPr>
              <w:t>2.4.2</w:t>
            </w:r>
            <w:r w:rsidR="008450F3">
              <w:rPr>
                <w:rFonts w:asciiTheme="minorHAnsi" w:eastAsiaTheme="minorEastAsia" w:hAnsiTheme="minorHAnsi" w:cstheme="minorBidi"/>
                <w:noProof/>
                <w:szCs w:val="22"/>
                <w:lang w:val="en-US"/>
              </w:rPr>
              <w:tab/>
            </w:r>
            <w:r w:rsidR="008450F3" w:rsidRPr="00A633A9">
              <w:rPr>
                <w:rStyle w:val="Hyperlink"/>
                <w:noProof/>
                <w:lang w:val="en-GB"/>
              </w:rPr>
              <w:t>Deficiencies in Practice</w:t>
            </w:r>
            <w:r w:rsidR="008450F3">
              <w:rPr>
                <w:noProof/>
                <w:webHidden/>
              </w:rPr>
              <w:tab/>
            </w:r>
            <w:r w:rsidR="008450F3">
              <w:rPr>
                <w:noProof/>
                <w:webHidden/>
              </w:rPr>
              <w:fldChar w:fldCharType="begin"/>
            </w:r>
            <w:r w:rsidR="008450F3">
              <w:rPr>
                <w:noProof/>
                <w:webHidden/>
              </w:rPr>
              <w:instrText xml:space="preserve"> PAGEREF _Toc363492735 \h </w:instrText>
            </w:r>
            <w:r w:rsidR="008450F3">
              <w:rPr>
                <w:noProof/>
                <w:webHidden/>
              </w:rPr>
            </w:r>
            <w:r w:rsidR="008450F3">
              <w:rPr>
                <w:noProof/>
                <w:webHidden/>
              </w:rPr>
              <w:fldChar w:fldCharType="separate"/>
            </w:r>
            <w:r w:rsidR="002E3980">
              <w:rPr>
                <w:noProof/>
                <w:webHidden/>
              </w:rPr>
              <w:t>21</w:t>
            </w:r>
            <w:r w:rsidR="008450F3">
              <w:rPr>
                <w:noProof/>
                <w:webHidden/>
              </w:rPr>
              <w:fldChar w:fldCharType="end"/>
            </w:r>
          </w:hyperlink>
        </w:p>
        <w:p w:rsidR="008450F3" w:rsidRDefault="001F2E06">
          <w:pPr>
            <w:pStyle w:val="Verzeichnis1"/>
            <w:tabs>
              <w:tab w:val="left" w:pos="440"/>
              <w:tab w:val="right" w:leader="dot" w:pos="9350"/>
            </w:tabs>
            <w:rPr>
              <w:rFonts w:asciiTheme="minorHAnsi" w:eastAsiaTheme="minorEastAsia" w:hAnsiTheme="minorHAnsi" w:cstheme="minorBidi"/>
              <w:noProof/>
              <w:szCs w:val="22"/>
              <w:lang w:val="en-US"/>
            </w:rPr>
          </w:pPr>
          <w:hyperlink w:anchor="_Toc363492736" w:history="1">
            <w:r w:rsidR="008450F3" w:rsidRPr="00A633A9">
              <w:rPr>
                <w:rStyle w:val="Hyperlink"/>
                <w:noProof/>
                <w:lang w:val="en-US"/>
              </w:rPr>
              <w:t>3</w:t>
            </w:r>
            <w:r w:rsidR="008450F3">
              <w:rPr>
                <w:rFonts w:asciiTheme="minorHAnsi" w:eastAsiaTheme="minorEastAsia" w:hAnsiTheme="minorHAnsi" w:cstheme="minorBidi"/>
                <w:noProof/>
                <w:szCs w:val="22"/>
                <w:lang w:val="en-US"/>
              </w:rPr>
              <w:tab/>
            </w:r>
            <w:r w:rsidR="008450F3" w:rsidRPr="00A633A9">
              <w:rPr>
                <w:rStyle w:val="Hyperlink"/>
                <w:noProof/>
                <w:lang w:val="en-US"/>
              </w:rPr>
              <w:t>The Judiciary and rule of Law</w:t>
            </w:r>
            <w:r w:rsidR="008450F3">
              <w:rPr>
                <w:noProof/>
                <w:webHidden/>
              </w:rPr>
              <w:tab/>
            </w:r>
            <w:r w:rsidR="008450F3">
              <w:rPr>
                <w:noProof/>
                <w:webHidden/>
              </w:rPr>
              <w:fldChar w:fldCharType="begin"/>
            </w:r>
            <w:r w:rsidR="008450F3">
              <w:rPr>
                <w:noProof/>
                <w:webHidden/>
              </w:rPr>
              <w:instrText xml:space="preserve"> PAGEREF _Toc363492736 \h </w:instrText>
            </w:r>
            <w:r w:rsidR="008450F3">
              <w:rPr>
                <w:noProof/>
                <w:webHidden/>
              </w:rPr>
            </w:r>
            <w:r w:rsidR="008450F3">
              <w:rPr>
                <w:noProof/>
                <w:webHidden/>
              </w:rPr>
              <w:fldChar w:fldCharType="separate"/>
            </w:r>
            <w:r w:rsidR="002E3980">
              <w:rPr>
                <w:noProof/>
                <w:webHidden/>
              </w:rPr>
              <w:t>22</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7" w:history="1">
            <w:r w:rsidR="008450F3" w:rsidRPr="00A633A9">
              <w:rPr>
                <w:rStyle w:val="Hyperlink"/>
                <w:rFonts w:ascii="Times New Roman" w:hAnsi="Times New Roman"/>
                <w:noProof/>
              </w:rPr>
              <w:t>3.1</w:t>
            </w:r>
            <w:r w:rsidR="008450F3">
              <w:rPr>
                <w:rFonts w:asciiTheme="minorHAnsi" w:eastAsiaTheme="minorEastAsia" w:hAnsiTheme="minorHAnsi" w:cstheme="minorBidi"/>
                <w:noProof/>
                <w:szCs w:val="22"/>
                <w:lang w:val="en-US"/>
              </w:rPr>
              <w:tab/>
            </w:r>
            <w:r w:rsidR="008450F3" w:rsidRPr="00A633A9">
              <w:rPr>
                <w:rStyle w:val="Hyperlink"/>
                <w:noProof/>
              </w:rPr>
              <w:t>HRC Concluding Observations Paragraph 13 Judicial independence (Article 14) and HRC Observations Paragraph 14 Poor education of judges (Article 14)</w:t>
            </w:r>
            <w:r w:rsidR="008450F3">
              <w:rPr>
                <w:noProof/>
                <w:webHidden/>
              </w:rPr>
              <w:tab/>
            </w:r>
            <w:r w:rsidR="008450F3">
              <w:rPr>
                <w:noProof/>
                <w:webHidden/>
              </w:rPr>
              <w:fldChar w:fldCharType="begin"/>
            </w:r>
            <w:r w:rsidR="008450F3">
              <w:rPr>
                <w:noProof/>
                <w:webHidden/>
              </w:rPr>
              <w:instrText xml:space="preserve"> PAGEREF _Toc363492737 \h </w:instrText>
            </w:r>
            <w:r w:rsidR="008450F3">
              <w:rPr>
                <w:noProof/>
                <w:webHidden/>
              </w:rPr>
            </w:r>
            <w:r w:rsidR="008450F3">
              <w:rPr>
                <w:noProof/>
                <w:webHidden/>
              </w:rPr>
              <w:fldChar w:fldCharType="separate"/>
            </w:r>
            <w:r w:rsidR="002E3980">
              <w:rPr>
                <w:noProof/>
                <w:webHidden/>
              </w:rPr>
              <w:t>23</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8" w:history="1">
            <w:r w:rsidR="008450F3" w:rsidRPr="00A633A9">
              <w:rPr>
                <w:rStyle w:val="Hyperlink"/>
                <w:rFonts w:ascii="Times New Roman" w:eastAsia="Sylfaen" w:hAnsi="Times New Roman"/>
                <w:noProof/>
                <w:lang w:val="en-GB"/>
              </w:rPr>
              <w:t>3.2</w:t>
            </w:r>
            <w:r w:rsidR="008450F3">
              <w:rPr>
                <w:rFonts w:asciiTheme="minorHAnsi" w:eastAsiaTheme="minorEastAsia" w:hAnsiTheme="minorHAnsi" w:cstheme="minorBidi"/>
                <w:noProof/>
                <w:szCs w:val="22"/>
                <w:lang w:val="en-US"/>
              </w:rPr>
              <w:tab/>
            </w:r>
            <w:r w:rsidR="008450F3" w:rsidRPr="00A633A9">
              <w:rPr>
                <w:rStyle w:val="Hyperlink"/>
                <w:rFonts w:eastAsia="Sylfaen"/>
                <w:noProof/>
                <w:lang w:val="en-GB"/>
              </w:rPr>
              <w:t>General Problems with the Right to a Fair Trial (article 14)</w:t>
            </w:r>
            <w:r w:rsidR="008450F3">
              <w:rPr>
                <w:noProof/>
                <w:webHidden/>
              </w:rPr>
              <w:tab/>
            </w:r>
            <w:r w:rsidR="008450F3">
              <w:rPr>
                <w:noProof/>
                <w:webHidden/>
              </w:rPr>
              <w:fldChar w:fldCharType="begin"/>
            </w:r>
            <w:r w:rsidR="008450F3">
              <w:rPr>
                <w:noProof/>
                <w:webHidden/>
              </w:rPr>
              <w:instrText xml:space="preserve"> PAGEREF _Toc363492738 \h </w:instrText>
            </w:r>
            <w:r w:rsidR="008450F3">
              <w:rPr>
                <w:noProof/>
                <w:webHidden/>
              </w:rPr>
            </w:r>
            <w:r w:rsidR="008450F3">
              <w:rPr>
                <w:noProof/>
                <w:webHidden/>
              </w:rPr>
              <w:fldChar w:fldCharType="separate"/>
            </w:r>
            <w:r w:rsidR="002E3980">
              <w:rPr>
                <w:noProof/>
                <w:webHidden/>
              </w:rPr>
              <w:t>26</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39" w:history="1">
            <w:r w:rsidR="008450F3" w:rsidRPr="00A633A9">
              <w:rPr>
                <w:rStyle w:val="Hyperlink"/>
                <w:rFonts w:ascii="Times New Roman" w:hAnsi="Times New Roman"/>
                <w:noProof/>
                <w:lang w:val="en-US"/>
              </w:rPr>
              <w:t>3.3</w:t>
            </w:r>
            <w:r w:rsidR="008450F3">
              <w:rPr>
                <w:rFonts w:asciiTheme="minorHAnsi" w:eastAsiaTheme="minorEastAsia" w:hAnsiTheme="minorHAnsi" w:cstheme="minorBidi"/>
                <w:noProof/>
                <w:szCs w:val="22"/>
                <w:lang w:val="en-US"/>
              </w:rPr>
              <w:tab/>
            </w:r>
            <w:r w:rsidR="008450F3" w:rsidRPr="00A633A9">
              <w:rPr>
                <w:rStyle w:val="Hyperlink"/>
                <w:noProof/>
                <w:lang w:val="en-US"/>
              </w:rPr>
              <w:t>Juvenile Justice</w:t>
            </w:r>
            <w:r w:rsidR="008450F3">
              <w:rPr>
                <w:noProof/>
                <w:webHidden/>
              </w:rPr>
              <w:tab/>
            </w:r>
            <w:r w:rsidR="008450F3">
              <w:rPr>
                <w:noProof/>
                <w:webHidden/>
              </w:rPr>
              <w:fldChar w:fldCharType="begin"/>
            </w:r>
            <w:r w:rsidR="008450F3">
              <w:rPr>
                <w:noProof/>
                <w:webHidden/>
              </w:rPr>
              <w:instrText xml:space="preserve"> PAGEREF _Toc363492739 \h </w:instrText>
            </w:r>
            <w:r w:rsidR="008450F3">
              <w:rPr>
                <w:noProof/>
                <w:webHidden/>
              </w:rPr>
            </w:r>
            <w:r w:rsidR="008450F3">
              <w:rPr>
                <w:noProof/>
                <w:webHidden/>
              </w:rPr>
              <w:fldChar w:fldCharType="separate"/>
            </w:r>
            <w:r w:rsidR="002E3980">
              <w:rPr>
                <w:noProof/>
                <w:webHidden/>
              </w:rPr>
              <w:t>28</w:t>
            </w:r>
            <w:r w:rsidR="008450F3">
              <w:rPr>
                <w:noProof/>
                <w:webHidden/>
              </w:rPr>
              <w:fldChar w:fldCharType="end"/>
            </w:r>
          </w:hyperlink>
        </w:p>
        <w:p w:rsidR="008450F3" w:rsidRDefault="001F2E06">
          <w:pPr>
            <w:pStyle w:val="Verzeichnis1"/>
            <w:tabs>
              <w:tab w:val="left" w:pos="440"/>
              <w:tab w:val="right" w:leader="dot" w:pos="9350"/>
            </w:tabs>
            <w:rPr>
              <w:rFonts w:asciiTheme="minorHAnsi" w:eastAsiaTheme="minorEastAsia" w:hAnsiTheme="minorHAnsi" w:cstheme="minorBidi"/>
              <w:noProof/>
              <w:szCs w:val="22"/>
              <w:lang w:val="en-US"/>
            </w:rPr>
          </w:pPr>
          <w:hyperlink w:anchor="_Toc363492740" w:history="1">
            <w:r w:rsidR="008450F3" w:rsidRPr="00A633A9">
              <w:rPr>
                <w:rStyle w:val="Hyperlink"/>
                <w:noProof/>
                <w:lang w:val="en-US"/>
              </w:rPr>
              <w:t>4</w:t>
            </w:r>
            <w:r w:rsidR="008450F3">
              <w:rPr>
                <w:rFonts w:asciiTheme="minorHAnsi" w:eastAsiaTheme="minorEastAsia" w:hAnsiTheme="minorHAnsi" w:cstheme="minorBidi"/>
                <w:noProof/>
                <w:szCs w:val="22"/>
                <w:lang w:val="en-US"/>
              </w:rPr>
              <w:tab/>
            </w:r>
            <w:r w:rsidR="008450F3" w:rsidRPr="00A633A9">
              <w:rPr>
                <w:rStyle w:val="Hyperlink"/>
                <w:noProof/>
                <w:lang w:val="en-US"/>
              </w:rPr>
              <w:t>Other Infringements of the ICCPR</w:t>
            </w:r>
            <w:r w:rsidR="008450F3">
              <w:rPr>
                <w:noProof/>
                <w:webHidden/>
              </w:rPr>
              <w:tab/>
            </w:r>
            <w:r w:rsidR="008450F3">
              <w:rPr>
                <w:noProof/>
                <w:webHidden/>
              </w:rPr>
              <w:fldChar w:fldCharType="begin"/>
            </w:r>
            <w:r w:rsidR="008450F3">
              <w:rPr>
                <w:noProof/>
                <w:webHidden/>
              </w:rPr>
              <w:instrText xml:space="preserve"> PAGEREF _Toc363492740 \h </w:instrText>
            </w:r>
            <w:r w:rsidR="008450F3">
              <w:rPr>
                <w:noProof/>
                <w:webHidden/>
              </w:rPr>
            </w:r>
            <w:r w:rsidR="008450F3">
              <w:rPr>
                <w:noProof/>
                <w:webHidden/>
              </w:rPr>
              <w:fldChar w:fldCharType="separate"/>
            </w:r>
            <w:r w:rsidR="002E3980">
              <w:rPr>
                <w:noProof/>
                <w:webHidden/>
              </w:rPr>
              <w:t>30</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41" w:history="1">
            <w:r w:rsidR="008450F3" w:rsidRPr="00A633A9">
              <w:rPr>
                <w:rStyle w:val="Hyperlink"/>
                <w:rFonts w:ascii="Times New Roman" w:hAnsi="Times New Roman"/>
                <w:noProof/>
                <w:lang w:val="en-US"/>
              </w:rPr>
              <w:t>4.1</w:t>
            </w:r>
            <w:r w:rsidR="008450F3">
              <w:rPr>
                <w:rFonts w:asciiTheme="minorHAnsi" w:eastAsiaTheme="minorEastAsia" w:hAnsiTheme="minorHAnsi" w:cstheme="minorBidi"/>
                <w:noProof/>
                <w:szCs w:val="22"/>
                <w:lang w:val="en-US"/>
              </w:rPr>
              <w:tab/>
            </w:r>
            <w:r w:rsidR="008450F3" w:rsidRPr="00A633A9">
              <w:rPr>
                <w:rStyle w:val="Hyperlink"/>
                <w:noProof/>
                <w:lang w:val="en-US"/>
              </w:rPr>
              <w:t>HRC Concluding Observations, Paragraph 16 Investigation of harassment of journalists (19)</w:t>
            </w:r>
            <w:r w:rsidR="008450F3">
              <w:rPr>
                <w:noProof/>
                <w:webHidden/>
              </w:rPr>
              <w:tab/>
            </w:r>
            <w:r w:rsidR="008450F3">
              <w:rPr>
                <w:noProof/>
                <w:webHidden/>
              </w:rPr>
              <w:fldChar w:fldCharType="begin"/>
            </w:r>
            <w:r w:rsidR="008450F3">
              <w:rPr>
                <w:noProof/>
                <w:webHidden/>
              </w:rPr>
              <w:instrText xml:space="preserve"> PAGEREF _Toc363492741 \h </w:instrText>
            </w:r>
            <w:r w:rsidR="008450F3">
              <w:rPr>
                <w:noProof/>
                <w:webHidden/>
              </w:rPr>
            </w:r>
            <w:r w:rsidR="008450F3">
              <w:rPr>
                <w:noProof/>
                <w:webHidden/>
              </w:rPr>
              <w:fldChar w:fldCharType="separate"/>
            </w:r>
            <w:r w:rsidR="002E3980">
              <w:rPr>
                <w:noProof/>
                <w:webHidden/>
              </w:rPr>
              <w:t>30</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42" w:history="1">
            <w:r w:rsidR="008450F3" w:rsidRPr="00A633A9">
              <w:rPr>
                <w:rStyle w:val="Hyperlink"/>
                <w:rFonts w:ascii="Times New Roman" w:hAnsi="Times New Roman"/>
                <w:noProof/>
              </w:rPr>
              <w:t>4.2</w:t>
            </w:r>
            <w:r w:rsidR="008450F3">
              <w:rPr>
                <w:rFonts w:asciiTheme="minorHAnsi" w:eastAsiaTheme="minorEastAsia" w:hAnsiTheme="minorHAnsi" w:cstheme="minorBidi"/>
                <w:noProof/>
                <w:szCs w:val="22"/>
                <w:lang w:val="en-US"/>
              </w:rPr>
              <w:tab/>
            </w:r>
            <w:r w:rsidR="008450F3" w:rsidRPr="00A633A9">
              <w:rPr>
                <w:rStyle w:val="Hyperlink"/>
                <w:noProof/>
              </w:rPr>
              <w:t>Right to Peaceful Assembly (article 21)</w:t>
            </w:r>
            <w:r w:rsidR="008450F3">
              <w:rPr>
                <w:noProof/>
                <w:webHidden/>
              </w:rPr>
              <w:tab/>
            </w:r>
            <w:r w:rsidR="008450F3">
              <w:rPr>
                <w:noProof/>
                <w:webHidden/>
              </w:rPr>
              <w:fldChar w:fldCharType="begin"/>
            </w:r>
            <w:r w:rsidR="008450F3">
              <w:rPr>
                <w:noProof/>
                <w:webHidden/>
              </w:rPr>
              <w:instrText xml:space="preserve"> PAGEREF _Toc363492742 \h </w:instrText>
            </w:r>
            <w:r w:rsidR="008450F3">
              <w:rPr>
                <w:noProof/>
                <w:webHidden/>
              </w:rPr>
            </w:r>
            <w:r w:rsidR="008450F3">
              <w:rPr>
                <w:noProof/>
                <w:webHidden/>
              </w:rPr>
              <w:fldChar w:fldCharType="separate"/>
            </w:r>
            <w:r w:rsidR="002E3980">
              <w:rPr>
                <w:noProof/>
                <w:webHidden/>
              </w:rPr>
              <w:t>32</w:t>
            </w:r>
            <w:r w:rsidR="008450F3">
              <w:rPr>
                <w:noProof/>
                <w:webHidden/>
              </w:rPr>
              <w:fldChar w:fldCharType="end"/>
            </w:r>
          </w:hyperlink>
        </w:p>
        <w:p w:rsidR="008450F3" w:rsidRDefault="001F2E06">
          <w:pPr>
            <w:pStyle w:val="Verzeichnis2"/>
            <w:tabs>
              <w:tab w:val="left" w:pos="880"/>
              <w:tab w:val="right" w:leader="dot" w:pos="9350"/>
            </w:tabs>
            <w:rPr>
              <w:rFonts w:asciiTheme="minorHAnsi" w:eastAsiaTheme="minorEastAsia" w:hAnsiTheme="minorHAnsi" w:cstheme="minorBidi"/>
              <w:noProof/>
              <w:szCs w:val="22"/>
              <w:lang w:val="en-US"/>
            </w:rPr>
          </w:pPr>
          <w:hyperlink w:anchor="_Toc363492743" w:history="1">
            <w:r w:rsidR="008450F3" w:rsidRPr="00A633A9">
              <w:rPr>
                <w:rStyle w:val="Hyperlink"/>
                <w:rFonts w:ascii="Times New Roman" w:hAnsi="Times New Roman"/>
                <w:noProof/>
                <w:w w:val="103"/>
                <w:kern w:val="14"/>
                <w:lang w:eastAsia="ko-KR"/>
              </w:rPr>
              <w:t>4.3</w:t>
            </w:r>
            <w:r w:rsidR="008450F3">
              <w:rPr>
                <w:rFonts w:asciiTheme="minorHAnsi" w:eastAsiaTheme="minorEastAsia" w:hAnsiTheme="minorHAnsi" w:cstheme="minorBidi"/>
                <w:noProof/>
                <w:szCs w:val="22"/>
                <w:lang w:val="en-US"/>
              </w:rPr>
              <w:tab/>
            </w:r>
            <w:r w:rsidR="008450F3" w:rsidRPr="00A633A9">
              <w:rPr>
                <w:rStyle w:val="Hyperlink"/>
                <w:noProof/>
                <w:w w:val="103"/>
                <w:kern w:val="14"/>
                <w:lang w:eastAsia="ko-KR"/>
              </w:rPr>
              <w:t>Freedom of elections (Article 25)</w:t>
            </w:r>
            <w:r w:rsidR="008450F3">
              <w:rPr>
                <w:noProof/>
                <w:webHidden/>
              </w:rPr>
              <w:tab/>
            </w:r>
            <w:r w:rsidR="008450F3">
              <w:rPr>
                <w:noProof/>
                <w:webHidden/>
              </w:rPr>
              <w:fldChar w:fldCharType="begin"/>
            </w:r>
            <w:r w:rsidR="008450F3">
              <w:rPr>
                <w:noProof/>
                <w:webHidden/>
              </w:rPr>
              <w:instrText xml:space="preserve"> PAGEREF _Toc363492743 \h </w:instrText>
            </w:r>
            <w:r w:rsidR="008450F3">
              <w:rPr>
                <w:noProof/>
                <w:webHidden/>
              </w:rPr>
            </w:r>
            <w:r w:rsidR="008450F3">
              <w:rPr>
                <w:noProof/>
                <w:webHidden/>
              </w:rPr>
              <w:fldChar w:fldCharType="separate"/>
            </w:r>
            <w:r w:rsidR="002E3980">
              <w:rPr>
                <w:noProof/>
                <w:webHidden/>
              </w:rPr>
              <w:t>34</w:t>
            </w:r>
            <w:r w:rsidR="008450F3">
              <w:rPr>
                <w:noProof/>
                <w:webHidden/>
              </w:rPr>
              <w:fldChar w:fldCharType="end"/>
            </w:r>
          </w:hyperlink>
        </w:p>
        <w:p w:rsidR="008450F3" w:rsidRDefault="001F2E06">
          <w:pPr>
            <w:pStyle w:val="Verzeichnis1"/>
            <w:tabs>
              <w:tab w:val="right" w:leader="dot" w:pos="9350"/>
            </w:tabs>
            <w:rPr>
              <w:rFonts w:asciiTheme="minorHAnsi" w:eastAsiaTheme="minorEastAsia" w:hAnsiTheme="minorHAnsi" w:cstheme="minorBidi"/>
              <w:noProof/>
              <w:szCs w:val="22"/>
              <w:lang w:val="en-US"/>
            </w:rPr>
          </w:pPr>
          <w:hyperlink w:anchor="_Toc363492744" w:history="1">
            <w:r w:rsidR="008450F3" w:rsidRPr="00A633A9">
              <w:rPr>
                <w:rStyle w:val="Hyperlink"/>
                <w:noProof/>
                <w:w w:val="103"/>
                <w:kern w:val="14"/>
                <w:lang w:val="en-US" w:eastAsia="ko-KR"/>
              </w:rPr>
              <w:t>Appendix 1: List of NGO Coalition Members</w:t>
            </w:r>
            <w:r w:rsidR="008450F3">
              <w:rPr>
                <w:noProof/>
                <w:webHidden/>
              </w:rPr>
              <w:tab/>
            </w:r>
            <w:r w:rsidR="008450F3">
              <w:rPr>
                <w:noProof/>
                <w:webHidden/>
              </w:rPr>
              <w:fldChar w:fldCharType="begin"/>
            </w:r>
            <w:r w:rsidR="008450F3">
              <w:rPr>
                <w:noProof/>
                <w:webHidden/>
              </w:rPr>
              <w:instrText xml:space="preserve"> PAGEREF _Toc363492744 \h </w:instrText>
            </w:r>
            <w:r w:rsidR="008450F3">
              <w:rPr>
                <w:noProof/>
                <w:webHidden/>
              </w:rPr>
            </w:r>
            <w:r w:rsidR="008450F3">
              <w:rPr>
                <w:noProof/>
                <w:webHidden/>
              </w:rPr>
              <w:fldChar w:fldCharType="separate"/>
            </w:r>
            <w:r w:rsidR="002E3980">
              <w:rPr>
                <w:noProof/>
                <w:webHidden/>
              </w:rPr>
              <w:t>37</w:t>
            </w:r>
            <w:r w:rsidR="008450F3">
              <w:rPr>
                <w:noProof/>
                <w:webHidden/>
              </w:rPr>
              <w:fldChar w:fldCharType="end"/>
            </w:r>
          </w:hyperlink>
        </w:p>
        <w:p w:rsidR="004E5D65" w:rsidRDefault="002C4FB6">
          <w:r>
            <w:fldChar w:fldCharType="end"/>
          </w:r>
        </w:p>
      </w:sdtContent>
    </w:sdt>
    <w:p w:rsidR="006245E9" w:rsidRDefault="006245E9">
      <w:pPr>
        <w:jc w:val="left"/>
        <w:rPr>
          <w:rFonts w:ascii="Arial" w:hAnsi="Arial"/>
          <w:b/>
          <w:bCs/>
          <w:kern w:val="32"/>
          <w:sz w:val="40"/>
          <w:szCs w:val="32"/>
          <w:lang w:val="en-US"/>
        </w:rPr>
      </w:pPr>
      <w:r>
        <w:rPr>
          <w:lang w:val="en-US"/>
        </w:rPr>
        <w:br w:type="page"/>
      </w:r>
    </w:p>
    <w:p w:rsidR="004E5D65" w:rsidRDefault="004E5D65" w:rsidP="004E5D65">
      <w:pPr>
        <w:pStyle w:val="berschrift1"/>
        <w:numPr>
          <w:ilvl w:val="0"/>
          <w:numId w:val="0"/>
        </w:numPr>
        <w:ind w:left="432" w:hanging="432"/>
        <w:rPr>
          <w:lang w:val="en-US"/>
        </w:rPr>
      </w:pPr>
      <w:bookmarkStart w:id="1" w:name="_Toc363492720"/>
      <w:r>
        <w:rPr>
          <w:lang w:val="en-US"/>
        </w:rPr>
        <w:lastRenderedPageBreak/>
        <w:t>Executive Summary</w:t>
      </w:r>
      <w:bookmarkEnd w:id="1"/>
    </w:p>
    <w:p w:rsidR="007F0DC6" w:rsidRDefault="004E5D65" w:rsidP="004E5D65">
      <w:pPr>
        <w:rPr>
          <w:lang w:val="en-US"/>
        </w:rPr>
      </w:pPr>
      <w:r>
        <w:rPr>
          <w:lang w:val="en-US"/>
        </w:rPr>
        <w:t xml:space="preserve">This report is produced to </w:t>
      </w:r>
      <w:proofErr w:type="spellStart"/>
      <w:r>
        <w:rPr>
          <w:lang w:val="en-US"/>
        </w:rPr>
        <w:t>summarise</w:t>
      </w:r>
      <w:proofErr w:type="spellEnd"/>
      <w:r>
        <w:rPr>
          <w:lang w:val="en-US"/>
        </w:rPr>
        <w:t xml:space="preserve"> the work of an NGO coalition</w:t>
      </w:r>
      <w:r w:rsidR="007F0DC6">
        <w:rPr>
          <w:rStyle w:val="Funotenzeichen"/>
          <w:lang w:val="en-US"/>
        </w:rPr>
        <w:footnoteReference w:id="1"/>
      </w:r>
      <w:r>
        <w:rPr>
          <w:lang w:val="en-US"/>
        </w:rPr>
        <w:t xml:space="preserve"> that was </w:t>
      </w:r>
      <w:r w:rsidR="00EC7BA5">
        <w:rPr>
          <w:lang w:val="en-US"/>
        </w:rPr>
        <w:t>convened</w:t>
      </w:r>
      <w:r>
        <w:rPr>
          <w:lang w:val="en-US"/>
        </w:rPr>
        <w:t xml:space="preserve"> to provide an assessment of Georgia’s compliance with the International Covenant on Civil and Political Rights (ICCPR).</w:t>
      </w:r>
      <w:r w:rsidR="007F0DC6">
        <w:rPr>
          <w:rStyle w:val="Funotenzeichen"/>
          <w:lang w:val="en-US"/>
        </w:rPr>
        <w:footnoteReference w:id="2"/>
      </w:r>
    </w:p>
    <w:p w:rsidR="004E5D65" w:rsidRDefault="004E5D65" w:rsidP="004E5D65">
      <w:pPr>
        <w:rPr>
          <w:lang w:val="en-US"/>
        </w:rPr>
      </w:pPr>
    </w:p>
    <w:p w:rsidR="004E5D65" w:rsidRDefault="004E5D65" w:rsidP="004E5D65">
      <w:pPr>
        <w:rPr>
          <w:lang w:val="en-US"/>
        </w:rPr>
      </w:pPr>
      <w:r>
        <w:rPr>
          <w:lang w:val="en-US"/>
        </w:rPr>
        <w:t>In 2007, the Human Rights Committee concluded its last round of assessments of Georgia vis-à-vis the Covenant and provided a set of ‘observations’, highlighting its key concerns. In 2012 the Government of Georgia provided the Committee with its 4th periodical report on Georgia’s conformity with the Covenant. This combined a set of responses</w:t>
      </w:r>
      <w:r w:rsidR="007F0DC6">
        <w:rPr>
          <w:lang w:val="en-US"/>
        </w:rPr>
        <w:t xml:space="preserve"> to the Committees 2007 observations and a</w:t>
      </w:r>
      <w:r>
        <w:rPr>
          <w:lang w:val="en-US"/>
        </w:rPr>
        <w:t xml:space="preserve"> commentary on developments in Georgian society regarding the articles of the Covenant more generally.</w:t>
      </w:r>
    </w:p>
    <w:p w:rsidR="004E5D65" w:rsidRDefault="004E5D65" w:rsidP="004E5D65">
      <w:pPr>
        <w:rPr>
          <w:lang w:val="en-US"/>
        </w:rPr>
      </w:pPr>
    </w:p>
    <w:p w:rsidR="004E5D65" w:rsidRDefault="004E5D65" w:rsidP="004E5D65">
      <w:pPr>
        <w:rPr>
          <w:lang w:val="en-US"/>
        </w:rPr>
      </w:pPr>
      <w:r>
        <w:rPr>
          <w:lang w:val="en-US"/>
        </w:rPr>
        <w:t xml:space="preserve">The NGO coalition have worked together to offer a response to the 2007 observations, the 2012 </w:t>
      </w:r>
      <w:r w:rsidR="007F0DC6">
        <w:rPr>
          <w:lang w:val="en-US"/>
        </w:rPr>
        <w:t>Georgian Government</w:t>
      </w:r>
      <w:r>
        <w:rPr>
          <w:lang w:val="en-US"/>
        </w:rPr>
        <w:t xml:space="preserve"> 4</w:t>
      </w:r>
      <w:r w:rsidRPr="00EE56BA">
        <w:rPr>
          <w:vertAlign w:val="superscript"/>
          <w:lang w:val="en-US"/>
        </w:rPr>
        <w:t>th</w:t>
      </w:r>
      <w:r>
        <w:rPr>
          <w:lang w:val="en-US"/>
        </w:rPr>
        <w:t xml:space="preserve"> periodical repo</w:t>
      </w:r>
      <w:r w:rsidR="007F0DC6">
        <w:rPr>
          <w:lang w:val="en-US"/>
        </w:rPr>
        <w:t xml:space="preserve">rt and to the conformity of </w:t>
      </w:r>
      <w:r>
        <w:rPr>
          <w:lang w:val="en-US"/>
        </w:rPr>
        <w:t>Georgia with the articles of the Covenant.</w:t>
      </w:r>
    </w:p>
    <w:p w:rsidR="004E5D65" w:rsidRDefault="004E5D65" w:rsidP="004E5D65">
      <w:pPr>
        <w:rPr>
          <w:lang w:val="en-US"/>
        </w:rPr>
      </w:pPr>
    </w:p>
    <w:p w:rsidR="004E5D65" w:rsidRDefault="004E5D65" w:rsidP="004E5D65">
      <w:pPr>
        <w:rPr>
          <w:lang w:val="en-US"/>
        </w:rPr>
      </w:pPr>
      <w:r>
        <w:rPr>
          <w:lang w:val="en-US"/>
        </w:rPr>
        <w:t>The majority of the research and ana</w:t>
      </w:r>
      <w:r w:rsidR="007F0DC6">
        <w:rPr>
          <w:lang w:val="en-US"/>
        </w:rPr>
        <w:t xml:space="preserve">lysis contained in the </w:t>
      </w:r>
      <w:r>
        <w:rPr>
          <w:lang w:val="en-US"/>
        </w:rPr>
        <w:t xml:space="preserve">report </w:t>
      </w:r>
      <w:r w:rsidR="007F0DC6">
        <w:rPr>
          <w:lang w:val="en-US"/>
        </w:rPr>
        <w:t>is a response to the HRC</w:t>
      </w:r>
      <w:r w:rsidR="00582D3C">
        <w:rPr>
          <w:lang w:val="en-US"/>
        </w:rPr>
        <w:t xml:space="preserve"> </w:t>
      </w:r>
      <w:r w:rsidR="0000713E">
        <w:rPr>
          <w:lang w:val="en-US"/>
        </w:rPr>
        <w:t xml:space="preserve">concluding </w:t>
      </w:r>
      <w:r>
        <w:rPr>
          <w:lang w:val="en-US"/>
        </w:rPr>
        <w:t>observations</w:t>
      </w:r>
      <w:r w:rsidR="007F0DC6">
        <w:rPr>
          <w:lang w:val="en-US"/>
        </w:rPr>
        <w:t xml:space="preserve"> with some consideration of th</w:t>
      </w:r>
      <w:r w:rsidR="00582D3C">
        <w:rPr>
          <w:lang w:val="en-US"/>
        </w:rPr>
        <w:t>e Georgian Government’s 2012 report</w:t>
      </w:r>
      <w:r>
        <w:rPr>
          <w:lang w:val="en-US"/>
        </w:rPr>
        <w:t xml:space="preserve">. </w:t>
      </w:r>
      <w:r w:rsidR="007F0DC6">
        <w:rPr>
          <w:lang w:val="en-US"/>
        </w:rPr>
        <w:t>However, it is our hope that this analysis may be of interest to analysts outside of the HRC. Therefore, the analysis is broken into four</w:t>
      </w:r>
      <w:r>
        <w:rPr>
          <w:lang w:val="en-US"/>
        </w:rPr>
        <w:t xml:space="preserve"> categories</w:t>
      </w:r>
      <w:r w:rsidR="007F0DC6">
        <w:rPr>
          <w:lang w:val="en-US"/>
        </w:rPr>
        <w:t xml:space="preserve"> that organize all of the material under broad thematic categories</w:t>
      </w:r>
      <w:r>
        <w:rPr>
          <w:lang w:val="en-US"/>
        </w:rPr>
        <w:t>. The first section of the analysis looks at problems of discrimination. The second section looks at rights to physical integrity, liberty and security (particularly as they relate to the behavior of the police and the prison service). The third section looks at problems with access to justice. The final section looks at the</w:t>
      </w:r>
      <w:r w:rsidR="007F0DC6">
        <w:rPr>
          <w:lang w:val="en-US"/>
        </w:rPr>
        <w:t xml:space="preserve"> harassment of journalists as well as the right</w:t>
      </w:r>
      <w:r>
        <w:rPr>
          <w:lang w:val="en-US"/>
        </w:rPr>
        <w:t xml:space="preserve"> to free</w:t>
      </w:r>
      <w:r w:rsidR="00582D3C">
        <w:rPr>
          <w:lang w:val="en-US"/>
        </w:rPr>
        <w:t xml:space="preserve"> </w:t>
      </w:r>
      <w:r>
        <w:rPr>
          <w:lang w:val="en-US"/>
        </w:rPr>
        <w:t>assembly and free elections.</w:t>
      </w:r>
    </w:p>
    <w:p w:rsidR="004E5D65" w:rsidRDefault="004E5D65" w:rsidP="004E5D65">
      <w:pPr>
        <w:rPr>
          <w:lang w:val="en-US"/>
        </w:rPr>
      </w:pPr>
    </w:p>
    <w:p w:rsidR="004E5D65" w:rsidRDefault="004E5D65" w:rsidP="004E5D65">
      <w:pPr>
        <w:rPr>
          <w:lang w:val="en-US"/>
        </w:rPr>
      </w:pPr>
      <w:r>
        <w:rPr>
          <w:lang w:val="en-US"/>
        </w:rPr>
        <w:t xml:space="preserve">The first section, on discrimination, deals with domestic violence (HRC </w:t>
      </w:r>
      <w:r w:rsidR="0000713E">
        <w:rPr>
          <w:lang w:val="en-US"/>
        </w:rPr>
        <w:t xml:space="preserve">Concluding </w:t>
      </w:r>
      <w:r>
        <w:rPr>
          <w:lang w:val="en-US"/>
        </w:rPr>
        <w:t>Observation</w:t>
      </w:r>
      <w:r w:rsidR="0000713E">
        <w:rPr>
          <w:lang w:val="en-US"/>
        </w:rPr>
        <w:t>s,</w:t>
      </w:r>
      <w:r>
        <w:rPr>
          <w:lang w:val="en-US"/>
        </w:rPr>
        <w:t xml:space="preserve"> Paragraph 8), protection of the rights of internally displaced people (HRC </w:t>
      </w:r>
      <w:r w:rsidR="00771A37">
        <w:rPr>
          <w:lang w:val="en-US"/>
        </w:rPr>
        <w:t xml:space="preserve">Concluding </w:t>
      </w:r>
      <w:r>
        <w:rPr>
          <w:lang w:val="en-US"/>
        </w:rPr>
        <w:t>Observation</w:t>
      </w:r>
      <w:r w:rsidR="00771A37">
        <w:rPr>
          <w:lang w:val="en-US"/>
        </w:rPr>
        <w:t>s,</w:t>
      </w:r>
      <w:r>
        <w:rPr>
          <w:lang w:val="en-US"/>
        </w:rPr>
        <w:t xml:space="preserve"> Paragraph 12), religious discrimination (HRC </w:t>
      </w:r>
      <w:r w:rsidR="007D06BB">
        <w:rPr>
          <w:lang w:val="en-US"/>
        </w:rPr>
        <w:t xml:space="preserve">Concluding </w:t>
      </w:r>
      <w:r>
        <w:rPr>
          <w:lang w:val="en-US"/>
        </w:rPr>
        <w:t>Observation</w:t>
      </w:r>
      <w:r w:rsidR="00F3554F">
        <w:rPr>
          <w:lang w:val="en-US"/>
        </w:rPr>
        <w:t>s,</w:t>
      </w:r>
      <w:r>
        <w:rPr>
          <w:lang w:val="en-US"/>
        </w:rPr>
        <w:t xml:space="preserve"> Paragraph 15) and obstacles facing minorities (HRC </w:t>
      </w:r>
      <w:r w:rsidR="00F3554F">
        <w:rPr>
          <w:lang w:val="en-US"/>
        </w:rPr>
        <w:t xml:space="preserve">Concluding </w:t>
      </w:r>
      <w:r>
        <w:rPr>
          <w:lang w:val="en-US"/>
        </w:rPr>
        <w:t>Observation</w:t>
      </w:r>
      <w:r w:rsidR="00F3554F">
        <w:rPr>
          <w:lang w:val="en-US"/>
        </w:rPr>
        <w:t>s,</w:t>
      </w:r>
      <w:r>
        <w:rPr>
          <w:lang w:val="en-US"/>
        </w:rPr>
        <w:t xml:space="preserve"> Parag</w:t>
      </w:r>
      <w:r w:rsidR="00EC7BA5">
        <w:rPr>
          <w:lang w:val="en-US"/>
        </w:rPr>
        <w:t>r</w:t>
      </w:r>
      <w:r>
        <w:rPr>
          <w:lang w:val="en-US"/>
        </w:rPr>
        <w:t xml:space="preserve">aph 17). This is then supplemented with a broader discussion of gender discrimination and discrimination on the basis of disability.    </w:t>
      </w:r>
    </w:p>
    <w:p w:rsidR="004E5D65" w:rsidRDefault="004E5D65" w:rsidP="004E5D65">
      <w:pPr>
        <w:rPr>
          <w:lang w:val="en-US"/>
        </w:rPr>
      </w:pPr>
    </w:p>
    <w:p w:rsidR="004E5D65" w:rsidRDefault="004E5D65" w:rsidP="007F0DC6">
      <w:r>
        <w:t>On domestic violence the HRC observation had expressed concerns about the le</w:t>
      </w:r>
      <w:r w:rsidR="007F0DC6">
        <w:t xml:space="preserve">vel of domestic violence in the </w:t>
      </w:r>
      <w:r>
        <w:t xml:space="preserve">country and the failure of the authorities to prosecute this violence effectively. The NGO coalition concluded that the problem of domestic violence is still severe with one national survey identifying 9% of the population as subject to physical or sexual violence. </w:t>
      </w:r>
    </w:p>
    <w:p w:rsidR="004E5D65" w:rsidRDefault="004E5D65" w:rsidP="004E5D65">
      <w:pPr>
        <w:rPr>
          <w:lang w:val="en-US"/>
        </w:rPr>
      </w:pPr>
    </w:p>
    <w:p w:rsidR="004E5D65" w:rsidRDefault="007F0DC6" w:rsidP="004E5D65">
      <w:pPr>
        <w:rPr>
          <w:lang w:val="en-US"/>
        </w:rPr>
      </w:pPr>
      <w:r>
        <w:rPr>
          <w:lang w:val="en-US"/>
        </w:rPr>
        <w:t>There have been some improvements to the legal environment relating to domestic violence. In particular,</w:t>
      </w:r>
      <w:r w:rsidR="003A0278">
        <w:rPr>
          <w:lang w:val="en-US"/>
        </w:rPr>
        <w:t xml:space="preserve"> </w:t>
      </w:r>
      <w:r>
        <w:rPr>
          <w:lang w:val="en-US"/>
        </w:rPr>
        <w:t>the law now classifies</w:t>
      </w:r>
      <w:r w:rsidR="004E5D65">
        <w:rPr>
          <w:lang w:val="en-US"/>
        </w:rPr>
        <w:t xml:space="preserve"> ‘domestic violence’ as a particular category of crime. However</w:t>
      </w:r>
      <w:r w:rsidR="005154F0">
        <w:rPr>
          <w:lang w:val="en-US"/>
        </w:rPr>
        <w:t>,</w:t>
      </w:r>
      <w:r w:rsidR="004E5D65">
        <w:rPr>
          <w:lang w:val="en-US"/>
        </w:rPr>
        <w:t xml:space="preserve"> this amendment to the law has so far not been used. Furthermore</w:t>
      </w:r>
      <w:r>
        <w:rPr>
          <w:lang w:val="en-US"/>
        </w:rPr>
        <w:t>,</w:t>
      </w:r>
      <w:r w:rsidR="004E5D65">
        <w:rPr>
          <w:lang w:val="en-US"/>
        </w:rPr>
        <w:t xml:space="preserve"> the government still does not collect and publish specific data on domestic violence and there is strong evidence that the police and the courts are poorl</w:t>
      </w:r>
      <w:r w:rsidR="00D117C0">
        <w:rPr>
          <w:lang w:val="en-US"/>
        </w:rPr>
        <w:t>y trained to deal with this type</w:t>
      </w:r>
      <w:r w:rsidR="004E5D65">
        <w:rPr>
          <w:lang w:val="en-US"/>
        </w:rPr>
        <w:t xml:space="preserve"> of crime.</w:t>
      </w:r>
    </w:p>
    <w:p w:rsidR="004E5D65" w:rsidRDefault="004E5D65" w:rsidP="004E5D65">
      <w:pPr>
        <w:rPr>
          <w:lang w:val="en-US"/>
        </w:rPr>
      </w:pPr>
    </w:p>
    <w:p w:rsidR="004E5D65" w:rsidRDefault="004E5D65" w:rsidP="004E5D65">
      <w:pPr>
        <w:rPr>
          <w:lang w:val="en-US"/>
        </w:rPr>
      </w:pPr>
      <w:r>
        <w:rPr>
          <w:lang w:val="en-US"/>
        </w:rPr>
        <w:t>On protection of</w:t>
      </w:r>
      <w:r w:rsidR="00D117C0">
        <w:rPr>
          <w:lang w:val="en-US"/>
        </w:rPr>
        <w:t xml:space="preserve"> the rights of IDPs, the</w:t>
      </w:r>
      <w:r>
        <w:rPr>
          <w:lang w:val="en-US"/>
        </w:rPr>
        <w:t xml:space="preserve"> problem has become even more pressing since 2008, w</w:t>
      </w:r>
      <w:r w:rsidR="00D117C0">
        <w:rPr>
          <w:lang w:val="en-US"/>
        </w:rPr>
        <w:t>hen the war with Russia increased</w:t>
      </w:r>
      <w:r>
        <w:rPr>
          <w:lang w:val="en-US"/>
        </w:rPr>
        <w:t xml:space="preserve"> t</w:t>
      </w:r>
      <w:r w:rsidR="00D117C0">
        <w:rPr>
          <w:lang w:val="en-US"/>
        </w:rPr>
        <w:t>he number of IDPs in Georgia</w:t>
      </w:r>
      <w:r>
        <w:rPr>
          <w:lang w:val="en-US"/>
        </w:rPr>
        <w:t>. However</w:t>
      </w:r>
      <w:r w:rsidR="005154F0">
        <w:rPr>
          <w:lang w:val="en-US"/>
        </w:rPr>
        <w:t>,</w:t>
      </w:r>
      <w:r>
        <w:rPr>
          <w:lang w:val="en-US"/>
        </w:rPr>
        <w:t xml:space="preserve"> the coalition expressed concern that the new </w:t>
      </w:r>
      <w:r w:rsidR="00D117C0">
        <w:rPr>
          <w:lang w:val="en-US"/>
        </w:rPr>
        <w:t>law governing IDPs defines the group to</w:t>
      </w:r>
      <w:r>
        <w:rPr>
          <w:lang w:val="en-US"/>
        </w:rPr>
        <w:t xml:space="preserve"> only included individuals who previously </w:t>
      </w:r>
      <w:r w:rsidR="00D117C0">
        <w:rPr>
          <w:lang w:val="en-US"/>
        </w:rPr>
        <w:t>lived on now-occupied territory. As a result, this</w:t>
      </w:r>
      <w:r>
        <w:rPr>
          <w:lang w:val="en-US"/>
        </w:rPr>
        <w:t xml:space="preserve"> may unreasonably exclude IDPs</w:t>
      </w:r>
      <w:r w:rsidR="005154F0">
        <w:rPr>
          <w:lang w:val="en-US"/>
        </w:rPr>
        <w:t>,</w:t>
      </w:r>
      <w:r>
        <w:rPr>
          <w:lang w:val="en-US"/>
        </w:rPr>
        <w:t xml:space="preserve"> who</w:t>
      </w:r>
      <w:r w:rsidR="00D117C0">
        <w:rPr>
          <w:lang w:val="en-US"/>
        </w:rPr>
        <w:t xml:space="preserve"> used to live</w:t>
      </w:r>
      <w:r>
        <w:rPr>
          <w:lang w:val="en-US"/>
        </w:rPr>
        <w:t xml:space="preserve"> outside those regions</w:t>
      </w:r>
      <w:r w:rsidR="00D117C0">
        <w:rPr>
          <w:lang w:val="en-US"/>
        </w:rPr>
        <w:t>, but</w:t>
      </w:r>
      <w:r>
        <w:rPr>
          <w:lang w:val="en-US"/>
        </w:rPr>
        <w:t xml:space="preserve"> who were nonetheless driv</w:t>
      </w:r>
      <w:r w:rsidR="00D117C0">
        <w:rPr>
          <w:lang w:val="en-US"/>
        </w:rPr>
        <w:t>en from their homes by conflict, and unable to return.</w:t>
      </w:r>
    </w:p>
    <w:p w:rsidR="004E5D65" w:rsidRDefault="004E5D65" w:rsidP="004E5D65">
      <w:pPr>
        <w:rPr>
          <w:lang w:val="en-US"/>
        </w:rPr>
      </w:pPr>
    </w:p>
    <w:p w:rsidR="004E5D65" w:rsidRDefault="004E5D65" w:rsidP="004E5D65">
      <w:pPr>
        <w:rPr>
          <w:lang w:val="en-US"/>
        </w:rPr>
      </w:pPr>
      <w:r>
        <w:rPr>
          <w:lang w:val="en-US"/>
        </w:rPr>
        <w:lastRenderedPageBreak/>
        <w:t xml:space="preserve">On religious discrimination, the concerns that the committee expressed about the supremacy of Georgian Orthodox Church in Georgian Law persist. In law, there has been an improvement as </w:t>
      </w:r>
      <w:r w:rsidR="005154F0">
        <w:rPr>
          <w:lang w:val="en-US"/>
        </w:rPr>
        <w:t>religious organizations</w:t>
      </w:r>
      <w:r>
        <w:rPr>
          <w:lang w:val="en-US"/>
        </w:rPr>
        <w:t xml:space="preserve"> can now register as Legal Entities of Public Law. However, the Government of Georgia has still not returned property that was taken during Soviet times to religious minority groups that owned it. In addition, there is considerable evidence that in a range of broader ways, religious intolerance for minority religions is rife in Georgian society, a</w:t>
      </w:r>
      <w:r w:rsidR="00D117C0">
        <w:rPr>
          <w:lang w:val="en-US"/>
        </w:rPr>
        <w:t>nd the Georgian state needs to m</w:t>
      </w:r>
      <w:r>
        <w:rPr>
          <w:lang w:val="en-US"/>
        </w:rPr>
        <w:t>ake more determined efforts to discourage this discrimination through the education system and better financial/cultural support for minority religions.</w:t>
      </w:r>
    </w:p>
    <w:p w:rsidR="004E5D65" w:rsidRDefault="004E5D65" w:rsidP="004E5D65">
      <w:pPr>
        <w:rPr>
          <w:lang w:val="en-US"/>
        </w:rPr>
      </w:pPr>
    </w:p>
    <w:p w:rsidR="004E5D65" w:rsidRDefault="004E5D65" w:rsidP="004E5D65">
      <w:pPr>
        <w:rPr>
          <w:lang w:val="en-US"/>
        </w:rPr>
      </w:pPr>
      <w:r>
        <w:rPr>
          <w:lang w:val="en-US"/>
        </w:rPr>
        <w:t>On the protection and inclusion of ethnic minorities, the NGO coalition believes that the</w:t>
      </w:r>
      <w:r w:rsidR="00D06C48">
        <w:rPr>
          <w:lang w:val="en-US"/>
        </w:rPr>
        <w:t xml:space="preserve"> problems expressed in by the H</w:t>
      </w:r>
      <w:r>
        <w:rPr>
          <w:lang w:val="en-US"/>
        </w:rPr>
        <w:t>R</w:t>
      </w:r>
      <w:r w:rsidR="00D06C48">
        <w:rPr>
          <w:lang w:val="en-US"/>
        </w:rPr>
        <w:t>C</w:t>
      </w:r>
      <w:r>
        <w:rPr>
          <w:lang w:val="en-US"/>
        </w:rPr>
        <w:t xml:space="preserve"> observations in 2007 are generally still present today. In particular, there has been little improvement in the teaching of the Georgian language</w:t>
      </w:r>
      <w:r w:rsidR="00D117C0">
        <w:rPr>
          <w:lang w:val="en-US"/>
        </w:rPr>
        <w:t>s to non-ethnic Georgians or</w:t>
      </w:r>
      <w:r>
        <w:rPr>
          <w:lang w:val="en-US"/>
        </w:rPr>
        <w:t xml:space="preserve"> the training of non-Ge</w:t>
      </w:r>
      <w:r w:rsidR="00D117C0">
        <w:rPr>
          <w:lang w:val="en-US"/>
        </w:rPr>
        <w:t>orgian language teachers</w:t>
      </w:r>
      <w:r>
        <w:rPr>
          <w:lang w:val="en-US"/>
        </w:rPr>
        <w:t xml:space="preserve">. This threatens the likely inclusion of non-ethnic Georgians in Georgian society and also undermines their cultural autonomy. Finally, ethnic-minority representation remains extremely limited (and far lower than the representation in the country) in government. </w:t>
      </w:r>
    </w:p>
    <w:p w:rsidR="004E5D65" w:rsidRDefault="004E5D65" w:rsidP="004E5D65">
      <w:pPr>
        <w:rPr>
          <w:lang w:val="en-US"/>
        </w:rPr>
      </w:pPr>
    </w:p>
    <w:p w:rsidR="004E5D65" w:rsidRDefault="004E5D65" w:rsidP="004E5D65">
      <w:pPr>
        <w:rPr>
          <w:lang w:val="en-US"/>
        </w:rPr>
      </w:pPr>
      <w:r>
        <w:rPr>
          <w:lang w:val="en-US"/>
        </w:rPr>
        <w:t>In addition to the specific issues brought up by the HRC observations, the NGO coalition also considered the broad issues of gender discrimination and discrimination on the basis of disability in Georgia. On gender discrimination the coal</w:t>
      </w:r>
      <w:r w:rsidR="00D117C0">
        <w:rPr>
          <w:lang w:val="en-US"/>
        </w:rPr>
        <w:t>ition highlighted that</w:t>
      </w:r>
      <w:r>
        <w:rPr>
          <w:lang w:val="en-US"/>
        </w:rPr>
        <w:t xml:space="preserve"> legal protections are in place</w:t>
      </w:r>
      <w:r w:rsidR="00D117C0">
        <w:rPr>
          <w:lang w:val="en-US"/>
        </w:rPr>
        <w:t xml:space="preserve"> to protect women. However, wome</w:t>
      </w:r>
      <w:r>
        <w:rPr>
          <w:lang w:val="en-US"/>
        </w:rPr>
        <w:t>n’s lower wages and lower levels of managerial responsibilities</w:t>
      </w:r>
      <w:r w:rsidR="0026367A">
        <w:rPr>
          <w:lang w:val="en-US"/>
        </w:rPr>
        <w:t xml:space="preserve"> in the work</w:t>
      </w:r>
      <w:r w:rsidR="00D117C0">
        <w:rPr>
          <w:lang w:val="en-US"/>
        </w:rPr>
        <w:t>-place</w:t>
      </w:r>
      <w:r>
        <w:rPr>
          <w:lang w:val="en-US"/>
        </w:rPr>
        <w:t>, in spite of their higher level of educational attainment, is clear prima-fa</w:t>
      </w:r>
      <w:r w:rsidR="0026367A">
        <w:rPr>
          <w:lang w:val="en-US"/>
        </w:rPr>
        <w:t>cie</w:t>
      </w:r>
      <w:r w:rsidR="00D117C0">
        <w:rPr>
          <w:lang w:val="en-US"/>
        </w:rPr>
        <w:t xml:space="preserve"> evidence for discrimination or structural biases in society.</w:t>
      </w:r>
    </w:p>
    <w:p w:rsidR="004E5D65" w:rsidRDefault="004E5D65" w:rsidP="004E5D65">
      <w:pPr>
        <w:rPr>
          <w:lang w:val="en-US"/>
        </w:rPr>
      </w:pPr>
    </w:p>
    <w:p w:rsidR="004E5D65" w:rsidRDefault="004E5D65" w:rsidP="004E5D65">
      <w:pPr>
        <w:rPr>
          <w:lang w:val="en-US"/>
        </w:rPr>
      </w:pPr>
      <w:r>
        <w:rPr>
          <w:lang w:val="en-US"/>
        </w:rPr>
        <w:t>Discrimina</w:t>
      </w:r>
      <w:r w:rsidR="00D117C0">
        <w:rPr>
          <w:lang w:val="en-US"/>
        </w:rPr>
        <w:t>tion on the basis of disability</w:t>
      </w:r>
      <w:r>
        <w:rPr>
          <w:lang w:val="en-US"/>
        </w:rPr>
        <w:t xml:space="preserve"> is also excluded by Georgian law. </w:t>
      </w:r>
      <w:r w:rsidR="00E21806">
        <w:rPr>
          <w:lang w:val="en-US"/>
        </w:rPr>
        <w:t xml:space="preserve">However, </w:t>
      </w:r>
      <w:r w:rsidR="00D117C0">
        <w:rPr>
          <w:lang w:val="en-US"/>
        </w:rPr>
        <w:t>social exclusion</w:t>
      </w:r>
      <w:r>
        <w:rPr>
          <w:lang w:val="en-US"/>
        </w:rPr>
        <w:t xml:space="preserve"> largely emerges, because the state does not provide sufficient resources</w:t>
      </w:r>
      <w:r w:rsidR="00E21806">
        <w:rPr>
          <w:rStyle w:val="Funotenzeichen"/>
          <w:lang w:val="en-US"/>
        </w:rPr>
        <w:footnoteReference w:id="3"/>
      </w:r>
      <w:r>
        <w:rPr>
          <w:lang w:val="en-US"/>
        </w:rPr>
        <w:t xml:space="preserve"> to ensure that all disabled people can overcome the practical hurdles to social inclusion. This is most obvious in the education system, where as there are too few trained teachers to provide disabled children with the support they need, and poor technical facilities to develop much needed skills. Outside of the educational system there are also limited facilities to support integration or access for disabled people in wider society. In particular, too little effort is made to ensure that Geo</w:t>
      </w:r>
      <w:r w:rsidR="00D117C0">
        <w:rPr>
          <w:lang w:val="en-US"/>
        </w:rPr>
        <w:t>rgia’s streets can be navigated by</w:t>
      </w:r>
      <w:r>
        <w:rPr>
          <w:lang w:val="en-US"/>
        </w:rPr>
        <w:t xml:space="preserve"> disabled people, or that the public transportation system is accessible.</w:t>
      </w:r>
    </w:p>
    <w:p w:rsidR="004E5D65" w:rsidRDefault="004E5D65" w:rsidP="004E5D65">
      <w:pPr>
        <w:rPr>
          <w:lang w:val="en-US"/>
        </w:rPr>
      </w:pPr>
    </w:p>
    <w:p w:rsidR="004E5D65" w:rsidRDefault="004E5D65" w:rsidP="004E5D65">
      <w:pPr>
        <w:rPr>
          <w:lang w:val="en-US"/>
        </w:rPr>
      </w:pPr>
      <w:r>
        <w:rPr>
          <w:lang w:val="en-US"/>
        </w:rPr>
        <w:t xml:space="preserve">The second section of the report looks at the issues relating to physical integrity of the person as well as liberty and security. Following from the HRC </w:t>
      </w:r>
      <w:r w:rsidR="00D21C52">
        <w:rPr>
          <w:lang w:val="en-US"/>
        </w:rPr>
        <w:t xml:space="preserve">concluding </w:t>
      </w:r>
      <w:r>
        <w:rPr>
          <w:lang w:val="en-US"/>
        </w:rPr>
        <w:t xml:space="preserve">observations, the report paid particular attention to problems in the police and penitentiary service. This looks at torture and ill treatment during arrest (HRC </w:t>
      </w:r>
      <w:r w:rsidR="004D3E05">
        <w:rPr>
          <w:lang w:val="en-US"/>
        </w:rPr>
        <w:t xml:space="preserve">Concluding </w:t>
      </w:r>
      <w:r>
        <w:rPr>
          <w:lang w:val="en-US"/>
        </w:rPr>
        <w:t>Observation</w:t>
      </w:r>
      <w:r w:rsidR="004D3E05">
        <w:rPr>
          <w:lang w:val="en-US"/>
        </w:rPr>
        <w:t>s,</w:t>
      </w:r>
      <w:r>
        <w:rPr>
          <w:lang w:val="en-US"/>
        </w:rPr>
        <w:t xml:space="preserve"> Paragraph 10), excess use of force by police and prison official</w:t>
      </w:r>
      <w:r w:rsidR="00E8370C">
        <w:rPr>
          <w:lang w:val="en-US"/>
        </w:rPr>
        <w:t xml:space="preserve">s (HRC </w:t>
      </w:r>
      <w:r w:rsidR="00DA3104">
        <w:rPr>
          <w:lang w:val="en-US"/>
        </w:rPr>
        <w:t xml:space="preserve">Concluding </w:t>
      </w:r>
      <w:r w:rsidR="00E8370C">
        <w:rPr>
          <w:lang w:val="en-US"/>
        </w:rPr>
        <w:t>Observation</w:t>
      </w:r>
      <w:r w:rsidR="00DA3104">
        <w:rPr>
          <w:lang w:val="en-US"/>
        </w:rPr>
        <w:t>s,</w:t>
      </w:r>
      <w:r w:rsidR="00E8370C">
        <w:rPr>
          <w:lang w:val="en-US"/>
        </w:rPr>
        <w:t xml:space="preserve"> Paragraph 9) and</w:t>
      </w:r>
      <w:r>
        <w:rPr>
          <w:lang w:val="en-US"/>
        </w:rPr>
        <w:t xml:space="preserve"> poor conditions in prisons (HRC </w:t>
      </w:r>
      <w:r w:rsidR="00853384">
        <w:rPr>
          <w:lang w:val="en-US"/>
        </w:rPr>
        <w:t xml:space="preserve">Concluding </w:t>
      </w:r>
      <w:r>
        <w:rPr>
          <w:lang w:val="en-US"/>
        </w:rPr>
        <w:t>Observation</w:t>
      </w:r>
      <w:r w:rsidR="00853384">
        <w:rPr>
          <w:lang w:val="en-US"/>
        </w:rPr>
        <w:t>s,</w:t>
      </w:r>
      <w:r>
        <w:rPr>
          <w:lang w:val="en-US"/>
        </w:rPr>
        <w:t xml:space="preserve"> Paragraph 11). </w:t>
      </w:r>
    </w:p>
    <w:p w:rsidR="004E5D65" w:rsidRDefault="004E5D65" w:rsidP="004E5D65">
      <w:pPr>
        <w:rPr>
          <w:lang w:val="en-US"/>
        </w:rPr>
      </w:pPr>
    </w:p>
    <w:p w:rsidR="004E5D65" w:rsidRDefault="004E5D65" w:rsidP="004E5D65">
      <w:pPr>
        <w:rPr>
          <w:lang w:val="en-US"/>
        </w:rPr>
      </w:pPr>
      <w:r>
        <w:rPr>
          <w:lang w:val="en-US"/>
        </w:rPr>
        <w:t>On the issue of torture in general, the government of Georgia 4</w:t>
      </w:r>
      <w:r w:rsidRPr="00333D8C">
        <w:rPr>
          <w:vertAlign w:val="superscript"/>
          <w:lang w:val="en-US"/>
        </w:rPr>
        <w:t>th</w:t>
      </w:r>
      <w:r>
        <w:rPr>
          <w:lang w:val="en-US"/>
        </w:rPr>
        <w:t xml:space="preserve"> periodic report argued that they have enacted a number of policies to tackle the problem. Similarly, the government had argued, in their response to the HRC</w:t>
      </w:r>
      <w:r w:rsidR="00E8370C">
        <w:rPr>
          <w:lang w:val="en-US"/>
        </w:rPr>
        <w:t xml:space="preserve"> Observations</w:t>
      </w:r>
      <w:r>
        <w:rPr>
          <w:lang w:val="en-US"/>
        </w:rPr>
        <w:t>, that there was little evidence of systematic abuse in the prisons.</w:t>
      </w:r>
    </w:p>
    <w:p w:rsidR="004E5D65" w:rsidRDefault="004E5D65" w:rsidP="004E5D65">
      <w:pPr>
        <w:rPr>
          <w:lang w:val="en-US"/>
        </w:rPr>
      </w:pPr>
    </w:p>
    <w:p w:rsidR="004E5D65" w:rsidRDefault="004E5D65" w:rsidP="004E5D65">
      <w:pPr>
        <w:rPr>
          <w:lang w:val="en-US"/>
        </w:rPr>
      </w:pPr>
      <w:r>
        <w:rPr>
          <w:lang w:val="en-US"/>
        </w:rPr>
        <w:t>In the light of videos released prior to the October 2012 Parliamentary election, in addition to various well document instances of violence carried out by the police and penal service before that, these claims by the Georgian Government seem implausible. The only question that seems to remain is the extent to which these abuses were systematic and</w:t>
      </w:r>
      <w:r w:rsidR="00E8370C">
        <w:rPr>
          <w:lang w:val="en-US"/>
        </w:rPr>
        <w:t>/or</w:t>
      </w:r>
      <w:r>
        <w:rPr>
          <w:lang w:val="en-US"/>
        </w:rPr>
        <w:t xml:space="preserve"> premeditated. </w:t>
      </w:r>
    </w:p>
    <w:p w:rsidR="004E5D65" w:rsidRDefault="004E5D65" w:rsidP="004E5D65">
      <w:pPr>
        <w:rPr>
          <w:lang w:val="en-US"/>
        </w:rPr>
      </w:pPr>
    </w:p>
    <w:p w:rsidR="004E5D65" w:rsidRDefault="00E8370C" w:rsidP="004E5D65">
      <w:pPr>
        <w:rPr>
          <w:lang w:val="en-US"/>
        </w:rPr>
      </w:pPr>
      <w:r>
        <w:rPr>
          <w:lang w:val="en-US"/>
        </w:rPr>
        <w:t>The situation in relation to the prison</w:t>
      </w:r>
      <w:r w:rsidR="004E5D65">
        <w:rPr>
          <w:lang w:val="en-US"/>
        </w:rPr>
        <w:t xml:space="preserve"> seems to be improving since the October 2012 Parliamentary Elections brought the new government to power. In particular, the arrest and prosecution of prison guards and the investigation of interior ministry and the police for exceeding their authority in a range of ways, seems to have brought the culture of impunity amongst these groups to an end.</w:t>
      </w:r>
    </w:p>
    <w:p w:rsidR="004E5D65" w:rsidRDefault="004E5D65" w:rsidP="004E5D65">
      <w:pPr>
        <w:rPr>
          <w:lang w:val="en-US"/>
        </w:rPr>
      </w:pPr>
    </w:p>
    <w:p w:rsidR="004E5D65" w:rsidRDefault="004E5D65" w:rsidP="004E5D65">
      <w:pPr>
        <w:rPr>
          <w:lang w:val="en-US"/>
        </w:rPr>
      </w:pPr>
      <w:r>
        <w:rPr>
          <w:lang w:val="en-US"/>
        </w:rPr>
        <w:t xml:space="preserve">In addition, </w:t>
      </w:r>
      <w:r w:rsidR="00E8370C">
        <w:rPr>
          <w:lang w:val="en-US"/>
        </w:rPr>
        <w:t>the prison Amnesty at the end of</w:t>
      </w:r>
      <w:r>
        <w:rPr>
          <w:lang w:val="en-US"/>
        </w:rPr>
        <w:t xml:space="preserve"> 2012 has eased the over-crowding</w:t>
      </w:r>
      <w:r w:rsidR="00E8370C">
        <w:rPr>
          <w:lang w:val="en-US"/>
        </w:rPr>
        <w:t>. One can take issue with the way the Amnesty was applied, but it certainly helps to correct for Georgia’s extremely high</w:t>
      </w:r>
      <w:r>
        <w:rPr>
          <w:lang w:val="en-US"/>
        </w:rPr>
        <w:t xml:space="preserve"> level of incarceration.</w:t>
      </w:r>
    </w:p>
    <w:p w:rsidR="004E5D65" w:rsidRDefault="004E5D65" w:rsidP="004E5D65">
      <w:pPr>
        <w:rPr>
          <w:lang w:val="en-US"/>
        </w:rPr>
      </w:pPr>
    </w:p>
    <w:p w:rsidR="004E5D65" w:rsidRDefault="004E5D65" w:rsidP="004E5D65">
      <w:pPr>
        <w:rPr>
          <w:lang w:val="en-US"/>
        </w:rPr>
      </w:pPr>
      <w:r>
        <w:rPr>
          <w:lang w:val="en-US"/>
        </w:rPr>
        <w:t xml:space="preserve">In addition, this section considers the deficiencies in the criminal procedural code that make pre-trial detention more likely and harder to appeal. In particular, the report highlights that the evidentiary requirements for appeal pre-trial detention are overly restrictive and the practical administrative hurdles </w:t>
      </w:r>
      <w:r w:rsidR="00E8370C">
        <w:rPr>
          <w:lang w:val="en-US"/>
        </w:rPr>
        <w:t xml:space="preserve">that </w:t>
      </w:r>
      <w:r>
        <w:rPr>
          <w:lang w:val="en-US"/>
        </w:rPr>
        <w:t>make appeals hard to carry-out.</w:t>
      </w:r>
    </w:p>
    <w:p w:rsidR="004E5D65" w:rsidRDefault="004E5D65" w:rsidP="004E5D65">
      <w:pPr>
        <w:rPr>
          <w:lang w:val="en-US"/>
        </w:rPr>
      </w:pPr>
    </w:p>
    <w:p w:rsidR="004E5D65" w:rsidRDefault="004E5D65" w:rsidP="004E5D65">
      <w:pPr>
        <w:rPr>
          <w:lang w:val="en-US"/>
        </w:rPr>
      </w:pPr>
      <w:r>
        <w:rPr>
          <w:lang w:val="en-US"/>
        </w:rPr>
        <w:t xml:space="preserve">In the third section, the report considers the judiciary and rule of law. Specifically, this section responds to issues regarding judicial independence (HRC </w:t>
      </w:r>
      <w:r w:rsidR="00C70363">
        <w:rPr>
          <w:lang w:val="en-US"/>
        </w:rPr>
        <w:t xml:space="preserve">Concluding </w:t>
      </w:r>
      <w:r>
        <w:rPr>
          <w:lang w:val="en-US"/>
        </w:rPr>
        <w:t>Observation</w:t>
      </w:r>
      <w:r w:rsidR="00C70363">
        <w:rPr>
          <w:lang w:val="en-US"/>
        </w:rPr>
        <w:t>s,</w:t>
      </w:r>
      <w:r>
        <w:rPr>
          <w:lang w:val="en-US"/>
        </w:rPr>
        <w:t xml:space="preserve"> Paragraph 13) and judicial education (HRC </w:t>
      </w:r>
      <w:r w:rsidR="00853847">
        <w:rPr>
          <w:lang w:val="en-US"/>
        </w:rPr>
        <w:t xml:space="preserve">Concluding </w:t>
      </w:r>
      <w:r>
        <w:rPr>
          <w:lang w:val="en-US"/>
        </w:rPr>
        <w:t>Observation</w:t>
      </w:r>
      <w:r w:rsidR="00853847">
        <w:rPr>
          <w:lang w:val="en-US"/>
        </w:rPr>
        <w:t>s,</w:t>
      </w:r>
      <w:r>
        <w:rPr>
          <w:lang w:val="en-US"/>
        </w:rPr>
        <w:t xml:space="preserve"> Paragraph 9) before going on to consider the broader issue of the right to a fair trial</w:t>
      </w:r>
      <w:r w:rsidR="00967D43">
        <w:rPr>
          <w:lang w:val="en-US"/>
        </w:rPr>
        <w:t xml:space="preserve"> and juvenile justice</w:t>
      </w:r>
      <w:r>
        <w:rPr>
          <w:lang w:val="en-US"/>
        </w:rPr>
        <w:t>. All of these are covered by article 14 of the ICCPR.</w:t>
      </w:r>
    </w:p>
    <w:p w:rsidR="004E5D65" w:rsidRDefault="004E5D65" w:rsidP="004E5D65">
      <w:pPr>
        <w:rPr>
          <w:lang w:val="en-US"/>
        </w:rPr>
      </w:pPr>
    </w:p>
    <w:p w:rsidR="004E5D65" w:rsidRDefault="004E5D65" w:rsidP="004E5D65">
      <w:pPr>
        <w:rPr>
          <w:lang w:val="en-US"/>
        </w:rPr>
      </w:pPr>
      <w:r>
        <w:rPr>
          <w:lang w:val="en-US"/>
        </w:rPr>
        <w:t>Under the discussion of the independence of the judiciary, the report focused considerable attention on the functioning of the High Council of Justice as well as the Disciplinary Collegium. The Government 4</w:t>
      </w:r>
      <w:r w:rsidRPr="004A1A41">
        <w:rPr>
          <w:vertAlign w:val="superscript"/>
          <w:lang w:val="en-US"/>
        </w:rPr>
        <w:t>th</w:t>
      </w:r>
      <w:r>
        <w:rPr>
          <w:lang w:val="en-US"/>
        </w:rPr>
        <w:t xml:space="preserve"> Periodical Report claimed that these developm</w:t>
      </w:r>
      <w:r w:rsidR="00E8370C">
        <w:rPr>
          <w:lang w:val="en-US"/>
        </w:rPr>
        <w:t>ents had produced</w:t>
      </w:r>
      <w:r>
        <w:rPr>
          <w:lang w:val="en-US"/>
        </w:rPr>
        <w:t xml:space="preserve"> considerable improvement in judicial independence in Georgia. This report, however, focuses on the membership of the High Council of Justice and the conflict that exists between the High Council of Justice and the Disciplinary Collegium.</w:t>
      </w:r>
    </w:p>
    <w:p w:rsidR="004E5D65" w:rsidRDefault="004E5D65" w:rsidP="004E5D65">
      <w:pPr>
        <w:rPr>
          <w:lang w:val="en-US"/>
        </w:rPr>
      </w:pPr>
    </w:p>
    <w:p w:rsidR="004E5D65" w:rsidRDefault="004E5D65" w:rsidP="004E5D65">
      <w:pPr>
        <w:rPr>
          <w:lang w:val="en-US"/>
        </w:rPr>
      </w:pPr>
      <w:r>
        <w:rPr>
          <w:lang w:val="en-US"/>
        </w:rPr>
        <w:t xml:space="preserve">The NGO coalition notes that </w:t>
      </w:r>
      <w:r w:rsidR="00E8370C">
        <w:rPr>
          <w:lang w:val="en-US"/>
        </w:rPr>
        <w:t>issues of membership have</w:t>
      </w:r>
      <w:r>
        <w:rPr>
          <w:lang w:val="en-US"/>
        </w:rPr>
        <w:t xml:space="preserve"> limited the effectiveness of these institutions to achieve their roles. However, </w:t>
      </w:r>
      <w:r w:rsidR="00E8370C">
        <w:rPr>
          <w:lang w:val="en-US"/>
        </w:rPr>
        <w:t xml:space="preserve">the report further </w:t>
      </w:r>
      <w:r>
        <w:rPr>
          <w:lang w:val="en-US"/>
        </w:rPr>
        <w:t xml:space="preserve">suggests that reforms to these institutions that have occurred since October 2012, while still imperfect, might constitute a considerable improvement, as also attested by </w:t>
      </w:r>
      <w:r w:rsidR="00E8370C">
        <w:rPr>
          <w:lang w:val="en-US"/>
        </w:rPr>
        <w:t>the Venice Commission</w:t>
      </w:r>
      <w:r>
        <w:rPr>
          <w:lang w:val="en-US"/>
        </w:rPr>
        <w:t>.</w:t>
      </w:r>
    </w:p>
    <w:p w:rsidR="004E5D65" w:rsidRDefault="004E5D65" w:rsidP="004E5D65">
      <w:pPr>
        <w:rPr>
          <w:lang w:val="en-US"/>
        </w:rPr>
      </w:pPr>
    </w:p>
    <w:p w:rsidR="004E5D65" w:rsidRDefault="004E5D65" w:rsidP="004E5D65">
      <w:pPr>
        <w:rPr>
          <w:lang w:val="en-US"/>
        </w:rPr>
      </w:pPr>
      <w:r>
        <w:rPr>
          <w:lang w:val="en-US"/>
        </w:rPr>
        <w:t>This section also considers the problems of the remuneration of judges, judicial appointments and the operation of the High School of Justice.</w:t>
      </w:r>
    </w:p>
    <w:p w:rsidR="004E5D65" w:rsidRDefault="004E5D65" w:rsidP="004E5D65">
      <w:pPr>
        <w:rPr>
          <w:lang w:val="en-US"/>
        </w:rPr>
      </w:pPr>
    </w:p>
    <w:p w:rsidR="004E5D65" w:rsidRDefault="00967D43" w:rsidP="004E5D65">
      <w:pPr>
        <w:rPr>
          <w:lang w:val="en-US"/>
        </w:rPr>
      </w:pPr>
      <w:r>
        <w:rPr>
          <w:lang w:val="en-US"/>
        </w:rPr>
        <w:t>T</w:t>
      </w:r>
      <w:r w:rsidR="004E5D65">
        <w:rPr>
          <w:lang w:val="en-US"/>
        </w:rPr>
        <w:t>he report</w:t>
      </w:r>
      <w:r>
        <w:rPr>
          <w:lang w:val="en-US"/>
        </w:rPr>
        <w:t xml:space="preserve"> also</w:t>
      </w:r>
      <w:r w:rsidR="004E5D65">
        <w:rPr>
          <w:lang w:val="en-US"/>
        </w:rPr>
        <w:t xml:space="preserve"> considers the right to a fair trial and highlights the legal and practical hurdles, within the Georgian Criminal Procedural Code, for achieving this goal. In particular, the report highlights the internal conflicts, within the code, that make it difficult for the Georgian court system to become truly adversarial</w:t>
      </w:r>
      <w:r w:rsidR="00E8370C">
        <w:rPr>
          <w:lang w:val="en-US"/>
        </w:rPr>
        <w:t xml:space="preserve"> in nature</w:t>
      </w:r>
      <w:r w:rsidR="004E5D65">
        <w:rPr>
          <w:lang w:val="en-US"/>
        </w:rPr>
        <w:t>.</w:t>
      </w:r>
    </w:p>
    <w:p w:rsidR="00967D43" w:rsidRDefault="00967D43" w:rsidP="004E5D65">
      <w:pPr>
        <w:rPr>
          <w:lang w:val="en-US"/>
        </w:rPr>
      </w:pPr>
    </w:p>
    <w:p w:rsidR="00967D43" w:rsidRDefault="00967D43" w:rsidP="00967D43">
      <w:r>
        <w:rPr>
          <w:lang w:val="en-US"/>
        </w:rPr>
        <w:t xml:space="preserve">On juvenile justice, the government enacted draconian measures in 2007 that reduced the </w:t>
      </w:r>
      <w:r w:rsidRPr="0062403F">
        <w:t>age of criminal responsibility from</w:t>
      </w:r>
      <w:r>
        <w:t xml:space="preserve"> 14 to 12 years and brought juvenile justice </w:t>
      </w:r>
      <w:r w:rsidRPr="0062403F">
        <w:t xml:space="preserve">under </w:t>
      </w:r>
      <w:r>
        <w:t>a</w:t>
      </w:r>
      <w:r w:rsidRPr="0062403F">
        <w:t xml:space="preserve"> so ca</w:t>
      </w:r>
      <w:r>
        <w:t xml:space="preserve">lled “zero tolerance” policy. In 2010 the law was changed again, and reversed some of the worst excesses of the 2007 law, particularly returning the age of criminal responsibility to 14. </w:t>
      </w:r>
    </w:p>
    <w:p w:rsidR="00967D43" w:rsidRDefault="00967D43" w:rsidP="00967D43"/>
    <w:p w:rsidR="00967D43" w:rsidRDefault="00E8370C" w:rsidP="00967D43">
      <w:pPr>
        <w:rPr>
          <w:lang w:val="en-US"/>
        </w:rPr>
      </w:pPr>
      <w:r>
        <w:t>However</w:t>
      </w:r>
      <w:r w:rsidR="00967D43">
        <w:t>, criminal liability</w:t>
      </w:r>
      <w:r>
        <w:t xml:space="preserve"> in juvenile cases</w:t>
      </w:r>
      <w:r w:rsidR="00967D43">
        <w:t xml:space="preserve"> continues to be applied too widely, even in the case of relatively minor crimes. The range of punishments is limited. Probationary sentences are usually only applied if </w:t>
      </w:r>
      <w:proofErr w:type="gramStart"/>
      <w:r w:rsidR="00967D43">
        <w:t>a plea-bargain</w:t>
      </w:r>
      <w:proofErr w:type="gramEnd"/>
      <w:r w:rsidR="00967D43">
        <w:t xml:space="preserve"> has been reached and punishments like ‘house arrest’ do not exist.</w:t>
      </w:r>
    </w:p>
    <w:p w:rsidR="00967D43" w:rsidRDefault="00967D43" w:rsidP="00967D43">
      <w:pPr>
        <w:rPr>
          <w:lang w:val="en-US"/>
        </w:rPr>
      </w:pPr>
    </w:p>
    <w:p w:rsidR="00967D43" w:rsidRDefault="00E8370C" w:rsidP="00967D43">
      <w:r>
        <w:t>In addition</w:t>
      </w:r>
      <w:r w:rsidR="00967D43">
        <w:t xml:space="preserve">, the juvenile justice system suffers from a lack of specialists in the area. </w:t>
      </w:r>
      <w:r w:rsidR="00967D43" w:rsidRPr="0062403F">
        <w:t>No specific training programs for police officers, prosecutors, lawyers, judges and probation officers working with</w:t>
      </w:r>
      <w:r w:rsidR="00967D43">
        <w:t xml:space="preserve"> juveniles exist in the country and there is no specialised system of juvenile courts. Finally, the</w:t>
      </w:r>
      <w:r w:rsidR="003A0278">
        <w:t xml:space="preserve"> </w:t>
      </w:r>
      <w:r w:rsidR="00967D43">
        <w:t>state is unable to effectively educate</w:t>
      </w:r>
      <w:r w:rsidR="00967D43" w:rsidRPr="0062403F">
        <w:t xml:space="preserve"> juveniles who are under </w:t>
      </w:r>
      <w:r w:rsidR="00967D43">
        <w:t>s</w:t>
      </w:r>
      <w:r w:rsidR="00967D43" w:rsidRPr="0062403F">
        <w:t>tate supervision.</w:t>
      </w:r>
    </w:p>
    <w:p w:rsidR="004E5D65" w:rsidRPr="00E8370C" w:rsidRDefault="004E5D65" w:rsidP="004E5D65"/>
    <w:p w:rsidR="004E5D65" w:rsidRDefault="004E5D65" w:rsidP="004E5D65">
      <w:pPr>
        <w:rPr>
          <w:lang w:val="en-US"/>
        </w:rPr>
      </w:pPr>
      <w:r>
        <w:rPr>
          <w:lang w:val="en-US"/>
        </w:rPr>
        <w:t xml:space="preserve">The final section of the report considers a range of other infringements to the ICCPR. This considers the issue of harassment of journalists by the authorities (HRC </w:t>
      </w:r>
      <w:r w:rsidR="00C55F06">
        <w:rPr>
          <w:lang w:val="en-US"/>
        </w:rPr>
        <w:t xml:space="preserve">Concluding </w:t>
      </w:r>
      <w:r>
        <w:rPr>
          <w:lang w:val="en-US"/>
        </w:rPr>
        <w:t>Observation</w:t>
      </w:r>
      <w:r w:rsidR="00C55F06">
        <w:rPr>
          <w:lang w:val="en-US"/>
        </w:rPr>
        <w:t>s,</w:t>
      </w:r>
      <w:r>
        <w:rPr>
          <w:lang w:val="en-US"/>
        </w:rPr>
        <w:t xml:space="preserve"> Paragraph 16). It also considers the right to assembly and the right to free and fair elections. These were not highlighted by the HRC Observations but did seem particularly important to the</w:t>
      </w:r>
      <w:r w:rsidR="00E8370C">
        <w:rPr>
          <w:lang w:val="en-US"/>
        </w:rPr>
        <w:t xml:space="preserve"> NGO Coalition for the </w:t>
      </w:r>
      <w:r>
        <w:rPr>
          <w:lang w:val="en-US"/>
        </w:rPr>
        <w:t>period</w:t>
      </w:r>
      <w:r w:rsidR="00E8370C">
        <w:rPr>
          <w:lang w:val="en-US"/>
        </w:rPr>
        <w:t xml:space="preserve"> under review</w:t>
      </w:r>
      <w:r>
        <w:rPr>
          <w:lang w:val="en-US"/>
        </w:rPr>
        <w:t xml:space="preserve">. </w:t>
      </w:r>
    </w:p>
    <w:p w:rsidR="004E5D65" w:rsidRDefault="004E5D65" w:rsidP="004E5D65">
      <w:pPr>
        <w:rPr>
          <w:lang w:val="en-US"/>
        </w:rPr>
      </w:pPr>
    </w:p>
    <w:p w:rsidR="004E5D65" w:rsidRDefault="004E5D65" w:rsidP="004E5D65">
      <w:pPr>
        <w:rPr>
          <w:lang w:val="en-US"/>
        </w:rPr>
      </w:pPr>
      <w:r>
        <w:rPr>
          <w:lang w:val="en-US"/>
        </w:rPr>
        <w:t xml:space="preserve">On the harassment of journalists, the report documents apparent instances where such harassment has occurred but has not been investigated. The report also responds to the Government of Georgia </w:t>
      </w:r>
      <w:r w:rsidR="00582D3C">
        <w:rPr>
          <w:lang w:val="en-US"/>
        </w:rPr>
        <w:t>(</w:t>
      </w:r>
      <w:proofErr w:type="spellStart"/>
      <w:r w:rsidR="00582D3C">
        <w:rPr>
          <w:lang w:val="en-US"/>
        </w:rPr>
        <w:t>GoG</w:t>
      </w:r>
      <w:proofErr w:type="spellEnd"/>
      <w:r w:rsidR="00582D3C">
        <w:rPr>
          <w:lang w:val="en-US"/>
        </w:rPr>
        <w:t xml:space="preserve">) </w:t>
      </w:r>
      <w:r>
        <w:rPr>
          <w:lang w:val="en-US"/>
        </w:rPr>
        <w:t>4</w:t>
      </w:r>
      <w:r w:rsidRPr="005F4113">
        <w:rPr>
          <w:vertAlign w:val="superscript"/>
          <w:lang w:val="en-US"/>
        </w:rPr>
        <w:t>th</w:t>
      </w:r>
      <w:r w:rsidR="00D06C48">
        <w:rPr>
          <w:lang w:val="en-US"/>
        </w:rPr>
        <w:t xml:space="preserve"> Periodic Report, which lists</w:t>
      </w:r>
      <w:r>
        <w:rPr>
          <w:lang w:val="en-US"/>
        </w:rPr>
        <w:t xml:space="preserve"> their efforts to improve the media environment generally. Taking each claim of the Georgian Government, point by point, the report concludes that reforms were usually strictly legal </w:t>
      </w:r>
      <w:r w:rsidR="00D06C48">
        <w:rPr>
          <w:lang w:val="en-US"/>
        </w:rPr>
        <w:t>in nature and did not lead to a practical</w:t>
      </w:r>
      <w:r w:rsidR="003B3966">
        <w:rPr>
          <w:lang w:val="en-US"/>
        </w:rPr>
        <w:t xml:space="preserve"> </w:t>
      </w:r>
      <w:proofErr w:type="spellStart"/>
      <w:r>
        <w:rPr>
          <w:lang w:val="en-US"/>
        </w:rPr>
        <w:t>pluralisation</w:t>
      </w:r>
      <w:proofErr w:type="spellEnd"/>
      <w:r>
        <w:rPr>
          <w:lang w:val="en-US"/>
        </w:rPr>
        <w:t xml:space="preserve"> of the media environment or increased independence of the Public Broadcaster. The media environment did </w:t>
      </w:r>
      <w:proofErr w:type="spellStart"/>
      <w:r>
        <w:rPr>
          <w:lang w:val="en-US"/>
        </w:rPr>
        <w:t>pluralise</w:t>
      </w:r>
      <w:proofErr w:type="spellEnd"/>
      <w:r>
        <w:rPr>
          <w:lang w:val="en-US"/>
        </w:rPr>
        <w:t xml:space="preserve"> before the October elections, mainly because of the short-term ‘Must Carry, Must Offer’ law which required cable providers to carry all of the nationally registered TV stations.</w:t>
      </w:r>
    </w:p>
    <w:p w:rsidR="004E5D65" w:rsidRDefault="004E5D65" w:rsidP="004E5D65">
      <w:pPr>
        <w:rPr>
          <w:lang w:val="en-US"/>
        </w:rPr>
      </w:pPr>
    </w:p>
    <w:p w:rsidR="004E5D65" w:rsidRDefault="004E5D65" w:rsidP="004E5D65">
      <w:pPr>
        <w:rPr>
          <w:lang w:val="en-US"/>
        </w:rPr>
      </w:pPr>
      <w:r>
        <w:rPr>
          <w:lang w:val="en-US"/>
        </w:rPr>
        <w:t>On the right to assembly, the NGO coalition acknowledge</w:t>
      </w:r>
      <w:r w:rsidR="00D06C48">
        <w:rPr>
          <w:lang w:val="en-US"/>
        </w:rPr>
        <w:t xml:space="preserve">s the widely </w:t>
      </w:r>
      <w:proofErr w:type="spellStart"/>
      <w:r w:rsidR="00EC7BA5">
        <w:rPr>
          <w:lang w:val="en-US"/>
        </w:rPr>
        <w:t>publicised</w:t>
      </w:r>
      <w:proofErr w:type="spellEnd"/>
      <w:r>
        <w:rPr>
          <w:lang w:val="en-US"/>
        </w:rPr>
        <w:t xml:space="preserve"> instances of the Government bre</w:t>
      </w:r>
      <w:r w:rsidR="00D06C48">
        <w:rPr>
          <w:lang w:val="en-US"/>
        </w:rPr>
        <w:t>aking up public assemblies. It</w:t>
      </w:r>
      <w:r>
        <w:rPr>
          <w:lang w:val="en-US"/>
        </w:rPr>
        <w:t xml:space="preserve"> also highlight</w:t>
      </w:r>
      <w:r w:rsidR="00D06C48">
        <w:rPr>
          <w:lang w:val="en-US"/>
        </w:rPr>
        <w:t>s</w:t>
      </w:r>
      <w:r>
        <w:rPr>
          <w:lang w:val="en-US"/>
        </w:rPr>
        <w:t xml:space="preserve"> that the current law on assemblies and manifestations does not deal well with spontaneous assemblies, making these kind</w:t>
      </w:r>
      <w:r w:rsidR="006A23AD">
        <w:rPr>
          <w:lang w:val="en-US"/>
        </w:rPr>
        <w:t>s</w:t>
      </w:r>
      <w:r>
        <w:rPr>
          <w:lang w:val="en-US"/>
        </w:rPr>
        <w:t xml:space="preserve"> of over-reactions</w:t>
      </w:r>
      <w:r w:rsidR="00EC7BA5">
        <w:rPr>
          <w:lang w:val="en-US"/>
        </w:rPr>
        <w:t xml:space="preserve"> by the law enforcement agencies</w:t>
      </w:r>
      <w:r>
        <w:rPr>
          <w:lang w:val="en-US"/>
        </w:rPr>
        <w:t xml:space="preserve"> more likely.</w:t>
      </w:r>
    </w:p>
    <w:p w:rsidR="004E5D65" w:rsidRDefault="004E5D65" w:rsidP="004E5D65">
      <w:pPr>
        <w:rPr>
          <w:lang w:val="en-US"/>
        </w:rPr>
      </w:pPr>
    </w:p>
    <w:p w:rsidR="004E5D65" w:rsidRDefault="004E5D65" w:rsidP="004E5D65">
      <w:pPr>
        <w:rPr>
          <w:lang w:val="en-US"/>
        </w:rPr>
      </w:pPr>
      <w:r>
        <w:rPr>
          <w:lang w:val="en-US"/>
        </w:rPr>
        <w:t>Finally, the report considers the track record, over the reporting period, of providing free and fair elections. The coalition acknowledges that in the most recent election the decision of the people was reflected in who won a majority of the se</w:t>
      </w:r>
      <w:r w:rsidR="00D06C48">
        <w:rPr>
          <w:lang w:val="en-US"/>
        </w:rPr>
        <w:t>ats in parliament. However, the report</w:t>
      </w:r>
      <w:r>
        <w:rPr>
          <w:lang w:val="en-US"/>
        </w:rPr>
        <w:t xml:space="preserve"> highlight</w:t>
      </w:r>
      <w:r w:rsidR="00D06C48">
        <w:rPr>
          <w:lang w:val="en-US"/>
        </w:rPr>
        <w:t>s</w:t>
      </w:r>
      <w:r>
        <w:rPr>
          <w:lang w:val="en-US"/>
        </w:rPr>
        <w:t xml:space="preserve"> a range of ways in which the electoral environment</w:t>
      </w:r>
      <w:r w:rsidR="00D06C48">
        <w:rPr>
          <w:lang w:val="en-US"/>
        </w:rPr>
        <w:t>,</w:t>
      </w:r>
      <w:r>
        <w:rPr>
          <w:lang w:val="en-US"/>
        </w:rPr>
        <w:t xml:space="preserve"> and the elections themselves, were flawed in the 2008 Presidential and Parliamentary Elections, the 2010 Local Elections and the 2012 Parliamentary Elections. These flaws can be seen in the biased efforts to create wholesale electoral reform, the operation of the central election commission, biases in the judiciary, the use of administrative resources, and abuses of administrative power. The report concludes that it is essential to fix these failures before the next round of elections, starting with the Presidential Election in October 2013.</w:t>
      </w:r>
    </w:p>
    <w:p w:rsidR="002040A8" w:rsidRDefault="00B23E0F" w:rsidP="00195896">
      <w:pPr>
        <w:pStyle w:val="berschrift1"/>
        <w:rPr>
          <w:lang w:val="en-US"/>
        </w:rPr>
      </w:pPr>
      <w:bookmarkStart w:id="2" w:name="_Toc363492721"/>
      <w:r>
        <w:rPr>
          <w:lang w:val="en-US"/>
        </w:rPr>
        <w:t>Discrimination on</w:t>
      </w:r>
      <w:r w:rsidR="00FE22D6">
        <w:rPr>
          <w:lang w:val="en-US"/>
        </w:rPr>
        <w:t xml:space="preserve"> the basis of gender, ethnicity </w:t>
      </w:r>
      <w:r>
        <w:rPr>
          <w:lang w:val="en-US"/>
        </w:rPr>
        <w:t>and disability</w:t>
      </w:r>
      <w:bookmarkEnd w:id="2"/>
    </w:p>
    <w:p w:rsidR="00124AE6" w:rsidRDefault="0054195B" w:rsidP="00860E29">
      <w:pPr>
        <w:rPr>
          <w:lang w:val="en-US"/>
        </w:rPr>
      </w:pPr>
      <w:r>
        <w:rPr>
          <w:lang w:val="en-US"/>
        </w:rPr>
        <w:t>A</w:t>
      </w:r>
      <w:r w:rsidR="00D06C48">
        <w:rPr>
          <w:lang w:val="en-US"/>
        </w:rPr>
        <w:t>rticles 3 and 26 of the ICCPR</w:t>
      </w:r>
      <w:r>
        <w:rPr>
          <w:lang w:val="en-US"/>
        </w:rPr>
        <w:t xml:space="preserve"> guarantee protection from discrimination. </w:t>
      </w:r>
      <w:r w:rsidR="00124AE6">
        <w:rPr>
          <w:lang w:val="en-US"/>
        </w:rPr>
        <w:t>In addition article 18 offers specific provisions guara</w:t>
      </w:r>
      <w:r w:rsidR="007742CA">
        <w:rPr>
          <w:lang w:val="en-US"/>
        </w:rPr>
        <w:t xml:space="preserve">nteeing freedom of religion and </w:t>
      </w:r>
      <w:r w:rsidR="00124AE6">
        <w:rPr>
          <w:lang w:val="en-US"/>
        </w:rPr>
        <w:t>article 27 assures specific rights to minority groups. In the 2007 Human Rights Co</w:t>
      </w:r>
      <w:r w:rsidR="00D06C48">
        <w:rPr>
          <w:lang w:val="en-US"/>
        </w:rPr>
        <w:t>mmittee concluding observations</w:t>
      </w:r>
      <w:r w:rsidR="00124AE6">
        <w:rPr>
          <w:lang w:val="en-US"/>
        </w:rPr>
        <w:t xml:space="preserve"> the </w:t>
      </w:r>
      <w:r w:rsidR="00EC7BA5">
        <w:rPr>
          <w:lang w:val="en-US"/>
        </w:rPr>
        <w:t>C</w:t>
      </w:r>
      <w:r w:rsidR="00124AE6">
        <w:rPr>
          <w:lang w:val="en-US"/>
        </w:rPr>
        <w:t>ommittee highlighted specific concerns relating to domestic violence, protections for ethnic minorities and protections for religious minorities.</w:t>
      </w:r>
      <w:r w:rsidR="00FA307F">
        <w:rPr>
          <w:lang w:val="en-US"/>
        </w:rPr>
        <w:t xml:space="preserve"> This section will address the HRC observations and the government responses to them, before highlighting broader concerns about </w:t>
      </w:r>
      <w:r w:rsidR="00D06C48">
        <w:rPr>
          <w:lang w:val="en-US"/>
        </w:rPr>
        <w:t xml:space="preserve">gender </w:t>
      </w:r>
      <w:r w:rsidR="00FA307F">
        <w:rPr>
          <w:lang w:val="en-US"/>
        </w:rPr>
        <w:t>discrimination</w:t>
      </w:r>
      <w:r w:rsidR="00D06C48">
        <w:rPr>
          <w:lang w:val="en-US"/>
        </w:rPr>
        <w:t xml:space="preserve"> and discrimination on the basis of disability more</w:t>
      </w:r>
      <w:r w:rsidR="007742CA">
        <w:rPr>
          <w:lang w:val="en-US"/>
        </w:rPr>
        <w:t xml:space="preserve"> generally</w:t>
      </w:r>
      <w:r w:rsidR="00FA307F">
        <w:rPr>
          <w:lang w:val="en-US"/>
        </w:rPr>
        <w:t>.</w:t>
      </w:r>
    </w:p>
    <w:p w:rsidR="00FA307F" w:rsidRDefault="00E45E83" w:rsidP="00195896">
      <w:pPr>
        <w:pStyle w:val="berschrift2"/>
        <w:rPr>
          <w:lang w:val="en-US"/>
        </w:rPr>
      </w:pPr>
      <w:bookmarkStart w:id="3" w:name="_Toc363492722"/>
      <w:r>
        <w:rPr>
          <w:lang w:val="en-US"/>
        </w:rPr>
        <w:t xml:space="preserve">HRC </w:t>
      </w:r>
      <w:r w:rsidR="002E3950">
        <w:rPr>
          <w:lang w:val="en-US"/>
        </w:rPr>
        <w:t xml:space="preserve">Concluding </w:t>
      </w:r>
      <w:r>
        <w:rPr>
          <w:lang w:val="en-US"/>
        </w:rPr>
        <w:t>Observations</w:t>
      </w:r>
      <w:r w:rsidR="00A04EDE">
        <w:rPr>
          <w:lang w:val="en-US"/>
        </w:rPr>
        <w:t>,</w:t>
      </w:r>
      <w:r w:rsidR="003B3966">
        <w:rPr>
          <w:lang w:val="en-US"/>
        </w:rPr>
        <w:t xml:space="preserve"> </w:t>
      </w:r>
      <w:r w:rsidR="002040A8">
        <w:rPr>
          <w:lang w:val="en-US"/>
        </w:rPr>
        <w:t xml:space="preserve">Paragraph 8: </w:t>
      </w:r>
      <w:r w:rsidR="0055499F">
        <w:rPr>
          <w:lang w:val="en-US"/>
        </w:rPr>
        <w:t>Domestic Violence</w:t>
      </w:r>
      <w:bookmarkEnd w:id="3"/>
    </w:p>
    <w:p w:rsidR="00FA307F" w:rsidRPr="00650BCB" w:rsidRDefault="00FA307F" w:rsidP="00FA307F">
      <w:pPr>
        <w:rPr>
          <w:rFonts w:ascii="Times New Roman" w:hAnsi="Times New Roman"/>
          <w:sz w:val="24"/>
          <w:szCs w:val="24"/>
          <w:lang w:val="en-US"/>
        </w:rPr>
      </w:pPr>
      <w:r>
        <w:rPr>
          <w:lang w:val="en-US"/>
        </w:rPr>
        <w:t>In 2007</w:t>
      </w:r>
      <w:r w:rsidR="007742CA">
        <w:rPr>
          <w:lang w:val="en-US"/>
        </w:rPr>
        <w:t>,</w:t>
      </w:r>
      <w:r>
        <w:rPr>
          <w:lang w:val="en-US"/>
        </w:rPr>
        <w:t xml:space="preserve"> the HRC committee expressed their concerns</w:t>
      </w:r>
      <w:r w:rsidR="007742CA">
        <w:rPr>
          <w:lang w:val="en-US"/>
        </w:rPr>
        <w:t xml:space="preserve"> about</w:t>
      </w:r>
      <w:r>
        <w:rPr>
          <w:lang w:val="en-US"/>
        </w:rPr>
        <w:t xml:space="preserve"> ‘the still substantial number of women in Georgia who are subject to violence, in particular to domestic violence, as well as the insufficient measures and service</w:t>
      </w:r>
      <w:r w:rsidR="00D06C48">
        <w:rPr>
          <w:lang w:val="en-US"/>
        </w:rPr>
        <w:t>s to protect victims’. They also made</w:t>
      </w:r>
      <w:r>
        <w:rPr>
          <w:lang w:val="en-US"/>
        </w:rPr>
        <w:t xml:space="preserve"> three recommendat</w:t>
      </w:r>
      <w:r w:rsidR="00582D3C">
        <w:rPr>
          <w:lang w:val="en-US"/>
        </w:rPr>
        <w:t xml:space="preserve">ions. </w:t>
      </w:r>
      <w:proofErr w:type="gramStart"/>
      <w:r w:rsidR="00582D3C">
        <w:rPr>
          <w:lang w:val="en-US"/>
        </w:rPr>
        <w:t xml:space="preserve">First, </w:t>
      </w:r>
      <w:r>
        <w:rPr>
          <w:lang w:val="en-US"/>
        </w:rPr>
        <w:t>that</w:t>
      </w:r>
      <w:proofErr w:type="gramEnd"/>
      <w:r>
        <w:rPr>
          <w:lang w:val="en-US"/>
        </w:rPr>
        <w:t xml:space="preserve"> the Georgian Government should take steps to ensure that data on domestic abuse is properly collected. Second, that the authorities should promptly investigate claims of such abuse. Third, that the government should take responsibility to open and finance shelters for victims of abuse.</w:t>
      </w:r>
    </w:p>
    <w:p w:rsidR="00E20BFC" w:rsidRDefault="00E20BFC" w:rsidP="00E20BFC">
      <w:pPr>
        <w:jc w:val="left"/>
        <w:textAlignment w:val="center"/>
        <w:rPr>
          <w:rFonts w:ascii="Times New Roman" w:hAnsi="Times New Roman"/>
          <w:sz w:val="24"/>
          <w:szCs w:val="24"/>
          <w:lang w:val="en-US"/>
        </w:rPr>
      </w:pPr>
    </w:p>
    <w:p w:rsidR="00FC76E9" w:rsidRPr="00E20BFC" w:rsidRDefault="000A5AAB" w:rsidP="006B395A">
      <w:pPr>
        <w:rPr>
          <w:rFonts w:ascii="Times New Roman" w:hAnsi="Times New Roman"/>
          <w:sz w:val="24"/>
          <w:szCs w:val="24"/>
          <w:lang w:val="en-US"/>
        </w:rPr>
      </w:pPr>
      <w:r>
        <w:t xml:space="preserve">Domestic violence continues to be a problem. </w:t>
      </w:r>
      <w:r w:rsidR="00FC76E9">
        <w:t>According to a natio</w:t>
      </w:r>
      <w:r w:rsidR="00860E29">
        <w:t xml:space="preserve">nal study on domestic violence </w:t>
      </w:r>
      <w:r w:rsidR="00FC76E9">
        <w:t>around 9% of women are victims of physical or sexual violence.</w:t>
      </w:r>
      <w:r w:rsidR="00FC76E9">
        <w:rPr>
          <w:rStyle w:val="Funotenzeichen"/>
        </w:rPr>
        <w:footnoteReference w:id="4"/>
      </w:r>
    </w:p>
    <w:p w:rsidR="00FC76E9" w:rsidRDefault="00FC76E9" w:rsidP="00FC76E9">
      <w:pPr>
        <w:rPr>
          <w:rFonts w:ascii="Sylfaen" w:hAnsi="Sylfaen" w:cs="Sylfaen"/>
          <w:lang w:val="en-GB"/>
        </w:rPr>
      </w:pPr>
    </w:p>
    <w:p w:rsidR="000A5AAB" w:rsidRDefault="000A5AAB" w:rsidP="006B395A">
      <w:pPr>
        <w:rPr>
          <w:rFonts w:ascii="Sylfaen" w:hAnsi="Sylfaen" w:cs="Sylfaen"/>
          <w:lang w:val="en-US"/>
        </w:rPr>
      </w:pPr>
      <w:r>
        <w:t xml:space="preserve">There have been some developments in the response to this problem. </w:t>
      </w:r>
      <w:r w:rsidR="00FC76E9">
        <w:t>On 2 April 2012, the Parli</w:t>
      </w:r>
      <w:r w:rsidR="00EC7BA5">
        <w:t>a</w:t>
      </w:r>
      <w:r w:rsidR="00FC76E9">
        <w:t>me</w:t>
      </w:r>
      <w:r w:rsidR="00EC7BA5">
        <w:t>n</w:t>
      </w:r>
      <w:r w:rsidR="00FC76E9">
        <w:t xml:space="preserve">tary Council on Gender Equality and Inter-agency Council for the Prevention of Domestic Violence set up a working group to harmonize existing Georgian legislation with </w:t>
      </w:r>
      <w:r w:rsidR="00FC76E9" w:rsidRPr="006B395A">
        <w:rPr>
          <w:rFonts w:eastAsia="Calibri"/>
        </w:rPr>
        <w:t>Council of Europe Convention on Preventing and Combating Violence against Women and Domestic Violence. Ar</w:t>
      </w:r>
      <w:r w:rsidR="00D06C48">
        <w:t>ticles 111 and 126</w:t>
      </w:r>
      <w:r w:rsidR="00FC76E9" w:rsidRPr="006B395A">
        <w:t xml:space="preserve"> were added to the Criminal Code</w:t>
      </w:r>
      <w:r w:rsidRPr="006B395A">
        <w:t xml:space="preserve"> of Georgia and this</w:t>
      </w:r>
      <w:r w:rsidR="00FC76E9" w:rsidRPr="006B395A">
        <w:t xml:space="preserve"> recognized domestic violence as a criminal offense and defined the relevant measures of responsibility.</w:t>
      </w:r>
      <w:r w:rsidR="00FC76E9">
        <w:rPr>
          <w:rStyle w:val="Funotenzeichen"/>
        </w:rPr>
        <w:footnoteReference w:id="5"/>
      </w:r>
    </w:p>
    <w:p w:rsidR="000A5AAB" w:rsidRDefault="000A5AAB" w:rsidP="00FC76E9">
      <w:pPr>
        <w:rPr>
          <w:rFonts w:ascii="Sylfaen" w:hAnsi="Sylfaen" w:cs="Sylfaen"/>
          <w:lang w:val="en-US"/>
        </w:rPr>
      </w:pPr>
    </w:p>
    <w:p w:rsidR="00FC76E9" w:rsidRPr="000A5AAB" w:rsidRDefault="000A5AAB" w:rsidP="006B395A">
      <w:pPr>
        <w:rPr>
          <w:lang w:val="en-US"/>
        </w:rPr>
      </w:pPr>
      <w:r>
        <w:rPr>
          <w:lang w:val="en-US"/>
        </w:rPr>
        <w:t xml:space="preserve">This is clearly a legislative improvement. However, at this time, these changes have not fulfilled the first two recommendations of the </w:t>
      </w:r>
      <w:r w:rsidR="00017A25">
        <w:rPr>
          <w:lang w:val="en-US"/>
        </w:rPr>
        <w:t>Human Rights Committee</w:t>
      </w:r>
      <w:r>
        <w:rPr>
          <w:lang w:val="en-US"/>
        </w:rPr>
        <w:t>.</w:t>
      </w:r>
    </w:p>
    <w:p w:rsidR="00FC76E9" w:rsidRPr="000A5AAB" w:rsidRDefault="00FC76E9" w:rsidP="00FC76E9">
      <w:pPr>
        <w:rPr>
          <w:rFonts w:ascii="Sylfaen" w:hAnsi="Sylfaen" w:cs="Sylfaen"/>
          <w:lang w:val="en-US"/>
        </w:rPr>
      </w:pPr>
    </w:p>
    <w:p w:rsidR="00FC76E9" w:rsidRDefault="000A5AAB" w:rsidP="006B395A">
      <w:r>
        <w:t xml:space="preserve">First, data on domestic violence is still not collated and publically available. The </w:t>
      </w:r>
      <w:proofErr w:type="spellStart"/>
      <w:r>
        <w:t>GoG</w:t>
      </w:r>
      <w:proofErr w:type="spellEnd"/>
      <w:r>
        <w:t xml:space="preserve"> 4</w:t>
      </w:r>
      <w:r w:rsidRPr="000A5AAB">
        <w:rPr>
          <w:vertAlign w:val="superscript"/>
        </w:rPr>
        <w:t>th</w:t>
      </w:r>
      <w:r>
        <w:t xml:space="preserve"> periodic report to the HRC highlights improvements on the collection and publication of crime statistics generally.</w:t>
      </w:r>
      <w:r>
        <w:rPr>
          <w:rStyle w:val="Funotenzeichen"/>
          <w:rFonts w:ascii="Sylfaen" w:hAnsi="Sylfaen" w:cs="Sylfaen"/>
        </w:rPr>
        <w:footnoteReference w:id="6"/>
      </w:r>
      <w:r>
        <w:t xml:space="preserve"> However, there are </w:t>
      </w:r>
      <w:r w:rsidR="00D06C48">
        <w:t xml:space="preserve">still </w:t>
      </w:r>
      <w:r>
        <w:t xml:space="preserve">no specific statistics released </w:t>
      </w:r>
      <w:r w:rsidR="00DB5BB7">
        <w:t>on domestic violence</w:t>
      </w:r>
      <w:r w:rsidR="00582D3C">
        <w:t>.</w:t>
      </w:r>
    </w:p>
    <w:p w:rsidR="000A5AAB" w:rsidRDefault="000A5AAB" w:rsidP="00FC76E9">
      <w:pPr>
        <w:rPr>
          <w:rFonts w:ascii="Sylfaen" w:hAnsi="Sylfaen" w:cs="Sylfaen"/>
        </w:rPr>
      </w:pPr>
    </w:p>
    <w:p w:rsidR="00DB5BB7" w:rsidRDefault="00DB5BB7" w:rsidP="006B395A">
      <w:pPr>
        <w:rPr>
          <w:rFonts w:ascii="AcadNusx" w:eastAsia="Calibri" w:hAnsi="AcadNusx"/>
          <w:lang w:val="ka-GE"/>
        </w:rPr>
      </w:pPr>
      <w:r>
        <w:t>While the court hears cases of domestic violence they are usually tried as ‘assault’ of various kinds</w:t>
      </w:r>
      <w:r w:rsidR="002664C8">
        <w:t>.</w:t>
      </w:r>
      <w:r>
        <w:t xml:space="preserve"> In addition, the courts do not collate statistics about the types of violence that resulted in a charge being brought or the punitive, protective and preventive orders that result.</w:t>
      </w:r>
      <w:r>
        <w:rPr>
          <w:rStyle w:val="Funotenzeichen"/>
        </w:rPr>
        <w:footnoteReference w:id="7"/>
      </w:r>
      <w:r>
        <w:t xml:space="preserve"> As a result, it is impossible to distinguish domestic violence from other forms of assault.</w:t>
      </w:r>
    </w:p>
    <w:p w:rsidR="00DB5BB7" w:rsidRPr="00DB5BB7" w:rsidRDefault="00DB5BB7" w:rsidP="00FC76E9">
      <w:pPr>
        <w:rPr>
          <w:rFonts w:ascii="Sylfaen" w:hAnsi="Sylfaen" w:cs="Sylfaen"/>
          <w:lang w:val="ka-GE"/>
        </w:rPr>
      </w:pPr>
    </w:p>
    <w:p w:rsidR="000A5AAB" w:rsidRDefault="00DB5BB7" w:rsidP="006B395A">
      <w:pPr>
        <w:rPr>
          <w:lang w:val="en-US"/>
        </w:rPr>
      </w:pPr>
      <w:r>
        <w:rPr>
          <w:lang w:val="en-US"/>
        </w:rPr>
        <w:t xml:space="preserve">The HRC’s second recommendation, to ensure that complaints of domestic abuse are responded to quickly and appropriately, also </w:t>
      </w:r>
      <w:proofErr w:type="gramStart"/>
      <w:r>
        <w:rPr>
          <w:lang w:val="en-US"/>
        </w:rPr>
        <w:t>does</w:t>
      </w:r>
      <w:proofErr w:type="gramEnd"/>
      <w:r>
        <w:rPr>
          <w:lang w:val="en-US"/>
        </w:rPr>
        <w:t xml:space="preserve"> not seem to have occurred in practice. </w:t>
      </w:r>
      <w:r w:rsidR="00D06C48">
        <w:rPr>
          <w:lang w:val="en-US"/>
        </w:rPr>
        <w:t>While ‘domestic violence’ is</w:t>
      </w:r>
      <w:r>
        <w:rPr>
          <w:lang w:val="en-US"/>
        </w:rPr>
        <w:t xml:space="preserve"> a recognized crime, i</w:t>
      </w:r>
      <w:r w:rsidR="000A5AAB">
        <w:t xml:space="preserve">t is often considered that one of the main reasons why cases are not brought under this </w:t>
      </w:r>
      <w:proofErr w:type="gramStart"/>
      <w:r w:rsidR="000A5AAB">
        <w:t>law,</w:t>
      </w:r>
      <w:proofErr w:type="gramEnd"/>
      <w:r w:rsidR="000A5AAB">
        <w:t xml:space="preserve"> is that the police and courts are not aware of how to use it. For this reason, some non-governmental organizations train policemen in certain regions of Georgia on this issue.</w:t>
      </w:r>
      <w:r w:rsidR="000A5AAB">
        <w:rPr>
          <w:rStyle w:val="Funotenzeichen"/>
          <w:rFonts w:ascii="Sylfaen" w:hAnsi="Sylfaen" w:cs="Sylfaen"/>
          <w:lang w:val="ka-GE"/>
        </w:rPr>
        <w:footnoteReference w:id="8"/>
      </w:r>
    </w:p>
    <w:p w:rsidR="00FC76E9" w:rsidRDefault="00FC76E9" w:rsidP="006B395A"/>
    <w:p w:rsidR="00FC76E9" w:rsidRDefault="00FC76E9" w:rsidP="006B395A">
      <w:pPr>
        <w:rPr>
          <w:b/>
          <w:i/>
        </w:rPr>
      </w:pPr>
      <w:r w:rsidRPr="00E07613">
        <w:rPr>
          <w:b/>
          <w:i/>
        </w:rPr>
        <w:t>Recommendations</w:t>
      </w:r>
      <w:r w:rsidR="00DB5BB7" w:rsidRPr="00E07613">
        <w:rPr>
          <w:b/>
          <w:i/>
        </w:rPr>
        <w:t xml:space="preserve"> for the prevention of domestic violence</w:t>
      </w:r>
      <w:r w:rsidRPr="00E07613">
        <w:rPr>
          <w:b/>
          <w:i/>
        </w:rPr>
        <w:t>:</w:t>
      </w:r>
    </w:p>
    <w:p w:rsidR="00A96031" w:rsidRPr="00DB5BB7" w:rsidRDefault="00A96031" w:rsidP="006B395A"/>
    <w:p w:rsidR="00FC76E9" w:rsidRDefault="008C59FA" w:rsidP="006B395A">
      <w:pPr>
        <w:rPr>
          <w:rFonts w:eastAsia="Calibri"/>
          <w:iCs/>
          <w:lang w:val="en-GB"/>
        </w:rPr>
      </w:pPr>
      <w:r>
        <w:rPr>
          <w:lang w:val="ka-GE"/>
        </w:rPr>
        <w:t>1</w:t>
      </w:r>
      <w:r>
        <w:rPr>
          <w:lang w:val="en-US"/>
        </w:rPr>
        <w:t xml:space="preserve">/ </w:t>
      </w:r>
      <w:r w:rsidR="00FC76E9">
        <w:t xml:space="preserve">Hasten the ratification process of the </w:t>
      </w:r>
      <w:r w:rsidR="00FC76E9">
        <w:rPr>
          <w:rFonts w:eastAsia="Calibri"/>
          <w:iCs/>
          <w:lang w:val="en-GB"/>
        </w:rPr>
        <w:t>Council of Europe Convention (Istanbul Convention) on Preventing and Combating Violence against Women and Domestic Violence sponsored legislation.</w:t>
      </w:r>
    </w:p>
    <w:p w:rsidR="00FC76E9" w:rsidRDefault="00FC76E9" w:rsidP="006B395A"/>
    <w:p w:rsidR="00FC76E9" w:rsidRDefault="008C59FA" w:rsidP="006B395A">
      <w:pPr>
        <w:rPr>
          <w:rFonts w:eastAsia="Calibri"/>
          <w:iCs/>
          <w:lang w:val="en-GB"/>
        </w:rPr>
      </w:pPr>
      <w:r>
        <w:t xml:space="preserve">2/ </w:t>
      </w:r>
      <w:r w:rsidR="00FC76E9">
        <w:t>All</w:t>
      </w:r>
      <w:r w:rsidR="00FC76E9">
        <w:rPr>
          <w:rFonts w:eastAsia="Calibri"/>
          <w:iCs/>
          <w:lang w:val="en-GB"/>
        </w:rPr>
        <w:t>courts of Georgia shall produce disaggregated data on cases of dome</w:t>
      </w:r>
      <w:r w:rsidR="00DB5BB7">
        <w:rPr>
          <w:rFonts w:eastAsia="Calibri"/>
          <w:iCs/>
          <w:lang w:val="en-GB"/>
        </w:rPr>
        <w:t xml:space="preserve">stic violence including </w:t>
      </w:r>
      <w:r w:rsidR="00FC76E9">
        <w:rPr>
          <w:rFonts w:eastAsia="Calibri"/>
          <w:iCs/>
          <w:lang w:val="en-GB"/>
        </w:rPr>
        <w:t>sex, age, and family relationship of victims and perpetrators.</w:t>
      </w:r>
    </w:p>
    <w:p w:rsidR="00FC76E9" w:rsidRDefault="00FC76E9" w:rsidP="006B395A">
      <w:pPr>
        <w:rPr>
          <w:rFonts w:cs="Arial"/>
        </w:rPr>
      </w:pPr>
    </w:p>
    <w:p w:rsidR="00FC76E9" w:rsidRDefault="008C59FA" w:rsidP="006B395A">
      <w:pPr>
        <w:rPr>
          <w:rFonts w:cs="Arial"/>
        </w:rPr>
      </w:pPr>
      <w:r>
        <w:rPr>
          <w:rFonts w:cs="Arial"/>
          <w:lang w:val="ka-GE"/>
        </w:rPr>
        <w:t>3</w:t>
      </w:r>
      <w:r>
        <w:rPr>
          <w:rFonts w:cs="Arial"/>
          <w:lang w:val="en-US"/>
        </w:rPr>
        <w:t xml:space="preserve">/ </w:t>
      </w:r>
      <w:r w:rsidR="00DB5BB7">
        <w:rPr>
          <w:rFonts w:cs="Arial"/>
        </w:rPr>
        <w:t>The state should p</w:t>
      </w:r>
      <w:r w:rsidR="00FC76E9">
        <w:rPr>
          <w:rFonts w:cs="Arial"/>
        </w:rPr>
        <w:t>rovide specific training on how to investigate and approach domestic violence cases to policemen and trial court judges across the country.</w:t>
      </w:r>
    </w:p>
    <w:p w:rsidR="00FC76E9" w:rsidRDefault="00FC76E9" w:rsidP="006B395A">
      <w:pPr>
        <w:rPr>
          <w:lang w:val="ka-GE"/>
        </w:rPr>
      </w:pPr>
    </w:p>
    <w:p w:rsidR="00650BCB" w:rsidRPr="008C59FA" w:rsidRDefault="00F50BB1" w:rsidP="008C59FA">
      <w:pPr>
        <w:rPr>
          <w:b/>
          <w:bCs/>
        </w:rPr>
      </w:pPr>
      <w:r>
        <w:rPr>
          <w:rFonts w:cs="Arial"/>
          <w:szCs w:val="22"/>
          <w:lang w:val="ka-GE"/>
        </w:rPr>
        <w:t>4</w:t>
      </w:r>
      <w:r>
        <w:rPr>
          <w:rFonts w:cs="Arial"/>
          <w:szCs w:val="22"/>
          <w:lang w:val="en-US"/>
        </w:rPr>
        <w:t>/</w:t>
      </w:r>
      <w:r w:rsidR="00FC76E9">
        <w:rPr>
          <w:rFonts w:cs="Arial"/>
          <w:szCs w:val="22"/>
          <w:lang w:val="ka-GE"/>
        </w:rPr>
        <w:t xml:space="preserve"> </w:t>
      </w:r>
      <w:r w:rsidR="00FC76E9">
        <w:rPr>
          <w:rFonts w:cs="Arial"/>
        </w:rPr>
        <w:t xml:space="preserve">Apply </w:t>
      </w:r>
      <w:r w:rsidR="00FC76E9">
        <w:rPr>
          <w:rFonts w:cs="AKolkhetyN"/>
        </w:rPr>
        <w:t>international instruments, such as Co</w:t>
      </w:r>
      <w:r w:rsidR="00582D3C">
        <w:rPr>
          <w:rFonts w:cs="AKolkhetyN"/>
        </w:rPr>
        <w:t>nvention</w:t>
      </w:r>
      <w:r w:rsidR="00FC76E9">
        <w:rPr>
          <w:rFonts w:cs="AKolkhetyN"/>
        </w:rPr>
        <w:t xml:space="preserve"> on the Elimination of </w:t>
      </w:r>
      <w:r w:rsidR="00582D3C">
        <w:rPr>
          <w:rFonts w:cs="AKolkhetyN"/>
        </w:rPr>
        <w:t xml:space="preserve">All Forms of </w:t>
      </w:r>
      <w:r w:rsidR="00FC76E9">
        <w:rPr>
          <w:rFonts w:cs="AKolkhetyN"/>
        </w:rPr>
        <w:t>Discri</w:t>
      </w:r>
      <w:r w:rsidR="00582D3C">
        <w:rPr>
          <w:rFonts w:cs="AKolkhetyN"/>
        </w:rPr>
        <w:t xml:space="preserve">mination Against Women (CEDAW) </w:t>
      </w:r>
      <w:proofErr w:type="spellStart"/>
      <w:r w:rsidR="00582D3C">
        <w:rPr>
          <w:rFonts w:cs="AKolkhetyN"/>
        </w:rPr>
        <w:t>i</w:t>
      </w:r>
      <w:r w:rsidR="00FC76E9">
        <w:rPr>
          <w:rFonts w:cs="AKolkhetyN"/>
        </w:rPr>
        <w:t>in</w:t>
      </w:r>
      <w:proofErr w:type="spellEnd"/>
      <w:r w:rsidR="00FC76E9">
        <w:rPr>
          <w:rFonts w:cs="AKolkhetyN"/>
        </w:rPr>
        <w:t xml:space="preserve"> court practice. </w:t>
      </w:r>
    </w:p>
    <w:p w:rsidR="00482499" w:rsidRPr="002040A8" w:rsidRDefault="00482499" w:rsidP="00195896">
      <w:pPr>
        <w:pStyle w:val="berschrift2"/>
        <w:rPr>
          <w:rFonts w:ascii="Times New Roman" w:hAnsi="Times New Roman"/>
          <w:sz w:val="24"/>
          <w:szCs w:val="24"/>
          <w:lang w:val="en-US"/>
        </w:rPr>
      </w:pPr>
      <w:bookmarkStart w:id="4" w:name="_Toc363492723"/>
      <w:r>
        <w:rPr>
          <w:lang w:val="en-US"/>
        </w:rPr>
        <w:lastRenderedPageBreak/>
        <w:t xml:space="preserve">HRC </w:t>
      </w:r>
      <w:r w:rsidR="00695907">
        <w:rPr>
          <w:lang w:val="en-US"/>
        </w:rPr>
        <w:t xml:space="preserve">Concluding </w:t>
      </w:r>
      <w:r>
        <w:rPr>
          <w:lang w:val="en-US"/>
        </w:rPr>
        <w:t>Observations</w:t>
      </w:r>
      <w:r w:rsidR="00695907">
        <w:rPr>
          <w:lang w:val="en-US"/>
        </w:rPr>
        <w:t>,</w:t>
      </w:r>
      <w:r>
        <w:rPr>
          <w:lang w:val="en-US"/>
        </w:rPr>
        <w:t xml:space="preserve"> Paragraph </w:t>
      </w:r>
      <w:r w:rsidR="00A73B4A">
        <w:rPr>
          <w:lang w:val="en-US"/>
        </w:rPr>
        <w:t>12:</w:t>
      </w:r>
      <w:r w:rsidRPr="002040A8">
        <w:rPr>
          <w:lang w:val="en-US"/>
        </w:rPr>
        <w:t xml:space="preserve"> Protection of the rights of IDPs (Article 12 and 26)</w:t>
      </w:r>
      <w:bookmarkEnd w:id="4"/>
    </w:p>
    <w:p w:rsidR="00482499" w:rsidRPr="00310CF0" w:rsidRDefault="00482499" w:rsidP="008C59FA">
      <w:pPr>
        <w:rPr>
          <w:szCs w:val="22"/>
          <w:lang w:val="en-US"/>
        </w:rPr>
      </w:pPr>
      <w:r w:rsidRPr="00310CF0">
        <w:rPr>
          <w:szCs w:val="22"/>
          <w:lang w:val="en-US"/>
        </w:rPr>
        <w:t xml:space="preserve">In the HRC Observations, Paragraph 12 highlighted </w:t>
      </w:r>
      <w:r w:rsidR="008A15A9">
        <w:rPr>
          <w:szCs w:val="22"/>
          <w:lang w:val="en-US"/>
        </w:rPr>
        <w:t>the problem of IDPs in Georgia.</w:t>
      </w:r>
      <w:r w:rsidRPr="00310CF0">
        <w:rPr>
          <w:szCs w:val="22"/>
        </w:rPr>
        <w:t xml:space="preserve">About 270.000 Internally Displaces Persons (IDPs) reside in Georgia. The majority of them fled their permanent places of residence due to conflicts in Abkhazia and South Ossetia during 1990s, while </w:t>
      </w:r>
      <w:proofErr w:type="gramStart"/>
      <w:r w:rsidRPr="00310CF0">
        <w:rPr>
          <w:szCs w:val="22"/>
        </w:rPr>
        <w:t>a far smaller proportion are</w:t>
      </w:r>
      <w:proofErr w:type="gramEnd"/>
      <w:r w:rsidRPr="00310CF0">
        <w:rPr>
          <w:szCs w:val="22"/>
        </w:rPr>
        <w:t xml:space="preserve"> the result of the Russian-Georgian War of 2008. </w:t>
      </w:r>
    </w:p>
    <w:p w:rsidR="00482499" w:rsidRPr="00310CF0" w:rsidRDefault="00482499" w:rsidP="008C59FA">
      <w:pPr>
        <w:rPr>
          <w:szCs w:val="22"/>
          <w:lang w:val="en-US"/>
        </w:rPr>
      </w:pPr>
    </w:p>
    <w:p w:rsidR="00482499" w:rsidRPr="00310CF0" w:rsidRDefault="00482499" w:rsidP="008C59FA">
      <w:pPr>
        <w:rPr>
          <w:szCs w:val="22"/>
        </w:rPr>
      </w:pPr>
      <w:r w:rsidRPr="00310CF0">
        <w:rPr>
          <w:szCs w:val="22"/>
        </w:rPr>
        <w:t>In December 2011,</w:t>
      </w:r>
      <w:r w:rsidRPr="00310CF0">
        <w:rPr>
          <w:szCs w:val="22"/>
          <w:lang w:val="ka-GE"/>
        </w:rPr>
        <w:t xml:space="preserve"> the Parliament of Georgia introduced </w:t>
      </w:r>
      <w:r w:rsidRPr="00310CF0">
        <w:rPr>
          <w:szCs w:val="22"/>
        </w:rPr>
        <w:t>new</w:t>
      </w:r>
      <w:r w:rsidRPr="00310CF0">
        <w:rPr>
          <w:szCs w:val="22"/>
          <w:lang w:val="ka-GE"/>
        </w:rPr>
        <w:t xml:space="preserve"> amendments to the "Law of Georgia on Forcably Displaced Persons – the </w:t>
      </w:r>
      <w:r w:rsidRPr="00310CF0">
        <w:rPr>
          <w:szCs w:val="22"/>
        </w:rPr>
        <w:t>“</w:t>
      </w:r>
      <w:r w:rsidRPr="00310CF0">
        <w:rPr>
          <w:szCs w:val="22"/>
          <w:lang w:val="ka-GE"/>
        </w:rPr>
        <w:t>Persecute</w:t>
      </w:r>
      <w:r w:rsidRPr="00310CF0">
        <w:rPr>
          <w:szCs w:val="22"/>
        </w:rPr>
        <w:t>d</w:t>
      </w:r>
      <w:r w:rsidR="00BB379B">
        <w:rPr>
          <w:szCs w:val="22"/>
        </w:rPr>
        <w:t>”</w:t>
      </w:r>
      <w:r w:rsidRPr="00310CF0">
        <w:rPr>
          <w:szCs w:val="22"/>
          <w:lang w:val="ka-GE"/>
        </w:rPr>
        <w:t>"</w:t>
      </w:r>
      <w:r w:rsidR="008C59FA" w:rsidRPr="00310CF0">
        <w:rPr>
          <w:szCs w:val="22"/>
          <w:lang w:val="en-US"/>
        </w:rPr>
        <w:t>.</w:t>
      </w:r>
      <w:r w:rsidRPr="00310CF0">
        <w:rPr>
          <w:szCs w:val="22"/>
        </w:rPr>
        <w:t xml:space="preserve">The new legislation changed the law to only recognize IDPs as people displaced from the occupied territories of Georgia. </w:t>
      </w:r>
    </w:p>
    <w:p w:rsidR="00482499" w:rsidRPr="00310CF0" w:rsidRDefault="00482499" w:rsidP="008C59FA">
      <w:pPr>
        <w:rPr>
          <w:szCs w:val="22"/>
        </w:rPr>
      </w:pPr>
    </w:p>
    <w:p w:rsidR="00482499" w:rsidRPr="00310CF0" w:rsidRDefault="00482499" w:rsidP="008C59FA">
      <w:pPr>
        <w:rPr>
          <w:szCs w:val="22"/>
        </w:rPr>
      </w:pPr>
      <w:r w:rsidRPr="00310CF0">
        <w:rPr>
          <w:szCs w:val="22"/>
        </w:rPr>
        <w:t>Unfortunately, some of the displaced people from the 2008 war lived outside of the occupied zone when circumstance forced them to leave and, while many of them could not return home, for security re</w:t>
      </w:r>
      <w:r w:rsidR="008C59FA" w:rsidRPr="00310CF0">
        <w:rPr>
          <w:szCs w:val="22"/>
        </w:rPr>
        <w:t xml:space="preserve">asons, they are not considered </w:t>
      </w:r>
      <w:r w:rsidRPr="00310CF0">
        <w:rPr>
          <w:szCs w:val="22"/>
        </w:rPr>
        <w:t>IDPs under the new law.</w:t>
      </w:r>
    </w:p>
    <w:p w:rsidR="00482499" w:rsidRPr="000C5FB2" w:rsidRDefault="00482499" w:rsidP="00482499"/>
    <w:p w:rsidR="00482499" w:rsidRPr="000C5FB2" w:rsidRDefault="00482499" w:rsidP="00482499">
      <w:pPr>
        <w:rPr>
          <w:rFonts w:cs="Sylfaen"/>
          <w:b/>
          <w:i/>
        </w:rPr>
      </w:pPr>
      <w:r w:rsidRPr="000C5FB2">
        <w:rPr>
          <w:rFonts w:cs="Sylfaen"/>
          <w:b/>
          <w:i/>
        </w:rPr>
        <w:t>Recommendations:</w:t>
      </w:r>
    </w:p>
    <w:p w:rsidR="00482499" w:rsidRPr="000C5FB2" w:rsidRDefault="00482499" w:rsidP="00482499">
      <w:pPr>
        <w:rPr>
          <w:b/>
          <w:bCs/>
        </w:rPr>
      </w:pPr>
      <w:r w:rsidRPr="000C5FB2">
        <w:t xml:space="preserve">Given the fact that there is no material difference between the </w:t>
      </w:r>
      <w:r w:rsidR="005A07AC">
        <w:t>internally displaced persons</w:t>
      </w:r>
      <w:r w:rsidRPr="000C5FB2">
        <w:t xml:space="preserve"> who originated on the occupied territory and those who did not, this provision should be corrected.</w:t>
      </w:r>
    </w:p>
    <w:p w:rsidR="00A73B4A" w:rsidRPr="008C59FA" w:rsidRDefault="00A73B4A" w:rsidP="00195896">
      <w:pPr>
        <w:pStyle w:val="berschrift2"/>
        <w:rPr>
          <w:lang w:val="en-US"/>
        </w:rPr>
      </w:pPr>
      <w:bookmarkStart w:id="5" w:name="_Toc363492724"/>
      <w:r>
        <w:rPr>
          <w:lang w:val="en-US"/>
        </w:rPr>
        <w:t xml:space="preserve">HRC </w:t>
      </w:r>
      <w:r w:rsidR="00FE4D11">
        <w:rPr>
          <w:lang w:val="en-US"/>
        </w:rPr>
        <w:t xml:space="preserve">Concluding </w:t>
      </w:r>
      <w:r>
        <w:rPr>
          <w:lang w:val="en-US"/>
        </w:rPr>
        <w:t>Observations</w:t>
      </w:r>
      <w:r w:rsidR="00FE4D11">
        <w:rPr>
          <w:lang w:val="en-US"/>
        </w:rPr>
        <w:t>,</w:t>
      </w:r>
      <w:r>
        <w:rPr>
          <w:lang w:val="en-US"/>
        </w:rPr>
        <w:t xml:space="preserve"> Paragraph </w:t>
      </w:r>
      <w:r w:rsidRPr="002040A8">
        <w:rPr>
          <w:lang w:val="en-US"/>
        </w:rPr>
        <w:t>15</w:t>
      </w:r>
      <w:r w:rsidR="00A70AB5">
        <w:rPr>
          <w:lang w:val="en-US"/>
        </w:rPr>
        <w:t>:</w:t>
      </w:r>
      <w:r w:rsidR="003B3966">
        <w:rPr>
          <w:lang w:val="en-US"/>
        </w:rPr>
        <w:t xml:space="preserve"> </w:t>
      </w:r>
      <w:r w:rsidR="002D1DC1">
        <w:rPr>
          <w:lang w:val="en-US"/>
        </w:rPr>
        <w:t xml:space="preserve">Religious </w:t>
      </w:r>
      <w:r>
        <w:rPr>
          <w:lang w:val="en-US"/>
        </w:rPr>
        <w:t xml:space="preserve">Discrimination </w:t>
      </w:r>
      <w:r w:rsidRPr="002040A8">
        <w:rPr>
          <w:lang w:val="en-US"/>
        </w:rPr>
        <w:t>(article 18)</w:t>
      </w:r>
      <w:bookmarkEnd w:id="5"/>
    </w:p>
    <w:p w:rsidR="00A73B4A" w:rsidRDefault="00A73B4A" w:rsidP="00A73B4A">
      <w:r>
        <w:t xml:space="preserve">Paragraph 15 of the HRC observations discusses discrimination on the basis of religion. In particular, the committee highlights the fact that only the Georgian Orthodox church can register as an LEPL, and this may lead to discrimination. They also express concern because land that was confiscated by the state in Soviet </w:t>
      </w:r>
      <w:proofErr w:type="gramStart"/>
      <w:r>
        <w:t>times,</w:t>
      </w:r>
      <w:proofErr w:type="gramEnd"/>
      <w:r>
        <w:t xml:space="preserve"> has not been returned by the state to the non-Georgian Orthodox religions that previously owned it.</w:t>
      </w:r>
    </w:p>
    <w:p w:rsidR="00A73B4A" w:rsidRDefault="00A73B4A" w:rsidP="00A73B4A"/>
    <w:p w:rsidR="00A73B4A" w:rsidRDefault="00A73B4A" w:rsidP="00A73B4A">
      <w:r>
        <w:t xml:space="preserve">On the issue of legal status, mentioned by the HRC Observations, the situation has improved. Amendments to the Civil Code of Georgia, allow religious </w:t>
      </w:r>
      <w:r w:rsidR="00CD200F">
        <w:t>organizations</w:t>
      </w:r>
      <w:r>
        <w:t xml:space="preserve"> to be registered as legal entities of public law (LEPL) if they have historical ties with Georgia, or if they are recognized as a religion by the member states of the Council of Europe.     </w:t>
      </w:r>
    </w:p>
    <w:p w:rsidR="00A73B4A" w:rsidRDefault="00A73B4A" w:rsidP="00A73B4A"/>
    <w:p w:rsidR="00A73B4A" w:rsidRDefault="00A73B4A" w:rsidP="00A73B4A">
      <w:r>
        <w:t xml:space="preserve">However, on their second concern, the religious property of minorities confiscated during the Soviet Union has often still not been restored to its original owners. This is one of the most acute barriers to greater cross-religious harmony. This issue is consistently raised by the Ombudsman as well as local and international human rights organizations.     </w:t>
      </w:r>
    </w:p>
    <w:p w:rsidR="00A73B4A" w:rsidRDefault="00A73B4A" w:rsidP="00A73B4A"/>
    <w:p w:rsidR="00A73B4A" w:rsidRDefault="00A73B4A" w:rsidP="00A73B4A">
      <w:r>
        <w:t xml:space="preserve">This is a clear infringement of the cultural rights of religious minorities. In addition, as the original owners do not have control over the assets, there are instances where the interior or the exterior of a disputed religious building is being altered and the buildings can lose their original architectural and religious appearance as the result of the works. </w:t>
      </w:r>
    </w:p>
    <w:p w:rsidR="00A73B4A" w:rsidRDefault="00A73B4A" w:rsidP="00A73B4A"/>
    <w:p w:rsidR="00A73B4A" w:rsidRDefault="00A73B4A" w:rsidP="00A73B4A">
      <w:r>
        <w:t>In addition to these two issues, the rights of religious minorities are infringed in a range of other ways. Perhaps most seriously, the religious rights of minorities are regularly attacked, both physically and verbally and religious institutions of minorities are regularly defaced. At times law enforcement agencies do not adequately investigate crimes against religious minorities. Often investigations involving crimes against religious minorities are delayed and</w:t>
      </w:r>
      <w:r w:rsidR="009201F1">
        <w:t>/</w:t>
      </w:r>
      <w:r w:rsidR="008C59FA">
        <w:t>or not treated seriously enough</w:t>
      </w:r>
      <w:r>
        <w:t xml:space="preserve">.  The recent acts of violence by the adherents of the Georgian Orthodox Church against religious minorities in the villages of </w:t>
      </w:r>
      <w:proofErr w:type="spellStart"/>
      <w:r>
        <w:t>Nigvziani</w:t>
      </w:r>
      <w:proofErr w:type="spellEnd"/>
      <w:r>
        <w:t xml:space="preserve"> and </w:t>
      </w:r>
      <w:proofErr w:type="spellStart"/>
      <w:proofErr w:type="gramStart"/>
      <w:r>
        <w:t>Tsintskaro</w:t>
      </w:r>
      <w:proofErr w:type="spellEnd"/>
      <w:r>
        <w:t>,</w:t>
      </w:r>
      <w:proofErr w:type="gramEnd"/>
      <w:r>
        <w:t xml:space="preserve"> are a useful example </w:t>
      </w:r>
      <w:r w:rsidR="000A4051">
        <w:t>that</w:t>
      </w:r>
      <w:r>
        <w:t xml:space="preserve"> the state </w:t>
      </w:r>
      <w:r w:rsidR="000A4051">
        <w:t>did not ensure effective protection of</w:t>
      </w:r>
      <w:r>
        <w:t xml:space="preserve"> the rights of the minority.      </w:t>
      </w:r>
    </w:p>
    <w:p w:rsidR="00A73B4A" w:rsidRDefault="00A73B4A" w:rsidP="00A73B4A"/>
    <w:p w:rsidR="00A73B4A" w:rsidRDefault="00A73B4A" w:rsidP="00A73B4A">
      <w:r>
        <w:lastRenderedPageBreak/>
        <w:t xml:space="preserve">There is little concerted effort by the state to combat the ignorance regarding minority religions. The principle of religious neutrality is not ensured in schools. Georgian Law forbids </w:t>
      </w:r>
      <w:proofErr w:type="spellStart"/>
      <w:r>
        <w:t>proselytism</w:t>
      </w:r>
      <w:proofErr w:type="spellEnd"/>
      <w:r>
        <w:t>, indoctrination, display of religious symbols for non-academic purposes</w:t>
      </w:r>
      <w:r w:rsidR="006D3DA4">
        <w:t xml:space="preserve"> and</w:t>
      </w:r>
      <w:r>
        <w:t xml:space="preserve"> the engagement of children in religious rituals. However, such activities are common-place. For example, there are Georgian Orthodox Church religious buildings and places of worship on school grounds and sometimes religious literature is distributed by them. In addition, the religious interests of certain minority groups are disregarded while setting up a school calendar, scheduling centralized examinations and Olympiads, and when making up missed classes.      </w:t>
      </w:r>
    </w:p>
    <w:p w:rsidR="00A73B4A" w:rsidRDefault="00A73B4A" w:rsidP="00A73B4A"/>
    <w:p w:rsidR="00A73B4A" w:rsidRDefault="00A73B4A" w:rsidP="00A73B4A">
      <w:r>
        <w:t>The schoolbooks used by secondary schools often fail to reflect the existence of religious and ethnic diversity. Starting on 15 March 2010, publishers of schoolbooks have been required to creat</w:t>
      </w:r>
      <w:r w:rsidR="003B3966">
        <w:t>e anti-discrimination textbooks;</w:t>
      </w:r>
      <w:r>
        <w:t xml:space="preserve"> however, this requirement was abolished on 25 February 2011.</w:t>
      </w:r>
    </w:p>
    <w:p w:rsidR="00A73B4A" w:rsidRDefault="00A73B4A" w:rsidP="00A73B4A"/>
    <w:p w:rsidR="00A73B4A" w:rsidRDefault="00A73B4A" w:rsidP="00A73B4A">
      <w:r>
        <w:t xml:space="preserve">Perhaps the most obvious sign of the strong inclination of the state in favour of the Georgian Orthodox </w:t>
      </w:r>
      <w:proofErr w:type="gramStart"/>
      <w:r>
        <w:t>church,</w:t>
      </w:r>
      <w:proofErr w:type="gramEnd"/>
      <w:r>
        <w:t xml:space="preserve"> is th</w:t>
      </w:r>
      <w:r w:rsidR="000A4051">
        <w:t>e budgetary support they provide</w:t>
      </w:r>
      <w:r>
        <w:t>. T</w:t>
      </w:r>
      <w:r w:rsidRPr="00DE4884">
        <w:t xml:space="preserve">he </w:t>
      </w:r>
      <w:r>
        <w:t xml:space="preserve">Georgian tax code </w:t>
      </w:r>
      <w:r w:rsidR="008C59FA">
        <w:t xml:space="preserve">also </w:t>
      </w:r>
      <w:proofErr w:type="spellStart"/>
      <w:r>
        <w:t>favors</w:t>
      </w:r>
      <w:proofErr w:type="spellEnd"/>
      <w:r>
        <w:t xml:space="preserve"> the Georgian Orthodox </w:t>
      </w:r>
      <w:r w:rsidRPr="00994841">
        <w:t xml:space="preserve">Church </w:t>
      </w:r>
      <w:r>
        <w:t>over</w:t>
      </w:r>
      <w:r w:rsidRPr="00994841">
        <w:t xml:space="preserve"> othe</w:t>
      </w:r>
      <w:r>
        <w:t xml:space="preserve">r religious groups. The state makes annual allocation for maintenance of cultural heritage. However, religious minorities do not receive enough funding to maintain their place of worship. </w:t>
      </w:r>
    </w:p>
    <w:p w:rsidR="00A73B4A" w:rsidRDefault="00A73B4A" w:rsidP="00A73B4A"/>
    <w:p w:rsidR="00A73B4A" w:rsidRPr="00513FF9" w:rsidRDefault="00A73B4A" w:rsidP="00A73B4A">
      <w:pPr>
        <w:rPr>
          <w:b/>
          <w:i/>
        </w:rPr>
      </w:pPr>
      <w:r w:rsidRPr="00513FF9">
        <w:rPr>
          <w:b/>
          <w:i/>
        </w:rPr>
        <w:t>Recommendations</w:t>
      </w:r>
    </w:p>
    <w:p w:rsidR="000930E8" w:rsidRDefault="000930E8" w:rsidP="000930E8">
      <w:pPr>
        <w:rPr>
          <w:szCs w:val="22"/>
        </w:rPr>
      </w:pPr>
      <w:r>
        <w:rPr>
          <w:szCs w:val="22"/>
        </w:rPr>
        <w:t xml:space="preserve">1/ </w:t>
      </w:r>
      <w:proofErr w:type="gramStart"/>
      <w:r w:rsidR="00A73B4A" w:rsidRPr="000930E8">
        <w:rPr>
          <w:szCs w:val="22"/>
        </w:rPr>
        <w:t>The</w:t>
      </w:r>
      <w:proofErr w:type="gramEnd"/>
      <w:r w:rsidR="00A73B4A" w:rsidRPr="000930E8">
        <w:rPr>
          <w:szCs w:val="22"/>
        </w:rPr>
        <w:t xml:space="preserve"> state shall </w:t>
      </w:r>
      <w:r w:rsidR="008A4E83">
        <w:rPr>
          <w:szCs w:val="22"/>
        </w:rPr>
        <w:t xml:space="preserve">provide proportional funding to all religious institutions; </w:t>
      </w:r>
    </w:p>
    <w:p w:rsidR="008A4E83" w:rsidRDefault="008A4E83" w:rsidP="000930E8">
      <w:pPr>
        <w:rPr>
          <w:szCs w:val="22"/>
        </w:rPr>
      </w:pPr>
    </w:p>
    <w:p w:rsidR="00A73B4A" w:rsidRPr="000930E8" w:rsidRDefault="000930E8" w:rsidP="000930E8">
      <w:pPr>
        <w:rPr>
          <w:szCs w:val="22"/>
        </w:rPr>
      </w:pPr>
      <w:r>
        <w:rPr>
          <w:szCs w:val="22"/>
        </w:rPr>
        <w:t xml:space="preserve">2/ </w:t>
      </w:r>
      <w:r w:rsidR="007F4E10">
        <w:rPr>
          <w:szCs w:val="22"/>
        </w:rPr>
        <w:t xml:space="preserve">The </w:t>
      </w:r>
      <w:r w:rsidR="00A73B4A" w:rsidRPr="000930E8">
        <w:rPr>
          <w:szCs w:val="22"/>
        </w:rPr>
        <w:t>Georgian Parliament shall amend tax legislation of Georgia to ensure equal taxation to all religious organizations. This entails:</w:t>
      </w:r>
      <w:r w:rsidR="00A73B4A" w:rsidRPr="000930E8">
        <w:rPr>
          <w:szCs w:val="22"/>
        </w:rPr>
        <w:tab/>
      </w:r>
    </w:p>
    <w:p w:rsidR="000930E8" w:rsidRDefault="000930E8" w:rsidP="000930E8">
      <w:pPr>
        <w:rPr>
          <w:szCs w:val="22"/>
        </w:rPr>
      </w:pPr>
    </w:p>
    <w:p w:rsidR="00A73B4A" w:rsidRPr="000930E8" w:rsidRDefault="000930E8" w:rsidP="000930E8">
      <w:pPr>
        <w:rPr>
          <w:szCs w:val="22"/>
        </w:rPr>
      </w:pPr>
      <w:r>
        <w:rPr>
          <w:szCs w:val="22"/>
        </w:rPr>
        <w:t xml:space="preserve">3/ </w:t>
      </w:r>
      <w:r w:rsidR="00A73B4A" w:rsidRPr="000930E8">
        <w:rPr>
          <w:szCs w:val="22"/>
        </w:rPr>
        <w:t>Free all religious organizations equally from property tax</w:t>
      </w:r>
      <w:r w:rsidR="000C4E27">
        <w:rPr>
          <w:szCs w:val="22"/>
        </w:rPr>
        <w:t>;</w:t>
      </w:r>
    </w:p>
    <w:p w:rsidR="000930E8" w:rsidRDefault="000930E8" w:rsidP="000930E8">
      <w:pPr>
        <w:rPr>
          <w:szCs w:val="22"/>
        </w:rPr>
      </w:pPr>
    </w:p>
    <w:p w:rsidR="00A73B4A" w:rsidRPr="000930E8" w:rsidRDefault="000930E8" w:rsidP="000930E8">
      <w:pPr>
        <w:rPr>
          <w:szCs w:val="22"/>
        </w:rPr>
      </w:pPr>
      <w:r>
        <w:rPr>
          <w:szCs w:val="22"/>
        </w:rPr>
        <w:t xml:space="preserve">4/ </w:t>
      </w:r>
      <w:r w:rsidR="00A73B4A" w:rsidRPr="000930E8">
        <w:rPr>
          <w:szCs w:val="22"/>
        </w:rPr>
        <w:t>Construction, restoration, and interior painting of churches and places of worship carried out on the basis of a contract with any religious organization shall be free from Value Added Tax</w:t>
      </w:r>
      <w:r w:rsidR="000C4E27">
        <w:rPr>
          <w:szCs w:val="22"/>
        </w:rPr>
        <w:t>;</w:t>
      </w:r>
    </w:p>
    <w:p w:rsidR="000930E8" w:rsidRDefault="000930E8" w:rsidP="000930E8">
      <w:pPr>
        <w:rPr>
          <w:szCs w:val="22"/>
        </w:rPr>
      </w:pPr>
    </w:p>
    <w:p w:rsidR="00A73B4A" w:rsidRPr="000930E8" w:rsidRDefault="000930E8" w:rsidP="000930E8">
      <w:pPr>
        <w:rPr>
          <w:szCs w:val="22"/>
        </w:rPr>
      </w:pPr>
      <w:r>
        <w:rPr>
          <w:szCs w:val="22"/>
        </w:rPr>
        <w:t xml:space="preserve">5/ </w:t>
      </w:r>
      <w:proofErr w:type="gramStart"/>
      <w:r w:rsidR="00A73B4A" w:rsidRPr="000930E8">
        <w:rPr>
          <w:szCs w:val="22"/>
        </w:rPr>
        <w:t>To</w:t>
      </w:r>
      <w:proofErr w:type="gramEnd"/>
      <w:r w:rsidR="00A73B4A" w:rsidRPr="000930E8">
        <w:rPr>
          <w:szCs w:val="22"/>
        </w:rPr>
        <w:t xml:space="preserve"> the extent possible, ensure adequate conditions for religious practices by adherents of various religious organizations in the penitentiary establishment</w:t>
      </w:r>
      <w:r w:rsidR="00423F25">
        <w:rPr>
          <w:szCs w:val="22"/>
        </w:rPr>
        <w:t>s</w:t>
      </w:r>
      <w:r w:rsidR="000C4E27">
        <w:rPr>
          <w:szCs w:val="22"/>
        </w:rPr>
        <w:t>.</w:t>
      </w:r>
    </w:p>
    <w:p w:rsidR="000930E8" w:rsidRDefault="000930E8" w:rsidP="000930E8">
      <w:pPr>
        <w:rPr>
          <w:szCs w:val="22"/>
        </w:rPr>
      </w:pPr>
    </w:p>
    <w:p w:rsidR="00A73B4A" w:rsidRPr="000930E8" w:rsidRDefault="000930E8" w:rsidP="000930E8">
      <w:pPr>
        <w:rPr>
          <w:szCs w:val="22"/>
        </w:rPr>
      </w:pPr>
      <w:r>
        <w:rPr>
          <w:szCs w:val="22"/>
        </w:rPr>
        <w:t xml:space="preserve">6/ </w:t>
      </w:r>
      <w:r w:rsidR="00A73B4A" w:rsidRPr="000930E8">
        <w:rPr>
          <w:szCs w:val="22"/>
        </w:rPr>
        <w:t>Ensure access</w:t>
      </w:r>
      <w:r>
        <w:rPr>
          <w:szCs w:val="22"/>
        </w:rPr>
        <w:t xml:space="preserve"> to prisons for the clergy of</w:t>
      </w:r>
      <w:r w:rsidR="00340018">
        <w:rPr>
          <w:szCs w:val="22"/>
        </w:rPr>
        <w:t xml:space="preserve"> all religions</w:t>
      </w:r>
      <w:r w:rsidR="000C4E27">
        <w:rPr>
          <w:szCs w:val="22"/>
        </w:rPr>
        <w:t xml:space="preserve">. </w:t>
      </w:r>
    </w:p>
    <w:p w:rsidR="000930E8" w:rsidRDefault="000930E8" w:rsidP="000930E8">
      <w:pPr>
        <w:rPr>
          <w:szCs w:val="22"/>
        </w:rPr>
      </w:pPr>
    </w:p>
    <w:p w:rsidR="00A73B4A" w:rsidRPr="000930E8" w:rsidRDefault="000930E8" w:rsidP="000930E8">
      <w:pPr>
        <w:rPr>
          <w:szCs w:val="22"/>
        </w:rPr>
      </w:pPr>
      <w:r>
        <w:rPr>
          <w:szCs w:val="22"/>
        </w:rPr>
        <w:t xml:space="preserve">7/ </w:t>
      </w:r>
      <w:r w:rsidR="00A73B4A" w:rsidRPr="000930E8">
        <w:rPr>
          <w:szCs w:val="22"/>
        </w:rPr>
        <w:t xml:space="preserve">Law enforcement agencies shall ensure proper qualification and timely and effective investigation of religious crimes. If officers fail to thoroughly investigate religious based crimes, disciplinary action </w:t>
      </w:r>
      <w:r w:rsidR="00340018">
        <w:rPr>
          <w:szCs w:val="22"/>
        </w:rPr>
        <w:t>shall</w:t>
      </w:r>
      <w:r w:rsidR="00743682">
        <w:rPr>
          <w:szCs w:val="22"/>
        </w:rPr>
        <w:t xml:space="preserve"> be taken</w:t>
      </w:r>
      <w:r w:rsidR="000C4E27">
        <w:rPr>
          <w:szCs w:val="22"/>
        </w:rPr>
        <w:t xml:space="preserve">. </w:t>
      </w:r>
    </w:p>
    <w:p w:rsidR="000930E8" w:rsidRDefault="000930E8" w:rsidP="000930E8">
      <w:pPr>
        <w:rPr>
          <w:szCs w:val="22"/>
        </w:rPr>
      </w:pPr>
    </w:p>
    <w:p w:rsidR="00A73B4A" w:rsidRPr="000930E8" w:rsidRDefault="000930E8" w:rsidP="000930E8">
      <w:pPr>
        <w:rPr>
          <w:szCs w:val="22"/>
        </w:rPr>
      </w:pPr>
      <w:r>
        <w:rPr>
          <w:szCs w:val="22"/>
        </w:rPr>
        <w:t xml:space="preserve">8/ </w:t>
      </w:r>
      <w:r w:rsidR="00A73B4A" w:rsidRPr="000930E8">
        <w:rPr>
          <w:szCs w:val="22"/>
        </w:rPr>
        <w:t>The Government of Georgia shall expediently restore the requirement of schoolbooks reflecting</w:t>
      </w:r>
      <w:r w:rsidR="00102E89">
        <w:rPr>
          <w:szCs w:val="22"/>
        </w:rPr>
        <w:t xml:space="preserve"> religious and ethnic diversity</w:t>
      </w:r>
      <w:r w:rsidR="000C4E27">
        <w:rPr>
          <w:szCs w:val="22"/>
        </w:rPr>
        <w:t xml:space="preserve">. </w:t>
      </w:r>
    </w:p>
    <w:p w:rsidR="000930E8" w:rsidRDefault="000930E8" w:rsidP="000930E8">
      <w:pPr>
        <w:rPr>
          <w:szCs w:val="22"/>
        </w:rPr>
      </w:pPr>
    </w:p>
    <w:p w:rsidR="00A73B4A" w:rsidRPr="000930E8" w:rsidRDefault="000930E8" w:rsidP="000930E8">
      <w:pPr>
        <w:rPr>
          <w:szCs w:val="22"/>
        </w:rPr>
      </w:pPr>
      <w:r>
        <w:rPr>
          <w:szCs w:val="22"/>
        </w:rPr>
        <w:t xml:space="preserve">9/ </w:t>
      </w:r>
      <w:proofErr w:type="gramStart"/>
      <w:r w:rsidR="00A73B4A" w:rsidRPr="000930E8">
        <w:rPr>
          <w:szCs w:val="22"/>
        </w:rPr>
        <w:t>The</w:t>
      </w:r>
      <w:proofErr w:type="gramEnd"/>
      <w:r w:rsidR="00A73B4A" w:rsidRPr="000930E8">
        <w:rPr>
          <w:szCs w:val="22"/>
        </w:rPr>
        <w:t xml:space="preserve"> state shall identify instances of violation of religious neutrality in public schools and shall implement measures to eradicate such cases. The state shall ensure adequate follow-up to the cases of disciplinary violation as well as to tho</w:t>
      </w:r>
      <w:r w:rsidR="00425EA8">
        <w:rPr>
          <w:szCs w:val="22"/>
        </w:rPr>
        <w:t>se containing features of crime</w:t>
      </w:r>
      <w:r w:rsidR="00CB2731">
        <w:rPr>
          <w:szCs w:val="22"/>
        </w:rPr>
        <w:t xml:space="preserve">. </w:t>
      </w:r>
    </w:p>
    <w:p w:rsidR="000930E8" w:rsidRDefault="000930E8" w:rsidP="000930E8">
      <w:pPr>
        <w:rPr>
          <w:szCs w:val="22"/>
        </w:rPr>
      </w:pPr>
    </w:p>
    <w:p w:rsidR="00A73B4A" w:rsidRPr="000930E8" w:rsidRDefault="000930E8" w:rsidP="000930E8">
      <w:pPr>
        <w:rPr>
          <w:szCs w:val="22"/>
        </w:rPr>
      </w:pPr>
      <w:r>
        <w:rPr>
          <w:szCs w:val="22"/>
        </w:rPr>
        <w:t xml:space="preserve">10/ </w:t>
      </w:r>
      <w:r w:rsidR="00A73B4A" w:rsidRPr="000930E8">
        <w:rPr>
          <w:szCs w:val="22"/>
        </w:rPr>
        <w:t>Secondary schools and institutions of higher education shall consider religious interests of their pupils and students when</w:t>
      </w:r>
      <w:r w:rsidR="00BD50E5">
        <w:rPr>
          <w:szCs w:val="22"/>
        </w:rPr>
        <w:t xml:space="preserve"> designing an academic calendar</w:t>
      </w:r>
      <w:r w:rsidR="00CB2731">
        <w:rPr>
          <w:szCs w:val="22"/>
        </w:rPr>
        <w:t xml:space="preserve">. </w:t>
      </w:r>
    </w:p>
    <w:p w:rsidR="00310CF0" w:rsidRDefault="00310CF0" w:rsidP="000930E8">
      <w:pPr>
        <w:rPr>
          <w:szCs w:val="22"/>
        </w:rPr>
      </w:pPr>
    </w:p>
    <w:p w:rsidR="00A73B4A" w:rsidRPr="000930E8" w:rsidRDefault="000930E8" w:rsidP="000930E8">
      <w:pPr>
        <w:rPr>
          <w:szCs w:val="22"/>
        </w:rPr>
      </w:pPr>
      <w:r>
        <w:rPr>
          <w:szCs w:val="22"/>
        </w:rPr>
        <w:t xml:space="preserve">11/ </w:t>
      </w:r>
      <w:r w:rsidR="00A73B4A" w:rsidRPr="000930E8">
        <w:rPr>
          <w:szCs w:val="22"/>
        </w:rPr>
        <w:t>Within the short period of time the government shall present a detailed action plan on maintenance and return of the so-called disputed religious buildings and places of worsh</w:t>
      </w:r>
      <w:r w:rsidR="00BD50E5">
        <w:rPr>
          <w:szCs w:val="22"/>
        </w:rPr>
        <w:t>ip to their historic successors</w:t>
      </w:r>
      <w:r w:rsidR="00DA7B24">
        <w:rPr>
          <w:szCs w:val="22"/>
        </w:rPr>
        <w:t xml:space="preserve">. </w:t>
      </w:r>
    </w:p>
    <w:p w:rsidR="000930E8" w:rsidRDefault="000930E8" w:rsidP="00A73B4A"/>
    <w:p w:rsidR="00A73B4A" w:rsidRDefault="000930E8" w:rsidP="00A73B4A">
      <w:r>
        <w:lastRenderedPageBreak/>
        <w:t xml:space="preserve">12/ </w:t>
      </w:r>
      <w:proofErr w:type="gramStart"/>
      <w:r w:rsidR="00A73B4A" w:rsidRPr="00084789">
        <w:t>The</w:t>
      </w:r>
      <w:proofErr w:type="gramEnd"/>
      <w:r w:rsidR="00A73B4A" w:rsidRPr="00084789">
        <w:t xml:space="preserve"> state shall give equal consideration to the needs of maintenance and restoration of religious buildings belonging to all religious organizations. Besides, their interior and exterior shall not be altered in a way that they lose their architectural or religious appearance. </w:t>
      </w:r>
    </w:p>
    <w:p w:rsidR="00EF393A" w:rsidRDefault="00EF393A" w:rsidP="00195896">
      <w:pPr>
        <w:pStyle w:val="berschrift2"/>
        <w:rPr>
          <w:lang w:val="en-US"/>
        </w:rPr>
      </w:pPr>
      <w:bookmarkStart w:id="6" w:name="_Toc363492725"/>
      <w:r>
        <w:rPr>
          <w:lang w:val="en-US"/>
        </w:rPr>
        <w:t xml:space="preserve">HRC </w:t>
      </w:r>
      <w:r w:rsidR="001305CD">
        <w:rPr>
          <w:lang w:val="en-US"/>
        </w:rPr>
        <w:t xml:space="preserve">Concluding </w:t>
      </w:r>
      <w:r>
        <w:rPr>
          <w:lang w:val="en-US"/>
        </w:rPr>
        <w:t>Observations</w:t>
      </w:r>
      <w:r w:rsidR="00205CA2">
        <w:rPr>
          <w:lang w:val="en-US"/>
        </w:rPr>
        <w:t>,</w:t>
      </w:r>
      <w:r>
        <w:rPr>
          <w:lang w:val="en-US"/>
        </w:rPr>
        <w:t xml:space="preserve"> Paragraph </w:t>
      </w:r>
      <w:r w:rsidRPr="002040A8">
        <w:rPr>
          <w:lang w:val="en-US"/>
        </w:rPr>
        <w:t>17</w:t>
      </w:r>
      <w:r w:rsidR="00A70AB5">
        <w:rPr>
          <w:lang w:val="en-US"/>
        </w:rPr>
        <w:t>: Obstacles Facing M</w:t>
      </w:r>
      <w:r w:rsidRPr="002040A8">
        <w:rPr>
          <w:lang w:val="en-US"/>
        </w:rPr>
        <w:t>inorities (</w:t>
      </w:r>
      <w:r w:rsidR="00A70AB5">
        <w:rPr>
          <w:lang w:val="en-US"/>
        </w:rPr>
        <w:t xml:space="preserve">Articles </w:t>
      </w:r>
      <w:r w:rsidRPr="002040A8">
        <w:rPr>
          <w:lang w:val="en-US"/>
        </w:rPr>
        <w:t>25 and 26)</w:t>
      </w:r>
      <w:bookmarkEnd w:id="6"/>
    </w:p>
    <w:p w:rsidR="00EF393A" w:rsidRPr="000930E8" w:rsidRDefault="00453D88" w:rsidP="000930E8">
      <w:r w:rsidRPr="000930E8">
        <w:t xml:space="preserve">Paragraph 17 of the HRC </w:t>
      </w:r>
      <w:r w:rsidR="00F21FBD">
        <w:t xml:space="preserve">concluding </w:t>
      </w:r>
      <w:r w:rsidRPr="000930E8">
        <w:t>observation</w:t>
      </w:r>
      <w:r w:rsidR="00A53AB4">
        <w:t>s</w:t>
      </w:r>
      <w:r w:rsidRPr="000930E8">
        <w:t>, relates to the treatment of national minorities. The Committee express concerns about the ability of national minorities to enjoy their cultural rights, their low level of representation in politics and the possibility that low levels of Georgian language knowledge in certain ethnic groups might amount to marginalisation.</w:t>
      </w:r>
    </w:p>
    <w:p w:rsidR="00453D88" w:rsidRPr="000930E8" w:rsidRDefault="00453D88" w:rsidP="000930E8"/>
    <w:p w:rsidR="00453D88" w:rsidRPr="000930E8" w:rsidRDefault="00453D88" w:rsidP="000930E8">
      <w:r w:rsidRPr="000930E8">
        <w:t>All of these issues continue to be a problem. Although the Ministry of Education and Science of Georgia implements special programs, the committee</w:t>
      </w:r>
      <w:r w:rsidR="002555FE">
        <w:t>’s concern</w:t>
      </w:r>
      <w:r w:rsidRPr="000930E8">
        <w:t xml:space="preserve"> that large number of national minorities residing in </w:t>
      </w:r>
      <w:proofErr w:type="spellStart"/>
      <w:r w:rsidRPr="000930E8">
        <w:t>Samtskhe-Javakheti</w:t>
      </w:r>
      <w:proofErr w:type="spellEnd"/>
      <w:r w:rsidRPr="000930E8">
        <w:t xml:space="preserve"> and </w:t>
      </w:r>
      <w:proofErr w:type="spellStart"/>
      <w:r w:rsidRPr="000930E8">
        <w:t>Kvemo</w:t>
      </w:r>
      <w:proofErr w:type="spellEnd"/>
      <w:r w:rsidR="003B3966">
        <w:t xml:space="preserve"> </w:t>
      </w:r>
      <w:proofErr w:type="spellStart"/>
      <w:r w:rsidRPr="000930E8">
        <w:t>Kartli</w:t>
      </w:r>
      <w:proofErr w:type="spellEnd"/>
      <w:r w:rsidRPr="000930E8">
        <w:t xml:space="preserve"> regions, as well as Azeri minorities densely populated in villages of </w:t>
      </w:r>
      <w:proofErr w:type="spellStart"/>
      <w:r w:rsidRPr="000930E8">
        <w:t>Kakheti</w:t>
      </w:r>
      <w:proofErr w:type="spellEnd"/>
      <w:r w:rsidRPr="000930E8">
        <w:t xml:space="preserve"> region still cannot communicate in the Georgian language</w:t>
      </w:r>
      <w:r w:rsidR="001F48E6">
        <w:t>,</w:t>
      </w:r>
      <w:r w:rsidR="002555FE">
        <w:t xml:space="preserve"> is correct</w:t>
      </w:r>
      <w:r w:rsidRPr="000930E8">
        <w:t>. An inability to speak Georgia</w:t>
      </w:r>
      <w:r w:rsidR="0026760D">
        <w:t>n</w:t>
      </w:r>
      <w:r w:rsidRPr="000930E8">
        <w:t xml:space="preserve"> impedes their proper civic integration.  </w:t>
      </w:r>
    </w:p>
    <w:p w:rsidR="00453D88" w:rsidRPr="000930E8" w:rsidRDefault="00453D88" w:rsidP="000930E8"/>
    <w:p w:rsidR="00EF393A" w:rsidRPr="000930E8" w:rsidRDefault="00453D88" w:rsidP="000930E8">
      <w:r w:rsidRPr="000930E8">
        <w:t>In order to increase the knowledge of Georgian, it is clearly necessary to make high quality Georgian language instruction available to anyone who wants it. However, pre-school Georgian language facilities for non-Georgian speakers are inaccessible and low quality</w:t>
      </w:r>
      <w:r w:rsidR="00EF393A" w:rsidRPr="000930E8">
        <w:t xml:space="preserve">. </w:t>
      </w:r>
    </w:p>
    <w:p w:rsidR="00EF393A" w:rsidRPr="000930E8" w:rsidRDefault="00EF393A" w:rsidP="000930E8"/>
    <w:p w:rsidR="00337C16" w:rsidRPr="000930E8" w:rsidRDefault="006F3A46" w:rsidP="000930E8">
      <w:r w:rsidRPr="000930E8">
        <w:t>In addition to their need to learn Ge</w:t>
      </w:r>
      <w:r w:rsidR="000930E8">
        <w:t>orgian, m</w:t>
      </w:r>
      <w:r w:rsidR="00EF393A" w:rsidRPr="000930E8">
        <w:t xml:space="preserve">aintaining their native language is </w:t>
      </w:r>
      <w:r w:rsidRPr="000930E8">
        <w:t>a significant concern</w:t>
      </w:r>
      <w:r w:rsidR="00EF393A" w:rsidRPr="000930E8">
        <w:t xml:space="preserve"> facing the national minorities living in Georgia. In accordance with the Law of Georgia on General Education</w:t>
      </w:r>
      <w:r w:rsidR="004F4341">
        <w:t>,</w:t>
      </w:r>
      <w:r w:rsidR="003B3966">
        <w:t xml:space="preserve"> </w:t>
      </w:r>
      <w:r w:rsidR="004F4341">
        <w:t>c</w:t>
      </w:r>
      <w:r w:rsidR="00EF393A" w:rsidRPr="000930E8">
        <w:t xml:space="preserve">itizens of Georgia, whose native language is not </w:t>
      </w:r>
      <w:proofErr w:type="gramStart"/>
      <w:r w:rsidR="00EF393A" w:rsidRPr="000930E8">
        <w:t>Georgian</w:t>
      </w:r>
      <w:proofErr w:type="gramEnd"/>
      <w:r w:rsidR="00EF393A" w:rsidRPr="000930E8">
        <w:t xml:space="preserve"> have the right to receive full gener</w:t>
      </w:r>
      <w:r w:rsidRPr="000930E8">
        <w:t>al education in their own ethnic</w:t>
      </w:r>
      <w:r w:rsidR="00EF393A" w:rsidRPr="000930E8">
        <w:t xml:space="preserve"> language.</w:t>
      </w:r>
      <w:r w:rsidR="00337C16" w:rsidRPr="000930E8">
        <w:t xml:space="preserve"> In line with this, the Ministry of Education and Science of Georgia implements a Multilingual Instruction Support Program in the public schools, teaching in minority languages.</w:t>
      </w:r>
    </w:p>
    <w:p w:rsidR="00337C16" w:rsidRPr="000930E8" w:rsidRDefault="00337C16" w:rsidP="000930E8"/>
    <w:p w:rsidR="00EF393A" w:rsidRPr="000930E8" w:rsidRDefault="00337C16" w:rsidP="000930E8">
      <w:r w:rsidRPr="000930E8">
        <w:t xml:space="preserve">However, in practice, teaching in non-Georgian language has problems with materials and teachers. </w:t>
      </w:r>
      <w:r w:rsidR="00EF393A" w:rsidRPr="000930E8">
        <w:t>In minority areas, during bi-lingual</w:t>
      </w:r>
      <w:r w:rsidRPr="000930E8">
        <w:t xml:space="preserve"> instruction, bi-lingual school-</w:t>
      </w:r>
      <w:r w:rsidR="00EF393A" w:rsidRPr="000930E8">
        <w:t xml:space="preserve">books are used. </w:t>
      </w:r>
      <w:r w:rsidRPr="000930E8">
        <w:t xml:space="preserve">However, these text-books are notoriously difficult </w:t>
      </w:r>
      <w:r w:rsidR="00EF393A" w:rsidRPr="000930E8">
        <w:t>for students</w:t>
      </w:r>
      <w:r w:rsidRPr="000930E8">
        <w:t xml:space="preserve"> and</w:t>
      </w:r>
      <w:r w:rsidR="00EF393A" w:rsidRPr="000930E8">
        <w:t xml:space="preserve"> teachers</w:t>
      </w:r>
      <w:r w:rsidRPr="000930E8">
        <w:t xml:space="preserve"> to understand</w:t>
      </w:r>
      <w:r w:rsidR="00EF393A" w:rsidRPr="000930E8">
        <w:t xml:space="preserve">. </w:t>
      </w:r>
      <w:r w:rsidRPr="000930E8">
        <w:t>In addition, very few teachers at Georgian</w:t>
      </w:r>
      <w:r w:rsidR="00EF393A" w:rsidRPr="000930E8">
        <w:t xml:space="preserve"> public schools know both</w:t>
      </w:r>
      <w:r w:rsidRPr="000930E8">
        <w:t xml:space="preserve"> Georgian and a non-Georgian ethnic language</w:t>
      </w:r>
      <w:r w:rsidR="00EF393A" w:rsidRPr="000930E8">
        <w:t xml:space="preserve"> well enough to teach in both languages. </w:t>
      </w:r>
    </w:p>
    <w:p w:rsidR="00337C16" w:rsidRPr="000930E8" w:rsidRDefault="00337C16" w:rsidP="000930E8"/>
    <w:p w:rsidR="00337C16" w:rsidRPr="000930E8" w:rsidRDefault="00C91786" w:rsidP="000930E8">
      <w:r w:rsidRPr="000930E8">
        <w:t xml:space="preserve">Georgian Universities do not provide higher education for school teachers in minority languages. </w:t>
      </w:r>
      <w:r w:rsidR="00337C16" w:rsidRPr="000930E8">
        <w:t>The activities of Zurab Zhvania School of Public Administration</w:t>
      </w:r>
      <w:r w:rsidRPr="000930E8">
        <w:t xml:space="preserve"> is one notable exception</w:t>
      </w:r>
      <w:r w:rsidR="00337C16" w:rsidRPr="000930E8">
        <w:t xml:space="preserve"> as it provides three month long Georgian language training programs for teachers and employees of administrations from schools located in the regions densely populated by national minorities.      </w:t>
      </w:r>
    </w:p>
    <w:p w:rsidR="00EF393A" w:rsidRPr="000930E8" w:rsidRDefault="00EF393A" w:rsidP="000930E8"/>
    <w:p w:rsidR="00EF393A" w:rsidRPr="000930E8" w:rsidRDefault="006F3A46" w:rsidP="000930E8">
      <w:pPr>
        <w:rPr>
          <w:rFonts w:cs="FuturaBook Geo Unicode"/>
        </w:rPr>
      </w:pPr>
      <w:r w:rsidRPr="000930E8">
        <w:t>Outside of school there has been some effort to provide non-Georgian language access to ethnic minority groups. T</w:t>
      </w:r>
      <w:r w:rsidR="00EF393A" w:rsidRPr="000930E8">
        <w:t xml:space="preserve">hroughout 2012, news broadcasters aired segments in minority languages.  The news programs in minority languages discussed major developments in the country and in the world. The programs, however, did not discuss local issues that are important to residents, such as economic development or local elections. Furthermore, there is not adequate use of public radio in minority areas.      </w:t>
      </w:r>
    </w:p>
    <w:p w:rsidR="00EF393A" w:rsidRPr="000930E8" w:rsidRDefault="00EF393A" w:rsidP="000930E8">
      <w:pPr>
        <w:rPr>
          <w:rFonts w:cs="FuturaBook Geo Unicode"/>
        </w:rPr>
      </w:pPr>
    </w:p>
    <w:p w:rsidR="00EF393A" w:rsidRPr="000930E8" w:rsidRDefault="006F3A46" w:rsidP="000930E8">
      <w:r w:rsidRPr="000930E8">
        <w:rPr>
          <w:rFonts w:cs="FuturaBook Geo Unicode"/>
          <w:lang w:val="en-US"/>
        </w:rPr>
        <w:t>As the committee commented in 2007, the</w:t>
      </w:r>
      <w:r w:rsidR="00EF393A" w:rsidRPr="000930E8">
        <w:rPr>
          <w:rFonts w:cs="FuturaBook Geo Unicode"/>
        </w:rPr>
        <w:t xml:space="preserve"> level of participation of national minorities in political</w:t>
      </w:r>
      <w:r w:rsidRPr="000930E8">
        <w:rPr>
          <w:rFonts w:cs="FuturaBook Geo Unicode"/>
        </w:rPr>
        <w:t xml:space="preserve"> or civic</w:t>
      </w:r>
      <w:r w:rsidR="00EF393A" w:rsidRPr="000930E8">
        <w:rPr>
          <w:rFonts w:cs="FuturaBook Geo Unicode"/>
        </w:rPr>
        <w:t xml:space="preserve"> lif</w:t>
      </w:r>
      <w:r w:rsidR="00631081" w:rsidRPr="000930E8">
        <w:rPr>
          <w:rFonts w:cs="FuturaBook Geo Unicode"/>
        </w:rPr>
        <w:t>e across the country continues to be too</w:t>
      </w:r>
      <w:r w:rsidR="00EF393A" w:rsidRPr="000930E8">
        <w:rPr>
          <w:rFonts w:cs="FuturaBook Geo Unicode"/>
        </w:rPr>
        <w:t xml:space="preserve"> limited. National minorities are not sufficiently represented in executive branch of government, political parties, or in civil society groups</w:t>
      </w:r>
      <w:r w:rsidR="00EF393A" w:rsidRPr="00651DAE">
        <w:rPr>
          <w:rFonts w:cs="FuturaBook Geo Unicode"/>
        </w:rPr>
        <w:t xml:space="preserve">. </w:t>
      </w:r>
      <w:r w:rsidRPr="00651DAE">
        <w:rPr>
          <w:lang w:val="en-US"/>
        </w:rPr>
        <w:t>In addition over the last few years</w:t>
      </w:r>
      <w:r w:rsidRPr="00651DAE">
        <w:t xml:space="preserve"> the state administration</w:t>
      </w:r>
      <w:r w:rsidR="00EF393A" w:rsidRPr="00651DAE">
        <w:t xml:space="preserve"> in regions populated by minorities</w:t>
      </w:r>
      <w:r w:rsidRPr="00651DAE">
        <w:t xml:space="preserve"> has created hurdles to the political</w:t>
      </w:r>
      <w:r w:rsidR="00EF393A" w:rsidRPr="00651DAE">
        <w:t xml:space="preserve"> participation of national minorities</w:t>
      </w:r>
      <w:r w:rsidRPr="00651DAE">
        <w:t xml:space="preserve"> in political and civic life</w:t>
      </w:r>
      <w:r w:rsidR="00EF393A" w:rsidRPr="00651DAE">
        <w:t>. The Ministry of Internal Affairs and other law e</w:t>
      </w:r>
      <w:r w:rsidR="0005142B" w:rsidRPr="00651DAE">
        <w:t xml:space="preserve">nforcement agencies </w:t>
      </w:r>
      <w:r w:rsidR="00EF393A" w:rsidRPr="00651DAE">
        <w:t xml:space="preserve">regularly interfered in decision-making on various issues. </w:t>
      </w:r>
      <w:r w:rsidR="00ED1CCD" w:rsidRPr="00651DAE">
        <w:t xml:space="preserve">There have been allegations that </w:t>
      </w:r>
      <w:r w:rsidR="00765FB8" w:rsidRPr="00651DAE">
        <w:lastRenderedPageBreak/>
        <w:t>representatives of national minorities</w:t>
      </w:r>
      <w:r w:rsidR="00EF393A" w:rsidRPr="00651DAE">
        <w:t xml:space="preserve"> were summoned to the territorial offices of state security agencies and were forced to act in ways that suited the interest of the Ministry of Internal Affairs. </w:t>
      </w:r>
    </w:p>
    <w:p w:rsidR="00EF393A" w:rsidRPr="000930E8" w:rsidRDefault="00EF393A" w:rsidP="000930E8"/>
    <w:p w:rsidR="00A57A03" w:rsidRPr="000930E8" w:rsidRDefault="00A57A03" w:rsidP="000930E8">
      <w:r w:rsidRPr="000930E8">
        <w:t xml:space="preserve">There is </w:t>
      </w:r>
      <w:r w:rsidR="0005142B">
        <w:t xml:space="preserve">also </w:t>
      </w:r>
      <w:r w:rsidRPr="000930E8">
        <w:t>an increasing trend of using hate-speech against ethnic, religious, or other minority groups at almost all levels of Georgian soc</w:t>
      </w:r>
      <w:r w:rsidR="0005142B">
        <w:t>iety. It is especially worrying</w:t>
      </w:r>
      <w:r w:rsidRPr="000930E8">
        <w:t xml:space="preserve"> that </w:t>
      </w:r>
      <w:r w:rsidR="00D65ECA">
        <w:t>some high level government</w:t>
      </w:r>
      <w:r w:rsidRPr="000930E8">
        <w:t xml:space="preserve"> officials use </w:t>
      </w:r>
      <w:r w:rsidR="00D65ECA">
        <w:t xml:space="preserve">discriminatory </w:t>
      </w:r>
      <w:r w:rsidR="005F6505">
        <w:t>language</w:t>
      </w:r>
      <w:r w:rsidRPr="000930E8">
        <w:t xml:space="preserve"> in daily speeches. </w:t>
      </w:r>
    </w:p>
    <w:p w:rsidR="00A57A03" w:rsidRPr="000930E8" w:rsidRDefault="00A57A03" w:rsidP="000930E8"/>
    <w:p w:rsidR="00631081" w:rsidRPr="000930E8" w:rsidRDefault="00631081" w:rsidP="000930E8">
      <w:r w:rsidRPr="000930E8">
        <w:t>In addition to the language and integration issues facing the large ethnic Azeri and ethnic Armenian groups, it is important to give some attention to the</w:t>
      </w:r>
      <w:r w:rsidR="0005142B">
        <w:t xml:space="preserve"> smaller ethnic groups. For example,</w:t>
      </w:r>
      <w:r w:rsidRPr="000930E8">
        <w:t xml:space="preserve"> 1,</w:t>
      </w:r>
      <w:r w:rsidR="0005142B">
        <w:t>500 Roma reside on the territory of Georgia. The p</w:t>
      </w:r>
      <w:r w:rsidR="00EF393A" w:rsidRPr="000930E8">
        <w:t xml:space="preserve">roblems </w:t>
      </w:r>
      <w:r w:rsidRPr="000930E8">
        <w:t>of</w:t>
      </w:r>
      <w:r w:rsidR="00EF393A" w:rsidRPr="000930E8">
        <w:t xml:space="preserve"> Roma integration into Georgian society are complicated and mult</w:t>
      </w:r>
      <w:r w:rsidRPr="000930E8">
        <w:t xml:space="preserve">ifaceted. Every sphere of life, including </w:t>
      </w:r>
      <w:r w:rsidR="00EF393A" w:rsidRPr="000930E8">
        <w:t xml:space="preserve">education, healthcare, civic integration, preservation of culture </w:t>
      </w:r>
      <w:r w:rsidR="0005142B">
        <w:t>and traditions and</w:t>
      </w:r>
      <w:r w:rsidRPr="000930E8">
        <w:t xml:space="preserve"> employment</w:t>
      </w:r>
      <w:r w:rsidR="00EF393A" w:rsidRPr="000930E8">
        <w:t xml:space="preserve"> is proble</w:t>
      </w:r>
      <w:r w:rsidRPr="000930E8">
        <w:t>matic for the Roma community.</w:t>
      </w:r>
    </w:p>
    <w:p w:rsidR="00631081" w:rsidRPr="000930E8" w:rsidRDefault="00631081" w:rsidP="000930E8"/>
    <w:p w:rsidR="00EF393A" w:rsidRPr="000930E8" w:rsidRDefault="00EF393A" w:rsidP="000930E8">
      <w:r w:rsidRPr="000930E8">
        <w:t>Although many Roma residing in Georgia live in extreme poverty, few of them receive social</w:t>
      </w:r>
      <w:r w:rsidR="006F3A46" w:rsidRPr="000930E8">
        <w:t xml:space="preserve"> support</w:t>
      </w:r>
      <w:r w:rsidRPr="000930E8">
        <w:t xml:space="preserve">. The primary reason for them not receiving benefits is that Roma often do not have documents. For the same reason, the great majority of Roma do not receive pensions and other types of social assistance. Furthermore, the Roma rarely apply for medical services. </w:t>
      </w:r>
    </w:p>
    <w:p w:rsidR="00EF393A" w:rsidRDefault="00EF393A" w:rsidP="00EF393A">
      <w:pPr>
        <w:pStyle w:val="Listenabsatz"/>
        <w:spacing w:line="100" w:lineRule="atLeast"/>
        <w:ind w:left="360"/>
        <w:rPr>
          <w:rFonts w:ascii="Sylfaen" w:hAnsi="Sylfaen"/>
          <w:lang w:val="ka-GE"/>
        </w:rPr>
      </w:pPr>
    </w:p>
    <w:p w:rsidR="00EF393A" w:rsidRPr="00056317" w:rsidRDefault="00EF393A" w:rsidP="0005142B">
      <w:pPr>
        <w:spacing w:line="100" w:lineRule="atLeast"/>
        <w:rPr>
          <w:rFonts w:cs="Sylfaen"/>
          <w:b/>
          <w:i/>
          <w:iCs/>
        </w:rPr>
      </w:pPr>
      <w:r w:rsidRPr="00056317">
        <w:rPr>
          <w:rFonts w:cs="Sylfaen"/>
          <w:b/>
          <w:i/>
          <w:iCs/>
        </w:rPr>
        <w:t>Recommendations:</w:t>
      </w:r>
    </w:p>
    <w:p w:rsidR="00EF393A" w:rsidRPr="00056317" w:rsidRDefault="0005142B" w:rsidP="00631081">
      <w:pPr>
        <w:spacing w:line="100" w:lineRule="atLeast"/>
        <w:rPr>
          <w:lang w:val="ka-GE"/>
        </w:rPr>
      </w:pPr>
      <w:r w:rsidRPr="00056317">
        <w:rPr>
          <w:lang w:val="ka-GE"/>
        </w:rPr>
        <w:t>1</w:t>
      </w:r>
      <w:r w:rsidRPr="00056317">
        <w:rPr>
          <w:lang w:val="en-US"/>
        </w:rPr>
        <w:t>/</w:t>
      </w:r>
      <w:r w:rsidR="00EF393A" w:rsidRPr="00056317">
        <w:t>The state shall ensure access to high quality pre-school education for minorities</w:t>
      </w:r>
      <w:r w:rsidR="00EF393A" w:rsidRPr="00056317">
        <w:rPr>
          <w:lang w:val="ka-GE"/>
        </w:rPr>
        <w:t>.</w:t>
      </w:r>
    </w:p>
    <w:p w:rsidR="0005142B" w:rsidRPr="00056317" w:rsidRDefault="0005142B" w:rsidP="00631081">
      <w:pPr>
        <w:spacing w:line="100" w:lineRule="atLeast"/>
        <w:rPr>
          <w:rFonts w:cs="Sylfaen"/>
          <w:lang w:val="en-US"/>
        </w:rPr>
      </w:pPr>
    </w:p>
    <w:p w:rsidR="00EF393A" w:rsidRPr="00056317" w:rsidRDefault="0005142B" w:rsidP="00631081">
      <w:pPr>
        <w:spacing w:line="100" w:lineRule="atLeast"/>
        <w:rPr>
          <w:rFonts w:cs="Sylfaen"/>
          <w:lang w:val="ka-GE"/>
        </w:rPr>
      </w:pPr>
      <w:r w:rsidRPr="00056317">
        <w:rPr>
          <w:rFonts w:cs="Sylfaen"/>
          <w:lang w:val="ka-GE"/>
        </w:rPr>
        <w:t>2</w:t>
      </w:r>
      <w:r w:rsidRPr="00056317">
        <w:rPr>
          <w:rFonts w:cs="Sylfaen"/>
          <w:lang w:val="en-US"/>
        </w:rPr>
        <w:t>/</w:t>
      </w:r>
      <w:r w:rsidR="00EF393A" w:rsidRPr="00056317">
        <w:t>The state shall reinforce programs for teaching the Georgian language to all the minority groups who want to learn it</w:t>
      </w:r>
      <w:r w:rsidR="00EF393A" w:rsidRPr="00056317">
        <w:rPr>
          <w:rFonts w:cs="Sylfaen"/>
          <w:lang w:val="ka-GE"/>
        </w:rPr>
        <w:t>.</w:t>
      </w:r>
    </w:p>
    <w:p w:rsidR="0005142B" w:rsidRPr="00056317" w:rsidRDefault="0005142B" w:rsidP="00631081">
      <w:pPr>
        <w:spacing w:line="100" w:lineRule="atLeast"/>
        <w:rPr>
          <w:lang w:val="en-US"/>
        </w:rPr>
      </w:pPr>
    </w:p>
    <w:p w:rsidR="00EF393A" w:rsidRPr="00056317" w:rsidRDefault="00EF393A" w:rsidP="00631081">
      <w:pPr>
        <w:spacing w:line="100" w:lineRule="atLeast"/>
      </w:pPr>
      <w:r w:rsidRPr="00056317">
        <w:rPr>
          <w:lang w:val="ka-GE"/>
        </w:rPr>
        <w:t>3</w:t>
      </w:r>
      <w:r w:rsidR="0005142B" w:rsidRPr="00056317">
        <w:rPr>
          <w:lang w:val="en-US"/>
        </w:rPr>
        <w:t>/</w:t>
      </w:r>
      <w:r w:rsidRPr="00056317">
        <w:rPr>
          <w:lang w:val="ka-GE"/>
        </w:rPr>
        <w:t xml:space="preserve"> The state shall put in place a strategy</w:t>
      </w:r>
      <w:r w:rsidRPr="00056317">
        <w:t xml:space="preserve"> for</w:t>
      </w:r>
      <w:r w:rsidRPr="00056317">
        <w:rPr>
          <w:lang w:val="ka-GE"/>
        </w:rPr>
        <w:t xml:space="preserve"> promot</w:t>
      </w:r>
      <w:proofErr w:type="spellStart"/>
      <w:r w:rsidRPr="00056317">
        <w:t>ing</w:t>
      </w:r>
      <w:proofErr w:type="spellEnd"/>
      <w:r w:rsidRPr="00056317">
        <w:rPr>
          <w:lang w:val="ka-GE"/>
        </w:rPr>
        <w:t xml:space="preserve"> and encourag</w:t>
      </w:r>
      <w:proofErr w:type="spellStart"/>
      <w:r w:rsidRPr="00056317">
        <w:t>ing</w:t>
      </w:r>
      <w:proofErr w:type="spellEnd"/>
      <w:r w:rsidR="003B3966">
        <w:t xml:space="preserve"> </w:t>
      </w:r>
      <w:r w:rsidRPr="00056317">
        <w:t xml:space="preserve">the </w:t>
      </w:r>
      <w:r w:rsidRPr="00056317">
        <w:rPr>
          <w:lang w:val="ka-GE"/>
        </w:rPr>
        <w:t xml:space="preserve">training of school teachers </w:t>
      </w:r>
      <w:r w:rsidRPr="00056317">
        <w:t>in minority languages.</w:t>
      </w:r>
    </w:p>
    <w:p w:rsidR="0005142B" w:rsidRPr="00056317" w:rsidRDefault="0005142B" w:rsidP="00631081">
      <w:pPr>
        <w:spacing w:line="100" w:lineRule="atLeast"/>
        <w:rPr>
          <w:lang w:val="en-US"/>
        </w:rPr>
      </w:pPr>
    </w:p>
    <w:p w:rsidR="00EF393A" w:rsidRPr="00056317" w:rsidRDefault="0005142B" w:rsidP="00631081">
      <w:pPr>
        <w:spacing w:line="100" w:lineRule="atLeast"/>
      </w:pPr>
      <w:r w:rsidRPr="00056317">
        <w:rPr>
          <w:lang w:val="ka-GE"/>
        </w:rPr>
        <w:t>4</w:t>
      </w:r>
      <w:r w:rsidRPr="00056317">
        <w:rPr>
          <w:lang w:val="en-US"/>
        </w:rPr>
        <w:t>/</w:t>
      </w:r>
      <w:r w:rsidR="00EF393A" w:rsidRPr="00056317">
        <w:rPr>
          <w:lang w:val="ka-GE"/>
        </w:rPr>
        <w:t xml:space="preserve"> The state shall ensure teaching and preservation of minority languages. </w:t>
      </w:r>
      <w:r w:rsidR="00EF393A" w:rsidRPr="00056317">
        <w:t>Minorities</w:t>
      </w:r>
      <w:r w:rsidR="00EF393A" w:rsidRPr="00056317">
        <w:rPr>
          <w:lang w:val="ka-GE"/>
        </w:rPr>
        <w:t xml:space="preserve"> shall have access to general education in full in their native language (including teaching of the official language)</w:t>
      </w:r>
      <w:r w:rsidR="00EF393A" w:rsidRPr="00056317">
        <w:t>.</w:t>
      </w:r>
    </w:p>
    <w:p w:rsidR="0005142B" w:rsidRPr="00056317" w:rsidRDefault="0005142B" w:rsidP="00631081">
      <w:pPr>
        <w:spacing w:line="100" w:lineRule="atLeast"/>
      </w:pPr>
    </w:p>
    <w:p w:rsidR="00EF393A" w:rsidRPr="00056317" w:rsidRDefault="00A57A03" w:rsidP="00631081">
      <w:pPr>
        <w:spacing w:line="100" w:lineRule="atLeast"/>
        <w:rPr>
          <w:lang w:val="ka-GE"/>
        </w:rPr>
      </w:pPr>
      <w:r w:rsidRPr="00056317">
        <w:t>5</w:t>
      </w:r>
      <w:r w:rsidR="0005142B" w:rsidRPr="00056317">
        <w:rPr>
          <w:lang w:val="en-US"/>
        </w:rPr>
        <w:t>/</w:t>
      </w:r>
      <w:r w:rsidR="00704AFB" w:rsidRPr="00056317">
        <w:rPr>
          <w:lang w:val="en-US"/>
        </w:rPr>
        <w:t>The</w:t>
      </w:r>
      <w:r w:rsidR="00EF393A" w:rsidRPr="00056317">
        <w:rPr>
          <w:lang w:val="ka-GE"/>
        </w:rPr>
        <w:t xml:space="preserve">Public Broadcaster shall tailor its broadcasting </w:t>
      </w:r>
      <w:r w:rsidR="00EF393A" w:rsidRPr="00056317">
        <w:t>to the interests and needs of the minorities</w:t>
      </w:r>
      <w:r w:rsidR="00EF393A" w:rsidRPr="00056317">
        <w:rPr>
          <w:lang w:val="ka-GE"/>
        </w:rPr>
        <w:t>.</w:t>
      </w:r>
    </w:p>
    <w:p w:rsidR="00704AFB" w:rsidRPr="00056317" w:rsidRDefault="00704AFB" w:rsidP="00631081">
      <w:pPr>
        <w:spacing w:line="100" w:lineRule="atLeast"/>
      </w:pPr>
    </w:p>
    <w:p w:rsidR="00EF393A" w:rsidRPr="00056317" w:rsidRDefault="00A57A03" w:rsidP="00631081">
      <w:pPr>
        <w:spacing w:line="100" w:lineRule="atLeast"/>
      </w:pPr>
      <w:r w:rsidRPr="00056317">
        <w:t>6</w:t>
      </w:r>
      <w:r w:rsidR="00704AFB" w:rsidRPr="00056317">
        <w:rPr>
          <w:lang w:val="en-US"/>
        </w:rPr>
        <w:t>/</w:t>
      </w:r>
      <w:r w:rsidR="00EF393A" w:rsidRPr="00056317">
        <w:rPr>
          <w:lang w:val="ka-GE"/>
        </w:rPr>
        <w:t>The state shall implement actions that would encourage participation of national minorities in public policy.</w:t>
      </w:r>
      <w:r w:rsidR="00EF393A" w:rsidRPr="00056317">
        <w:t xml:space="preserve"> Minorities shall be authorized to use their own language in local self-governance. </w:t>
      </w:r>
    </w:p>
    <w:p w:rsidR="00704AFB" w:rsidRPr="00056317" w:rsidRDefault="00704AFB" w:rsidP="00A57A03">
      <w:pPr>
        <w:rPr>
          <w:color w:val="171717"/>
        </w:rPr>
      </w:pPr>
    </w:p>
    <w:p w:rsidR="00A57A03" w:rsidRPr="00056317" w:rsidRDefault="00704AFB" w:rsidP="00A57A03">
      <w:pPr>
        <w:rPr>
          <w:color w:val="171717"/>
        </w:rPr>
      </w:pPr>
      <w:r w:rsidRPr="00056317">
        <w:rPr>
          <w:color w:val="171717"/>
        </w:rPr>
        <w:t>7/</w:t>
      </w:r>
      <w:r w:rsidR="00A57A03" w:rsidRPr="00056317">
        <w:rPr>
          <w:color w:val="171717"/>
        </w:rPr>
        <w:t xml:space="preserve"> The Government of Georgia should strengthen national policy aimed at fighting hate speech</w:t>
      </w:r>
      <w:r w:rsidR="00E476A2">
        <w:rPr>
          <w:color w:val="171717"/>
        </w:rPr>
        <w:t xml:space="preserve"> and usage of discriminatory language</w:t>
      </w:r>
      <w:r w:rsidR="00A57A03" w:rsidRPr="00056317">
        <w:rPr>
          <w:color w:val="171717"/>
        </w:rPr>
        <w:t xml:space="preserve">. </w:t>
      </w:r>
      <w:r w:rsidR="00B866FD">
        <w:rPr>
          <w:color w:val="171717"/>
        </w:rPr>
        <w:t>It is recommended to set up a</w:t>
      </w:r>
      <w:r w:rsidR="00A57A03" w:rsidRPr="00056317">
        <w:rPr>
          <w:color w:val="171717"/>
        </w:rPr>
        <w:t xml:space="preserve"> special agency working to eliminate vitriolic rhetoric against minorities. The new organization can work under the Public Defender’s Office or with the Ministry of Reintegration. </w:t>
      </w:r>
    </w:p>
    <w:p w:rsidR="00704AFB" w:rsidRPr="00056317" w:rsidRDefault="00704AFB" w:rsidP="00631081">
      <w:pPr>
        <w:spacing w:line="100" w:lineRule="atLeast"/>
        <w:rPr>
          <w:color w:val="171717"/>
        </w:rPr>
      </w:pPr>
    </w:p>
    <w:p w:rsidR="00A57A03" w:rsidRPr="00056317" w:rsidRDefault="00704AFB" w:rsidP="00631081">
      <w:pPr>
        <w:spacing w:line="100" w:lineRule="atLeast"/>
        <w:rPr>
          <w:lang w:val="en-US"/>
        </w:rPr>
      </w:pPr>
      <w:r w:rsidRPr="00056317">
        <w:rPr>
          <w:color w:val="171717"/>
        </w:rPr>
        <w:t xml:space="preserve">8/ </w:t>
      </w:r>
      <w:r w:rsidR="00A57A03" w:rsidRPr="00056317">
        <w:rPr>
          <w:color w:val="171717"/>
        </w:rPr>
        <w:t>Minority groups could receive relevant funding from the state budget to implement active awareness campaigns, work with various target groups of the society, and develop relevant policy proposals for</w:t>
      </w:r>
      <w:r w:rsidR="00203B01">
        <w:rPr>
          <w:color w:val="171717"/>
        </w:rPr>
        <w:t xml:space="preserve"> the</w:t>
      </w:r>
      <w:r w:rsidR="00A57A03" w:rsidRPr="00056317">
        <w:rPr>
          <w:color w:val="171717"/>
        </w:rPr>
        <w:t xml:space="preserve"> Parliament.</w:t>
      </w:r>
    </w:p>
    <w:p w:rsidR="00704AFB" w:rsidRPr="00056317" w:rsidRDefault="00704AFB" w:rsidP="00631081">
      <w:pPr>
        <w:spacing w:line="100" w:lineRule="atLeast"/>
        <w:rPr>
          <w:lang w:val="en-US"/>
        </w:rPr>
      </w:pPr>
    </w:p>
    <w:p w:rsidR="00EF393A" w:rsidRDefault="00704AFB" w:rsidP="00631081">
      <w:pPr>
        <w:spacing w:line="100" w:lineRule="atLeast"/>
        <w:rPr>
          <w:lang w:val="en-US"/>
        </w:rPr>
      </w:pPr>
      <w:r w:rsidRPr="00056317">
        <w:rPr>
          <w:lang w:val="en-US"/>
        </w:rPr>
        <w:t>9/</w:t>
      </w:r>
      <w:r w:rsidR="00EF393A" w:rsidRPr="00056317">
        <w:t>The state shall design a strategy for systemically addressing problems of the Roma community</w:t>
      </w:r>
      <w:r w:rsidR="00EF393A" w:rsidRPr="00056317">
        <w:rPr>
          <w:lang w:val="ka-GE"/>
        </w:rPr>
        <w:t>.</w:t>
      </w:r>
    </w:p>
    <w:p w:rsidR="003B0087" w:rsidRDefault="003B0087" w:rsidP="00631081">
      <w:pPr>
        <w:spacing w:line="100" w:lineRule="atLeast"/>
        <w:rPr>
          <w:lang w:val="en-US"/>
        </w:rPr>
      </w:pPr>
    </w:p>
    <w:p w:rsidR="003B0087" w:rsidRPr="003B0087" w:rsidRDefault="003B0087" w:rsidP="00631081">
      <w:pPr>
        <w:spacing w:line="100" w:lineRule="atLeast"/>
        <w:rPr>
          <w:lang w:val="en-US"/>
        </w:rPr>
      </w:pPr>
    </w:p>
    <w:p w:rsidR="00124AE6" w:rsidRPr="00084789" w:rsidRDefault="00124AE6" w:rsidP="00A73B4A">
      <w:pPr>
        <w:pStyle w:val="Listenabsatz"/>
        <w:rPr>
          <w:sz w:val="22"/>
          <w:szCs w:val="22"/>
        </w:rPr>
      </w:pPr>
    </w:p>
    <w:p w:rsidR="00DB5BB7" w:rsidRPr="0034139C" w:rsidRDefault="00DB5BB7" w:rsidP="00195896">
      <w:pPr>
        <w:pStyle w:val="berschrift2"/>
        <w:rPr>
          <w:lang w:val="en-US"/>
        </w:rPr>
      </w:pPr>
      <w:bookmarkStart w:id="7" w:name="_Toc363492726"/>
      <w:r>
        <w:lastRenderedPageBreak/>
        <w:t>B</w:t>
      </w:r>
      <w:r w:rsidR="00084789">
        <w:t>roader issues of Discrimination</w:t>
      </w:r>
      <w:bookmarkEnd w:id="7"/>
    </w:p>
    <w:p w:rsidR="00DB5BB7" w:rsidRDefault="00084789" w:rsidP="00084789">
      <w:pPr>
        <w:rPr>
          <w:shd w:val="clear" w:color="auto" w:fill="FFFFFF"/>
        </w:rPr>
      </w:pPr>
      <w:r>
        <w:rPr>
          <w:shd w:val="clear" w:color="auto" w:fill="FFFFFF"/>
        </w:rPr>
        <w:t xml:space="preserve">In addition to the HRC </w:t>
      </w:r>
      <w:r w:rsidR="00D85FDD">
        <w:rPr>
          <w:shd w:val="clear" w:color="auto" w:fill="FFFFFF"/>
        </w:rPr>
        <w:t xml:space="preserve">concluding </w:t>
      </w:r>
      <w:r>
        <w:rPr>
          <w:shd w:val="clear" w:color="auto" w:fill="FFFFFF"/>
        </w:rPr>
        <w:t>observations</w:t>
      </w:r>
      <w:r w:rsidR="009A37A1">
        <w:rPr>
          <w:shd w:val="clear" w:color="auto" w:fill="FFFFFF"/>
        </w:rPr>
        <w:t xml:space="preserve"> on discrimination a range of other issues related to discrimination were considered important by the NGO team.  </w:t>
      </w:r>
    </w:p>
    <w:p w:rsidR="00084789" w:rsidRDefault="00084789" w:rsidP="00195896">
      <w:pPr>
        <w:pStyle w:val="berschrift3"/>
        <w:rPr>
          <w:rFonts w:ascii="Sylfaen" w:hAnsi="Sylfaen"/>
          <w:iCs/>
          <w:lang w:val="en-GB"/>
        </w:rPr>
      </w:pPr>
      <w:bookmarkStart w:id="8" w:name="_Toc363492727"/>
      <w:r>
        <w:rPr>
          <w:shd w:val="clear" w:color="auto" w:fill="FFFFFF"/>
        </w:rPr>
        <w:t>Gender</w:t>
      </w:r>
      <w:r w:rsidR="00A57A03">
        <w:rPr>
          <w:shd w:val="clear" w:color="auto" w:fill="FFFFFF"/>
        </w:rPr>
        <w:t xml:space="preserve"> Discrimination</w:t>
      </w:r>
      <w:bookmarkEnd w:id="8"/>
    </w:p>
    <w:p w:rsidR="00DB5BB7" w:rsidRDefault="00DB5BB7" w:rsidP="009A37A1">
      <w:r>
        <w:t xml:space="preserve">As stated by the </w:t>
      </w:r>
      <w:r w:rsidR="009A37A1">
        <w:t xml:space="preserve">Georgian </w:t>
      </w:r>
      <w:r>
        <w:t>Government</w:t>
      </w:r>
      <w:r w:rsidR="00D52DD7">
        <w:t xml:space="preserve"> </w:t>
      </w:r>
      <w:r w:rsidR="004D2D40">
        <w:t xml:space="preserve">in its </w:t>
      </w:r>
      <w:r w:rsidR="009A37A1">
        <w:t>4</w:t>
      </w:r>
      <w:r w:rsidR="009A37A1" w:rsidRPr="009A37A1">
        <w:rPr>
          <w:vertAlign w:val="superscript"/>
        </w:rPr>
        <w:t>th</w:t>
      </w:r>
      <w:r w:rsidR="009A37A1">
        <w:t xml:space="preserve"> Periodic Report</w:t>
      </w:r>
      <w:r>
        <w:t>, Georgia has various legal acts that recognize the equality of men and women. In addition</w:t>
      </w:r>
      <w:r w:rsidR="009A37A1">
        <w:t>,</w:t>
      </w:r>
      <w:r>
        <w:t xml:space="preserve"> the Law on Gender Equality, adopted by the Parliament of Georgia in March 2010, explicitly prohibits gender based discrimination and obliges the government to create the conditions for equal opportunity in a wide range of areas.      </w:t>
      </w:r>
    </w:p>
    <w:p w:rsidR="00DB5BB7" w:rsidRDefault="00DB5BB7" w:rsidP="00DB5BB7">
      <w:pPr>
        <w:rPr>
          <w:rFonts w:ascii="Sylfaen" w:hAnsi="Sylfaen"/>
        </w:rPr>
      </w:pPr>
    </w:p>
    <w:p w:rsidR="00DB5BB7" w:rsidRDefault="00DB5BB7" w:rsidP="00DB5BB7">
      <w:r>
        <w:t xml:space="preserve">Nonetheless, one can identify inequality in a range of areas, </w:t>
      </w:r>
      <w:r w:rsidR="009A37A1">
        <w:t xml:space="preserve">where more </w:t>
      </w:r>
      <w:r w:rsidR="00A3714F">
        <w:t>effective</w:t>
      </w:r>
      <w:r w:rsidR="009A37A1">
        <w:t xml:space="preserve"> action on the part of government may help to ameliorate the current situation. Below we discuss the problem of education, </w:t>
      </w:r>
      <w:proofErr w:type="spellStart"/>
      <w:r w:rsidR="009A37A1">
        <w:t>labor</w:t>
      </w:r>
      <w:proofErr w:type="spellEnd"/>
      <w:r w:rsidR="009A37A1">
        <w:t xml:space="preserve"> relations, national minority women and convicted women.</w:t>
      </w:r>
    </w:p>
    <w:p w:rsidR="00DB5BB7" w:rsidRDefault="00DB5BB7" w:rsidP="00DB5BB7">
      <w:pPr>
        <w:rPr>
          <w:rFonts w:ascii="Sylfaen" w:hAnsi="Sylfaen"/>
        </w:rPr>
      </w:pPr>
    </w:p>
    <w:p w:rsidR="00DB5BB7" w:rsidRPr="008401F5" w:rsidRDefault="00004835" w:rsidP="008401F5">
      <w:pPr>
        <w:rPr>
          <w:b/>
        </w:rPr>
      </w:pPr>
      <w:r w:rsidRPr="008401F5">
        <w:rPr>
          <w:b/>
        </w:rPr>
        <w:t>Education</w:t>
      </w:r>
    </w:p>
    <w:p w:rsidR="00004835" w:rsidRDefault="00DB5BB7" w:rsidP="008401F5">
      <w:r>
        <w:t>While women are well represented in school and university, gender bias in the education system can be seen in the extremely low level of women’s representation at the senior level of educational management. Despite the fact that 85% of school teachers are wo</w:t>
      </w:r>
      <w:r w:rsidR="00704AFB">
        <w:t>men, most school administrators</w:t>
      </w:r>
      <w:r>
        <w:t xml:space="preserve"> are men.</w:t>
      </w:r>
      <w:r>
        <w:rPr>
          <w:rStyle w:val="Funotenzeichen"/>
          <w:rFonts w:ascii="Sylfaen" w:hAnsi="Sylfaen"/>
        </w:rPr>
        <w:footnoteReference w:id="9"/>
      </w:r>
    </w:p>
    <w:p w:rsidR="00004835" w:rsidRDefault="00004835" w:rsidP="00DB5BB7">
      <w:pPr>
        <w:rPr>
          <w:rFonts w:ascii="Sylfaen" w:hAnsi="Sylfaen"/>
        </w:rPr>
      </w:pPr>
    </w:p>
    <w:p w:rsidR="00DB5BB7" w:rsidRDefault="00004835" w:rsidP="008401F5">
      <w:r>
        <w:t xml:space="preserve">There is a similar managerial disparity in higher education. </w:t>
      </w:r>
      <w:r w:rsidR="00DB5BB7">
        <w:t xml:space="preserve">In Georgian institutions of </w:t>
      </w:r>
      <w:r>
        <w:t xml:space="preserve">higher education, there are more </w:t>
      </w:r>
      <w:r w:rsidR="00DB5BB7">
        <w:t xml:space="preserve">female students </w:t>
      </w:r>
      <w:r>
        <w:t>than</w:t>
      </w:r>
      <w:r w:rsidR="00DB5BB7">
        <w:t xml:space="preserve"> male students</w:t>
      </w:r>
      <w:r>
        <w:t xml:space="preserve"> and more female</w:t>
      </w:r>
      <w:r w:rsidR="00DB5BB7">
        <w:t xml:space="preserve"> assistant professors</w:t>
      </w:r>
      <w:r>
        <w:t xml:space="preserve"> than male. However, in the senior positions of associate professor and full professor</w:t>
      </w:r>
      <w:r w:rsidR="00DB5BB7">
        <w:t>,</w:t>
      </w:r>
      <w:r>
        <w:t xml:space="preserve"> there are twice as many men as</w:t>
      </w:r>
      <w:r w:rsidR="00DB5BB7">
        <w:t xml:space="preserve"> women.</w:t>
      </w:r>
      <w:r w:rsidR="00DB5BB7">
        <w:rPr>
          <w:rStyle w:val="Funotenzeichen"/>
          <w:rFonts w:ascii="Sylfaen" w:hAnsi="Sylfaen" w:cs="LitNusx"/>
        </w:rPr>
        <w:footnoteReference w:id="10"/>
      </w:r>
      <w:r w:rsidR="00DB5BB7">
        <w:t xml:space="preserve"> The positions of University Rectors or Deans are as a rule occupied by men. This not only reflects biases in recruitment and promotion but also reinforces gender stereotypes. </w:t>
      </w:r>
    </w:p>
    <w:p w:rsidR="0058137D" w:rsidRDefault="0058137D" w:rsidP="008401F5"/>
    <w:p w:rsidR="0058137D" w:rsidRDefault="0058137D" w:rsidP="008401F5">
      <w:r>
        <w:t xml:space="preserve">In addition, there is little effort to develop gender sensitivity within the educational system. Teachers and text-books may perpetuate gender stereotypes, as neither teacher training, nor text-book development gives consideration to these issues. </w:t>
      </w:r>
    </w:p>
    <w:p w:rsidR="0058137D" w:rsidRDefault="0058137D" w:rsidP="008401F5"/>
    <w:p w:rsidR="0058137D" w:rsidRDefault="00704AFB" w:rsidP="008401F5">
      <w:r>
        <w:t>M</w:t>
      </w:r>
      <w:r w:rsidR="0058137D">
        <w:t>ore broadly within the social service provision, the government does not utilise gender budgeting, so it is not in a position to know the gendered implications of its spending in healthcare, education and the full range of government social services.</w:t>
      </w:r>
    </w:p>
    <w:p w:rsidR="00DB5BB7" w:rsidRPr="0058137D" w:rsidRDefault="00DB5BB7" w:rsidP="00DB5BB7"/>
    <w:p w:rsidR="00004835" w:rsidRPr="008401F5" w:rsidRDefault="00DB5BB7" w:rsidP="00DB5BB7">
      <w:pPr>
        <w:rPr>
          <w:b/>
        </w:rPr>
      </w:pPr>
      <w:proofErr w:type="spellStart"/>
      <w:r w:rsidRPr="008401F5">
        <w:rPr>
          <w:b/>
        </w:rPr>
        <w:t>Labor</w:t>
      </w:r>
      <w:proofErr w:type="spellEnd"/>
      <w:r w:rsidRPr="008401F5">
        <w:rPr>
          <w:b/>
        </w:rPr>
        <w:t xml:space="preserve"> Relations</w:t>
      </w:r>
    </w:p>
    <w:p w:rsidR="00DB5BB7" w:rsidRPr="00004835" w:rsidRDefault="00DB5BB7" w:rsidP="008401F5">
      <w:r>
        <w:t>Discrimination against women in the workforce is one of the most serious challenges for the Georgian state. Although 55 percent of students in higher education institutions are female, in the workplace they occupy lower paying positions and have half the average monthly salaries of men.</w:t>
      </w:r>
      <w:r>
        <w:rPr>
          <w:rStyle w:val="Funotenzeichen"/>
          <w:rFonts w:ascii="Sylfaen" w:hAnsi="Sylfaen" w:cs="LitNusx"/>
        </w:rPr>
        <w:footnoteReference w:id="11"/>
      </w:r>
      <w:r>
        <w:t xml:space="preserve"> This is the result of both horizontal and vertical biases. Vertically, women are far less likely than men to have senior positions in business. This may result from the demands of child-rearing and the failure of the state to provide adequate child-care, but it undoubtedly also results from the prejudices regarding the appropriate roles of women.</w:t>
      </w:r>
    </w:p>
    <w:p w:rsidR="00DB5BB7" w:rsidRDefault="00DB5BB7" w:rsidP="00DB5BB7">
      <w:pPr>
        <w:rPr>
          <w:rFonts w:ascii="Sylfaen" w:hAnsi="Sylfaen" w:cs="Sylfaen"/>
        </w:rPr>
      </w:pPr>
    </w:p>
    <w:p w:rsidR="00DB5BB7" w:rsidRPr="008401F5" w:rsidRDefault="00004835" w:rsidP="00F2403D">
      <w:r>
        <w:t>In addition, women</w:t>
      </w:r>
      <w:r w:rsidR="00DB5BB7">
        <w:t xml:space="preserve"> are more likely to be employed in the less well remunerated sectors lik</w:t>
      </w:r>
      <w:r w:rsidR="00704AFB">
        <w:t>e education and healthcare</w:t>
      </w:r>
      <w:r w:rsidR="00DB5BB7">
        <w:t>. State remuneration for women is especially low in these fields. Teacher</w:t>
      </w:r>
      <w:r>
        <w:t xml:space="preserve">s earn a basic monthly </w:t>
      </w:r>
      <w:r>
        <w:lastRenderedPageBreak/>
        <w:t>salary of</w:t>
      </w:r>
      <w:r w:rsidR="00DB5BB7">
        <w:t xml:space="preserve"> GEL 311</w:t>
      </w:r>
      <w:r w:rsidR="00F2403D">
        <w:t xml:space="preserve"> (USD 188). This is 35% of the national average salaried income. I</w:t>
      </w:r>
      <w:r w:rsidR="00DB5BB7">
        <w:t>n health and social services the aver</w:t>
      </w:r>
      <w:r w:rsidR="00F2403D">
        <w:t>age salary is GEL 459, which is 50%</w:t>
      </w:r>
      <w:r w:rsidR="008401F5">
        <w:t xml:space="preserve"> of the national average</w:t>
      </w:r>
      <w:r w:rsidR="00DB5BB7">
        <w:t>.</w:t>
      </w:r>
      <w:r w:rsidR="00DB5BB7">
        <w:rPr>
          <w:rStyle w:val="Funotenzeichen"/>
          <w:rFonts w:ascii="Sylfaen" w:hAnsi="Sylfaen" w:cs="Sylfaen"/>
        </w:rPr>
        <w:footnoteReference w:id="12"/>
      </w:r>
    </w:p>
    <w:p w:rsidR="00DB5BB7" w:rsidRDefault="00DB5BB7" w:rsidP="00DB5BB7">
      <w:pPr>
        <w:rPr>
          <w:rFonts w:ascii="Sylfaen" w:hAnsi="Sylfaen" w:cs="LitNusx"/>
        </w:rPr>
      </w:pPr>
      <w:bookmarkStart w:id="9" w:name="__RefHeading__1054_3648833291"/>
      <w:bookmarkEnd w:id="9"/>
    </w:p>
    <w:p w:rsidR="008401F5" w:rsidRDefault="008401F5" w:rsidP="00DB5BB7">
      <w:pPr>
        <w:rPr>
          <w:rFonts w:eastAsia="Calibri"/>
        </w:rPr>
      </w:pPr>
      <w:r>
        <w:rPr>
          <w:rFonts w:eastAsia="Calibri"/>
        </w:rPr>
        <w:t xml:space="preserve">There have been recent improvements. Early this year, the new Government of Georgia revised the </w:t>
      </w:r>
      <w:proofErr w:type="spellStart"/>
      <w:r>
        <w:rPr>
          <w:rFonts w:eastAsia="Calibri"/>
        </w:rPr>
        <w:t>labor</w:t>
      </w:r>
      <w:proofErr w:type="spellEnd"/>
      <w:r>
        <w:rPr>
          <w:rFonts w:eastAsia="Calibri"/>
        </w:rPr>
        <w:t xml:space="preserve"> code. Special consideration was given to issues pertaining to women’s role in the work place, such as maternity leave, conditions for female employees, and dismissal of pregnant women.</w:t>
      </w:r>
    </w:p>
    <w:p w:rsidR="00DB5BB7" w:rsidRDefault="00DB5BB7" w:rsidP="00DB5BB7">
      <w:pPr>
        <w:rPr>
          <w:rFonts w:ascii="Sylfaen" w:hAnsi="Sylfaen" w:cs="LitNusx"/>
        </w:rPr>
      </w:pPr>
    </w:p>
    <w:p w:rsidR="00DB5BB7" w:rsidRPr="0058137D" w:rsidRDefault="00DB5BB7" w:rsidP="00DB5BB7">
      <w:pPr>
        <w:rPr>
          <w:b/>
          <w:lang w:val="en-US"/>
        </w:rPr>
      </w:pPr>
      <w:bookmarkStart w:id="10" w:name="__RefHeading__1054_364883329"/>
      <w:bookmarkStart w:id="11" w:name="__RefHeading__1058_364883329"/>
      <w:bookmarkEnd w:id="10"/>
      <w:bookmarkEnd w:id="11"/>
      <w:r w:rsidRPr="0058137D">
        <w:rPr>
          <w:b/>
          <w:lang w:val="en-US"/>
        </w:rPr>
        <w:t>Convicted Women</w:t>
      </w:r>
    </w:p>
    <w:p w:rsidR="0058137D" w:rsidRDefault="00DB5BB7" w:rsidP="0058137D">
      <w:pPr>
        <w:rPr>
          <w:rFonts w:eastAsia="Calibri"/>
          <w:lang w:val="en-US"/>
        </w:rPr>
      </w:pPr>
      <w:r>
        <w:rPr>
          <w:rFonts w:eastAsia="Calibri"/>
          <w:lang w:val="ka-GE"/>
        </w:rPr>
        <w:t>The Imprisonment Code allows family and long-term visist for women prisoners</w:t>
      </w:r>
      <w:r>
        <w:rPr>
          <w:rFonts w:eastAsia="Calibri"/>
        </w:rPr>
        <w:t>. I</w:t>
      </w:r>
      <w:r>
        <w:rPr>
          <w:rFonts w:eastAsia="Calibri"/>
          <w:lang w:val="ka-GE"/>
        </w:rPr>
        <w:t>n practice</w:t>
      </w:r>
      <w:r>
        <w:rPr>
          <w:rFonts w:eastAsia="Calibri"/>
        </w:rPr>
        <w:t>, however,</w:t>
      </w:r>
      <w:r>
        <w:rPr>
          <w:rFonts w:eastAsia="Calibri"/>
          <w:lang w:val="ka-GE"/>
        </w:rPr>
        <w:t xml:space="preserve"> these rights were res</w:t>
      </w:r>
      <w:r w:rsidR="0058137D">
        <w:rPr>
          <w:rFonts w:eastAsia="Calibri"/>
          <w:lang w:val="ka-GE"/>
        </w:rPr>
        <w:t xml:space="preserve">tricted due to </w:t>
      </w:r>
      <w:r w:rsidR="0058137D">
        <w:rPr>
          <w:rFonts w:eastAsia="Calibri"/>
          <w:lang w:val="en-US"/>
        </w:rPr>
        <w:t>lack of</w:t>
      </w:r>
      <w:r w:rsidR="0058137D">
        <w:rPr>
          <w:rFonts w:eastAsia="Calibri"/>
          <w:lang w:val="ka-GE"/>
        </w:rPr>
        <w:t xml:space="preserve"> relevant facilities and/or </w:t>
      </w:r>
      <w:r w:rsidR="0058137D">
        <w:rPr>
          <w:rFonts w:eastAsia="Calibri"/>
          <w:lang w:val="en-US"/>
        </w:rPr>
        <w:t>because the prison authorities want to</w:t>
      </w:r>
      <w:r w:rsidR="0058137D">
        <w:rPr>
          <w:rFonts w:eastAsia="Calibri"/>
          <w:lang w:val="ka-GE"/>
        </w:rPr>
        <w:t xml:space="preserve"> avoid</w:t>
      </w:r>
      <w:r w:rsidR="0058137D">
        <w:rPr>
          <w:rFonts w:eastAsia="Calibri"/>
          <w:lang w:val="en-US"/>
        </w:rPr>
        <w:t xml:space="preserve"> the possibility of </w:t>
      </w:r>
      <w:r>
        <w:rPr>
          <w:rFonts w:eastAsia="Calibri"/>
          <w:lang w:val="ka-GE"/>
        </w:rPr>
        <w:t>inmates</w:t>
      </w:r>
      <w:r w:rsidR="0058137D">
        <w:rPr>
          <w:rFonts w:eastAsia="Calibri"/>
          <w:lang w:val="en-US"/>
        </w:rPr>
        <w:t xml:space="preserve"> becoming pregnant</w:t>
      </w:r>
      <w:r>
        <w:rPr>
          <w:rFonts w:eastAsia="Calibri"/>
          <w:lang w:val="ka-GE"/>
        </w:rPr>
        <w:t xml:space="preserve">. </w:t>
      </w:r>
    </w:p>
    <w:p w:rsidR="0058137D" w:rsidRDefault="0058137D" w:rsidP="0058137D">
      <w:pPr>
        <w:rPr>
          <w:rFonts w:eastAsia="Calibri"/>
          <w:lang w:val="en-US"/>
        </w:rPr>
      </w:pPr>
    </w:p>
    <w:p w:rsidR="00DB5BB7" w:rsidRDefault="00DB5BB7" w:rsidP="0058137D">
      <w:pPr>
        <w:rPr>
          <w:rFonts w:eastAsia="Calibri"/>
        </w:rPr>
      </w:pPr>
      <w:r>
        <w:rPr>
          <w:rFonts w:eastAsia="Calibri"/>
          <w:lang w:val="ka-GE"/>
        </w:rPr>
        <w:t xml:space="preserve">Since </w:t>
      </w:r>
      <w:r>
        <w:rPr>
          <w:rFonts w:eastAsia="Calibri"/>
        </w:rPr>
        <w:t>the 2012 parliamentary elections, the</w:t>
      </w:r>
      <w:r w:rsidR="0058137D">
        <w:rPr>
          <w:rFonts w:eastAsia="Calibri"/>
        </w:rPr>
        <w:t xml:space="preserve"> new</w:t>
      </w:r>
      <w:r>
        <w:rPr>
          <w:rFonts w:eastAsia="Calibri"/>
          <w:lang w:val="ka-GE"/>
        </w:rPr>
        <w:t xml:space="preserve"> government</w:t>
      </w:r>
      <w:r w:rsidR="0058137D">
        <w:rPr>
          <w:rFonts w:eastAsia="Calibri"/>
          <w:lang w:val="en-US"/>
        </w:rPr>
        <w:t xml:space="preserve"> has  been</w:t>
      </w:r>
      <w:r>
        <w:rPr>
          <w:rFonts w:eastAsia="Calibri"/>
        </w:rPr>
        <w:t xml:space="preserve"> working to improve prison </w:t>
      </w:r>
      <w:r>
        <w:rPr>
          <w:rFonts w:eastAsia="Calibri"/>
          <w:lang w:val="ka-GE"/>
        </w:rPr>
        <w:t xml:space="preserve">infrastructure </w:t>
      </w:r>
      <w:r>
        <w:rPr>
          <w:rFonts w:eastAsia="Calibri"/>
        </w:rPr>
        <w:t>so can have family visits</w:t>
      </w:r>
      <w:bookmarkStart w:id="12" w:name="__RefHeading__1060_364883329"/>
      <w:r>
        <w:rPr>
          <w:rFonts w:eastAsia="Calibri"/>
        </w:rPr>
        <w:t>.</w:t>
      </w:r>
    </w:p>
    <w:p w:rsidR="0058137D" w:rsidRPr="0058137D" w:rsidRDefault="0058137D" w:rsidP="0058137D">
      <w:pPr>
        <w:rPr>
          <w:rFonts w:eastAsia="Calibri"/>
        </w:rPr>
      </w:pPr>
    </w:p>
    <w:p w:rsidR="00DB5BB7" w:rsidRPr="00F57845" w:rsidRDefault="00DB5BB7" w:rsidP="00DB5BB7">
      <w:pPr>
        <w:rPr>
          <w:b/>
          <w:i/>
          <w:lang w:val="ka-GE"/>
        </w:rPr>
      </w:pPr>
      <w:r w:rsidRPr="00F57845">
        <w:rPr>
          <w:b/>
          <w:i/>
          <w:lang w:val="ka-GE"/>
        </w:rPr>
        <w:t>Recommendations:</w:t>
      </w:r>
    </w:p>
    <w:p w:rsidR="00DB5BB7" w:rsidRDefault="00704AFB" w:rsidP="0058137D">
      <w:pPr>
        <w:rPr>
          <w:lang w:val="ka-GE"/>
        </w:rPr>
      </w:pPr>
      <w:r>
        <w:rPr>
          <w:lang w:val="ka-GE"/>
        </w:rPr>
        <w:t>1</w:t>
      </w:r>
      <w:r>
        <w:rPr>
          <w:lang w:val="en-US"/>
        </w:rPr>
        <w:t>/</w:t>
      </w:r>
      <w:r w:rsidR="00DB5BB7">
        <w:t xml:space="preserve"> More consideration should be given to the promotion of gender equality while developing and selecting text-books</w:t>
      </w:r>
      <w:r w:rsidR="00DB5BB7">
        <w:rPr>
          <w:lang w:val="ka-GE"/>
        </w:rPr>
        <w:t xml:space="preserve">. </w:t>
      </w:r>
    </w:p>
    <w:p w:rsidR="00704AFB" w:rsidRDefault="00704AFB" w:rsidP="0058137D">
      <w:pPr>
        <w:rPr>
          <w:lang w:val="en-US"/>
        </w:rPr>
      </w:pPr>
    </w:p>
    <w:p w:rsidR="00DB5BB7" w:rsidRDefault="00704AFB" w:rsidP="0058137D">
      <w:pPr>
        <w:rPr>
          <w:lang w:val="ka-GE"/>
        </w:rPr>
      </w:pPr>
      <w:r>
        <w:rPr>
          <w:lang w:val="en-US"/>
        </w:rPr>
        <w:t xml:space="preserve">2/ </w:t>
      </w:r>
      <w:r w:rsidR="00DB5BB7">
        <w:rPr>
          <w:lang w:val="ka-GE"/>
        </w:rPr>
        <w:t>The Ministry of Education and Science sh</w:t>
      </w:r>
      <w:proofErr w:type="spellStart"/>
      <w:r w:rsidR="00DB5BB7">
        <w:t>ould</w:t>
      </w:r>
      <w:proofErr w:type="spellEnd"/>
      <w:r w:rsidR="00DB5BB7">
        <w:rPr>
          <w:lang w:val="ka-GE"/>
        </w:rPr>
        <w:t xml:space="preserve"> provide training in gender equality for public school and kindergarten</w:t>
      </w:r>
      <w:r w:rsidR="00DB5BB7">
        <w:t xml:space="preserve"> teachers</w:t>
      </w:r>
      <w:r w:rsidR="001B7D8F">
        <w:t xml:space="preserve">. </w:t>
      </w:r>
    </w:p>
    <w:p w:rsidR="00704AFB" w:rsidRDefault="00704AFB" w:rsidP="0058137D"/>
    <w:p w:rsidR="00DB5BB7" w:rsidRDefault="00704AFB" w:rsidP="0058137D">
      <w:pPr>
        <w:rPr>
          <w:rFonts w:eastAsia="Calibri" w:cs="Arial"/>
        </w:rPr>
      </w:pPr>
      <w:r>
        <w:t>3/</w:t>
      </w:r>
      <w:r w:rsidR="00DB5BB7">
        <w:rPr>
          <w:rFonts w:eastAsia="Calibri" w:cs="Arial"/>
        </w:rPr>
        <w:t xml:space="preserve">The state should implement gender budgeting to ensure equality between programmers and state expenditures for men and women.      </w:t>
      </w:r>
    </w:p>
    <w:p w:rsidR="00704AFB" w:rsidRDefault="00704AFB" w:rsidP="0058137D">
      <w:pPr>
        <w:rPr>
          <w:rFonts w:eastAsia="Calibri" w:cs="Arial"/>
        </w:rPr>
      </w:pPr>
    </w:p>
    <w:p w:rsidR="00DB5BB7" w:rsidRDefault="00704AFB" w:rsidP="0058137D">
      <w:pPr>
        <w:rPr>
          <w:rFonts w:eastAsia="Calibri" w:cs="Arial"/>
          <w:lang w:val="ka-GE"/>
        </w:rPr>
      </w:pPr>
      <w:r>
        <w:rPr>
          <w:rFonts w:eastAsia="Calibri" w:cs="Arial"/>
        </w:rPr>
        <w:t xml:space="preserve">4/ </w:t>
      </w:r>
      <w:proofErr w:type="gramStart"/>
      <w:r w:rsidR="0058137D">
        <w:rPr>
          <w:rFonts w:eastAsia="Calibri" w:cs="Arial"/>
          <w:lang w:val="en-US"/>
        </w:rPr>
        <w:t>The</w:t>
      </w:r>
      <w:proofErr w:type="gramEnd"/>
      <w:r w:rsidR="0058137D">
        <w:rPr>
          <w:rFonts w:eastAsia="Calibri" w:cs="Arial"/>
          <w:lang w:val="en-US"/>
        </w:rPr>
        <w:t xml:space="preserve"> state should pay particular attention to the p</w:t>
      </w:r>
      <w:r w:rsidR="0058137D">
        <w:rPr>
          <w:rFonts w:eastAsia="Calibri" w:cs="Arial"/>
          <w:lang w:val="ka-GE"/>
        </w:rPr>
        <w:t>romot</w:t>
      </w:r>
      <w:r w:rsidR="0058137D">
        <w:rPr>
          <w:rFonts w:eastAsia="Calibri" w:cs="Arial"/>
          <w:lang w:val="en-US"/>
        </w:rPr>
        <w:t>ion of</w:t>
      </w:r>
      <w:r w:rsidR="00DB5BB7">
        <w:rPr>
          <w:rFonts w:eastAsia="Calibri" w:cs="Arial"/>
          <w:lang w:val="ka-GE"/>
        </w:rPr>
        <w:t xml:space="preserve"> awareness o</w:t>
      </w:r>
      <w:r w:rsidR="00DB5BB7">
        <w:rPr>
          <w:rFonts w:eastAsia="Calibri" w:cs="Arial"/>
        </w:rPr>
        <w:t>f</w:t>
      </w:r>
      <w:r w:rsidR="00DB5BB7">
        <w:rPr>
          <w:rFonts w:eastAsia="Calibri" w:cs="Arial"/>
          <w:lang w:val="ka-GE"/>
        </w:rPr>
        <w:t xml:space="preserve"> gender equality within </w:t>
      </w:r>
      <w:r w:rsidR="00DB5BB7">
        <w:rPr>
          <w:rFonts w:eastAsia="Calibri" w:cs="Arial"/>
        </w:rPr>
        <w:t>minority households</w:t>
      </w:r>
      <w:r w:rsidR="00DB5BB7">
        <w:rPr>
          <w:rFonts w:eastAsia="Calibri" w:cs="Arial"/>
          <w:lang w:val="ka-GE"/>
        </w:rPr>
        <w:t xml:space="preserve">. </w:t>
      </w:r>
    </w:p>
    <w:p w:rsidR="00704AFB" w:rsidRPr="00704AFB" w:rsidRDefault="00704AFB" w:rsidP="0058137D">
      <w:pPr>
        <w:rPr>
          <w:rFonts w:eastAsia="Calibri" w:cs="Arial"/>
          <w:lang w:val="ka-GE"/>
        </w:rPr>
      </w:pPr>
    </w:p>
    <w:p w:rsidR="00DB5BB7" w:rsidRDefault="00704AFB" w:rsidP="0058137D">
      <w:pPr>
        <w:rPr>
          <w:rFonts w:eastAsia="Calibri" w:cs="Arial"/>
        </w:rPr>
      </w:pPr>
      <w:r>
        <w:rPr>
          <w:rFonts w:eastAsia="Calibri" w:cs="Arial"/>
        </w:rPr>
        <w:t>5/</w:t>
      </w:r>
      <w:r w:rsidR="00DB5BB7">
        <w:rPr>
          <w:rFonts w:eastAsia="Calibri" w:cs="Arial"/>
          <w:lang w:val="ka-GE"/>
        </w:rPr>
        <w:t>In order to increase public awareness on the role of men and women in the society and in the family and their equality, it is important to intensify work with var</w:t>
      </w:r>
      <w:r w:rsidR="0058137D">
        <w:rPr>
          <w:rFonts w:eastAsia="Calibri" w:cs="Arial"/>
          <w:lang w:val="ka-GE"/>
        </w:rPr>
        <w:t xml:space="preserve">ious stakeholders, such as journalists, </w:t>
      </w:r>
      <w:r w:rsidR="0058137D">
        <w:rPr>
          <w:rFonts w:eastAsia="Calibri" w:cs="Arial"/>
          <w:lang w:val="en-US"/>
        </w:rPr>
        <w:t xml:space="preserve">NGOs, </w:t>
      </w:r>
      <w:r w:rsidR="0058137D">
        <w:rPr>
          <w:rFonts w:eastAsia="Calibri" w:cs="Arial"/>
          <w:lang w:val="ka-GE"/>
        </w:rPr>
        <w:t>religious groups</w:t>
      </w:r>
      <w:r w:rsidR="0058137D">
        <w:rPr>
          <w:rFonts w:eastAsia="Calibri" w:cs="Arial"/>
          <w:lang w:val="en-US"/>
        </w:rPr>
        <w:t xml:space="preserve"> and</w:t>
      </w:r>
      <w:r w:rsidR="00DB5BB7">
        <w:rPr>
          <w:rFonts w:eastAsia="Calibri" w:cs="Arial"/>
          <w:lang w:val="ka-GE"/>
        </w:rPr>
        <w:t xml:space="preserve"> national minorities</w:t>
      </w:r>
      <w:r w:rsidR="0058137D">
        <w:rPr>
          <w:rFonts w:eastAsia="Calibri" w:cs="Arial"/>
        </w:rPr>
        <w:t xml:space="preserve"> to ensure a healthy discussion about gender issues.</w:t>
      </w:r>
    </w:p>
    <w:p w:rsidR="00DB5BB7" w:rsidRDefault="00A57A03" w:rsidP="00195896">
      <w:pPr>
        <w:pStyle w:val="berschrift3"/>
        <w:rPr>
          <w:rFonts w:ascii="Sylfaen" w:hAnsi="Sylfaen"/>
        </w:rPr>
      </w:pPr>
      <w:bookmarkStart w:id="13" w:name="_Toc363492728"/>
      <w:bookmarkEnd w:id="12"/>
      <w:r>
        <w:t>Discrimination on the Basis of Disability</w:t>
      </w:r>
      <w:bookmarkEnd w:id="13"/>
    </w:p>
    <w:p w:rsidR="00DB5BB7" w:rsidRDefault="00DB5BB7" w:rsidP="00630373">
      <w:r>
        <w:t xml:space="preserve">According to the data of the Ministry of </w:t>
      </w:r>
      <w:proofErr w:type="spellStart"/>
      <w:r>
        <w:t>Labor</w:t>
      </w:r>
      <w:proofErr w:type="spellEnd"/>
      <w:r>
        <w:t xml:space="preserve">, Health, and Social Affairs of Georgia there are 141,000 people currently receiving disability benefits in Georgia. People of disabilities represent one of the most marginalized groups of society.  </w:t>
      </w:r>
    </w:p>
    <w:p w:rsidR="00DB5BB7" w:rsidRDefault="00DB5BB7" w:rsidP="00DB5BB7">
      <w:pPr>
        <w:rPr>
          <w:rFonts w:ascii="Sylfaen" w:hAnsi="Sylfaen"/>
        </w:rPr>
      </w:pPr>
    </w:p>
    <w:p w:rsidR="00DB5BB7" w:rsidRPr="00A57A03" w:rsidRDefault="00DB5BB7" w:rsidP="00DB5BB7">
      <w:pPr>
        <w:rPr>
          <w:b/>
        </w:rPr>
      </w:pPr>
      <w:r w:rsidRPr="00A57A03">
        <w:rPr>
          <w:b/>
        </w:rPr>
        <w:t xml:space="preserve">Access to Education for Persons with Disabilities </w:t>
      </w:r>
    </w:p>
    <w:p w:rsidR="00DB5BB7" w:rsidRDefault="00A57A03" w:rsidP="00630373">
      <w:r>
        <w:t xml:space="preserve">Given the large number of disabled children, of different kinds, there are relatively few schools that specialise in providing education for children with particular disabilities. </w:t>
      </w:r>
      <w:r w:rsidR="00DB5BB7">
        <w:rPr>
          <w:lang w:val="ka-GE"/>
        </w:rPr>
        <w:t>There are no blind children at the schools of in</w:t>
      </w:r>
      <w:proofErr w:type="spellStart"/>
      <w:r w:rsidR="00DB5BB7">
        <w:t>clusive</w:t>
      </w:r>
      <w:proofErr w:type="spellEnd"/>
      <w:r w:rsidR="00DB5BB7">
        <w:rPr>
          <w:lang w:val="ka-GE"/>
        </w:rPr>
        <w:t xml:space="preserve"> education</w:t>
      </w:r>
      <w:r w:rsidR="00DB5BB7">
        <w:t xml:space="preserve"> </w:t>
      </w:r>
      <w:proofErr w:type="spellStart"/>
      <w:r w:rsidR="00DB5BB7">
        <w:t>andonly</w:t>
      </w:r>
      <w:proofErr w:type="spellEnd"/>
      <w:r w:rsidR="00DB5BB7">
        <w:t xml:space="preserve"> a few hearing impaired children are involved in the education process. There is only one specialized school for visually impaired children located in Tbilisi and two schools for deaf children located in Tbilisi and in Kutaisi. There are 230 pupils enrolled in the special school for deaf children and 44 in the only school for blind children</w:t>
      </w:r>
      <w:r w:rsidR="00A24595">
        <w:rPr>
          <w:rStyle w:val="Funotenzeichen"/>
        </w:rPr>
        <w:footnoteReference w:id="13"/>
      </w:r>
      <w:r w:rsidR="00DB5BB7">
        <w:t xml:space="preserve">. Therefore, the majority of deaf and blind children are left with no primary education.   </w:t>
      </w:r>
    </w:p>
    <w:p w:rsidR="00DB5BB7" w:rsidRDefault="00DB5BB7" w:rsidP="00DB5BB7">
      <w:pPr>
        <w:autoSpaceDE w:val="0"/>
        <w:rPr>
          <w:rFonts w:ascii="Sylfaen" w:hAnsi="Sylfaen"/>
        </w:rPr>
      </w:pPr>
    </w:p>
    <w:p w:rsidR="00DB5BB7" w:rsidRDefault="00DB5BB7" w:rsidP="008254B0">
      <w:r>
        <w:lastRenderedPageBreak/>
        <w:t>There are only two adapted manuals in Georgian language and mathematics for 1</w:t>
      </w:r>
      <w:r>
        <w:rPr>
          <w:vertAlign w:val="superscript"/>
        </w:rPr>
        <w:t>st</w:t>
      </w:r>
      <w:r>
        <w:t xml:space="preserve"> and 2</w:t>
      </w:r>
      <w:r>
        <w:rPr>
          <w:vertAlign w:val="superscript"/>
        </w:rPr>
        <w:t>nd</w:t>
      </w:r>
      <w:r>
        <w:t xml:space="preserve"> graders with hearing impairments</w:t>
      </w:r>
      <w:r w:rsidR="00082030">
        <w:rPr>
          <w:rStyle w:val="Funotenzeichen"/>
        </w:rPr>
        <w:footnoteReference w:id="14"/>
      </w:r>
      <w:r>
        <w:t>. For children with visual impairments a manual for teaching how to read and write in Georgian has been published in Braille script, however</w:t>
      </w:r>
      <w:r w:rsidR="00624140">
        <w:t>,</w:t>
      </w:r>
      <w:r>
        <w:t xml:space="preserve"> there are few if any books written in Braille. Due to </w:t>
      </w:r>
      <w:r w:rsidR="00A57A03">
        <w:t>the u</w:t>
      </w:r>
      <w:r>
        <w:t>navailability of books wri</w:t>
      </w:r>
      <w:r w:rsidR="00A57A03">
        <w:t>tten in Braille, the only way to educate</w:t>
      </w:r>
      <w:r>
        <w:t xml:space="preserve"> children with visual impairment is listening to course material read by their parents, teachers, and caregivers. </w:t>
      </w:r>
    </w:p>
    <w:p w:rsidR="00A57A03" w:rsidRDefault="00A57A03" w:rsidP="00DB5BB7">
      <w:pPr>
        <w:autoSpaceDE w:val="0"/>
        <w:rPr>
          <w:rFonts w:ascii="Sylfaen" w:hAnsi="Sylfaen"/>
        </w:rPr>
      </w:pPr>
    </w:p>
    <w:p w:rsidR="00A57A03" w:rsidRDefault="00A57A03" w:rsidP="008254B0">
      <w:r>
        <w:t xml:space="preserve">In addition to only having limited school options, teachers lack adequate training and there are extremely limited technologies available to aid student with disabilities. For example, teachers who work for the special school for blind children do not know how to use assistive technologies when working with blind or visually impaired children and use no special methodologies with them.          </w:t>
      </w:r>
    </w:p>
    <w:p w:rsidR="00DB5BB7" w:rsidRDefault="00DB5BB7" w:rsidP="00DB5BB7">
      <w:pPr>
        <w:autoSpaceDE w:val="0"/>
        <w:rPr>
          <w:rFonts w:ascii="Sylfaen" w:hAnsi="Sylfaen"/>
        </w:rPr>
      </w:pPr>
    </w:p>
    <w:p w:rsidR="00DB5BB7" w:rsidRDefault="00DB5BB7" w:rsidP="004B5E4B">
      <w:pPr>
        <w:rPr>
          <w:lang w:val="ka-GE"/>
        </w:rPr>
      </w:pPr>
      <w:r>
        <w:t xml:space="preserve">Lack of qualified professionals at special and inclusive schools is a significant obstacle to literacy and the primary education of blind and hearing-impaired children. Additionally, there are no educational programs aimed at teaching parents how to use assistive technologies.        </w:t>
      </w:r>
    </w:p>
    <w:p w:rsidR="00DB5BB7" w:rsidRDefault="00DB5BB7" w:rsidP="00DB5BB7">
      <w:pPr>
        <w:autoSpaceDE w:val="0"/>
        <w:rPr>
          <w:rFonts w:ascii="Sylfaen" w:hAnsi="Sylfaen"/>
          <w:lang w:val="ka-GE"/>
        </w:rPr>
      </w:pPr>
    </w:p>
    <w:p w:rsidR="00DB5BB7" w:rsidRPr="00A57A03" w:rsidRDefault="00A57A03" w:rsidP="00A57A03">
      <w:pPr>
        <w:rPr>
          <w:b/>
        </w:rPr>
      </w:pPr>
      <w:r w:rsidRPr="00A57A03">
        <w:rPr>
          <w:b/>
        </w:rPr>
        <w:t xml:space="preserve">Extremely Low Levels of </w:t>
      </w:r>
      <w:r w:rsidR="00DB5BB7" w:rsidRPr="00A57A03">
        <w:rPr>
          <w:b/>
        </w:rPr>
        <w:t xml:space="preserve">Financial </w:t>
      </w:r>
      <w:r w:rsidRPr="00A57A03">
        <w:rPr>
          <w:b/>
        </w:rPr>
        <w:t xml:space="preserve">Support for Persons with </w:t>
      </w:r>
      <w:r w:rsidR="00DB5BB7" w:rsidRPr="00A57A03">
        <w:rPr>
          <w:b/>
        </w:rPr>
        <w:t xml:space="preserve">Disabilities </w:t>
      </w:r>
    </w:p>
    <w:p w:rsidR="00DB5BB7" w:rsidRDefault="00DB5BB7" w:rsidP="00A57A03">
      <w:r>
        <w:t xml:space="preserve">In July 2006, the government initiated a nationwide program of registration of families living below the poverty line and offered them financial and healthcare assistance. However, for persons with disabilities that were not found to be under the poverty line, the state merely provides a disability pension of EUR 33 per month.      </w:t>
      </w:r>
    </w:p>
    <w:p w:rsidR="00DB5BB7" w:rsidRDefault="00DB5BB7" w:rsidP="00DB5BB7">
      <w:pPr>
        <w:pStyle w:val="western"/>
        <w:spacing w:before="0"/>
        <w:rPr>
          <w:rFonts w:ascii="Sylfaen" w:hAnsi="Sylfaen"/>
          <w:sz w:val="24"/>
          <w:szCs w:val="24"/>
        </w:rPr>
      </w:pPr>
    </w:p>
    <w:p w:rsidR="00DB5BB7" w:rsidRDefault="00DB5BB7" w:rsidP="00054914">
      <w:r>
        <w:t xml:space="preserve">The failure to expand financial support for the disabled is reflected in the state budget. While the overall national budget has increased from GEL 600 million in 2004 to GEL 7 billion in 2011, the budget allocation for the social integration of persons with disabilities has remained unchanged at GEL 4 million.  </w:t>
      </w:r>
    </w:p>
    <w:p w:rsidR="00054914" w:rsidRDefault="00054914" w:rsidP="00DB5BB7">
      <w:pPr>
        <w:rPr>
          <w:rFonts w:ascii="Sylfaen" w:eastAsia="Calibri" w:hAnsi="Sylfaen" w:cs="Mangal"/>
          <w:kern w:val="1"/>
          <w:sz w:val="24"/>
          <w:szCs w:val="24"/>
          <w:lang w:eastAsia="hi-IN" w:bidi="hi-IN"/>
        </w:rPr>
      </w:pPr>
    </w:p>
    <w:p w:rsidR="00DB5BB7" w:rsidRPr="00482499" w:rsidRDefault="00482499" w:rsidP="00482499">
      <w:r>
        <w:t>In addition, there is extremely limited effort to make public spaces accessible for the disabled. Wheel-chair ramps, for example, are often so steep as to be practically useless. In addition, there</w:t>
      </w:r>
      <w:r w:rsidR="00DB5BB7">
        <w:t xml:space="preserve"> is an almost total absence of public transport that is accessible to people with disabilities</w:t>
      </w:r>
      <w:r w:rsidR="002F361F">
        <w:rPr>
          <w:rStyle w:val="Funotenzeichen"/>
        </w:rPr>
        <w:footnoteReference w:id="15"/>
      </w:r>
      <w:r w:rsidR="00DB5BB7">
        <w:t>.</w:t>
      </w:r>
      <w:r>
        <w:t xml:space="preserve"> Together, this dramatically limits the mobility and social inclusion of disabled people. </w:t>
      </w:r>
    </w:p>
    <w:p w:rsidR="00DB5BB7" w:rsidRDefault="00DB5BB7" w:rsidP="00DB5BB7">
      <w:pPr>
        <w:rPr>
          <w:rFonts w:ascii="Sylfaen" w:hAnsi="Sylfaen"/>
        </w:rPr>
      </w:pPr>
    </w:p>
    <w:p w:rsidR="000852C0" w:rsidRPr="00787D1B" w:rsidRDefault="00DB5BB7" w:rsidP="00DB5BB7">
      <w:pPr>
        <w:rPr>
          <w:b/>
          <w:i/>
        </w:rPr>
      </w:pPr>
      <w:r w:rsidRPr="00787D1B">
        <w:rPr>
          <w:b/>
          <w:i/>
        </w:rPr>
        <w:t>Recommendations – the government should</w:t>
      </w:r>
      <w:r w:rsidR="00786812" w:rsidRPr="00787D1B">
        <w:rPr>
          <w:b/>
          <w:i/>
        </w:rPr>
        <w:t>:</w:t>
      </w:r>
    </w:p>
    <w:p w:rsidR="00482499" w:rsidRDefault="00786812" w:rsidP="00786812">
      <w:r>
        <w:t xml:space="preserve">1/ </w:t>
      </w:r>
      <w:r w:rsidR="00482499">
        <w:t>Make every</w:t>
      </w:r>
      <w:r w:rsidR="00DB5BB7">
        <w:t xml:space="preserve"> efforts to ensure access to education of persons with disabilities.</w:t>
      </w:r>
    </w:p>
    <w:p w:rsidR="00786812" w:rsidRDefault="00786812" w:rsidP="00786812"/>
    <w:p w:rsidR="00482499" w:rsidRDefault="00786812" w:rsidP="00786812">
      <w:r>
        <w:t xml:space="preserve">2/ </w:t>
      </w:r>
      <w:r w:rsidR="00DB5BB7">
        <w:t>Publish specially adapted manuals for children with hearing and visual impairments.</w:t>
      </w:r>
    </w:p>
    <w:p w:rsidR="00786812" w:rsidRDefault="00786812" w:rsidP="00786812"/>
    <w:p w:rsidR="00482499" w:rsidRDefault="00786812" w:rsidP="00786812">
      <w:r>
        <w:t xml:space="preserve">3/ </w:t>
      </w:r>
      <w:r w:rsidR="00DB5BB7">
        <w:t>Increase the qualifications of teachers for children with hearing and visual impairments.</w:t>
      </w:r>
    </w:p>
    <w:p w:rsidR="00786812" w:rsidRDefault="00786812" w:rsidP="00786812"/>
    <w:p w:rsidR="00482499" w:rsidRDefault="00786812" w:rsidP="00786812">
      <w:r>
        <w:t xml:space="preserve">4/ </w:t>
      </w:r>
      <w:r w:rsidR="00DB5BB7">
        <w:t>Increased financial assistance to persons with disabilities</w:t>
      </w:r>
      <w:r>
        <w:t>.</w:t>
      </w:r>
    </w:p>
    <w:p w:rsidR="00786812" w:rsidRDefault="00786812" w:rsidP="00786812"/>
    <w:p w:rsidR="00482499" w:rsidRDefault="00786812" w:rsidP="00786812">
      <w:r>
        <w:t xml:space="preserve">5/ </w:t>
      </w:r>
      <w:r w:rsidR="00DB5BB7">
        <w:t>Proved accessible infrastructure and public transport</w:t>
      </w:r>
      <w:r>
        <w:t>.</w:t>
      </w:r>
    </w:p>
    <w:p w:rsidR="00786812" w:rsidRDefault="00786812" w:rsidP="00786812"/>
    <w:p w:rsidR="00DB5BB7" w:rsidRDefault="00786812" w:rsidP="00786812">
      <w:proofErr w:type="gramStart"/>
      <w:r>
        <w:t xml:space="preserve">6/ </w:t>
      </w:r>
      <w:r w:rsidR="00DB5BB7">
        <w:t>Include organizations representing persons with disabilities in the preparation of programs for the disabled persons.</w:t>
      </w:r>
      <w:proofErr w:type="gramEnd"/>
    </w:p>
    <w:p w:rsidR="00124AE6" w:rsidRDefault="00124AE6" w:rsidP="00124AE6">
      <w:pPr>
        <w:spacing w:line="100" w:lineRule="atLeast"/>
        <w:rPr>
          <w:rFonts w:ascii="Sylfaen" w:hAnsi="Sylfaen"/>
        </w:rPr>
      </w:pPr>
    </w:p>
    <w:p w:rsidR="008D4514" w:rsidRDefault="008D4514" w:rsidP="00195896">
      <w:pPr>
        <w:pStyle w:val="berschrift1"/>
      </w:pPr>
      <w:bookmarkStart w:id="14" w:name="_Toc363492729"/>
      <w:r>
        <w:lastRenderedPageBreak/>
        <w:t>The police, the procedure fo</w:t>
      </w:r>
      <w:r w:rsidR="00D44BDC">
        <w:t xml:space="preserve">r arrest, prisons and </w:t>
      </w:r>
      <w:r w:rsidR="0003694A">
        <w:t>the pre-trial detention</w:t>
      </w:r>
      <w:bookmarkEnd w:id="14"/>
    </w:p>
    <w:p w:rsidR="008D4514" w:rsidRDefault="008D4514" w:rsidP="00786812">
      <w:r>
        <w:t>In this section of the analysis, the NGO coalition research is looking at the HRC Observations on the police and the use of force, torture and ill treatment during arrest and poor conditions in the prisons</w:t>
      </w:r>
    </w:p>
    <w:p w:rsidR="00ED6931" w:rsidRDefault="00ED6931" w:rsidP="00195896">
      <w:pPr>
        <w:pStyle w:val="berschrift2"/>
        <w:rPr>
          <w:lang w:val="en-US"/>
        </w:rPr>
      </w:pPr>
      <w:bookmarkStart w:id="15" w:name="_Toc363492730"/>
      <w:r>
        <w:rPr>
          <w:lang w:val="en-US"/>
        </w:rPr>
        <w:t xml:space="preserve">HRC </w:t>
      </w:r>
      <w:r w:rsidR="00821528">
        <w:rPr>
          <w:lang w:val="en-US"/>
        </w:rPr>
        <w:t xml:space="preserve">Concluding </w:t>
      </w:r>
      <w:r>
        <w:rPr>
          <w:lang w:val="en-US"/>
        </w:rPr>
        <w:t>Observations</w:t>
      </w:r>
      <w:r w:rsidR="00821528">
        <w:rPr>
          <w:lang w:val="en-US"/>
        </w:rPr>
        <w:t>,</w:t>
      </w:r>
      <w:r>
        <w:rPr>
          <w:lang w:val="en-US"/>
        </w:rPr>
        <w:t xml:space="preserve"> Paragraph </w:t>
      </w:r>
      <w:r w:rsidR="004B5E4B">
        <w:rPr>
          <w:lang w:val="en-US"/>
        </w:rPr>
        <w:t>10:</w:t>
      </w:r>
      <w:r w:rsidRPr="002040A8">
        <w:rPr>
          <w:lang w:val="en-US"/>
        </w:rPr>
        <w:t xml:space="preserve"> torture and ill treatment during arrest (</w:t>
      </w:r>
      <w:r>
        <w:rPr>
          <w:lang w:val="en-US"/>
        </w:rPr>
        <w:t xml:space="preserve">relating to articles </w:t>
      </w:r>
      <w:r w:rsidRPr="002040A8">
        <w:rPr>
          <w:lang w:val="en-US"/>
        </w:rPr>
        <w:t>2, 7, 9)</w:t>
      </w:r>
      <w:bookmarkEnd w:id="15"/>
    </w:p>
    <w:p w:rsidR="00707822" w:rsidRDefault="00707822" w:rsidP="00707822">
      <w:pPr>
        <w:rPr>
          <w:lang w:val="en-US"/>
        </w:rPr>
      </w:pPr>
    </w:p>
    <w:p w:rsidR="00ED6931" w:rsidRPr="008B7B75" w:rsidRDefault="00ED6931" w:rsidP="004445C9">
      <w:pPr>
        <w:rPr>
          <w:lang w:val="en-US"/>
        </w:rPr>
      </w:pPr>
      <w:r>
        <w:rPr>
          <w:lang w:val="en-US"/>
        </w:rPr>
        <w:t>Paragraph 10 of the HRC Observati</w:t>
      </w:r>
      <w:r w:rsidR="004445C9">
        <w:rPr>
          <w:lang w:val="en-US"/>
        </w:rPr>
        <w:t xml:space="preserve">ons expressed concern about the </w:t>
      </w:r>
      <w:r>
        <w:rPr>
          <w:lang w:val="en-US"/>
        </w:rPr>
        <w:t>‘persistence of reports of acts of ill­treatment by the police, especially </w:t>
      </w:r>
      <w:r w:rsidR="004445C9">
        <w:rPr>
          <w:lang w:val="en-US"/>
        </w:rPr>
        <w:t xml:space="preserve">during the arrest of suspects’. </w:t>
      </w:r>
      <w:r>
        <w:rPr>
          <w:lang w:val="en-US"/>
        </w:rPr>
        <w:t xml:space="preserve">The committee recommends that the state should ensure investigation of complaints, reparation for victims, establish an effective mechanism for the avoidance of torture and continue to carry out an anti-torture action plan, taking into account the recommendations of the UN Special Rapporteur on </w:t>
      </w:r>
      <w:r w:rsidR="00872428">
        <w:rPr>
          <w:lang w:val="en-US"/>
        </w:rPr>
        <w:t>T</w:t>
      </w:r>
      <w:r>
        <w:rPr>
          <w:lang w:val="en-US"/>
        </w:rPr>
        <w:t>orture.</w:t>
      </w:r>
    </w:p>
    <w:p w:rsidR="00C521A8" w:rsidRDefault="00C521A8" w:rsidP="00ED6931">
      <w:pPr>
        <w:jc w:val="left"/>
        <w:textAlignment w:val="center"/>
        <w:rPr>
          <w:rFonts w:ascii="Times New Roman" w:hAnsi="Times New Roman"/>
          <w:lang w:val="en-US"/>
        </w:rPr>
      </w:pPr>
    </w:p>
    <w:p w:rsidR="00786812" w:rsidRPr="00786812" w:rsidRDefault="00786812" w:rsidP="004445C9">
      <w:pPr>
        <w:textAlignment w:val="center"/>
        <w:rPr>
          <w:rFonts w:ascii="Times New Roman" w:hAnsi="Times New Roman"/>
          <w:lang w:val="ka-GE"/>
        </w:rPr>
      </w:pPr>
      <w:r w:rsidRPr="00E048EA">
        <w:rPr>
          <w:lang w:val="en-GB"/>
        </w:rPr>
        <w:t xml:space="preserve">The </w:t>
      </w:r>
      <w:r>
        <w:rPr>
          <w:lang w:val="en-GB"/>
        </w:rPr>
        <w:t xml:space="preserve">NGO coalition </w:t>
      </w:r>
      <w:r w:rsidRPr="00E048EA">
        <w:rPr>
          <w:lang w:val="en-GB"/>
        </w:rPr>
        <w:t>reporting period was characterised by cases of</w:t>
      </w:r>
      <w:r w:rsidR="009B7E18">
        <w:rPr>
          <w:lang w:val="en-GB"/>
        </w:rPr>
        <w:t xml:space="preserve"> </w:t>
      </w:r>
      <w:r w:rsidRPr="00E048EA">
        <w:rPr>
          <w:lang w:val="en-GB"/>
        </w:rPr>
        <w:t>dispersal of demonstrations</w:t>
      </w:r>
      <w:r w:rsidRPr="00E048EA">
        <w:rPr>
          <w:rStyle w:val="Funotenzeichen"/>
          <w:rFonts w:ascii="Times New Roman" w:hAnsi="Times New Roman"/>
          <w:sz w:val="24"/>
          <w:szCs w:val="24"/>
          <w:lang w:val="ka-GE"/>
        </w:rPr>
        <w:footnoteReference w:id="16"/>
      </w:r>
      <w:r w:rsidRPr="00E048EA">
        <w:rPr>
          <w:lang w:val="en-GB"/>
        </w:rPr>
        <w:t>and by the use of excessive force against the participants</w:t>
      </w:r>
      <w:r>
        <w:rPr>
          <w:lang w:val="en-GB"/>
        </w:rPr>
        <w:t>.</w:t>
      </w:r>
      <w:r w:rsidRPr="00E048EA">
        <w:rPr>
          <w:rStyle w:val="Funotenzeichen"/>
          <w:rFonts w:ascii="Times New Roman" w:hAnsi="Times New Roman"/>
          <w:sz w:val="24"/>
          <w:szCs w:val="24"/>
          <w:lang w:val="ka-GE"/>
        </w:rPr>
        <w:footnoteReference w:id="17"/>
      </w:r>
      <w:r w:rsidR="009B7E18">
        <w:rPr>
          <w:lang w:val="en-US"/>
        </w:rPr>
        <w:t xml:space="preserve"> </w:t>
      </w:r>
      <w:r>
        <w:t xml:space="preserve">The most notable incidence of police brutality occurred on May 26, 2011, when a police crackdown of demonstrators </w:t>
      </w:r>
      <w:r w:rsidRPr="00E048EA">
        <w:t xml:space="preserve">resulted in </w:t>
      </w:r>
      <w:r>
        <w:t xml:space="preserve">the </w:t>
      </w:r>
      <w:r w:rsidRPr="00E048EA">
        <w:t>death of several persons</w:t>
      </w:r>
      <w:r>
        <w:t>.</w:t>
      </w:r>
      <w:r w:rsidRPr="00E048EA">
        <w:rPr>
          <w:rStyle w:val="Funotenzeichen"/>
          <w:rFonts w:ascii="Times New Roman" w:hAnsi="Times New Roman"/>
          <w:sz w:val="24"/>
          <w:szCs w:val="24"/>
          <w:lang w:val="ka-GE"/>
        </w:rPr>
        <w:footnoteReference w:id="18"/>
      </w:r>
      <w:r w:rsidRPr="00E048EA">
        <w:rPr>
          <w:lang w:val="en-GB"/>
        </w:rPr>
        <w:t>The investigations into the facts of alleged</w:t>
      </w:r>
      <w:r w:rsidR="00745EBC">
        <w:rPr>
          <w:lang w:val="en-GB"/>
        </w:rPr>
        <w:t xml:space="preserve"> </w:t>
      </w:r>
      <w:r w:rsidRPr="00E048EA">
        <w:rPr>
          <w:lang w:val="en-GB"/>
        </w:rPr>
        <w:t>ill-treatment are delayed and are</w:t>
      </w:r>
      <w:r w:rsidRPr="00E048EA">
        <w:t xml:space="preserve"> still ongoing</w:t>
      </w:r>
      <w:r>
        <w:t>.</w:t>
      </w:r>
      <w:r w:rsidRPr="00E048EA">
        <w:rPr>
          <w:rStyle w:val="Funotenzeichen"/>
          <w:rFonts w:ascii="Times New Roman" w:hAnsi="Times New Roman"/>
          <w:sz w:val="24"/>
          <w:szCs w:val="24"/>
          <w:lang w:val="ka-GE"/>
        </w:rPr>
        <w:footnoteReference w:id="19"/>
      </w:r>
    </w:p>
    <w:p w:rsidR="00786812" w:rsidRDefault="00786812" w:rsidP="00ED6931">
      <w:pPr>
        <w:jc w:val="left"/>
        <w:textAlignment w:val="center"/>
        <w:rPr>
          <w:rFonts w:ascii="Times New Roman" w:hAnsi="Times New Roman"/>
          <w:lang w:val="en-US"/>
        </w:rPr>
      </w:pPr>
    </w:p>
    <w:p w:rsidR="00C521A8" w:rsidRDefault="008B7B75" w:rsidP="008B7B75">
      <w:pPr>
        <w:rPr>
          <w:lang w:val="en-GB"/>
        </w:rPr>
      </w:pPr>
      <w:r>
        <w:rPr>
          <w:lang w:val="en-US"/>
        </w:rPr>
        <w:t>In its 4</w:t>
      </w:r>
      <w:r w:rsidRPr="008B7B75">
        <w:rPr>
          <w:vertAlign w:val="superscript"/>
          <w:lang w:val="en-US"/>
        </w:rPr>
        <w:t>th</w:t>
      </w:r>
      <w:r>
        <w:rPr>
          <w:lang w:val="en-US"/>
        </w:rPr>
        <w:t xml:space="preserve"> periodic report, the Government of Georgia </w:t>
      </w:r>
      <w:r>
        <w:rPr>
          <w:lang w:val="en-GB"/>
        </w:rPr>
        <w:t>(paragraph 24-28), highlights a range of efforts to combat this problem. In particular</w:t>
      </w:r>
      <w:r w:rsidR="00183374">
        <w:rPr>
          <w:lang w:val="en-GB"/>
        </w:rPr>
        <w:t>,</w:t>
      </w:r>
      <w:r>
        <w:rPr>
          <w:lang w:val="en-GB"/>
        </w:rPr>
        <w:t xml:space="preserve"> they </w:t>
      </w:r>
      <w:r w:rsidR="00C521A8" w:rsidRPr="00E048EA">
        <w:rPr>
          <w:lang w:val="en-GB"/>
        </w:rPr>
        <w:t xml:space="preserve">notes that </w:t>
      </w:r>
      <w:r w:rsidR="00C521A8">
        <w:rPr>
          <w:lang w:val="en-GB"/>
        </w:rPr>
        <w:t>abusive tactics</w:t>
      </w:r>
      <w:r w:rsidR="00C521A8" w:rsidRPr="00E048EA">
        <w:rPr>
          <w:lang w:val="en-GB"/>
        </w:rPr>
        <w:t xml:space="preserve"> by policemen in temporary detention </w:t>
      </w:r>
      <w:r w:rsidR="00C521A8">
        <w:rPr>
          <w:lang w:val="en-GB"/>
        </w:rPr>
        <w:t xml:space="preserve">centres </w:t>
      </w:r>
      <w:r w:rsidR="00C521A8" w:rsidRPr="00E048EA">
        <w:rPr>
          <w:lang w:val="en-GB"/>
        </w:rPr>
        <w:t xml:space="preserve">is no longer </w:t>
      </w:r>
      <w:r w:rsidR="00C521A8">
        <w:rPr>
          <w:lang w:val="en-GB"/>
        </w:rPr>
        <w:t>a</w:t>
      </w:r>
      <w:r w:rsidR="00C521A8" w:rsidRPr="00E048EA">
        <w:rPr>
          <w:lang w:val="en-GB"/>
        </w:rPr>
        <w:t xml:space="preserve"> systematic problem.</w:t>
      </w:r>
      <w:r>
        <w:rPr>
          <w:lang w:val="en-GB"/>
        </w:rPr>
        <w:t xml:space="preserve"> They also highlight the </w:t>
      </w:r>
      <w:r>
        <w:t>establishment of</w:t>
      </w:r>
      <w:r w:rsidR="00317DC3">
        <w:t xml:space="preserve"> </w:t>
      </w:r>
      <w:r>
        <w:t xml:space="preserve">an </w:t>
      </w:r>
      <w:r w:rsidRPr="00E048EA">
        <w:t>Inter-Agency Coordination Council against torture and cruel, inhuman</w:t>
      </w:r>
      <w:r>
        <w:t xml:space="preserve">, </w:t>
      </w:r>
      <w:r w:rsidRPr="00E048EA">
        <w:t>degrading treatment</w:t>
      </w:r>
      <w:r w:rsidR="00F80A41">
        <w:t>.</w:t>
      </w:r>
    </w:p>
    <w:p w:rsidR="008B7B75" w:rsidRDefault="008B7B75" w:rsidP="00C521A8">
      <w:pPr>
        <w:jc w:val="left"/>
        <w:rPr>
          <w:rFonts w:ascii="Times New Roman" w:hAnsi="Times New Roman"/>
          <w:sz w:val="24"/>
          <w:szCs w:val="24"/>
          <w:lang w:val="en-GB"/>
        </w:rPr>
      </w:pPr>
    </w:p>
    <w:p w:rsidR="00C521A8" w:rsidRDefault="00C521A8" w:rsidP="008B7B75">
      <w:pPr>
        <w:rPr>
          <w:b/>
          <w:lang w:val="en-GB"/>
        </w:rPr>
      </w:pPr>
      <w:r>
        <w:rPr>
          <w:lang w:val="en-GB"/>
        </w:rPr>
        <w:lastRenderedPageBreak/>
        <w:t>In 2011, however, the</w:t>
      </w:r>
      <w:r w:rsidRPr="00E048EA">
        <w:rPr>
          <w:lang w:val="en-GB"/>
        </w:rPr>
        <w:t xml:space="preserve"> National Preventive Mechanism</w:t>
      </w:r>
      <w:r>
        <w:rPr>
          <w:lang w:val="en-GB"/>
        </w:rPr>
        <w:t xml:space="preserve"> Report noted that a </w:t>
      </w:r>
      <w:r w:rsidRPr="00E048EA">
        <w:rPr>
          <w:lang w:val="en-GB"/>
        </w:rPr>
        <w:t>number of people</w:t>
      </w:r>
      <w:r>
        <w:rPr>
          <w:lang w:val="en-GB"/>
        </w:rPr>
        <w:t xml:space="preserve"> who had been</w:t>
      </w:r>
      <w:r w:rsidRPr="00E048EA">
        <w:rPr>
          <w:lang w:val="en-GB"/>
        </w:rPr>
        <w:t xml:space="preserve"> placed in temporary detention had visible traces of injuries inflicted </w:t>
      </w:r>
      <w:r>
        <w:rPr>
          <w:lang w:val="en-GB"/>
        </w:rPr>
        <w:t>during their detentions. The incidences of prisoner abuse are also under-reported because a</w:t>
      </w:r>
      <w:r w:rsidRPr="00E048EA">
        <w:rPr>
          <w:lang w:val="en-GB"/>
        </w:rPr>
        <w:t xml:space="preserve"> majority</w:t>
      </w:r>
      <w:r>
        <w:rPr>
          <w:lang w:val="en-GB"/>
        </w:rPr>
        <w:t xml:space="preserve"> of victims</w:t>
      </w:r>
      <w:r w:rsidRPr="00E048EA">
        <w:rPr>
          <w:lang w:val="en-GB"/>
        </w:rPr>
        <w:t xml:space="preserve"> refrain from filing a complaint.</w:t>
      </w:r>
      <w:r w:rsidRPr="00E048EA">
        <w:rPr>
          <w:rStyle w:val="Funotenzeichen"/>
          <w:rFonts w:ascii="Times New Roman" w:hAnsi="Times New Roman"/>
          <w:sz w:val="24"/>
          <w:szCs w:val="24"/>
          <w:lang w:val="en-GB"/>
        </w:rPr>
        <w:footnoteReference w:id="20"/>
      </w:r>
      <w:r>
        <w:rPr>
          <w:lang w:val="en-GB"/>
        </w:rPr>
        <w:t xml:space="preserve"> Prisoners often fear repercussions from whistle-blowing on police officers’ abusive punishments. </w:t>
      </w:r>
    </w:p>
    <w:p w:rsidR="00C521A8" w:rsidRDefault="00C521A8" w:rsidP="00C521A8">
      <w:pPr>
        <w:jc w:val="left"/>
        <w:rPr>
          <w:rFonts w:ascii="Times New Roman" w:hAnsi="Times New Roman"/>
          <w:b/>
          <w:sz w:val="24"/>
          <w:szCs w:val="24"/>
          <w:lang w:val="en-GB"/>
        </w:rPr>
      </w:pPr>
    </w:p>
    <w:p w:rsidR="00C521A8" w:rsidRDefault="00F80A41" w:rsidP="00B23E0F">
      <w:pPr>
        <w:rPr>
          <w:lang w:val="en-US"/>
        </w:rPr>
      </w:pPr>
      <w:r>
        <w:t xml:space="preserve">The </w:t>
      </w:r>
      <w:r w:rsidR="008B7B75">
        <w:t>establishment of</w:t>
      </w:r>
      <w:r w:rsidR="00695F8B">
        <w:t xml:space="preserve"> </w:t>
      </w:r>
      <w:r w:rsidR="008B7B75">
        <w:t xml:space="preserve">an </w:t>
      </w:r>
      <w:r w:rsidR="008B7B75" w:rsidRPr="00E048EA">
        <w:t>Inter-Agency Coordination Council against torture and cruel, inhuman</w:t>
      </w:r>
      <w:r w:rsidR="008B7B75">
        <w:t xml:space="preserve">, </w:t>
      </w:r>
      <w:r w:rsidR="008B7B75" w:rsidRPr="00E048EA">
        <w:t>degrading treatment</w:t>
      </w:r>
      <w:r w:rsidR="00695F8B">
        <w:t xml:space="preserve"> </w:t>
      </w:r>
      <w:r w:rsidR="00C521A8">
        <w:t>is a positive step</w:t>
      </w:r>
      <w:r w:rsidR="00C521A8" w:rsidRPr="00E048EA">
        <w:t xml:space="preserve">. </w:t>
      </w:r>
      <w:r w:rsidR="00C521A8">
        <w:t>Its ability to ameliorate systemic government abuse, however, is hampered due to excessive bureaucracy. For example, i</w:t>
      </w:r>
      <w:r w:rsidR="00C521A8" w:rsidRPr="00E048EA">
        <w:rPr>
          <w:lang w:val="ka-GE"/>
        </w:rPr>
        <w:t xml:space="preserve">t </w:t>
      </w:r>
      <w:r w:rsidR="00C521A8">
        <w:t>was extremely difficult</w:t>
      </w:r>
      <w:r w:rsidR="00C521A8" w:rsidRPr="00E048EA">
        <w:rPr>
          <w:lang w:val="ka-GE"/>
        </w:rPr>
        <w:t xml:space="preserve"> to </w:t>
      </w:r>
      <w:r w:rsidR="00C521A8">
        <w:t xml:space="preserve">setup </w:t>
      </w:r>
      <w:r w:rsidR="00C521A8" w:rsidRPr="00E048EA">
        <w:t>meeting</w:t>
      </w:r>
      <w:r w:rsidR="00C521A8">
        <w:t xml:space="preserve">s between </w:t>
      </w:r>
      <w:r w:rsidR="00C521A8" w:rsidRPr="00E048EA">
        <w:t>the Council and non-governmental organizations</w:t>
      </w:r>
      <w:r>
        <w:t xml:space="preserve"> for the purposes of this report</w:t>
      </w:r>
      <w:r w:rsidR="00C521A8" w:rsidRPr="00E048EA">
        <w:rPr>
          <w:lang w:val="ka-GE"/>
        </w:rPr>
        <w:t>.</w:t>
      </w:r>
    </w:p>
    <w:p w:rsidR="00A5663F" w:rsidRPr="00A5663F" w:rsidRDefault="00A5663F" w:rsidP="00B23E0F">
      <w:pPr>
        <w:rPr>
          <w:lang w:val="en-US"/>
        </w:rPr>
      </w:pPr>
    </w:p>
    <w:p w:rsidR="00F80A41" w:rsidRDefault="00F80A41" w:rsidP="00ED6931">
      <w:pPr>
        <w:rPr>
          <w:lang w:val="en-GB"/>
        </w:rPr>
      </w:pPr>
      <w:r>
        <w:rPr>
          <w:lang w:val="en-GB"/>
        </w:rPr>
        <w:t xml:space="preserve">In addition to responding to the HRC observations, the </w:t>
      </w:r>
      <w:proofErr w:type="spellStart"/>
      <w:r>
        <w:rPr>
          <w:lang w:val="en-GB"/>
        </w:rPr>
        <w:t>GoG</w:t>
      </w:r>
      <w:proofErr w:type="spellEnd"/>
      <w:r>
        <w:rPr>
          <w:lang w:val="en-GB"/>
        </w:rPr>
        <w:t xml:space="preserve"> also offers several more general observations on the way in whi</w:t>
      </w:r>
      <w:r w:rsidR="00ED6931">
        <w:rPr>
          <w:lang w:val="en-GB"/>
        </w:rPr>
        <w:t>ch changes since the 2005 HRC observations</w:t>
      </w:r>
      <w:r>
        <w:rPr>
          <w:lang w:val="en-GB"/>
        </w:rPr>
        <w:t xml:space="preserve"> have improved </w:t>
      </w:r>
      <w:r w:rsidR="00367D8B">
        <w:rPr>
          <w:lang w:val="en-GB"/>
        </w:rPr>
        <w:t xml:space="preserve">the situation </w:t>
      </w:r>
      <w:proofErr w:type="spellStart"/>
      <w:r w:rsidR="00367D8B">
        <w:rPr>
          <w:lang w:val="en-GB"/>
        </w:rPr>
        <w:t>vis</w:t>
      </w:r>
      <w:proofErr w:type="spellEnd"/>
      <w:r w:rsidR="00367D8B">
        <w:rPr>
          <w:lang w:val="en-GB"/>
        </w:rPr>
        <w:t>-a-</w:t>
      </w:r>
      <w:proofErr w:type="spellStart"/>
      <w:r w:rsidR="00367D8B">
        <w:rPr>
          <w:lang w:val="en-GB"/>
        </w:rPr>
        <w:t>vis</w:t>
      </w:r>
      <w:proofErr w:type="spellEnd"/>
      <w:r w:rsidR="00367D8B">
        <w:rPr>
          <w:lang w:val="en-GB"/>
        </w:rPr>
        <w:t xml:space="preserve"> torture.</w:t>
      </w:r>
      <w:r w:rsidR="00695F8B">
        <w:rPr>
          <w:lang w:val="en-GB"/>
        </w:rPr>
        <w:t xml:space="preserve"> </w:t>
      </w:r>
      <w:r w:rsidR="00367D8B">
        <w:rPr>
          <w:lang w:val="en-GB"/>
        </w:rPr>
        <w:t>I</w:t>
      </w:r>
      <w:r>
        <w:rPr>
          <w:lang w:val="en-GB"/>
        </w:rPr>
        <w:t>n particular</w:t>
      </w:r>
      <w:r w:rsidR="00367D8B">
        <w:rPr>
          <w:lang w:val="en-GB"/>
        </w:rPr>
        <w:t>,</w:t>
      </w:r>
      <w:r>
        <w:rPr>
          <w:lang w:val="en-GB"/>
        </w:rPr>
        <w:t xml:space="preserve"> they highlight changes to the criminal procedural code.</w:t>
      </w:r>
    </w:p>
    <w:p w:rsidR="00F80A41" w:rsidRPr="00F80A41" w:rsidRDefault="00F80A41" w:rsidP="00430034">
      <w:pPr>
        <w:jc w:val="left"/>
        <w:rPr>
          <w:rFonts w:ascii="Times New Roman" w:hAnsi="Times New Roman"/>
          <w:sz w:val="24"/>
          <w:szCs w:val="24"/>
          <w:lang w:val="en-GB"/>
        </w:rPr>
      </w:pPr>
    </w:p>
    <w:p w:rsidR="00430034" w:rsidRDefault="00F80A41" w:rsidP="00ED6931">
      <w:pPr>
        <w:rPr>
          <w:lang w:val="ka-GE"/>
        </w:rPr>
      </w:pPr>
      <w:r>
        <w:rPr>
          <w:lang w:val="en-GB"/>
        </w:rPr>
        <w:t>However, in spite of these</w:t>
      </w:r>
      <w:r w:rsidR="00430034">
        <w:t xml:space="preserve"> reforms</w:t>
      </w:r>
      <w:r w:rsidR="00430034" w:rsidRPr="00E048EA">
        <w:rPr>
          <w:lang w:val="ka-GE"/>
        </w:rPr>
        <w:t>,</w:t>
      </w:r>
      <w:r w:rsidR="00EB46B4">
        <w:rPr>
          <w:lang w:val="en-US"/>
        </w:rPr>
        <w:t xml:space="preserve"> </w:t>
      </w:r>
      <w:r w:rsidR="00430034" w:rsidRPr="00E048EA">
        <w:rPr>
          <w:lang w:val="ka-GE"/>
        </w:rPr>
        <w:t xml:space="preserve">legislation </w:t>
      </w:r>
      <w:r w:rsidR="00430034">
        <w:t xml:space="preserve">aimed at ameliorating systematic torture within the penitentiary system has been ineffective. The current legislation fails to deter and prevent torture for the following reasons: </w:t>
      </w:r>
    </w:p>
    <w:p w:rsidR="00ED6931" w:rsidRDefault="00ED6931" w:rsidP="00ED6931">
      <w:pPr>
        <w:rPr>
          <w:lang w:val="en-US"/>
        </w:rPr>
      </w:pPr>
    </w:p>
    <w:p w:rsidR="00430034" w:rsidRPr="00ED6931" w:rsidRDefault="00ED6931" w:rsidP="00ED6931">
      <w:pPr>
        <w:rPr>
          <w:lang w:val="en-US"/>
        </w:rPr>
      </w:pPr>
      <w:r>
        <w:rPr>
          <w:lang w:val="en-US"/>
        </w:rPr>
        <w:t xml:space="preserve">1/ </w:t>
      </w:r>
      <w:r w:rsidR="00430034" w:rsidRPr="00ED6931">
        <w:rPr>
          <w:lang w:val="ka-GE"/>
        </w:rPr>
        <w:t xml:space="preserve">Articles of the Criminal Code </w:t>
      </w:r>
      <w:r w:rsidR="00430034" w:rsidRPr="00E048EA">
        <w:t>on</w:t>
      </w:r>
      <w:r w:rsidR="00430034" w:rsidRPr="00ED6931">
        <w:rPr>
          <w:lang w:val="ka-GE"/>
        </w:rPr>
        <w:t xml:space="preserve"> torture and other cruel, inhuman</w:t>
      </w:r>
      <w:r w:rsidR="00430034">
        <w:t>,</w:t>
      </w:r>
      <w:r w:rsidR="00430034" w:rsidRPr="00ED6931">
        <w:rPr>
          <w:lang w:val="ka-GE"/>
        </w:rPr>
        <w:t xml:space="preserve"> or degrading treatment </w:t>
      </w:r>
      <w:r w:rsidR="00430034">
        <w:t xml:space="preserve">fail to include death under </w:t>
      </w:r>
      <w:r w:rsidR="00430034" w:rsidRPr="00E048EA">
        <w:t>the list of aggravating circumstances</w:t>
      </w:r>
      <w:r w:rsidR="00F80A41">
        <w:t>. As a result, death from torture would be merely classified as ‘murder’, whereas ‘death from torture’ would normally be considered a worse crime</w:t>
      </w:r>
      <w:r w:rsidR="00430034" w:rsidRPr="00E048EA">
        <w:t xml:space="preserve">. </w:t>
      </w:r>
    </w:p>
    <w:p w:rsidR="00ED6931" w:rsidRDefault="00ED6931" w:rsidP="00ED6931">
      <w:pPr>
        <w:spacing w:line="276" w:lineRule="auto"/>
        <w:jc w:val="left"/>
        <w:rPr>
          <w:rFonts w:ascii="Times New Roman" w:hAnsi="Times New Roman"/>
          <w:sz w:val="24"/>
          <w:szCs w:val="24"/>
          <w:lang w:val="en-GB"/>
        </w:rPr>
      </w:pPr>
    </w:p>
    <w:p w:rsidR="00430034" w:rsidRDefault="00ED6931" w:rsidP="00762457">
      <w:pPr>
        <w:rPr>
          <w:lang w:val="ka-GE"/>
        </w:rPr>
      </w:pPr>
      <w:r>
        <w:rPr>
          <w:lang w:val="en-GB"/>
        </w:rPr>
        <w:t xml:space="preserve">2/ </w:t>
      </w:r>
      <w:proofErr w:type="gramStart"/>
      <w:r w:rsidR="00430034" w:rsidRPr="00E27427">
        <w:rPr>
          <w:lang w:val="en-GB"/>
        </w:rPr>
        <w:t>The</w:t>
      </w:r>
      <w:proofErr w:type="gramEnd"/>
      <w:r w:rsidR="00430034" w:rsidRPr="00E27427">
        <w:rPr>
          <w:lang w:val="en-GB"/>
        </w:rPr>
        <w:t xml:space="preserve"> investigative authority is not accountable to</w:t>
      </w:r>
      <w:r w:rsidR="00430034">
        <w:rPr>
          <w:lang w:val="en-GB"/>
        </w:rPr>
        <w:t xml:space="preserve"> the </w:t>
      </w:r>
      <w:r w:rsidR="00430034" w:rsidRPr="00E27427">
        <w:rPr>
          <w:lang w:val="en-GB"/>
        </w:rPr>
        <w:t xml:space="preserve">victims. </w:t>
      </w:r>
      <w:r w:rsidR="00430034" w:rsidRPr="00E27427">
        <w:rPr>
          <w:lang w:val="ka-GE"/>
        </w:rPr>
        <w:t>The victim does not have the right to request information about investigation</w:t>
      </w:r>
      <w:r w:rsidR="00430034">
        <w:t>s</w:t>
      </w:r>
      <w:r w:rsidR="00430034" w:rsidRPr="00E27427">
        <w:rPr>
          <w:lang w:val="ka-GE"/>
        </w:rPr>
        <w:t xml:space="preserve"> or to participate in the </w:t>
      </w:r>
      <w:r w:rsidR="00430034" w:rsidRPr="00E27427">
        <w:t xml:space="preserve">process of </w:t>
      </w:r>
      <w:r w:rsidR="00430034" w:rsidRPr="00E27427">
        <w:rPr>
          <w:lang w:val="ka-GE"/>
        </w:rPr>
        <w:t>investigat</w:t>
      </w:r>
      <w:r w:rsidR="00430034" w:rsidRPr="00E27427">
        <w:t>ion</w:t>
      </w:r>
      <w:r w:rsidR="00430034">
        <w:t>s</w:t>
      </w:r>
      <w:r w:rsidR="00430034" w:rsidRPr="00E27427">
        <w:rPr>
          <w:lang w:val="ka-GE"/>
        </w:rPr>
        <w:t>.</w:t>
      </w:r>
    </w:p>
    <w:p w:rsidR="00ED6931" w:rsidRDefault="00ED6931" w:rsidP="00762457">
      <w:pPr>
        <w:rPr>
          <w:lang w:val="en-US"/>
        </w:rPr>
      </w:pPr>
    </w:p>
    <w:p w:rsidR="00430034" w:rsidRDefault="00ED6931" w:rsidP="00762457">
      <w:pPr>
        <w:rPr>
          <w:lang w:val="ka-GE"/>
        </w:rPr>
      </w:pPr>
      <w:r>
        <w:rPr>
          <w:lang w:val="en-US"/>
        </w:rPr>
        <w:t xml:space="preserve">3/ </w:t>
      </w:r>
      <w:proofErr w:type="gramStart"/>
      <w:r w:rsidR="00430034">
        <w:t>The</w:t>
      </w:r>
      <w:proofErr w:type="gramEnd"/>
      <w:r w:rsidR="00430034">
        <w:t xml:space="preserve"> l</w:t>
      </w:r>
      <w:r w:rsidR="00430034" w:rsidRPr="00E27427">
        <w:rPr>
          <w:lang w:val="ka-GE"/>
        </w:rPr>
        <w:t xml:space="preserve">egislation </w:t>
      </w:r>
      <w:r w:rsidR="00430034" w:rsidRPr="00E27427">
        <w:t xml:space="preserve">fails to charge the body or a public official </w:t>
      </w:r>
      <w:r w:rsidR="00430034" w:rsidRPr="00E27427">
        <w:rPr>
          <w:lang w:val="ka-GE"/>
        </w:rPr>
        <w:t xml:space="preserve">reviewing the </w:t>
      </w:r>
      <w:r w:rsidR="00430034" w:rsidRPr="00E27427">
        <w:t>complaint</w:t>
      </w:r>
      <w:r w:rsidR="00A5663F">
        <w:t xml:space="preserve"> with </w:t>
      </w:r>
      <w:r w:rsidR="00430034">
        <w:t>a</w:t>
      </w:r>
      <w:r w:rsidR="00430034" w:rsidRPr="00E27427">
        <w:t xml:space="preserve">ssessing the safety of </w:t>
      </w:r>
      <w:r w:rsidR="00430034" w:rsidRPr="00E27427">
        <w:rPr>
          <w:lang w:val="ka-GE"/>
        </w:rPr>
        <w:t>an alleged victim</w:t>
      </w:r>
      <w:r w:rsidR="00430034">
        <w:t>. Thus, the overseeing body does not take responsibility</w:t>
      </w:r>
      <w:r w:rsidR="00430034" w:rsidRPr="00E27427">
        <w:t xml:space="preserve"> for ensuring </w:t>
      </w:r>
      <w:r w:rsidR="00430034">
        <w:t>the victims</w:t>
      </w:r>
      <w:r w:rsidR="003B497A">
        <w:t>’</w:t>
      </w:r>
      <w:r w:rsidR="00430034" w:rsidRPr="00E27427">
        <w:t xml:space="preserve"> safety. </w:t>
      </w:r>
      <w:r w:rsidR="00430034" w:rsidRPr="00E27427">
        <w:rPr>
          <w:lang w:val="ka-GE"/>
        </w:rPr>
        <w:t>This issue was especially</w:t>
      </w:r>
      <w:r w:rsidR="00430034" w:rsidRPr="00E27427">
        <w:t xml:space="preserve"> critical</w:t>
      </w:r>
      <w:r w:rsidR="00EB46B4">
        <w:t xml:space="preserve"> </w:t>
      </w:r>
      <w:r w:rsidR="00430034" w:rsidRPr="00E27427">
        <w:t>during</w:t>
      </w:r>
      <w:r w:rsidR="00430034" w:rsidRPr="00E27427">
        <w:rPr>
          <w:lang w:val="ka-GE"/>
        </w:rPr>
        <w:t xml:space="preserve"> the </w:t>
      </w:r>
      <w:r w:rsidR="00430034" w:rsidRPr="00E27427">
        <w:t>reporting</w:t>
      </w:r>
      <w:r w:rsidR="00430034" w:rsidRPr="00E27427">
        <w:rPr>
          <w:lang w:val="ka-GE"/>
        </w:rPr>
        <w:t xml:space="preserve"> period, because </w:t>
      </w:r>
      <w:r w:rsidR="00430034">
        <w:t>under existing protocols</w:t>
      </w:r>
      <w:r w:rsidR="00430034" w:rsidRPr="00E27427">
        <w:rPr>
          <w:lang w:val="ka-GE"/>
        </w:rPr>
        <w:t xml:space="preserve">, alleged victims </w:t>
      </w:r>
      <w:r w:rsidR="00430034">
        <w:t xml:space="preserve">did not have proper mechanisms to </w:t>
      </w:r>
      <w:r w:rsidR="00430034" w:rsidRPr="00E27427">
        <w:t xml:space="preserve">report </w:t>
      </w:r>
      <w:r w:rsidR="00430034">
        <w:t>abuse</w:t>
      </w:r>
      <w:r w:rsidR="00430034" w:rsidRPr="00E27427">
        <w:rPr>
          <w:lang w:val="ka-GE"/>
        </w:rPr>
        <w:t xml:space="preserve"> until they </w:t>
      </w:r>
      <w:r w:rsidR="00430034" w:rsidRPr="00E27427">
        <w:t>were</w:t>
      </w:r>
      <w:r w:rsidR="00430034" w:rsidRPr="00E27427">
        <w:rPr>
          <w:lang w:val="ka-GE"/>
        </w:rPr>
        <w:t xml:space="preserve"> transferred to another establishment. Often, </w:t>
      </w:r>
      <w:r w:rsidR="00430034">
        <w:t xml:space="preserve">when a victim was able to </w:t>
      </w:r>
      <w:r w:rsidR="00430034">
        <w:rPr>
          <w:lang w:val="ka-GE"/>
        </w:rPr>
        <w:t>submit</w:t>
      </w:r>
      <w:r w:rsidR="00430034" w:rsidRPr="00E27427">
        <w:rPr>
          <w:lang w:val="ka-GE"/>
        </w:rPr>
        <w:t xml:space="preserve"> a</w:t>
      </w:r>
      <w:r w:rsidR="00430034" w:rsidRPr="00E27427">
        <w:t xml:space="preserve"> complaint</w:t>
      </w:r>
      <w:r w:rsidR="004243FC">
        <w:t>,</w:t>
      </w:r>
      <w:r w:rsidR="00EB46B4">
        <w:t xml:space="preserve"> </w:t>
      </w:r>
      <w:r w:rsidR="00430034">
        <w:t>obtaining permission to</w:t>
      </w:r>
      <w:r w:rsidR="00430034" w:rsidRPr="00E27427">
        <w:rPr>
          <w:lang w:val="ka-GE"/>
        </w:rPr>
        <w:t xml:space="preserve"> transfer </w:t>
      </w:r>
      <w:r w:rsidR="004243FC">
        <w:rPr>
          <w:lang w:val="en-US"/>
        </w:rPr>
        <w:t>to another institution</w:t>
      </w:r>
      <w:r w:rsidR="00430034" w:rsidRPr="00E27427">
        <w:rPr>
          <w:lang w:val="ka-GE"/>
        </w:rPr>
        <w:t xml:space="preserve">for personal safety </w:t>
      </w:r>
      <w:r w:rsidR="00430034">
        <w:t xml:space="preserve">was </w:t>
      </w:r>
      <w:r w:rsidR="00430034" w:rsidRPr="00E27427">
        <w:rPr>
          <w:lang w:val="ka-GE"/>
        </w:rPr>
        <w:t>problematic</w:t>
      </w:r>
      <w:r w:rsidR="00430034">
        <w:t>.</w:t>
      </w:r>
      <w:r w:rsidR="00430034" w:rsidRPr="00E048EA">
        <w:rPr>
          <w:rStyle w:val="Funotenzeichen"/>
          <w:rFonts w:ascii="Times New Roman" w:hAnsi="Times New Roman"/>
          <w:sz w:val="24"/>
          <w:szCs w:val="24"/>
        </w:rPr>
        <w:footnoteReference w:id="21"/>
      </w:r>
    </w:p>
    <w:p w:rsidR="00ED6931" w:rsidRDefault="00ED6931" w:rsidP="00762457">
      <w:pPr>
        <w:rPr>
          <w:lang w:val="en-US"/>
        </w:rPr>
      </w:pPr>
    </w:p>
    <w:p w:rsidR="00430034" w:rsidRDefault="00ED6931" w:rsidP="00762457">
      <w:r>
        <w:rPr>
          <w:lang w:val="en-US"/>
        </w:rPr>
        <w:t xml:space="preserve">4/ </w:t>
      </w:r>
      <w:r w:rsidR="00430034">
        <w:t xml:space="preserve">The </w:t>
      </w:r>
      <w:r w:rsidR="00430034" w:rsidRPr="00E27427">
        <w:rPr>
          <w:lang w:val="ka-GE"/>
        </w:rPr>
        <w:t xml:space="preserve">Criminal Procedure Code </w:t>
      </w:r>
      <w:proofErr w:type="gramStart"/>
      <w:r w:rsidR="00430034">
        <w:t>outlines</w:t>
      </w:r>
      <w:proofErr w:type="gramEnd"/>
      <w:r w:rsidR="00430034">
        <w:t xml:space="preserve"> circumstances</w:t>
      </w:r>
      <w:r w:rsidR="00430034" w:rsidRPr="00E27427">
        <w:rPr>
          <w:lang w:val="ka-GE"/>
        </w:rPr>
        <w:t xml:space="preserve"> whe</w:t>
      </w:r>
      <w:r w:rsidR="00430034">
        <w:t>n</w:t>
      </w:r>
      <w:r w:rsidR="00430034" w:rsidRPr="00E27427">
        <w:rPr>
          <w:lang w:val="ka-GE"/>
        </w:rPr>
        <w:t xml:space="preserve"> prosecutor</w:t>
      </w:r>
      <w:r w:rsidR="00430034">
        <w:t>s</w:t>
      </w:r>
      <w:r w:rsidR="00430034" w:rsidRPr="00E27427">
        <w:rPr>
          <w:lang w:val="ka-GE"/>
        </w:rPr>
        <w:t xml:space="preserve"> and the investigator</w:t>
      </w:r>
      <w:r w:rsidR="00430034">
        <w:t xml:space="preserve">s </w:t>
      </w:r>
      <w:r w:rsidR="00430034" w:rsidRPr="00E27427">
        <w:rPr>
          <w:lang w:val="ka-GE"/>
        </w:rPr>
        <w:t xml:space="preserve">cannot participate in the </w:t>
      </w:r>
      <w:r w:rsidR="00430034" w:rsidRPr="00E27427">
        <w:t xml:space="preserve">criminal proceedings. </w:t>
      </w:r>
      <w:r w:rsidR="00430034">
        <w:t xml:space="preserve">The list of circumstances, however, </w:t>
      </w:r>
      <w:r w:rsidR="00430034" w:rsidRPr="00E27427">
        <w:rPr>
          <w:lang w:val="ka-GE"/>
        </w:rPr>
        <w:t xml:space="preserve">does not </w:t>
      </w:r>
      <w:r w:rsidR="00430034">
        <w:t>try to promote</w:t>
      </w:r>
      <w:r w:rsidR="00430034" w:rsidRPr="00E27427">
        <w:t xml:space="preserve"> impartiality of investigation </w:t>
      </w:r>
      <w:r w:rsidR="00430034" w:rsidRPr="00E27427">
        <w:rPr>
          <w:lang w:val="ka-GE"/>
        </w:rPr>
        <w:t>of cases of ill-treatment</w:t>
      </w:r>
      <w:r w:rsidR="00430034" w:rsidRPr="00E27427">
        <w:t>.</w:t>
      </w:r>
    </w:p>
    <w:p w:rsidR="00ED6931" w:rsidRDefault="00ED6931" w:rsidP="00762457"/>
    <w:p w:rsidR="00430034" w:rsidRDefault="00ED6931" w:rsidP="00762457">
      <w:pPr>
        <w:rPr>
          <w:lang w:val="ka-GE"/>
        </w:rPr>
      </w:pPr>
      <w:r>
        <w:t xml:space="preserve">5/ </w:t>
      </w:r>
      <w:r w:rsidR="00430034" w:rsidRPr="00BC088C">
        <w:rPr>
          <w:lang w:val="ka-GE"/>
        </w:rPr>
        <w:t>According t</w:t>
      </w:r>
      <w:r w:rsidR="00430034" w:rsidRPr="00E27427">
        <w:rPr>
          <w:lang w:val="ka-GE"/>
        </w:rPr>
        <w:t xml:space="preserve">o the Criminal Procedure Code, the role of </w:t>
      </w:r>
      <w:r w:rsidR="00430034" w:rsidRPr="00E27427">
        <w:t>a</w:t>
      </w:r>
      <w:r w:rsidR="00430034" w:rsidRPr="00E27427">
        <w:rPr>
          <w:lang w:val="ka-GE"/>
        </w:rPr>
        <w:t xml:space="preserve"> judge in </w:t>
      </w:r>
      <w:r w:rsidR="00430034">
        <w:t>preventing abuse</w:t>
      </w:r>
      <w:r w:rsidR="00430034" w:rsidRPr="00E27427">
        <w:rPr>
          <w:lang w:val="ka-GE"/>
        </w:rPr>
        <w:t xml:space="preserve"> is </w:t>
      </w:r>
      <w:r w:rsidR="00430034" w:rsidRPr="00E27427">
        <w:t xml:space="preserve">marginal. </w:t>
      </w:r>
      <w:r w:rsidR="00430034" w:rsidRPr="00E27427">
        <w:rPr>
          <w:lang w:val="ka-GE"/>
        </w:rPr>
        <w:t xml:space="preserve"> The </w:t>
      </w:r>
      <w:r w:rsidR="00430034">
        <w:t xml:space="preserve">judges’ </w:t>
      </w:r>
      <w:r w:rsidR="00430034" w:rsidRPr="00E27427">
        <w:rPr>
          <w:lang w:val="ka-GE"/>
        </w:rPr>
        <w:t xml:space="preserve">role in this regard is limited to </w:t>
      </w:r>
      <w:r w:rsidR="00430034" w:rsidRPr="00E27427">
        <w:t xml:space="preserve">providing </w:t>
      </w:r>
      <w:r w:rsidR="00430034" w:rsidRPr="00E27427">
        <w:rPr>
          <w:lang w:val="ka-GE"/>
        </w:rPr>
        <w:t>expla</w:t>
      </w:r>
      <w:r w:rsidR="00430034" w:rsidRPr="00E27427">
        <w:t xml:space="preserve">nation to the </w:t>
      </w:r>
      <w:r w:rsidR="00430034" w:rsidRPr="00E27427">
        <w:rPr>
          <w:lang w:val="ka-GE"/>
        </w:rPr>
        <w:t>accused</w:t>
      </w:r>
      <w:r w:rsidR="00430034" w:rsidRPr="00E27427">
        <w:t>o</w:t>
      </w:r>
      <w:r w:rsidR="00430034">
        <w:t xml:space="preserve">f </w:t>
      </w:r>
      <w:r w:rsidR="00430034" w:rsidRPr="00E27427">
        <w:t>his</w:t>
      </w:r>
      <w:r w:rsidR="00430034">
        <w:t xml:space="preserve"> or </w:t>
      </w:r>
      <w:r w:rsidR="00430034" w:rsidRPr="00E27427">
        <w:t>her rights</w:t>
      </w:r>
      <w:r w:rsidR="00430034">
        <w:t>.</w:t>
      </w:r>
      <w:r w:rsidR="00430034" w:rsidRPr="00E048EA">
        <w:rPr>
          <w:rStyle w:val="Funotenzeichen"/>
          <w:rFonts w:ascii="Times New Roman" w:hAnsi="Times New Roman"/>
          <w:sz w:val="24"/>
          <w:szCs w:val="24"/>
          <w:lang w:val="ka-GE"/>
        </w:rPr>
        <w:footnoteReference w:id="22"/>
      </w:r>
      <w:r w:rsidR="00430034" w:rsidRPr="00E27427">
        <w:rPr>
          <w:lang w:val="ka-GE"/>
        </w:rPr>
        <w:t xml:space="preserve"> There were cases </w:t>
      </w:r>
      <w:r w:rsidR="00430034">
        <w:t xml:space="preserve">where the judge failed to adequately explain, or did not explain at all, </w:t>
      </w:r>
      <w:r w:rsidR="00430034" w:rsidRPr="00E27427">
        <w:rPr>
          <w:lang w:val="ka-GE"/>
        </w:rPr>
        <w:t>the right</w:t>
      </w:r>
      <w:r w:rsidR="00430034">
        <w:t xml:space="preserve"> of victims on </w:t>
      </w:r>
      <w:r w:rsidR="00430034" w:rsidRPr="00E27427">
        <w:rPr>
          <w:lang w:val="ka-GE"/>
        </w:rPr>
        <w:t>submitting a</w:t>
      </w:r>
      <w:r w:rsidR="00430034" w:rsidRPr="00E27427">
        <w:t xml:space="preserve"> complaint</w:t>
      </w:r>
      <w:r w:rsidR="00430034">
        <w:t>.</w:t>
      </w:r>
      <w:r w:rsidR="00430034" w:rsidRPr="00E048EA">
        <w:rPr>
          <w:rStyle w:val="Funotenzeichen"/>
          <w:rFonts w:ascii="Times New Roman" w:hAnsi="Times New Roman"/>
          <w:sz w:val="24"/>
          <w:szCs w:val="24"/>
          <w:lang w:val="ka-GE"/>
        </w:rPr>
        <w:footnoteReference w:id="23"/>
      </w:r>
      <w:r w:rsidR="00430034">
        <w:t xml:space="preserve"> Moreover, t</w:t>
      </w:r>
      <w:r w:rsidR="00430034" w:rsidRPr="00E27427">
        <w:t xml:space="preserve">he </w:t>
      </w:r>
      <w:r w:rsidR="00430034" w:rsidRPr="00E27427">
        <w:rPr>
          <w:lang w:val="ka-GE"/>
        </w:rPr>
        <w:t xml:space="preserve">Criminal Procedure Code does not </w:t>
      </w:r>
      <w:r w:rsidR="00430034" w:rsidRPr="00E27427">
        <w:t xml:space="preserve">contain </w:t>
      </w:r>
      <w:r w:rsidR="00430034" w:rsidRPr="00E27427">
        <w:rPr>
          <w:lang w:val="ka-GE"/>
        </w:rPr>
        <w:t xml:space="preserve">a procedure that </w:t>
      </w:r>
      <w:r w:rsidR="00430034" w:rsidRPr="00E27427">
        <w:t xml:space="preserve">would </w:t>
      </w:r>
      <w:r w:rsidR="00430034" w:rsidRPr="00E27427">
        <w:rPr>
          <w:lang w:val="ka-GE"/>
        </w:rPr>
        <w:t xml:space="preserve">enable </w:t>
      </w:r>
      <w:r w:rsidR="00430034" w:rsidRPr="00E27427">
        <w:t xml:space="preserve">a </w:t>
      </w:r>
      <w:r w:rsidR="00430034" w:rsidRPr="00E27427">
        <w:rPr>
          <w:lang w:val="ka-GE"/>
        </w:rPr>
        <w:t xml:space="preserve">judge to effectively </w:t>
      </w:r>
      <w:r w:rsidR="00430034" w:rsidRPr="00E27427">
        <w:t xml:space="preserve">react to </w:t>
      </w:r>
      <w:r w:rsidR="00430034" w:rsidRPr="00E27427">
        <w:rPr>
          <w:lang w:val="ka-GE"/>
        </w:rPr>
        <w:t>alleged violation of rights</w:t>
      </w:r>
      <w:r w:rsidR="00430034">
        <w:t>.</w:t>
      </w:r>
    </w:p>
    <w:p w:rsidR="00ED6931" w:rsidRDefault="00ED6931" w:rsidP="00762457">
      <w:pPr>
        <w:rPr>
          <w:lang w:val="en-US"/>
        </w:rPr>
      </w:pPr>
    </w:p>
    <w:p w:rsidR="00ED6931" w:rsidRDefault="00ED6931" w:rsidP="00762457">
      <w:r>
        <w:rPr>
          <w:lang w:val="en-US"/>
        </w:rPr>
        <w:lastRenderedPageBreak/>
        <w:t xml:space="preserve">6/ </w:t>
      </w:r>
      <w:proofErr w:type="gramStart"/>
      <w:r w:rsidR="00430034">
        <w:t>The</w:t>
      </w:r>
      <w:proofErr w:type="gramEnd"/>
      <w:r w:rsidR="00430034">
        <w:t xml:space="preserve"> current legislation does not provide victims with doctors or health-care professionals for treatment</w:t>
      </w:r>
      <w:r w:rsidR="00430034" w:rsidRPr="00E27427">
        <w:rPr>
          <w:lang w:val="ka-GE"/>
        </w:rPr>
        <w:t>.</w:t>
      </w:r>
      <w:r w:rsidR="00430034">
        <w:t xml:space="preserve"> This is problematic for two reasons. First, it prevents victims from receiving crucial care. Second, not providing health care to alleged victims prevents doctors from examining the victims’ injuries for evidence. </w:t>
      </w:r>
    </w:p>
    <w:p w:rsidR="00ED6931" w:rsidRDefault="00ED6931" w:rsidP="00762457"/>
    <w:p w:rsidR="00C521A8" w:rsidRPr="00404A42" w:rsidRDefault="00ED6931" w:rsidP="00404A42">
      <w:pPr>
        <w:rPr>
          <w:lang w:val="en-US"/>
        </w:rPr>
      </w:pPr>
      <w:r w:rsidRPr="00ED6931">
        <w:rPr>
          <w:lang w:val="en-US"/>
        </w:rPr>
        <w:t>In</w:t>
      </w:r>
      <w:r>
        <w:rPr>
          <w:lang w:val="en-US"/>
        </w:rPr>
        <w:t xml:space="preserve"> paragraph</w:t>
      </w:r>
      <w:r w:rsidR="00582D3C">
        <w:rPr>
          <w:lang w:val="en-US"/>
        </w:rPr>
        <w:t xml:space="preserve"> </w:t>
      </w:r>
      <w:r w:rsidR="00430034" w:rsidRPr="00ED6931">
        <w:rPr>
          <w:lang w:val="ka-GE"/>
        </w:rPr>
        <w:t xml:space="preserve">70-71 </w:t>
      </w:r>
      <w:r>
        <w:rPr>
          <w:lang w:val="en-US"/>
        </w:rPr>
        <w:t xml:space="preserve">of </w:t>
      </w:r>
      <w:r w:rsidR="00A23008">
        <w:rPr>
          <w:lang w:val="en-US"/>
        </w:rPr>
        <w:t>its</w:t>
      </w:r>
      <w:r>
        <w:rPr>
          <w:lang w:val="en-US"/>
        </w:rPr>
        <w:t xml:space="preserve"> 4</w:t>
      </w:r>
      <w:r w:rsidRPr="00ED6931">
        <w:rPr>
          <w:vertAlign w:val="superscript"/>
          <w:lang w:val="en-US"/>
        </w:rPr>
        <w:t>th</w:t>
      </w:r>
      <w:r>
        <w:rPr>
          <w:lang w:val="en-US"/>
        </w:rPr>
        <w:t xml:space="preserve"> Periodic Report, the </w:t>
      </w:r>
      <w:proofErr w:type="spellStart"/>
      <w:r>
        <w:rPr>
          <w:lang w:val="en-US"/>
        </w:rPr>
        <w:t>GoG</w:t>
      </w:r>
      <w:proofErr w:type="spellEnd"/>
      <w:r>
        <w:rPr>
          <w:lang w:val="en-US"/>
        </w:rPr>
        <w:t xml:space="preserve"> highlights </w:t>
      </w:r>
      <w:r w:rsidR="00430034" w:rsidRPr="00E048EA">
        <w:rPr>
          <w:lang w:val="ka-GE"/>
        </w:rPr>
        <w:t>the importance of establishing</w:t>
      </w:r>
      <w:r w:rsidR="00430034">
        <w:t xml:space="preserve"> a</w:t>
      </w:r>
      <w:r w:rsidR="00430034" w:rsidRPr="00E048EA">
        <w:rPr>
          <w:lang w:val="ka-GE"/>
        </w:rPr>
        <w:t xml:space="preserve"> Human Rights Departments </w:t>
      </w:r>
      <w:r w:rsidR="00430034" w:rsidRPr="00E048EA">
        <w:t>at</w:t>
      </w:r>
      <w:r w:rsidR="00430034" w:rsidRPr="00E048EA">
        <w:rPr>
          <w:lang w:val="ka-GE"/>
        </w:rPr>
        <w:t xml:space="preserve"> the Ministry of Corrections and Legal Assistance of Georgia and </w:t>
      </w:r>
      <w:r w:rsidR="00430034" w:rsidRPr="00E048EA">
        <w:t>at</w:t>
      </w:r>
      <w:r w:rsidR="00430034" w:rsidRPr="00E048EA">
        <w:rPr>
          <w:lang w:val="ka-GE"/>
        </w:rPr>
        <w:t xml:space="preserve"> the Prosecutor’s</w:t>
      </w:r>
      <w:r w:rsidR="00582D3C">
        <w:rPr>
          <w:lang w:val="en-US"/>
        </w:rPr>
        <w:t xml:space="preserve"> </w:t>
      </w:r>
      <w:r w:rsidR="00430034" w:rsidRPr="00E048EA">
        <w:rPr>
          <w:lang w:val="ka-GE"/>
        </w:rPr>
        <w:t xml:space="preserve">Office of Georgia. </w:t>
      </w:r>
      <w:r w:rsidR="00430034">
        <w:t xml:space="preserve">Establishing this department is superficially a positive step. However, there is insufficient information at the current time </w:t>
      </w:r>
      <w:r w:rsidR="00430034" w:rsidRPr="00E048EA">
        <w:rPr>
          <w:lang w:val="ka-GE"/>
        </w:rPr>
        <w:t xml:space="preserve">to </w:t>
      </w:r>
      <w:r w:rsidR="00430034" w:rsidRPr="00E048EA">
        <w:t>evaluate</w:t>
      </w:r>
      <w:r w:rsidR="00430034" w:rsidRPr="00E048EA">
        <w:rPr>
          <w:lang w:val="ka-GE"/>
        </w:rPr>
        <w:t xml:space="preserve"> the effectiveness of </w:t>
      </w:r>
      <w:r w:rsidR="00430034" w:rsidRPr="00E048EA">
        <w:t xml:space="preserve">the </w:t>
      </w:r>
      <w:r w:rsidR="00430034">
        <w:t>department</w:t>
      </w:r>
      <w:r w:rsidR="00430034" w:rsidRPr="00E048EA">
        <w:rPr>
          <w:lang w:val="ka-GE"/>
        </w:rPr>
        <w:t xml:space="preserve">. </w:t>
      </w:r>
      <w:r w:rsidR="00430034">
        <w:t xml:space="preserve">Anecdotal evidence indicates the department is ineffective. </w:t>
      </w:r>
    </w:p>
    <w:p w:rsidR="00762457" w:rsidRDefault="00762457" w:rsidP="00195896">
      <w:pPr>
        <w:pStyle w:val="berschrift2"/>
        <w:rPr>
          <w:lang w:val="en-US"/>
        </w:rPr>
      </w:pPr>
      <w:bookmarkStart w:id="16" w:name="_Toc363492731"/>
      <w:r>
        <w:rPr>
          <w:lang w:val="en-US"/>
        </w:rPr>
        <w:t>HRC</w:t>
      </w:r>
      <w:r w:rsidR="00565267">
        <w:rPr>
          <w:lang w:val="en-US"/>
        </w:rPr>
        <w:t xml:space="preserve"> Concluding</w:t>
      </w:r>
      <w:r>
        <w:rPr>
          <w:lang w:val="en-US"/>
        </w:rPr>
        <w:t xml:space="preserve"> Observations</w:t>
      </w:r>
      <w:r w:rsidR="00565267">
        <w:rPr>
          <w:lang w:val="en-US"/>
        </w:rPr>
        <w:t>,</w:t>
      </w:r>
      <w:r>
        <w:rPr>
          <w:lang w:val="en-US"/>
        </w:rPr>
        <w:t xml:space="preserve"> Paragraph </w:t>
      </w:r>
      <w:r w:rsidR="00B24F92">
        <w:rPr>
          <w:lang w:val="en-US"/>
        </w:rPr>
        <w:t xml:space="preserve">9: </w:t>
      </w:r>
      <w:r w:rsidRPr="002040A8">
        <w:rPr>
          <w:lang w:val="en-US"/>
        </w:rPr>
        <w:t>Excess use of force by police and prison officials (</w:t>
      </w:r>
      <w:r>
        <w:rPr>
          <w:lang w:val="en-US"/>
        </w:rPr>
        <w:t xml:space="preserve">relating to article </w:t>
      </w:r>
      <w:r w:rsidRPr="002040A8">
        <w:rPr>
          <w:lang w:val="en-US"/>
        </w:rPr>
        <w:t>6)</w:t>
      </w:r>
      <w:bookmarkEnd w:id="16"/>
    </w:p>
    <w:p w:rsidR="00762457" w:rsidRPr="002040A8" w:rsidRDefault="00762457" w:rsidP="00195896">
      <w:pPr>
        <w:pStyle w:val="berschrift2"/>
        <w:rPr>
          <w:rFonts w:ascii="Times New Roman" w:hAnsi="Times New Roman"/>
          <w:sz w:val="24"/>
          <w:szCs w:val="24"/>
          <w:lang w:val="en-US"/>
        </w:rPr>
      </w:pPr>
      <w:bookmarkStart w:id="17" w:name="_Toc363492732"/>
      <w:r>
        <w:rPr>
          <w:lang w:val="en-US"/>
        </w:rPr>
        <w:t xml:space="preserve">HRC Observations Paragraph </w:t>
      </w:r>
      <w:r w:rsidR="00B24F92">
        <w:rPr>
          <w:lang w:val="en-US"/>
        </w:rPr>
        <w:t xml:space="preserve">11: </w:t>
      </w:r>
      <w:r w:rsidRPr="002040A8">
        <w:rPr>
          <w:lang w:val="en-US"/>
        </w:rPr>
        <w:t>Poor conditions in prisons (</w:t>
      </w:r>
      <w:r w:rsidR="00996A9D">
        <w:rPr>
          <w:lang w:val="en-US"/>
        </w:rPr>
        <w:t xml:space="preserve">relating </w:t>
      </w:r>
      <w:r>
        <w:rPr>
          <w:lang w:val="en-US"/>
        </w:rPr>
        <w:t xml:space="preserve">to article </w:t>
      </w:r>
      <w:r w:rsidRPr="002040A8">
        <w:rPr>
          <w:lang w:val="en-US"/>
        </w:rPr>
        <w:t>10)</w:t>
      </w:r>
      <w:bookmarkEnd w:id="17"/>
    </w:p>
    <w:p w:rsidR="00762457" w:rsidRPr="00762457" w:rsidRDefault="00762457" w:rsidP="00762457">
      <w:pPr>
        <w:rPr>
          <w:lang w:val="en-US"/>
        </w:rPr>
      </w:pPr>
    </w:p>
    <w:p w:rsidR="00762457" w:rsidRDefault="00762457" w:rsidP="00762457">
      <w:pPr>
        <w:rPr>
          <w:lang w:val="en-US"/>
        </w:rPr>
      </w:pPr>
      <w:r>
        <w:rPr>
          <w:lang w:val="en-US"/>
        </w:rPr>
        <w:t xml:space="preserve">In paragraph 9 of the HRC </w:t>
      </w:r>
      <w:r w:rsidR="00ED78EE">
        <w:rPr>
          <w:lang w:val="en-US"/>
        </w:rPr>
        <w:t xml:space="preserve">concluding </w:t>
      </w:r>
      <w:r>
        <w:rPr>
          <w:lang w:val="en-US"/>
        </w:rPr>
        <w:t>observations, the committee highlighted the concern about the alleged excessive use of force in the conflict that occurred at Tbilisi Prison no.5 during which 7 prisoners died. The committee calls for the government to initiation clear investigations of the event, to initiate criminal proceedings against perpetrators, to provide compensation for the victims and their families and to initiate training to ensure that such events don’t happen again.</w:t>
      </w:r>
    </w:p>
    <w:p w:rsidR="00762457" w:rsidRDefault="00762457" w:rsidP="00762457">
      <w:pPr>
        <w:rPr>
          <w:lang w:val="en-US"/>
        </w:rPr>
      </w:pPr>
    </w:p>
    <w:p w:rsidR="002040A8" w:rsidRPr="00430034" w:rsidRDefault="00762457" w:rsidP="00762457">
      <w:pPr>
        <w:rPr>
          <w:rFonts w:ascii="Times New Roman" w:hAnsi="Times New Roman"/>
          <w:sz w:val="24"/>
          <w:szCs w:val="24"/>
          <w:lang w:val="en-US"/>
        </w:rPr>
      </w:pPr>
      <w:r>
        <w:t xml:space="preserve">In paragraph 11, the HRC </w:t>
      </w:r>
      <w:r w:rsidR="000C60A9">
        <w:t xml:space="preserve">concluding </w:t>
      </w:r>
      <w:r>
        <w:t xml:space="preserve">observations highlight the poor conditions facing prisoners, and recommend that the government does all it can to </w:t>
      </w:r>
      <w:r w:rsidRPr="00762457">
        <w:t>a</w:t>
      </w:r>
      <w:r w:rsidR="002040A8" w:rsidRPr="00762457">
        <w:t>pply UN minimum rule</w:t>
      </w:r>
      <w:r>
        <w:t xml:space="preserve">s </w:t>
      </w:r>
      <w:r w:rsidRPr="00762457">
        <w:t>for the treatment of prisoners</w:t>
      </w:r>
      <w:r>
        <w:t xml:space="preserve">, </w:t>
      </w:r>
      <w:r w:rsidR="002040A8" w:rsidRPr="00762457">
        <w:t>including the removal of overcrowding</w:t>
      </w:r>
    </w:p>
    <w:p w:rsidR="00B24F92" w:rsidRDefault="00B24F92" w:rsidP="009073BB">
      <w:pPr>
        <w:rPr>
          <w:lang w:val="en-US"/>
        </w:rPr>
      </w:pPr>
    </w:p>
    <w:p w:rsidR="00404A42" w:rsidRPr="00404A42" w:rsidRDefault="00404A42" w:rsidP="009073BB">
      <w:pPr>
        <w:rPr>
          <w:b/>
          <w:lang w:val="en-US"/>
        </w:rPr>
      </w:pPr>
      <w:r w:rsidRPr="00404A42">
        <w:rPr>
          <w:b/>
          <w:lang w:val="en-US"/>
        </w:rPr>
        <w:t>Abuse in prisons</w:t>
      </w:r>
    </w:p>
    <w:p w:rsidR="00430034" w:rsidRDefault="00762457" w:rsidP="009073BB">
      <w:pPr>
        <w:rPr>
          <w:lang w:val="en-US"/>
        </w:rPr>
      </w:pPr>
      <w:r>
        <w:rPr>
          <w:lang w:val="en-US"/>
        </w:rPr>
        <w:t xml:space="preserve">In response to these concerns, the </w:t>
      </w:r>
      <w:proofErr w:type="spellStart"/>
      <w:r>
        <w:rPr>
          <w:lang w:val="en-US"/>
        </w:rPr>
        <w:t>GoG</w:t>
      </w:r>
      <w:proofErr w:type="spellEnd"/>
      <w:r>
        <w:rPr>
          <w:lang w:val="en-US"/>
        </w:rPr>
        <w:t>, in its 4</w:t>
      </w:r>
      <w:r w:rsidRPr="00762457">
        <w:rPr>
          <w:vertAlign w:val="superscript"/>
          <w:lang w:val="en-US"/>
        </w:rPr>
        <w:t>th</w:t>
      </w:r>
      <w:r>
        <w:rPr>
          <w:lang w:val="en-US"/>
        </w:rPr>
        <w:t xml:space="preserve"> periodic report</w:t>
      </w:r>
      <w:r w:rsidR="00430034" w:rsidRPr="00E048EA">
        <w:t>denied</w:t>
      </w:r>
      <w:r w:rsidR="00430034" w:rsidRPr="00E048EA">
        <w:rPr>
          <w:lang w:val="ka-GE"/>
        </w:rPr>
        <w:t xml:space="preserve"> the</w:t>
      </w:r>
      <w:r w:rsidR="00430034" w:rsidRPr="00E048EA">
        <w:t xml:space="preserve"> existence of</w:t>
      </w:r>
      <w:r w:rsidR="00430034">
        <w:t xml:space="preserve"> prisoner abuse </w:t>
      </w:r>
      <w:r w:rsidR="00430034" w:rsidRPr="00E048EA">
        <w:t>within</w:t>
      </w:r>
      <w:r w:rsidR="00430034" w:rsidRPr="00E048EA">
        <w:rPr>
          <w:lang w:val="ka-GE"/>
        </w:rPr>
        <w:t xml:space="preserve"> the penitentiary system</w:t>
      </w:r>
      <w:r w:rsidR="00430034">
        <w:t xml:space="preserve">. </w:t>
      </w:r>
      <w:r>
        <w:t>However,</w:t>
      </w:r>
      <w:r w:rsidR="00430034">
        <w:t xml:space="preserve"> in September of 2012,</w:t>
      </w:r>
      <w:r w:rsidR="00430034" w:rsidRPr="00E048EA">
        <w:rPr>
          <w:lang w:val="ka-GE"/>
        </w:rPr>
        <w:t xml:space="preserve"> videos</w:t>
      </w:r>
      <w:r w:rsidR="00430034">
        <w:t xml:space="preserve"> were</w:t>
      </w:r>
      <w:r w:rsidR="00430034" w:rsidRPr="00E048EA">
        <w:rPr>
          <w:lang w:val="ka-GE"/>
        </w:rPr>
        <w:t xml:space="preserve"> released</w:t>
      </w:r>
      <w:r>
        <w:t xml:space="preserve"> that show physical abuse, including rape, as a</w:t>
      </w:r>
      <w:r w:rsidR="00430034">
        <w:t xml:space="preserve"> violent </w:t>
      </w:r>
      <w:r>
        <w:t>and systematic practice carried out by prison g</w:t>
      </w:r>
      <w:r w:rsidR="00430034">
        <w:t>u</w:t>
      </w:r>
      <w:r>
        <w:t>a</w:t>
      </w:r>
      <w:r w:rsidR="00430034">
        <w:t>rds</w:t>
      </w:r>
      <w:r w:rsidR="00430034" w:rsidRPr="00E048EA">
        <w:rPr>
          <w:lang w:val="ka-GE"/>
        </w:rPr>
        <w:t xml:space="preserve">. </w:t>
      </w:r>
    </w:p>
    <w:p w:rsidR="00762457" w:rsidRPr="00762457" w:rsidRDefault="00762457" w:rsidP="009073BB">
      <w:pPr>
        <w:rPr>
          <w:lang w:val="en-US"/>
        </w:rPr>
      </w:pPr>
    </w:p>
    <w:p w:rsidR="00430034" w:rsidRDefault="00762457" w:rsidP="009073BB">
      <w:pPr>
        <w:rPr>
          <w:lang w:val="ka-GE"/>
        </w:rPr>
      </w:pPr>
      <w:r>
        <w:rPr>
          <w:lang w:val="en-US"/>
        </w:rPr>
        <w:t>While the graphic nature of the abuses taking place was shocking</w:t>
      </w:r>
      <w:r w:rsidR="00303372">
        <w:rPr>
          <w:lang w:val="en-US"/>
        </w:rPr>
        <w:t>, they were not hugely surprising to many people working in this area.</w:t>
      </w:r>
      <w:r w:rsidR="00582D3C">
        <w:rPr>
          <w:lang w:val="en-US"/>
        </w:rPr>
        <w:t xml:space="preserve"> </w:t>
      </w:r>
      <w:r w:rsidR="00303372">
        <w:t>T</w:t>
      </w:r>
      <w:r w:rsidR="00430034">
        <w:t xml:space="preserve">he </w:t>
      </w:r>
      <w:r w:rsidR="00430034" w:rsidRPr="00E048EA">
        <w:rPr>
          <w:lang w:val="ka-GE"/>
        </w:rPr>
        <w:t xml:space="preserve">Public Defender and </w:t>
      </w:r>
      <w:r w:rsidR="00430034" w:rsidRPr="00E048EA">
        <w:t>NGOs</w:t>
      </w:r>
      <w:r w:rsidR="00430034">
        <w:t xml:space="preserve"> had continually discussed the issue with the </w:t>
      </w:r>
      <w:proofErr w:type="spellStart"/>
      <w:r w:rsidR="00430034">
        <w:t>GoG</w:t>
      </w:r>
      <w:proofErr w:type="spellEnd"/>
      <w:r w:rsidR="00430034">
        <w:t xml:space="preserve">. The Public Defender and NGOs cited the </w:t>
      </w:r>
      <w:proofErr w:type="spellStart"/>
      <w:r w:rsidR="00430034" w:rsidRPr="00E048EA">
        <w:t>Ksani</w:t>
      </w:r>
      <w:proofErr w:type="spellEnd"/>
      <w:r w:rsidR="00430034" w:rsidRPr="00E048EA">
        <w:t xml:space="preserve"> establishment </w:t>
      </w:r>
      <w:r w:rsidR="00430034" w:rsidRPr="00E048EA">
        <w:rPr>
          <w:lang w:val="ka-GE"/>
        </w:rPr>
        <w:t xml:space="preserve">N15, </w:t>
      </w:r>
      <w:proofErr w:type="spellStart"/>
      <w:r w:rsidR="00430034" w:rsidRPr="00E048EA">
        <w:t>Gldani</w:t>
      </w:r>
      <w:proofErr w:type="spellEnd"/>
      <w:r w:rsidR="00430034" w:rsidRPr="00E048EA">
        <w:t xml:space="preserve"> prison </w:t>
      </w:r>
      <w:r w:rsidR="00430034" w:rsidRPr="00E048EA">
        <w:rPr>
          <w:lang w:val="ka-GE"/>
        </w:rPr>
        <w:t>N8 and the medical establishment</w:t>
      </w:r>
      <w:r w:rsidR="00430034" w:rsidRPr="00E048EA">
        <w:rPr>
          <w:rStyle w:val="Funotenzeichen"/>
          <w:rFonts w:ascii="Times New Roman" w:hAnsi="Times New Roman"/>
          <w:sz w:val="24"/>
          <w:szCs w:val="24"/>
          <w:lang w:val="ka-GE"/>
        </w:rPr>
        <w:footnoteReference w:id="24"/>
      </w:r>
      <w:r w:rsidR="00303372">
        <w:t xml:space="preserve"> as the most egregious practitioners</w:t>
      </w:r>
      <w:r w:rsidR="00430034">
        <w:t xml:space="preserve"> of abuse and torture</w:t>
      </w:r>
      <w:r w:rsidR="00430034" w:rsidRPr="00E048EA">
        <w:t>.</w:t>
      </w:r>
    </w:p>
    <w:p w:rsidR="00303372" w:rsidRDefault="00303372" w:rsidP="009073BB">
      <w:pPr>
        <w:rPr>
          <w:lang w:val="en-US"/>
        </w:rPr>
      </w:pPr>
    </w:p>
    <w:p w:rsidR="00430034" w:rsidRDefault="00430034" w:rsidP="009073BB">
      <w:pPr>
        <w:rPr>
          <w:lang w:val="ka-GE"/>
        </w:rPr>
      </w:pPr>
      <w:r w:rsidRPr="00E048EA">
        <w:rPr>
          <w:lang w:val="ka-GE"/>
        </w:rPr>
        <w:t xml:space="preserve">Prisoners </w:t>
      </w:r>
      <w:r>
        <w:t>discussed the use of</w:t>
      </w:r>
      <w:r w:rsidRPr="00E048EA">
        <w:rPr>
          <w:lang w:val="ka-GE"/>
        </w:rPr>
        <w:t xml:space="preserve"> psychological and physical </w:t>
      </w:r>
      <w:r w:rsidRPr="00E048EA">
        <w:t>violence</w:t>
      </w:r>
      <w:r>
        <w:t xml:space="preserve"> as forms of punishment</w:t>
      </w:r>
      <w:r w:rsidRPr="00E048EA">
        <w:rPr>
          <w:lang w:val="ka-GE"/>
        </w:rPr>
        <w:t xml:space="preserve">. </w:t>
      </w:r>
      <w:r>
        <w:t xml:space="preserve">Although the practice of abuse was widely known, </w:t>
      </w:r>
      <w:r w:rsidRPr="00E048EA">
        <w:rPr>
          <w:lang w:val="ka-GE"/>
        </w:rPr>
        <w:t xml:space="preserve">prisoners refused to </w:t>
      </w:r>
      <w:r w:rsidRPr="00E048EA">
        <w:t>identify themselves</w:t>
      </w:r>
      <w:r w:rsidRPr="00E048EA">
        <w:rPr>
          <w:lang w:val="ka-GE"/>
        </w:rPr>
        <w:t xml:space="preserve"> or </w:t>
      </w:r>
      <w:r w:rsidRPr="00E048EA">
        <w:t>withdrew complaints</w:t>
      </w:r>
      <w:r w:rsidRPr="00E048EA">
        <w:rPr>
          <w:lang w:val="ka-GE"/>
        </w:rPr>
        <w:t xml:space="preserve"> later</w:t>
      </w:r>
      <w:r>
        <w:t xml:space="preserve"> for fear of retaliation</w:t>
      </w:r>
      <w:r w:rsidRPr="00E048EA">
        <w:rPr>
          <w:lang w:val="ka-GE"/>
        </w:rPr>
        <w:t>.</w:t>
      </w:r>
      <w:r w:rsidRPr="00E048EA">
        <w:rPr>
          <w:rStyle w:val="Funotenzeichen"/>
          <w:rFonts w:ascii="Times New Roman" w:hAnsi="Times New Roman"/>
          <w:sz w:val="24"/>
          <w:szCs w:val="24"/>
          <w:lang w:val="ka-GE"/>
        </w:rPr>
        <w:footnoteReference w:id="25"/>
      </w:r>
      <w:r>
        <w:t xml:space="preserve"> Sometimes after filing</w:t>
      </w:r>
      <w:r w:rsidRPr="00E048EA">
        <w:t xml:space="preserve"> a complaint</w:t>
      </w:r>
      <w:r>
        <w:t>,</w:t>
      </w:r>
      <w:r w:rsidRPr="00E048EA">
        <w:t xml:space="preserve"> a prisoner would be kept in the same penitentiary establishment</w:t>
      </w:r>
      <w:r>
        <w:t>; leading to more forceful forms of intimidation.</w:t>
      </w:r>
      <w:r w:rsidRPr="00E048EA">
        <w:rPr>
          <w:rStyle w:val="Funotenzeichen"/>
          <w:rFonts w:ascii="Times New Roman" w:hAnsi="Times New Roman"/>
          <w:sz w:val="24"/>
          <w:szCs w:val="24"/>
          <w:lang w:val="ka-GE"/>
        </w:rPr>
        <w:footnoteReference w:id="26"/>
      </w:r>
      <w:r w:rsidRPr="00E048EA">
        <w:t xml:space="preserve"> Furthermore, in some cases the </w:t>
      </w:r>
      <w:r w:rsidRPr="00E048EA">
        <w:lastRenderedPageBreak/>
        <w:t xml:space="preserve">administration tried to coerce or discourage prisoners from filing a complaint. </w:t>
      </w:r>
      <w:r w:rsidRPr="00E048EA">
        <w:rPr>
          <w:lang w:val="ka-GE"/>
        </w:rPr>
        <w:t xml:space="preserve">Thus, </w:t>
      </w:r>
      <w:r>
        <w:t xml:space="preserve">the </w:t>
      </w:r>
      <w:proofErr w:type="spellStart"/>
      <w:r>
        <w:t>GoG’s</w:t>
      </w:r>
      <w:proofErr w:type="spellEnd"/>
      <w:r>
        <w:t xml:space="preserve"> assertion that prisoners’ ability to report abuse deterred guards from carrying out excessive punishments was untrue</w:t>
      </w:r>
      <w:r w:rsidRPr="00E048EA">
        <w:rPr>
          <w:lang w:val="ka-GE"/>
        </w:rPr>
        <w:t>.</w:t>
      </w:r>
    </w:p>
    <w:p w:rsidR="00303372" w:rsidRDefault="00303372" w:rsidP="009073BB">
      <w:pPr>
        <w:rPr>
          <w:lang w:val="en-GB"/>
        </w:rPr>
      </w:pPr>
    </w:p>
    <w:p w:rsidR="00430034" w:rsidRDefault="00430034" w:rsidP="009073BB">
      <w:pPr>
        <w:rPr>
          <w:lang w:val="en-GB"/>
        </w:rPr>
      </w:pPr>
      <w:r w:rsidRPr="00E048EA">
        <w:rPr>
          <w:lang w:val="en-GB"/>
        </w:rPr>
        <w:t xml:space="preserve">Two of the main reasons </w:t>
      </w:r>
      <w:r w:rsidR="00303372">
        <w:rPr>
          <w:lang w:val="en-GB"/>
        </w:rPr>
        <w:t xml:space="preserve">why the </w:t>
      </w:r>
      <w:r w:rsidRPr="00E048EA">
        <w:rPr>
          <w:lang w:val="en-GB"/>
        </w:rPr>
        <w:t>systemic ill-treatment</w:t>
      </w:r>
      <w:r w:rsidR="00303372">
        <w:rPr>
          <w:lang w:val="en-GB"/>
        </w:rPr>
        <w:t xml:space="preserve"> had emerged</w:t>
      </w:r>
      <w:r w:rsidRPr="00E048EA">
        <w:rPr>
          <w:lang w:val="en-GB"/>
        </w:rPr>
        <w:t xml:space="preserve"> were the inefficient investigation</w:t>
      </w:r>
      <w:r>
        <w:rPr>
          <w:lang w:val="en-GB"/>
        </w:rPr>
        <w:t>s</w:t>
      </w:r>
      <w:r w:rsidRPr="00E048EA">
        <w:rPr>
          <w:lang w:val="en-GB"/>
        </w:rPr>
        <w:t xml:space="preserve"> of cases of torture and </w:t>
      </w:r>
      <w:r>
        <w:rPr>
          <w:lang w:val="en-GB"/>
        </w:rPr>
        <w:t>a culture of impunity within the penitentiary system</w:t>
      </w:r>
      <w:r w:rsidRPr="00E048EA">
        <w:rPr>
          <w:lang w:val="en-GB"/>
        </w:rPr>
        <w:t xml:space="preserve">. </w:t>
      </w:r>
      <w:r>
        <w:rPr>
          <w:lang w:val="en-GB"/>
        </w:rPr>
        <w:t>Often, investigations were delayed. Even when investigations were initiated they were often ineffective. Furthermore,</w:t>
      </w:r>
      <w:r w:rsidRPr="00E048EA">
        <w:rPr>
          <w:lang w:val="en-GB"/>
        </w:rPr>
        <w:t xml:space="preserve"> investigations</w:t>
      </w:r>
      <w:r>
        <w:rPr>
          <w:lang w:val="en-GB"/>
        </w:rPr>
        <w:t xml:space="preserve"> often fell under</w:t>
      </w:r>
      <w:r w:rsidRPr="00E048EA">
        <w:rPr>
          <w:lang w:val="en-GB"/>
        </w:rPr>
        <w:t xml:space="preserve"> charges of abuse of power or exceeding official duties</w:t>
      </w:r>
      <w:r>
        <w:rPr>
          <w:lang w:val="en-GB"/>
        </w:rPr>
        <w:t xml:space="preserve">, instead of the </w:t>
      </w:r>
      <w:r w:rsidRPr="00E048EA">
        <w:rPr>
          <w:lang w:val="en-GB"/>
        </w:rPr>
        <w:t>Criminal Code article on torture and ill-treatment</w:t>
      </w:r>
      <w:r>
        <w:rPr>
          <w:lang w:val="en-GB"/>
        </w:rPr>
        <w:t xml:space="preserve">. The former allegations carried lighter sentences. </w:t>
      </w:r>
    </w:p>
    <w:p w:rsidR="00303372" w:rsidRDefault="00303372" w:rsidP="009073BB">
      <w:pPr>
        <w:rPr>
          <w:lang w:val="en-GB"/>
        </w:rPr>
      </w:pPr>
    </w:p>
    <w:p w:rsidR="00430034" w:rsidRDefault="00430034" w:rsidP="009073BB">
      <w:pPr>
        <w:rPr>
          <w:lang w:val="en-GB"/>
        </w:rPr>
      </w:pPr>
      <w:r>
        <w:rPr>
          <w:lang w:val="en-GB"/>
        </w:rPr>
        <w:t>Lastly</w:t>
      </w:r>
      <w:r w:rsidRPr="00E048EA">
        <w:rPr>
          <w:lang w:val="en-GB"/>
        </w:rPr>
        <w:t xml:space="preserve">, the abolition of public oversight over penitentiary establishments </w:t>
      </w:r>
      <w:r>
        <w:rPr>
          <w:lang w:val="en-GB"/>
        </w:rPr>
        <w:t>played a negative role in the escalation of widespread abuse</w:t>
      </w:r>
      <w:r w:rsidR="00303372">
        <w:rPr>
          <w:lang w:val="en-GB"/>
        </w:rPr>
        <w:t>. Despite numerous attempts by</w:t>
      </w:r>
      <w:r w:rsidR="00634DB0">
        <w:rPr>
          <w:lang w:val="en-GB"/>
        </w:rPr>
        <w:t xml:space="preserve"> </w:t>
      </w:r>
      <w:r w:rsidR="009D5D34">
        <w:rPr>
          <w:lang w:val="en-GB"/>
        </w:rPr>
        <w:t xml:space="preserve">civil society </w:t>
      </w:r>
      <w:r>
        <w:rPr>
          <w:lang w:val="en-GB"/>
        </w:rPr>
        <w:t>organizations</w:t>
      </w:r>
      <w:r w:rsidRPr="00E048EA">
        <w:rPr>
          <w:lang w:val="en-GB"/>
        </w:rPr>
        <w:t>, only the representatives of the National Preventive Mechanism are authorized to monitor prisons.</w:t>
      </w:r>
    </w:p>
    <w:p w:rsidR="007845DE" w:rsidRDefault="007845DE" w:rsidP="009073BB">
      <w:pPr>
        <w:rPr>
          <w:lang w:val="en-GB"/>
        </w:rPr>
      </w:pPr>
    </w:p>
    <w:p w:rsidR="007845DE" w:rsidRDefault="007845DE" w:rsidP="009073BB">
      <w:pPr>
        <w:rPr>
          <w:lang w:val="en-GB"/>
        </w:rPr>
      </w:pPr>
      <w:r w:rsidRPr="00E048EA">
        <w:rPr>
          <w:lang w:val="en-GB"/>
        </w:rPr>
        <w:t>It is essential to note</w:t>
      </w:r>
      <w:r>
        <w:rPr>
          <w:lang w:val="en-GB"/>
        </w:rPr>
        <w:t xml:space="preserve">, the </w:t>
      </w:r>
      <w:proofErr w:type="spellStart"/>
      <w:r>
        <w:rPr>
          <w:lang w:val="en-GB"/>
        </w:rPr>
        <w:t>GoG</w:t>
      </w:r>
      <w:proofErr w:type="spellEnd"/>
      <w:r w:rsidR="003B6CFB">
        <w:rPr>
          <w:lang w:val="en-GB"/>
        </w:rPr>
        <w:t xml:space="preserve"> </w:t>
      </w:r>
      <w:r w:rsidRPr="00E048EA">
        <w:rPr>
          <w:lang w:val="en-GB"/>
        </w:rPr>
        <w:t>d</w:t>
      </w:r>
      <w:r>
        <w:rPr>
          <w:lang w:val="en-GB"/>
        </w:rPr>
        <w:t>oes</w:t>
      </w:r>
      <w:r w:rsidRPr="00E048EA">
        <w:rPr>
          <w:lang w:val="en-GB"/>
        </w:rPr>
        <w:t xml:space="preserve"> not administer rehabilitation</w:t>
      </w:r>
      <w:r>
        <w:rPr>
          <w:lang w:val="en-GB"/>
        </w:rPr>
        <w:t xml:space="preserve"> programmes for inmates who were subjected to</w:t>
      </w:r>
      <w:r w:rsidRPr="00E048EA">
        <w:rPr>
          <w:lang w:val="en-GB"/>
        </w:rPr>
        <w:t xml:space="preserve"> torture until </w:t>
      </w:r>
      <w:r>
        <w:rPr>
          <w:lang w:val="en-GB"/>
        </w:rPr>
        <w:t>late-</w:t>
      </w:r>
      <w:r w:rsidRPr="00E048EA">
        <w:rPr>
          <w:lang w:val="en-GB"/>
        </w:rPr>
        <w:t>2012. This was partly due to the government not recognis</w:t>
      </w:r>
      <w:r>
        <w:rPr>
          <w:lang w:val="en-GB"/>
        </w:rPr>
        <w:t xml:space="preserve">ing </w:t>
      </w:r>
      <w:r w:rsidRPr="00E048EA">
        <w:rPr>
          <w:lang w:val="en-GB"/>
        </w:rPr>
        <w:t xml:space="preserve">torture as a systematic problem in the penitentiary system. </w:t>
      </w:r>
      <w:r>
        <w:rPr>
          <w:lang w:val="en-GB"/>
        </w:rPr>
        <w:t>It is the position of this paper that it is</w:t>
      </w:r>
      <w:r w:rsidRPr="00E048EA">
        <w:rPr>
          <w:lang w:val="en-GB"/>
        </w:rPr>
        <w:t xml:space="preserve"> crucial for the government to take meaningful steps for addressing this problem and to implement state owned rehabilitation programmes.</w:t>
      </w:r>
    </w:p>
    <w:p w:rsidR="00430034" w:rsidRDefault="00430034" w:rsidP="009073BB">
      <w:pPr>
        <w:rPr>
          <w:b/>
          <w:lang w:val="en-GB"/>
        </w:rPr>
      </w:pPr>
    </w:p>
    <w:p w:rsidR="00404A42" w:rsidRDefault="00404A42" w:rsidP="009073BB">
      <w:pPr>
        <w:rPr>
          <w:b/>
          <w:lang w:val="en-GB"/>
        </w:rPr>
      </w:pPr>
      <w:r>
        <w:rPr>
          <w:b/>
          <w:lang w:val="en-GB"/>
        </w:rPr>
        <w:t>Overcrowding</w:t>
      </w:r>
    </w:p>
    <w:p w:rsidR="009073BB" w:rsidRDefault="009073BB" w:rsidP="009073BB">
      <w:pPr>
        <w:rPr>
          <w:lang w:val="en-GB"/>
        </w:rPr>
      </w:pPr>
      <w:r w:rsidRPr="00E048EA">
        <w:rPr>
          <w:lang w:val="en-GB"/>
        </w:rPr>
        <w:t xml:space="preserve">As the result of </w:t>
      </w:r>
      <w:r>
        <w:rPr>
          <w:lang w:val="en-GB"/>
        </w:rPr>
        <w:t xml:space="preserve">draconian </w:t>
      </w:r>
      <w:r w:rsidRPr="00E048EA">
        <w:rPr>
          <w:lang w:val="en-GB"/>
        </w:rPr>
        <w:t>criminal polic</w:t>
      </w:r>
      <w:r>
        <w:rPr>
          <w:lang w:val="en-GB"/>
        </w:rPr>
        <w:t>ies</w:t>
      </w:r>
      <w:r w:rsidRPr="00E048EA">
        <w:rPr>
          <w:lang w:val="en-GB"/>
        </w:rPr>
        <w:t xml:space="preserve">, </w:t>
      </w:r>
      <w:r>
        <w:rPr>
          <w:lang w:val="en-GB"/>
        </w:rPr>
        <w:t>by 2011, there were</w:t>
      </w:r>
      <w:r w:rsidRPr="00E048EA">
        <w:rPr>
          <w:lang w:val="en-GB"/>
        </w:rPr>
        <w:t xml:space="preserve"> 24,114 </w:t>
      </w:r>
      <w:r>
        <w:rPr>
          <w:lang w:val="en-GB"/>
        </w:rPr>
        <w:t>people in prison in Georgia</w:t>
      </w:r>
      <w:r w:rsidRPr="00E048EA">
        <w:rPr>
          <w:lang w:val="en-GB"/>
        </w:rPr>
        <w:t>.</w:t>
      </w:r>
      <w:r w:rsidRPr="00E048EA">
        <w:rPr>
          <w:rStyle w:val="Funotenzeichen"/>
          <w:rFonts w:ascii="Times New Roman" w:hAnsi="Times New Roman"/>
          <w:sz w:val="24"/>
          <w:szCs w:val="24"/>
          <w:lang w:val="en-GB"/>
        </w:rPr>
        <w:footnoteReference w:id="27"/>
      </w:r>
      <w:r>
        <w:rPr>
          <w:lang w:val="en-GB"/>
        </w:rPr>
        <w:t xml:space="preserve"> This gave Georgia the one of the highest prison populations in the world, in proportion to their population.</w:t>
      </w:r>
      <w:r w:rsidRPr="00E048EA">
        <w:rPr>
          <w:lang w:val="en-GB"/>
        </w:rPr>
        <w:t xml:space="preserve"> The increase in the number of prisoners resulted in overcrowding of prisons. </w:t>
      </w:r>
    </w:p>
    <w:p w:rsidR="009073BB" w:rsidRDefault="009073BB" w:rsidP="009073BB">
      <w:pPr>
        <w:rPr>
          <w:lang w:val="en-GB"/>
        </w:rPr>
      </w:pPr>
    </w:p>
    <w:p w:rsidR="009073BB" w:rsidRDefault="009073BB" w:rsidP="009073BB">
      <w:pPr>
        <w:rPr>
          <w:lang w:val="en-GB"/>
        </w:rPr>
      </w:pPr>
      <w:r>
        <w:rPr>
          <w:lang w:val="en-GB"/>
        </w:rPr>
        <w:t>In its 4</w:t>
      </w:r>
      <w:r w:rsidRPr="00270407">
        <w:rPr>
          <w:vertAlign w:val="superscript"/>
          <w:lang w:val="en-GB"/>
        </w:rPr>
        <w:t>th</w:t>
      </w:r>
      <w:r>
        <w:rPr>
          <w:lang w:val="en-GB"/>
        </w:rPr>
        <w:t xml:space="preserve"> Periodic report, the </w:t>
      </w:r>
      <w:proofErr w:type="spellStart"/>
      <w:r>
        <w:rPr>
          <w:lang w:val="en-GB"/>
        </w:rPr>
        <w:t>GoG</w:t>
      </w:r>
      <w:proofErr w:type="spellEnd"/>
      <w:r w:rsidRPr="00E048EA">
        <w:rPr>
          <w:lang w:val="en-GB"/>
        </w:rPr>
        <w:t xml:space="preserve"> notes that new penitentiary establishments have been built and some of</w:t>
      </w:r>
      <w:r>
        <w:rPr>
          <w:lang w:val="en-GB"/>
        </w:rPr>
        <w:t xml:space="preserve"> the</w:t>
      </w:r>
      <w:r w:rsidRPr="00E048EA">
        <w:rPr>
          <w:lang w:val="en-GB"/>
        </w:rPr>
        <w:t xml:space="preserve"> existing f</w:t>
      </w:r>
      <w:r>
        <w:rPr>
          <w:lang w:val="en-GB"/>
        </w:rPr>
        <w:t>acilities have been refurbished. However,</w:t>
      </w:r>
      <w:r w:rsidRPr="00E048EA">
        <w:rPr>
          <w:lang w:val="en-GB"/>
        </w:rPr>
        <w:t xml:space="preserve"> the problem of overcrowding remained</w:t>
      </w:r>
      <w:r>
        <w:rPr>
          <w:lang w:val="en-GB"/>
        </w:rPr>
        <w:t>.</w:t>
      </w:r>
      <w:r w:rsidR="00C00B3B">
        <w:rPr>
          <w:lang w:val="en-GB"/>
        </w:rPr>
        <w:t xml:space="preserve"> </w:t>
      </w:r>
      <w:r>
        <w:rPr>
          <w:lang w:val="en-GB"/>
        </w:rPr>
        <w:t xml:space="preserve">The </w:t>
      </w:r>
      <w:r w:rsidRPr="00E048EA">
        <w:rPr>
          <w:lang w:val="en-GB"/>
        </w:rPr>
        <w:t>Public Defender</w:t>
      </w:r>
      <w:r>
        <w:rPr>
          <w:lang w:val="en-GB"/>
        </w:rPr>
        <w:t xml:space="preserve"> and a plethora of NGOs</w:t>
      </w:r>
      <w:r w:rsidRPr="00E048EA">
        <w:rPr>
          <w:lang w:val="en-GB"/>
        </w:rPr>
        <w:t xml:space="preserve"> noted the unbearable and deplorable living conditions </w:t>
      </w:r>
      <w:r>
        <w:rPr>
          <w:lang w:val="en-GB"/>
        </w:rPr>
        <w:t xml:space="preserve">of </w:t>
      </w:r>
      <w:r w:rsidRPr="00E048EA">
        <w:rPr>
          <w:lang w:val="en-GB"/>
        </w:rPr>
        <w:t>certain prisons</w:t>
      </w:r>
      <w:r w:rsidRPr="00E048EA">
        <w:rPr>
          <w:rStyle w:val="Funotenzeichen"/>
          <w:rFonts w:ascii="Times New Roman" w:hAnsi="Times New Roman"/>
          <w:sz w:val="24"/>
          <w:szCs w:val="24"/>
          <w:lang w:val="en-GB"/>
        </w:rPr>
        <w:footnoteReference w:id="28"/>
      </w:r>
      <w:r w:rsidRPr="00E048EA">
        <w:rPr>
          <w:lang w:val="en-GB"/>
        </w:rPr>
        <w:t xml:space="preserve">. </w:t>
      </w:r>
    </w:p>
    <w:p w:rsidR="009073BB" w:rsidRDefault="009073BB" w:rsidP="009073BB">
      <w:pPr>
        <w:rPr>
          <w:lang w:val="en-GB"/>
        </w:rPr>
      </w:pPr>
    </w:p>
    <w:p w:rsidR="009073BB" w:rsidRDefault="009073BB" w:rsidP="009073BB">
      <w:pPr>
        <w:rPr>
          <w:lang w:val="en-GB"/>
        </w:rPr>
      </w:pPr>
      <w:r w:rsidRPr="00E048EA">
        <w:rPr>
          <w:lang w:val="en-GB"/>
        </w:rPr>
        <w:t>Neither legislation, nor actual conditions complied with the standard of minimum space for each prisoner. In May 2012</w:t>
      </w:r>
      <w:r>
        <w:rPr>
          <w:lang w:val="en-GB"/>
        </w:rPr>
        <w:t>,</w:t>
      </w:r>
      <w:r w:rsidRPr="00E048EA">
        <w:rPr>
          <w:lang w:val="en-GB"/>
        </w:rPr>
        <w:t xml:space="preserve"> regulation</w:t>
      </w:r>
      <w:r>
        <w:rPr>
          <w:lang w:val="en-GB"/>
        </w:rPr>
        <w:t>s</w:t>
      </w:r>
      <w:r w:rsidRPr="00E048EA">
        <w:rPr>
          <w:lang w:val="en-GB"/>
        </w:rPr>
        <w:t xml:space="preserve"> setting capacity limits</w:t>
      </w:r>
      <w:r>
        <w:rPr>
          <w:lang w:val="en-GB"/>
        </w:rPr>
        <w:t xml:space="preserve"> for prisons were increased. This increased the number of prisoners without increasing the infrastructure.</w:t>
      </w:r>
      <w:r w:rsidRPr="00E048EA">
        <w:rPr>
          <w:rStyle w:val="Funotenzeichen"/>
          <w:rFonts w:ascii="Times New Roman" w:hAnsi="Times New Roman"/>
          <w:sz w:val="24"/>
          <w:szCs w:val="24"/>
          <w:lang w:val="en-GB"/>
        </w:rPr>
        <w:footnoteReference w:id="29"/>
      </w:r>
      <w:r w:rsidR="00D92145">
        <w:rPr>
          <w:lang w:val="en-GB"/>
        </w:rPr>
        <w:t xml:space="preserve"> </w:t>
      </w:r>
      <w:r w:rsidRPr="00E048EA">
        <w:rPr>
          <w:lang w:val="en-GB"/>
        </w:rPr>
        <w:t>The overcrowding of p</w:t>
      </w:r>
      <w:r>
        <w:rPr>
          <w:lang w:val="en-GB"/>
        </w:rPr>
        <w:t>risons</w:t>
      </w:r>
      <w:r w:rsidRPr="00E048EA">
        <w:rPr>
          <w:lang w:val="en-GB"/>
        </w:rPr>
        <w:t xml:space="preserve"> was also caused </w:t>
      </w:r>
      <w:r>
        <w:rPr>
          <w:lang w:val="en-GB"/>
        </w:rPr>
        <w:t xml:space="preserve">by an inefficient early release program that made it hard for prisoners to secure early release. </w:t>
      </w:r>
    </w:p>
    <w:p w:rsidR="009073BB" w:rsidRDefault="009073BB" w:rsidP="009073BB">
      <w:pPr>
        <w:rPr>
          <w:lang w:val="en-GB"/>
        </w:rPr>
      </w:pPr>
    </w:p>
    <w:p w:rsidR="009073BB" w:rsidRDefault="009073BB" w:rsidP="009073BB">
      <w:pPr>
        <w:rPr>
          <w:lang w:val="en-GB"/>
        </w:rPr>
      </w:pPr>
      <w:r w:rsidRPr="00E048EA">
        <w:rPr>
          <w:lang w:val="en-GB"/>
        </w:rPr>
        <w:t>Although the</w:t>
      </w:r>
      <w:r w:rsidR="00D92145">
        <w:rPr>
          <w:lang w:val="en-GB"/>
        </w:rPr>
        <w:t xml:space="preserve"> </w:t>
      </w:r>
      <w:proofErr w:type="spellStart"/>
      <w:r>
        <w:rPr>
          <w:lang w:val="en-GB"/>
        </w:rPr>
        <w:t>GoG’s</w:t>
      </w:r>
      <w:proofErr w:type="spellEnd"/>
      <w:r>
        <w:rPr>
          <w:lang w:val="en-GB"/>
        </w:rPr>
        <w:t xml:space="preserve"> 4</w:t>
      </w:r>
      <w:r w:rsidRPr="00F67466">
        <w:rPr>
          <w:vertAlign w:val="superscript"/>
          <w:lang w:val="en-GB"/>
        </w:rPr>
        <w:t>th</w:t>
      </w:r>
      <w:r>
        <w:rPr>
          <w:lang w:val="en-GB"/>
        </w:rPr>
        <w:t xml:space="preserve"> Periodic report </w:t>
      </w:r>
      <w:r w:rsidRPr="00E048EA">
        <w:rPr>
          <w:lang w:val="en-GB"/>
        </w:rPr>
        <w:t xml:space="preserve">states </w:t>
      </w:r>
      <w:r>
        <w:rPr>
          <w:lang w:val="en-GB"/>
        </w:rPr>
        <w:t xml:space="preserve">that </w:t>
      </w:r>
      <w:r w:rsidRPr="00E048EA">
        <w:rPr>
          <w:lang w:val="en-GB"/>
        </w:rPr>
        <w:t>th</w:t>
      </w:r>
      <w:r>
        <w:rPr>
          <w:lang w:val="en-GB"/>
        </w:rPr>
        <w:t xml:space="preserve">eir </w:t>
      </w:r>
      <w:r w:rsidRPr="00E048EA">
        <w:rPr>
          <w:lang w:val="en-GB"/>
        </w:rPr>
        <w:t xml:space="preserve">criminal policy </w:t>
      </w:r>
      <w:r>
        <w:rPr>
          <w:lang w:val="en-GB"/>
        </w:rPr>
        <w:t>was made more lenient in 2010</w:t>
      </w:r>
      <w:r w:rsidRPr="00E048EA">
        <w:rPr>
          <w:lang w:val="en-GB"/>
        </w:rPr>
        <w:t xml:space="preserve">, </w:t>
      </w:r>
      <w:r>
        <w:rPr>
          <w:lang w:val="en-GB"/>
        </w:rPr>
        <w:t>the new policies were never implemented</w:t>
      </w:r>
      <w:r w:rsidRPr="00E048EA">
        <w:rPr>
          <w:lang w:val="en-GB"/>
        </w:rPr>
        <w:t>.</w:t>
      </w:r>
    </w:p>
    <w:p w:rsidR="009073BB" w:rsidRDefault="009073BB" w:rsidP="009073BB">
      <w:pPr>
        <w:rPr>
          <w:lang w:val="en-GB"/>
        </w:rPr>
      </w:pPr>
    </w:p>
    <w:p w:rsidR="009073BB" w:rsidRDefault="009073BB" w:rsidP="009073BB">
      <w:r>
        <w:rPr>
          <w:lang w:val="en-GB"/>
        </w:rPr>
        <w:t>Additionally, legislation allowing the</w:t>
      </w:r>
      <w:r w:rsidRPr="00E048EA">
        <w:rPr>
          <w:lang w:val="en-GB"/>
        </w:rPr>
        <w:t xml:space="preserve"> postponement of sentence due to health condition </w:t>
      </w:r>
      <w:proofErr w:type="spellStart"/>
      <w:r w:rsidRPr="00E048EA">
        <w:rPr>
          <w:lang w:val="en-GB"/>
        </w:rPr>
        <w:t>wereproblematic</w:t>
      </w:r>
      <w:proofErr w:type="spellEnd"/>
      <w:r w:rsidRPr="00E048EA">
        <w:rPr>
          <w:lang w:val="en-GB"/>
        </w:rPr>
        <w:t xml:space="preserve">. </w:t>
      </w:r>
      <w:r>
        <w:rPr>
          <w:lang w:val="en-GB"/>
        </w:rPr>
        <w:t>I</w:t>
      </w:r>
      <w:r w:rsidRPr="00E048EA">
        <w:rPr>
          <w:bCs/>
          <w:lang w:val="en-GB"/>
        </w:rPr>
        <w:t>n the majority of cases, the Commission</w:t>
      </w:r>
      <w:r>
        <w:rPr>
          <w:bCs/>
          <w:lang w:val="en-GB"/>
        </w:rPr>
        <w:t xml:space="preserve"> that determined the postponement of trials for health related reasons never set</w:t>
      </w:r>
      <w:r w:rsidRPr="00E048EA">
        <w:rPr>
          <w:bCs/>
          <w:lang w:val="en-GB"/>
        </w:rPr>
        <w:t xml:space="preserve"> deadlines</w:t>
      </w:r>
      <w:r>
        <w:rPr>
          <w:bCs/>
          <w:lang w:val="en-GB"/>
        </w:rPr>
        <w:t xml:space="preserve"> to</w:t>
      </w:r>
      <w:r w:rsidRPr="00E048EA">
        <w:rPr>
          <w:bCs/>
          <w:lang w:val="en-GB"/>
        </w:rPr>
        <w:t xml:space="preserve"> review applications</w:t>
      </w:r>
      <w:r>
        <w:rPr>
          <w:bCs/>
          <w:lang w:val="en-GB"/>
        </w:rPr>
        <w:t xml:space="preserve">. Sometimes this resulted in the Commission </w:t>
      </w:r>
      <w:r w:rsidRPr="00E048EA">
        <w:rPr>
          <w:bCs/>
          <w:lang w:val="en-GB"/>
        </w:rPr>
        <w:t>fail</w:t>
      </w:r>
      <w:r>
        <w:rPr>
          <w:bCs/>
          <w:lang w:val="en-GB"/>
        </w:rPr>
        <w:t xml:space="preserve">ing to postpone a trail before the prisoner </w:t>
      </w:r>
      <w:r w:rsidRPr="00E048EA">
        <w:rPr>
          <w:bCs/>
          <w:lang w:val="en-GB"/>
        </w:rPr>
        <w:t>died. The existing situation was alarming due to both, the erroneous practice of the Commission and the legislative framework.</w:t>
      </w:r>
    </w:p>
    <w:p w:rsidR="009073BB" w:rsidRDefault="009073BB" w:rsidP="009073BB">
      <w:pPr>
        <w:rPr>
          <w:b/>
          <w:lang w:val="en-GB"/>
        </w:rPr>
      </w:pPr>
    </w:p>
    <w:p w:rsidR="007845DE" w:rsidRPr="007845DE" w:rsidRDefault="007845DE" w:rsidP="009073BB">
      <w:pPr>
        <w:rPr>
          <w:b/>
          <w:lang w:val="en-GB"/>
        </w:rPr>
      </w:pPr>
      <w:r w:rsidRPr="007845DE">
        <w:rPr>
          <w:b/>
          <w:lang w:val="en-GB"/>
        </w:rPr>
        <w:t>Social Services and Health</w:t>
      </w:r>
    </w:p>
    <w:p w:rsidR="009073BB" w:rsidRDefault="009073BB" w:rsidP="009073BB">
      <w:pPr>
        <w:rPr>
          <w:lang w:val="en-GB"/>
        </w:rPr>
      </w:pPr>
      <w:r w:rsidRPr="00E048EA">
        <w:rPr>
          <w:lang w:val="en-GB"/>
        </w:rPr>
        <w:lastRenderedPageBreak/>
        <w:t>In 2011</w:t>
      </w:r>
      <w:r>
        <w:rPr>
          <w:lang w:val="en-GB"/>
        </w:rPr>
        <w:t xml:space="preserve">, the </w:t>
      </w:r>
      <w:proofErr w:type="gramStart"/>
      <w:r w:rsidRPr="00E048EA">
        <w:rPr>
          <w:lang w:val="en-GB"/>
        </w:rPr>
        <w:t xml:space="preserve">infrastructure of some </w:t>
      </w:r>
      <w:r>
        <w:rPr>
          <w:lang w:val="en-GB"/>
        </w:rPr>
        <w:t>penitentiaries</w:t>
      </w:r>
      <w:r w:rsidRPr="00E048EA">
        <w:rPr>
          <w:lang w:val="en-GB"/>
        </w:rPr>
        <w:t xml:space="preserve"> were</w:t>
      </w:r>
      <w:proofErr w:type="gramEnd"/>
      <w:r w:rsidRPr="00E048EA">
        <w:rPr>
          <w:lang w:val="en-GB"/>
        </w:rPr>
        <w:t xml:space="preserve"> not suitable for long-term</w:t>
      </w:r>
      <w:r w:rsidR="00B02120">
        <w:rPr>
          <w:lang w:val="en-GB"/>
        </w:rPr>
        <w:t xml:space="preserve"> </w:t>
      </w:r>
      <w:r w:rsidRPr="00E048EA">
        <w:rPr>
          <w:lang w:val="en-GB"/>
        </w:rPr>
        <w:t>visits</w:t>
      </w:r>
      <w:r>
        <w:rPr>
          <w:lang w:val="en-GB"/>
        </w:rPr>
        <w:t>. Moreover</w:t>
      </w:r>
      <w:r w:rsidRPr="00E048EA">
        <w:rPr>
          <w:lang w:val="en-GB"/>
        </w:rPr>
        <w:t xml:space="preserve">, </w:t>
      </w:r>
      <w:r>
        <w:rPr>
          <w:lang w:val="en-GB"/>
        </w:rPr>
        <w:t>female prisons were</w:t>
      </w:r>
      <w:r w:rsidR="00DD70AE">
        <w:rPr>
          <w:lang w:val="en-GB"/>
        </w:rPr>
        <w:t xml:space="preserve"> not</w:t>
      </w:r>
      <w:r>
        <w:rPr>
          <w:lang w:val="en-GB"/>
        </w:rPr>
        <w:t xml:space="preserve"> adequately set up for visitors</w:t>
      </w:r>
      <w:r w:rsidRPr="00E048EA">
        <w:rPr>
          <w:lang w:val="en-GB"/>
        </w:rPr>
        <w:t xml:space="preserve">. </w:t>
      </w:r>
    </w:p>
    <w:p w:rsidR="009073BB" w:rsidRDefault="009073BB" w:rsidP="009073BB">
      <w:pPr>
        <w:rPr>
          <w:lang w:val="en-GB"/>
        </w:rPr>
      </w:pPr>
    </w:p>
    <w:p w:rsidR="009073BB" w:rsidRDefault="009073BB" w:rsidP="009073BB">
      <w:pPr>
        <w:rPr>
          <w:lang w:val="en-GB"/>
        </w:rPr>
      </w:pPr>
      <w:r>
        <w:rPr>
          <w:lang w:val="en-GB"/>
        </w:rPr>
        <w:t>Legislation passed in 2011, designed to ameliorate the problem</w:t>
      </w:r>
      <w:r w:rsidRPr="00E048EA">
        <w:rPr>
          <w:lang w:val="en-GB"/>
        </w:rPr>
        <w:t xml:space="preserve"> contain</w:t>
      </w:r>
      <w:r>
        <w:rPr>
          <w:lang w:val="en-GB"/>
        </w:rPr>
        <w:t>ed several</w:t>
      </w:r>
      <w:r w:rsidRPr="00E048EA">
        <w:rPr>
          <w:lang w:val="en-GB"/>
        </w:rPr>
        <w:t xml:space="preserve"> deficiencies. The current legislation does not entitle inmates serving their sentences in a closed penitentiary establishment to long-term visits, except for those with life imprisonment.</w:t>
      </w:r>
      <w:r w:rsidR="00B02120">
        <w:rPr>
          <w:lang w:val="en-GB"/>
        </w:rPr>
        <w:t xml:space="preserve"> </w:t>
      </w:r>
      <w:r w:rsidRPr="00E048EA">
        <w:rPr>
          <w:lang w:val="en-GB"/>
        </w:rPr>
        <w:t xml:space="preserve">Also, the number of prisoners entitled to long-term visits is more limited than the number of </w:t>
      </w:r>
      <w:r>
        <w:rPr>
          <w:lang w:val="en-GB"/>
        </w:rPr>
        <w:t>prisoners entitled</w:t>
      </w:r>
      <w:r w:rsidRPr="00E048EA">
        <w:rPr>
          <w:lang w:val="en-GB"/>
        </w:rPr>
        <w:t xml:space="preserve"> to short-term visits. </w:t>
      </w:r>
      <w:r>
        <w:rPr>
          <w:lang w:val="en-GB"/>
        </w:rPr>
        <w:t xml:space="preserve">It is the position of this </w:t>
      </w:r>
      <w:proofErr w:type="gramStart"/>
      <w:r>
        <w:rPr>
          <w:lang w:val="en-GB"/>
        </w:rPr>
        <w:t>paper, that</w:t>
      </w:r>
      <w:proofErr w:type="gramEnd"/>
      <w:r w:rsidRPr="00E048EA">
        <w:rPr>
          <w:lang w:val="en-GB"/>
        </w:rPr>
        <w:t xml:space="preserve"> the right to long-term visits s</w:t>
      </w:r>
      <w:r>
        <w:rPr>
          <w:lang w:val="en-GB"/>
        </w:rPr>
        <w:t>hould</w:t>
      </w:r>
      <w:r w:rsidRPr="00E048EA">
        <w:rPr>
          <w:lang w:val="en-GB"/>
        </w:rPr>
        <w:t xml:space="preserve"> be granted to </w:t>
      </w:r>
      <w:r>
        <w:rPr>
          <w:lang w:val="en-GB"/>
        </w:rPr>
        <w:t xml:space="preserve">all </w:t>
      </w:r>
      <w:r w:rsidRPr="00E048EA">
        <w:rPr>
          <w:lang w:val="en-GB"/>
        </w:rPr>
        <w:t>prisoners</w:t>
      </w:r>
      <w:r>
        <w:rPr>
          <w:lang w:val="en-GB"/>
        </w:rPr>
        <w:t xml:space="preserve">. </w:t>
      </w:r>
    </w:p>
    <w:p w:rsidR="00404A42" w:rsidRDefault="00404A42" w:rsidP="009073BB">
      <w:pPr>
        <w:rPr>
          <w:b/>
          <w:lang w:val="en-GB"/>
        </w:rPr>
      </w:pPr>
    </w:p>
    <w:p w:rsidR="009073BB" w:rsidRDefault="009073BB" w:rsidP="009073BB">
      <w:pPr>
        <w:rPr>
          <w:lang w:val="en-GB"/>
        </w:rPr>
      </w:pPr>
      <w:r w:rsidRPr="00E048EA">
        <w:rPr>
          <w:lang w:val="en-GB"/>
        </w:rPr>
        <w:t xml:space="preserve">Healthcare was </w:t>
      </w:r>
      <w:r>
        <w:rPr>
          <w:lang w:val="en-GB"/>
        </w:rPr>
        <w:t>also a prominent concern for</w:t>
      </w:r>
      <w:r w:rsidRPr="00E048EA">
        <w:rPr>
          <w:lang w:val="en-GB"/>
        </w:rPr>
        <w:t xml:space="preserve"> the penitentiary system </w:t>
      </w:r>
      <w:r>
        <w:rPr>
          <w:lang w:val="en-GB"/>
        </w:rPr>
        <w:t xml:space="preserve">and </w:t>
      </w:r>
      <w:r w:rsidRPr="00E048EA">
        <w:rPr>
          <w:lang w:val="en-GB"/>
        </w:rPr>
        <w:t xml:space="preserve">was consistently raised </w:t>
      </w:r>
      <w:r>
        <w:rPr>
          <w:lang w:val="en-GB"/>
        </w:rPr>
        <w:t xml:space="preserve">as an issue </w:t>
      </w:r>
      <w:r w:rsidRPr="00E048EA">
        <w:rPr>
          <w:lang w:val="en-GB"/>
        </w:rPr>
        <w:t xml:space="preserve">by </w:t>
      </w:r>
      <w:r>
        <w:rPr>
          <w:lang w:val="en-GB"/>
        </w:rPr>
        <w:t>NGOs.</w:t>
      </w:r>
      <w:r w:rsidRPr="00E048EA">
        <w:rPr>
          <w:rStyle w:val="Funotenzeichen"/>
          <w:rFonts w:ascii="Times New Roman" w:hAnsi="Times New Roman"/>
          <w:sz w:val="24"/>
          <w:szCs w:val="24"/>
          <w:lang w:val="en-GB"/>
        </w:rPr>
        <w:footnoteReference w:id="30"/>
      </w:r>
      <w:r>
        <w:rPr>
          <w:lang w:val="en-GB"/>
        </w:rPr>
        <w:t xml:space="preserve"> NGOs noted that a</w:t>
      </w:r>
      <w:r w:rsidRPr="00E048EA">
        <w:rPr>
          <w:lang w:val="en-GB"/>
        </w:rPr>
        <w:t xml:space="preserve"> majority of convicts contracted diseases</w:t>
      </w:r>
      <w:r>
        <w:rPr>
          <w:lang w:val="en-GB"/>
        </w:rPr>
        <w:t>,</w:t>
      </w:r>
      <w:r w:rsidRPr="00E048EA">
        <w:rPr>
          <w:lang w:val="en-GB"/>
        </w:rPr>
        <w:t xml:space="preserve"> especially tuberculosis</w:t>
      </w:r>
      <w:r>
        <w:rPr>
          <w:lang w:val="en-GB"/>
        </w:rPr>
        <w:t>,</w:t>
      </w:r>
      <w:r w:rsidRPr="00E048EA">
        <w:rPr>
          <w:lang w:val="en-GB"/>
        </w:rPr>
        <w:t xml:space="preserve"> after their placement in the penitentiary establishment. </w:t>
      </w:r>
    </w:p>
    <w:p w:rsidR="009073BB" w:rsidRDefault="009073BB" w:rsidP="009073BB">
      <w:pPr>
        <w:rPr>
          <w:lang w:val="en-GB"/>
        </w:rPr>
      </w:pPr>
    </w:p>
    <w:p w:rsidR="009073BB" w:rsidRDefault="009073BB" w:rsidP="009073BB">
      <w:pPr>
        <w:rPr>
          <w:lang w:val="en-GB"/>
        </w:rPr>
      </w:pPr>
      <w:r>
        <w:rPr>
          <w:lang w:val="en-GB"/>
        </w:rPr>
        <w:t>Exacerbating the healthcare problem is that</w:t>
      </w:r>
      <w:r w:rsidRPr="00E048EA">
        <w:rPr>
          <w:lang w:val="en-GB"/>
        </w:rPr>
        <w:t xml:space="preserve"> prisoners often have to wait long </w:t>
      </w:r>
      <w:r>
        <w:rPr>
          <w:lang w:val="en-GB"/>
        </w:rPr>
        <w:t>period of time</w:t>
      </w:r>
      <w:r w:rsidRPr="00E048EA">
        <w:rPr>
          <w:lang w:val="en-GB"/>
        </w:rPr>
        <w:t xml:space="preserve"> to</w:t>
      </w:r>
      <w:r>
        <w:rPr>
          <w:lang w:val="en-GB"/>
        </w:rPr>
        <w:t xml:space="preserve"> visit</w:t>
      </w:r>
      <w:r w:rsidRPr="00E048EA">
        <w:rPr>
          <w:lang w:val="en-GB"/>
        </w:rPr>
        <w:t xml:space="preserve"> a doctor</w:t>
      </w:r>
      <w:r>
        <w:rPr>
          <w:lang w:val="en-GB"/>
        </w:rPr>
        <w:t>. Moreover, follow-up evaluations are rarely carried out.</w:t>
      </w:r>
    </w:p>
    <w:p w:rsidR="009073BB" w:rsidRDefault="009073BB" w:rsidP="009073BB">
      <w:pPr>
        <w:rPr>
          <w:lang w:val="en-GB"/>
        </w:rPr>
      </w:pPr>
    </w:p>
    <w:p w:rsidR="009073BB" w:rsidRDefault="009073BB" w:rsidP="009073BB">
      <w:pPr>
        <w:rPr>
          <w:lang w:val="en-GB"/>
        </w:rPr>
      </w:pPr>
      <w:r>
        <w:rPr>
          <w:lang w:val="en-GB"/>
        </w:rPr>
        <w:t xml:space="preserve">An additional healthcare problem in prisons is dealing with mental health patients. Prison guards </w:t>
      </w:r>
      <w:r w:rsidRPr="00E048EA">
        <w:rPr>
          <w:lang w:val="en-GB"/>
        </w:rPr>
        <w:t>tortur</w:t>
      </w:r>
      <w:r>
        <w:rPr>
          <w:lang w:val="en-GB"/>
        </w:rPr>
        <w:t xml:space="preserve">ing inmates combined with </w:t>
      </w:r>
      <w:r w:rsidRPr="00E048EA">
        <w:rPr>
          <w:lang w:val="en-GB"/>
        </w:rPr>
        <w:t xml:space="preserve">post-traumatic </w:t>
      </w:r>
      <w:r>
        <w:rPr>
          <w:lang w:val="en-GB"/>
        </w:rPr>
        <w:t>stress has made mental health problems a primary concern of prisons</w:t>
      </w:r>
      <w:r w:rsidRPr="00E048EA">
        <w:rPr>
          <w:lang w:val="en-GB"/>
        </w:rPr>
        <w:t xml:space="preserve">. </w:t>
      </w:r>
      <w:r>
        <w:rPr>
          <w:lang w:val="en-GB"/>
        </w:rPr>
        <w:t>Research on mental health in Georgian prisons</w:t>
      </w:r>
      <w:r w:rsidRPr="00E048EA">
        <w:rPr>
          <w:lang w:val="en-GB"/>
        </w:rPr>
        <w:t xml:space="preserve"> revea</w:t>
      </w:r>
      <w:r>
        <w:rPr>
          <w:lang w:val="en-GB"/>
        </w:rPr>
        <w:t>led</w:t>
      </w:r>
      <w:r w:rsidRPr="00E048EA">
        <w:rPr>
          <w:lang w:val="en-GB"/>
        </w:rPr>
        <w:t xml:space="preserve"> that treatment method</w:t>
      </w:r>
      <w:r>
        <w:rPr>
          <w:lang w:val="en-GB"/>
        </w:rPr>
        <w:t>s</w:t>
      </w:r>
      <w:r w:rsidRPr="00E048EA">
        <w:rPr>
          <w:lang w:val="en-GB"/>
        </w:rPr>
        <w:t xml:space="preserve"> chosen to address this problem</w:t>
      </w:r>
      <w:r w:rsidR="007845DE">
        <w:rPr>
          <w:lang w:val="en-GB"/>
        </w:rPr>
        <w:t xml:space="preserve"> were to routinely prescribe</w:t>
      </w:r>
      <w:r w:rsidRPr="00E048EA">
        <w:rPr>
          <w:lang w:val="en-GB"/>
        </w:rPr>
        <w:t xml:space="preserve"> excessive consumption of psychotropic and analgesic drugs</w:t>
      </w:r>
      <w:r w:rsidR="007845DE">
        <w:rPr>
          <w:lang w:val="en-GB"/>
        </w:rPr>
        <w:t>. Not only was this</w:t>
      </w:r>
      <w:r w:rsidRPr="00E048EA">
        <w:rPr>
          <w:lang w:val="en-GB"/>
        </w:rPr>
        <w:t xml:space="preserve"> inadequate</w:t>
      </w:r>
      <w:r>
        <w:rPr>
          <w:lang w:val="en-GB"/>
        </w:rPr>
        <w:t xml:space="preserve"> for addressing patients’ mental health</w:t>
      </w:r>
      <w:r w:rsidR="007845DE">
        <w:rPr>
          <w:lang w:val="en-GB"/>
        </w:rPr>
        <w:t>, i</w:t>
      </w:r>
      <w:r>
        <w:rPr>
          <w:lang w:val="en-GB"/>
        </w:rPr>
        <w:t>n some cases, medicating prisoners exacerbated the problem by creating dependencies on drugs which worsened prisoners’ symptoms.</w:t>
      </w:r>
    </w:p>
    <w:p w:rsidR="009073BB" w:rsidRDefault="009073BB" w:rsidP="009073BB">
      <w:pPr>
        <w:rPr>
          <w:lang w:val="en-GB"/>
        </w:rPr>
      </w:pPr>
    </w:p>
    <w:p w:rsidR="009073BB" w:rsidRDefault="009073BB" w:rsidP="009073BB">
      <w:pPr>
        <w:rPr>
          <w:lang w:val="en-GB"/>
        </w:rPr>
      </w:pPr>
      <w:r>
        <w:rPr>
          <w:lang w:val="en-GB"/>
        </w:rPr>
        <w:t xml:space="preserve">In addition to not having access to care, prisoners often have to pay for their own care, despite the state guaranteeing healthcare for inmates. </w:t>
      </w:r>
      <w:r w:rsidRPr="00FE51B7">
        <w:rPr>
          <w:lang w:val="en-GB"/>
        </w:rPr>
        <w:t>Accordingly, it would be advisable to directly note that a prisoner shall be provided with medical services, which shall be fully funded by the state.</w:t>
      </w:r>
    </w:p>
    <w:p w:rsidR="009073BB" w:rsidRPr="00FE51B7" w:rsidRDefault="009073BB" w:rsidP="009073BB">
      <w:pPr>
        <w:rPr>
          <w:lang w:val="en-GB"/>
        </w:rPr>
      </w:pPr>
    </w:p>
    <w:p w:rsidR="009073BB" w:rsidRPr="00FE51B7" w:rsidRDefault="009073BB" w:rsidP="009073BB">
      <w:pPr>
        <w:rPr>
          <w:lang w:val="en-GB"/>
        </w:rPr>
      </w:pPr>
      <w:r w:rsidRPr="00FE51B7">
        <w:rPr>
          <w:lang w:val="en-GB"/>
        </w:rPr>
        <w:t>According to Article 24, in case of a reasonable request and with the permission of the Chairman of the Department, a defendant /convict is authorized to invite a personal doctor at his/her own expenses.</w:t>
      </w:r>
    </w:p>
    <w:p w:rsidR="009073BB" w:rsidRDefault="009073BB" w:rsidP="009073BB">
      <w:pPr>
        <w:rPr>
          <w:lang w:val="en-GB"/>
        </w:rPr>
      </w:pPr>
    </w:p>
    <w:p w:rsidR="009073BB" w:rsidRDefault="009073BB" w:rsidP="009073BB">
      <w:pPr>
        <w:rPr>
          <w:lang w:val="en-GB"/>
        </w:rPr>
      </w:pPr>
      <w:r w:rsidRPr="00FE51B7">
        <w:rPr>
          <w:lang w:val="en-GB"/>
        </w:rPr>
        <w:t>According to Article 8 of the law on “Rights of a Patient”, a patient has the right to choose and change the doctor; respectively</w:t>
      </w:r>
      <w:r w:rsidR="005169B8">
        <w:rPr>
          <w:lang w:val="en-GB"/>
        </w:rPr>
        <w:t>,</w:t>
      </w:r>
      <w:r w:rsidRPr="00FE51B7">
        <w:rPr>
          <w:lang w:val="en-GB"/>
        </w:rPr>
        <w:t xml:space="preserve"> no special and additional procedures (the permission of the Chairman of the Department) shall be required for having access to a personal doctor. The procedure of filing a reasonable request and obtaining a permission of the Chairma</w:t>
      </w:r>
      <w:r w:rsidR="007845DE">
        <w:rPr>
          <w:lang w:val="en-GB"/>
        </w:rPr>
        <w:t>n of the Department is often delayed, and this</w:t>
      </w:r>
      <w:r w:rsidRPr="00FE51B7">
        <w:rPr>
          <w:lang w:val="en-GB"/>
        </w:rPr>
        <w:t xml:space="preserve"> inadequately restricts prisoners' rights. As for the restriction of this right in general, it shall be possible to restrict it in exceptional circumstances by the prison administration on the basis of a written justification, if the application of this right endangers the functioning and safety of the establishment.</w:t>
      </w:r>
    </w:p>
    <w:p w:rsidR="009073BB" w:rsidRPr="00FE51B7" w:rsidRDefault="009073BB" w:rsidP="009073BB">
      <w:pPr>
        <w:rPr>
          <w:lang w:val="en-GB"/>
        </w:rPr>
      </w:pPr>
    </w:p>
    <w:p w:rsidR="009073BB" w:rsidRPr="00FE51B7" w:rsidRDefault="009073BB" w:rsidP="009073BB">
      <w:pPr>
        <w:rPr>
          <w:lang w:val="en-GB"/>
        </w:rPr>
      </w:pPr>
      <w:r w:rsidRPr="00FE51B7">
        <w:rPr>
          <w:lang w:val="en-GB"/>
        </w:rPr>
        <w:t>According to the same Article 24.2, it is obligatory to carry out a medical examination of a person upon his/her placement in</w:t>
      </w:r>
      <w:r>
        <w:rPr>
          <w:lang w:val="en-GB"/>
        </w:rPr>
        <w:t xml:space="preserve"> a penitentiary establishment. </w:t>
      </w:r>
      <w:r w:rsidRPr="00FE51B7">
        <w:rPr>
          <w:lang w:val="en-GB"/>
        </w:rPr>
        <w:t>In practice, the medical examination is limited to visual observation and is rather superficial.</w:t>
      </w:r>
    </w:p>
    <w:p w:rsidR="009073BB" w:rsidRDefault="009073BB" w:rsidP="009073BB">
      <w:pPr>
        <w:rPr>
          <w:lang w:val="en-GB"/>
        </w:rPr>
      </w:pPr>
    </w:p>
    <w:p w:rsidR="009073BB" w:rsidRDefault="009073BB" w:rsidP="009073BB">
      <w:pPr>
        <w:rPr>
          <w:b/>
          <w:lang w:val="en-GB"/>
        </w:rPr>
      </w:pPr>
      <w:r w:rsidRPr="00FE51B7">
        <w:rPr>
          <w:lang w:val="en-GB"/>
        </w:rPr>
        <w:t>In order to reach the objective of the law, it is important to ensure that prisoners undergo a complete and thorough medical examination upon entering the establishment, and once every 6 months after that.</w:t>
      </w:r>
    </w:p>
    <w:p w:rsidR="009073BB" w:rsidRDefault="009073BB" w:rsidP="00430034">
      <w:pPr>
        <w:jc w:val="left"/>
        <w:rPr>
          <w:rFonts w:ascii="Times New Roman" w:hAnsi="Times New Roman"/>
          <w:b/>
          <w:sz w:val="24"/>
          <w:szCs w:val="24"/>
          <w:lang w:val="en-GB"/>
        </w:rPr>
      </w:pPr>
    </w:p>
    <w:p w:rsidR="00270407" w:rsidRDefault="00270407" w:rsidP="00430034">
      <w:pPr>
        <w:jc w:val="left"/>
        <w:rPr>
          <w:rFonts w:ascii="Times New Roman" w:hAnsi="Times New Roman"/>
          <w:b/>
          <w:sz w:val="24"/>
          <w:szCs w:val="24"/>
          <w:lang w:val="en-GB"/>
        </w:rPr>
      </w:pPr>
      <w:r>
        <w:rPr>
          <w:rFonts w:ascii="Times New Roman" w:hAnsi="Times New Roman"/>
          <w:b/>
          <w:sz w:val="24"/>
          <w:szCs w:val="24"/>
          <w:lang w:val="en-GB"/>
        </w:rPr>
        <w:t xml:space="preserve">Changes since 2012 </w:t>
      </w:r>
    </w:p>
    <w:p w:rsidR="009073BB" w:rsidRDefault="009073BB" w:rsidP="00A22B76">
      <w:pPr>
        <w:rPr>
          <w:lang w:val="en-GB"/>
        </w:rPr>
      </w:pPr>
      <w:r>
        <w:rPr>
          <w:lang w:val="en-GB"/>
        </w:rPr>
        <w:t>The revelations that preceded the October 2012 parliamentary election</w:t>
      </w:r>
      <w:r w:rsidR="002D175B">
        <w:rPr>
          <w:lang w:val="en-GB"/>
        </w:rPr>
        <w:t>, and the new government that election</w:t>
      </w:r>
      <w:r>
        <w:rPr>
          <w:lang w:val="en-GB"/>
        </w:rPr>
        <w:t xml:space="preserve"> brought to power</w:t>
      </w:r>
      <w:r w:rsidR="002D175B">
        <w:rPr>
          <w:lang w:val="en-GB"/>
        </w:rPr>
        <w:t xml:space="preserve">, have caused significant changes in some elements of the penitentiary system. Most important, </w:t>
      </w:r>
      <w:r w:rsidR="00A22B76">
        <w:rPr>
          <w:lang w:val="en-GB"/>
        </w:rPr>
        <w:t xml:space="preserve">the prosecution and conviction of prison guards, implicated in torture of prisoners has largely </w:t>
      </w:r>
      <w:r w:rsidR="00A22B76">
        <w:rPr>
          <w:lang w:val="en-GB"/>
        </w:rPr>
        <w:lastRenderedPageBreak/>
        <w:t>brought the culture of impunity to an end. Also, the large scale amnesty, enacted by the new government, while problematic in its particulars, has dramatically improved the over-crowding problem.</w:t>
      </w:r>
    </w:p>
    <w:p w:rsidR="00A22B76" w:rsidRDefault="00A22B76" w:rsidP="00430034">
      <w:pPr>
        <w:jc w:val="left"/>
        <w:rPr>
          <w:rFonts w:ascii="Times New Roman" w:hAnsi="Times New Roman"/>
          <w:sz w:val="24"/>
          <w:szCs w:val="24"/>
          <w:lang w:val="en-GB"/>
        </w:rPr>
      </w:pPr>
    </w:p>
    <w:p w:rsidR="00A22B76" w:rsidRDefault="00A22B76" w:rsidP="00A22B76">
      <w:pPr>
        <w:rPr>
          <w:lang w:val="en-GB"/>
        </w:rPr>
      </w:pPr>
      <w:r>
        <w:rPr>
          <w:lang w:val="en-GB"/>
        </w:rPr>
        <w:t>Under the former government, the authorities seem to have operated in an atmosphere of impunity. The new government, in contrast, have attempted to investigate and prosecute cases of abuse</w:t>
      </w:r>
      <w:r w:rsidR="00023FCA">
        <w:rPr>
          <w:lang w:val="en-GB"/>
        </w:rPr>
        <w:t xml:space="preserve">. In particular, </w:t>
      </w:r>
      <w:r w:rsidRPr="00E048EA">
        <w:rPr>
          <w:lang w:val="en-GB"/>
        </w:rPr>
        <w:t xml:space="preserve">17 persons accused of torture and ill-treatment of prisoners </w:t>
      </w:r>
      <w:proofErr w:type="gramStart"/>
      <w:r w:rsidRPr="00E048EA">
        <w:rPr>
          <w:lang w:val="en-GB"/>
        </w:rPr>
        <w:t>were</w:t>
      </w:r>
      <w:proofErr w:type="gramEnd"/>
      <w:r w:rsidRPr="00E048EA">
        <w:rPr>
          <w:lang w:val="en-GB"/>
        </w:rPr>
        <w:t xml:space="preserve"> convicted by court in June 2013. </w:t>
      </w:r>
    </w:p>
    <w:p w:rsidR="00A22B76" w:rsidRDefault="00A22B76" w:rsidP="00A22B76">
      <w:pPr>
        <w:rPr>
          <w:rFonts w:ascii="Times New Roman" w:hAnsi="Times New Roman"/>
          <w:sz w:val="24"/>
          <w:szCs w:val="24"/>
          <w:lang w:val="en-GB"/>
        </w:rPr>
      </w:pPr>
    </w:p>
    <w:p w:rsidR="00A22B76" w:rsidRDefault="00A22B76" w:rsidP="00A22B76">
      <w:pPr>
        <w:rPr>
          <w:lang w:val="en-GB"/>
        </w:rPr>
      </w:pPr>
      <w:r>
        <w:rPr>
          <w:lang w:val="en-GB"/>
        </w:rPr>
        <w:t>However,</w:t>
      </w:r>
      <w:r w:rsidRPr="00E048EA">
        <w:rPr>
          <w:lang w:val="en-GB"/>
        </w:rPr>
        <w:t xml:space="preserve"> 8 of these 17 defendants plead</w:t>
      </w:r>
      <w:r w:rsidR="00FE22D6">
        <w:rPr>
          <w:lang w:val="en-GB"/>
        </w:rPr>
        <w:t>ed</w:t>
      </w:r>
      <w:r w:rsidRPr="00E048EA">
        <w:rPr>
          <w:lang w:val="en-GB"/>
        </w:rPr>
        <w:t xml:space="preserve"> guilty</w:t>
      </w:r>
      <w:r>
        <w:rPr>
          <w:lang w:val="en-GB"/>
        </w:rPr>
        <w:t>,</w:t>
      </w:r>
      <w:r w:rsidRPr="00E048EA">
        <w:rPr>
          <w:lang w:val="en-GB"/>
        </w:rPr>
        <w:t xml:space="preserve"> some of them got their sentence reduced</w:t>
      </w:r>
      <w:r>
        <w:rPr>
          <w:lang w:val="en-GB"/>
        </w:rPr>
        <w:t xml:space="preserve"> and</w:t>
      </w:r>
      <w:r w:rsidRPr="00E048EA">
        <w:rPr>
          <w:lang w:val="en-GB"/>
        </w:rPr>
        <w:t xml:space="preserve"> others were sentenced to 9 months that they had already spent in prisons as remand prisoners, and were subsequently released. The two offenders with the longest prison term were sentenced to 6 years and 9 months, while the rest were sentenced to up to 4 years of imprisonment. </w:t>
      </w:r>
    </w:p>
    <w:p w:rsidR="00A22B76" w:rsidRDefault="00A22B76" w:rsidP="00A22B76">
      <w:pPr>
        <w:rPr>
          <w:rFonts w:ascii="Times New Roman" w:hAnsi="Times New Roman"/>
          <w:sz w:val="24"/>
          <w:szCs w:val="24"/>
          <w:lang w:val="en-GB"/>
        </w:rPr>
      </w:pPr>
    </w:p>
    <w:p w:rsidR="00A22B76" w:rsidRDefault="00A22B76" w:rsidP="00A22B76">
      <w:pPr>
        <w:rPr>
          <w:shd w:val="clear" w:color="auto" w:fill="FFFFFF"/>
          <w:lang w:val="en-GB"/>
        </w:rPr>
      </w:pPr>
      <w:r>
        <w:rPr>
          <w:lang w:val="en-GB"/>
        </w:rPr>
        <w:t>The NGO Coalition consider</w:t>
      </w:r>
      <w:r w:rsidR="007845DE">
        <w:rPr>
          <w:lang w:val="en-GB"/>
        </w:rPr>
        <w:t>s</w:t>
      </w:r>
      <w:r w:rsidRPr="00E048EA">
        <w:rPr>
          <w:lang w:val="en-GB"/>
        </w:rPr>
        <w:t xml:space="preserve"> this penalty inadequate, since according to article 144</w:t>
      </w:r>
      <w:r w:rsidRPr="00E048EA">
        <w:rPr>
          <w:vertAlign w:val="superscript"/>
          <w:lang w:val="en-GB"/>
        </w:rPr>
        <w:t>1</w:t>
      </w:r>
      <w:r w:rsidRPr="00E048EA">
        <w:rPr>
          <w:lang w:val="en-GB"/>
        </w:rPr>
        <w:t xml:space="preserve"> of the Criminal Code, torture shall entail a prison sentence of 7 to 10 years. </w:t>
      </w:r>
      <w:r w:rsidRPr="00E048EA">
        <w:rPr>
          <w:shd w:val="clear" w:color="auto" w:fill="FFFFFF"/>
          <w:lang w:val="en-GB"/>
        </w:rPr>
        <w:t>The same offence committed</w:t>
      </w:r>
      <w:r>
        <w:rPr>
          <w:shd w:val="clear" w:color="auto" w:fill="FFFFFF"/>
          <w:lang w:val="en-GB"/>
        </w:rPr>
        <w:t xml:space="preserve"> carries a 9-15 year sentence if it is carried out </w:t>
      </w:r>
      <w:r w:rsidRPr="00E048EA">
        <w:rPr>
          <w:shd w:val="clear" w:color="auto" w:fill="FFFFFF"/>
          <w:lang w:val="en-GB"/>
        </w:rPr>
        <w:t>by a) a public official, b) by using official powers, c) repeatedly, d) against two or more persons, e) in a group.</w:t>
      </w:r>
    </w:p>
    <w:p w:rsidR="00A22B76" w:rsidRDefault="00A22B76" w:rsidP="00430034">
      <w:pPr>
        <w:jc w:val="left"/>
        <w:rPr>
          <w:rFonts w:ascii="Times New Roman" w:hAnsi="Times New Roman"/>
          <w:sz w:val="24"/>
          <w:szCs w:val="24"/>
          <w:lang w:val="en-GB"/>
        </w:rPr>
      </w:pPr>
    </w:p>
    <w:p w:rsidR="00430034" w:rsidRDefault="00430034" w:rsidP="00343776">
      <w:pPr>
        <w:rPr>
          <w:lang w:val="en-GB"/>
        </w:rPr>
      </w:pPr>
      <w:r w:rsidRPr="0025533C">
        <w:rPr>
          <w:lang w:val="en-GB"/>
        </w:rPr>
        <w:t>B</w:t>
      </w:r>
      <w:r w:rsidR="00A22B76">
        <w:rPr>
          <w:lang w:val="en-GB"/>
        </w:rPr>
        <w:t>y the end of 2012</w:t>
      </w:r>
      <w:r w:rsidRPr="0025533C">
        <w:rPr>
          <w:lang w:val="en-GB"/>
        </w:rPr>
        <w:t>t</w:t>
      </w:r>
      <w:r w:rsidR="00A22B76">
        <w:rPr>
          <w:lang w:val="en-GB"/>
        </w:rPr>
        <w:t>he early release policy</w:t>
      </w:r>
      <w:r>
        <w:rPr>
          <w:lang w:val="en-GB"/>
        </w:rPr>
        <w:t xml:space="preserve"> started being</w:t>
      </w:r>
      <w:r w:rsidR="00B44533">
        <w:rPr>
          <w:lang w:val="en-GB"/>
        </w:rPr>
        <w:t xml:space="preserve"> </w:t>
      </w:r>
      <w:r>
        <w:rPr>
          <w:lang w:val="en-GB"/>
        </w:rPr>
        <w:t>implemented</w:t>
      </w:r>
      <w:r w:rsidR="00F67466">
        <w:rPr>
          <w:lang w:val="en-GB"/>
        </w:rPr>
        <w:t xml:space="preserve"> by the new government</w:t>
      </w:r>
      <w:r w:rsidRPr="00E048EA">
        <w:rPr>
          <w:lang w:val="en-GB"/>
        </w:rPr>
        <w:t xml:space="preserve">. </w:t>
      </w:r>
      <w:r w:rsidR="00A22B76">
        <w:rPr>
          <w:lang w:val="en-GB"/>
        </w:rPr>
        <w:t>Unfortunately</w:t>
      </w:r>
      <w:r>
        <w:rPr>
          <w:lang w:val="en-GB"/>
        </w:rPr>
        <w:t>, early release d</w:t>
      </w:r>
      <w:r w:rsidRPr="00E048EA">
        <w:rPr>
          <w:lang w:val="en-GB"/>
        </w:rPr>
        <w:t>ecisions were</w:t>
      </w:r>
      <w:r>
        <w:rPr>
          <w:lang w:val="en-GB"/>
        </w:rPr>
        <w:t xml:space="preserve"> often</w:t>
      </w:r>
      <w:r w:rsidRPr="00E048EA">
        <w:rPr>
          <w:lang w:val="en-GB"/>
        </w:rPr>
        <w:t xml:space="preserve"> unjustified</w:t>
      </w:r>
      <w:r>
        <w:rPr>
          <w:lang w:val="en-GB"/>
        </w:rPr>
        <w:t xml:space="preserve">. </w:t>
      </w:r>
      <w:r w:rsidRPr="00E048EA">
        <w:rPr>
          <w:lang w:val="en-GB"/>
        </w:rPr>
        <w:t>The grading system</w:t>
      </w:r>
      <w:r>
        <w:rPr>
          <w:lang w:val="en-GB"/>
        </w:rPr>
        <w:t xml:space="preserve"> used to evaluate a prisoner’s release </w:t>
      </w:r>
      <w:r w:rsidRPr="00E048EA">
        <w:rPr>
          <w:lang w:val="en-GB"/>
        </w:rPr>
        <w:t>w</w:t>
      </w:r>
      <w:r>
        <w:rPr>
          <w:lang w:val="en-GB"/>
        </w:rPr>
        <w:t>as</w:t>
      </w:r>
      <w:r w:rsidRPr="00E048EA">
        <w:rPr>
          <w:lang w:val="en-GB"/>
        </w:rPr>
        <w:t xml:space="preserve"> unclear.</w:t>
      </w:r>
      <w:r>
        <w:rPr>
          <w:lang w:val="en-GB"/>
        </w:rPr>
        <w:t xml:space="preserve"> Most startling</w:t>
      </w:r>
      <w:r w:rsidRPr="00E048EA">
        <w:rPr>
          <w:lang w:val="en-GB"/>
        </w:rPr>
        <w:t xml:space="preserve">, the current regulation does not </w:t>
      </w:r>
      <w:r>
        <w:rPr>
          <w:lang w:val="en-GB"/>
        </w:rPr>
        <w:t xml:space="preserve">allow </w:t>
      </w:r>
      <w:r w:rsidRPr="00E048EA">
        <w:rPr>
          <w:lang w:val="en-GB"/>
        </w:rPr>
        <w:t xml:space="preserve">the </w:t>
      </w:r>
      <w:r>
        <w:rPr>
          <w:lang w:val="en-GB"/>
        </w:rPr>
        <w:t xml:space="preserve">inmate to attend </w:t>
      </w:r>
      <w:r w:rsidR="00F67466">
        <w:rPr>
          <w:lang w:val="en-GB"/>
        </w:rPr>
        <w:t>the review process.</w:t>
      </w:r>
    </w:p>
    <w:p w:rsidR="00A22B76" w:rsidRDefault="00A22B76" w:rsidP="00430034">
      <w:pPr>
        <w:jc w:val="left"/>
        <w:rPr>
          <w:rFonts w:ascii="Times New Roman" w:hAnsi="Times New Roman"/>
          <w:sz w:val="24"/>
          <w:szCs w:val="24"/>
          <w:lang w:val="en-GB"/>
        </w:rPr>
      </w:pPr>
    </w:p>
    <w:p w:rsidR="00430034" w:rsidRPr="007845DE" w:rsidRDefault="00430034" w:rsidP="007845DE">
      <w:pPr>
        <w:rPr>
          <w:lang w:val="en-GB"/>
        </w:rPr>
      </w:pPr>
      <w:r w:rsidRPr="00E048EA">
        <w:rPr>
          <w:lang w:val="en-GB"/>
        </w:rPr>
        <w:t>By the end of 2012</w:t>
      </w:r>
      <w:r>
        <w:rPr>
          <w:lang w:val="en-GB"/>
        </w:rPr>
        <w:t>,</w:t>
      </w:r>
      <w:r w:rsidRPr="00E048EA">
        <w:rPr>
          <w:lang w:val="en-GB"/>
        </w:rPr>
        <w:t xml:space="preserve"> the joint </w:t>
      </w:r>
      <w:r>
        <w:rPr>
          <w:lang w:val="en-GB"/>
        </w:rPr>
        <w:t>C</w:t>
      </w:r>
      <w:r w:rsidRPr="00E048EA">
        <w:rPr>
          <w:lang w:val="en-GB"/>
        </w:rPr>
        <w:t>ommission</w:t>
      </w:r>
      <w:r w:rsidR="00F67466">
        <w:rPr>
          <w:lang w:val="en-GB"/>
        </w:rPr>
        <w:t xml:space="preserve"> on the postponement of trials for health reasons</w:t>
      </w:r>
      <w:r w:rsidRPr="00E048EA">
        <w:rPr>
          <w:lang w:val="en-GB"/>
        </w:rPr>
        <w:t xml:space="preserve"> was</w:t>
      </w:r>
      <w:r w:rsidR="00343776">
        <w:rPr>
          <w:lang w:val="en-GB"/>
        </w:rPr>
        <w:t xml:space="preserve"> also</w:t>
      </w:r>
      <w:r w:rsidRPr="00E048EA">
        <w:rPr>
          <w:lang w:val="en-GB"/>
        </w:rPr>
        <w:t xml:space="preserve"> fundamentally reformed. </w:t>
      </w:r>
      <w:r w:rsidR="00343776">
        <w:rPr>
          <w:lang w:val="en-GB"/>
        </w:rPr>
        <w:t>However, it is currently too soon to say whether this new commission will prove effective.</w:t>
      </w:r>
    </w:p>
    <w:p w:rsidR="00343776" w:rsidRDefault="00343776" w:rsidP="00195896">
      <w:pPr>
        <w:pStyle w:val="berschrift2"/>
        <w:rPr>
          <w:lang w:val="en-US"/>
        </w:rPr>
      </w:pPr>
      <w:bookmarkStart w:id="18" w:name="_Toc363492733"/>
      <w:r>
        <w:rPr>
          <w:lang w:val="en-US"/>
        </w:rPr>
        <w:t>Broader issues on unlawful imprisonment</w:t>
      </w:r>
      <w:bookmarkEnd w:id="18"/>
    </w:p>
    <w:p w:rsidR="00343776" w:rsidRPr="007845DE" w:rsidRDefault="00343776" w:rsidP="00343776">
      <w:pPr>
        <w:contextualSpacing/>
        <w:rPr>
          <w:lang w:val="en-GB"/>
        </w:rPr>
      </w:pPr>
      <w:r w:rsidRPr="007845DE">
        <w:rPr>
          <w:lang w:val="en-GB"/>
        </w:rPr>
        <w:t>In addition to the HRC Observations on weaknesses of the Georgian police and penitentiary system for ensuring appropriate protection of rights of security and liberty, the NGO coalition also wanted to highlight on-going weaknesses of the Georgian</w:t>
      </w:r>
      <w:r w:rsidR="007845DE">
        <w:rPr>
          <w:lang w:val="en-GB"/>
        </w:rPr>
        <w:t xml:space="preserve"> Criminal Procedural</w:t>
      </w:r>
      <w:r w:rsidRPr="007845DE">
        <w:rPr>
          <w:lang w:val="en-GB"/>
        </w:rPr>
        <w:t xml:space="preserve"> Code (CPC). Since 2007, the CPC of Georgia underwent multiple changes. In 2010, Georgia adopted a completely new CPC. However, the new CPC still offers insufficient protections from unlawful imprisonment (article 9). There are deficiencies in the CPC in both legislation and practical application</w:t>
      </w:r>
      <w:r w:rsidR="007845DE">
        <w:rPr>
          <w:lang w:val="en-GB"/>
        </w:rPr>
        <w:t>.</w:t>
      </w:r>
    </w:p>
    <w:p w:rsidR="00343776" w:rsidRDefault="00343776" w:rsidP="00195896">
      <w:pPr>
        <w:pStyle w:val="berschrift3"/>
        <w:rPr>
          <w:lang w:val="en-GB"/>
        </w:rPr>
      </w:pPr>
      <w:bookmarkStart w:id="19" w:name="_Toc363492734"/>
      <w:r>
        <w:rPr>
          <w:lang w:val="en-GB"/>
        </w:rPr>
        <w:t>Deficiencies</w:t>
      </w:r>
      <w:r w:rsidRPr="00C57193">
        <w:rPr>
          <w:lang w:val="en-GB"/>
        </w:rPr>
        <w:t xml:space="preserve"> in</w:t>
      </w:r>
      <w:r>
        <w:rPr>
          <w:lang w:val="en-GB"/>
        </w:rPr>
        <w:t xml:space="preserve"> the</w:t>
      </w:r>
      <w:r w:rsidRPr="00C57193">
        <w:rPr>
          <w:lang w:val="en-GB"/>
        </w:rPr>
        <w:t xml:space="preserve"> Legislation</w:t>
      </w:r>
      <w:bookmarkEnd w:id="19"/>
    </w:p>
    <w:p w:rsidR="00343776" w:rsidRDefault="00343776" w:rsidP="007845DE">
      <w:pPr>
        <w:rPr>
          <w:lang w:val="en-GB"/>
        </w:rPr>
      </w:pPr>
      <w:r w:rsidRPr="00343776">
        <w:rPr>
          <w:lang w:val="en-GB"/>
        </w:rPr>
        <w:t xml:space="preserve">The established procedure for appealing pre-trial detention, a coercive measure, is one of the legislative shortcomings concerning the right to liberty and security.  </w:t>
      </w:r>
    </w:p>
    <w:p w:rsidR="00343776" w:rsidRDefault="00343776" w:rsidP="00343776">
      <w:pPr>
        <w:rPr>
          <w:lang w:val="en-GB"/>
        </w:rPr>
      </w:pPr>
    </w:p>
    <w:p w:rsidR="00343776" w:rsidRPr="00EF0EEC" w:rsidRDefault="00343776" w:rsidP="00BF0145">
      <w:pPr>
        <w:rPr>
          <w:rFonts w:ascii="Arial" w:hAnsi="Arial" w:cs="Arial"/>
          <w:b/>
          <w:lang w:val="en-GB"/>
        </w:rPr>
      </w:pPr>
      <w:r w:rsidRPr="00EF0EEC">
        <w:rPr>
          <w:rFonts w:ascii="Arial" w:hAnsi="Arial" w:cs="Arial"/>
          <w:b/>
          <w:lang w:val="en-GB"/>
        </w:rPr>
        <w:t>Admissibility of an appeal</w:t>
      </w:r>
    </w:p>
    <w:p w:rsidR="00343776" w:rsidRPr="007845DE" w:rsidRDefault="00343776" w:rsidP="00343776">
      <w:pPr>
        <w:spacing w:before="240" w:after="200"/>
        <w:contextualSpacing/>
        <w:rPr>
          <w:lang w:val="en-GB"/>
        </w:rPr>
      </w:pPr>
      <w:r w:rsidRPr="007845DE">
        <w:rPr>
          <w:lang w:val="en-GB"/>
        </w:rPr>
        <w:t>The CPC currently in force establishes criteria for the admissibility of an appeal against the application of coercive measures to the defendant. One of the criteria for the admissibility of complaint is the obligation of the party to present a new essential circumstance that was unknown during the pre-trial hearing at the trial court (Criminal Procedure Code, art.207). The Court of Appeal rejects and refuses to review an appeal if the defendant fails to present a new essential circumstance.</w:t>
      </w:r>
    </w:p>
    <w:p w:rsidR="00343776" w:rsidRPr="007845DE" w:rsidRDefault="00343776" w:rsidP="00343776">
      <w:pPr>
        <w:spacing w:before="240" w:after="200"/>
        <w:contextualSpacing/>
        <w:rPr>
          <w:lang w:val="en-GB"/>
        </w:rPr>
      </w:pPr>
    </w:p>
    <w:p w:rsidR="00343776" w:rsidRPr="007845DE" w:rsidRDefault="00343776" w:rsidP="00343776">
      <w:pPr>
        <w:spacing w:before="240" w:after="200"/>
        <w:contextualSpacing/>
        <w:rPr>
          <w:lang w:val="en-GB"/>
        </w:rPr>
      </w:pPr>
      <w:r w:rsidRPr="007845DE">
        <w:rPr>
          <w:lang w:val="en-GB"/>
        </w:rPr>
        <w:t>The obligation of prese</w:t>
      </w:r>
      <w:r w:rsidR="007845DE">
        <w:rPr>
          <w:lang w:val="en-GB"/>
        </w:rPr>
        <w:t xml:space="preserve">nting a new circumstance </w:t>
      </w:r>
      <w:r w:rsidRPr="007845DE">
        <w:rPr>
          <w:lang w:val="en-GB"/>
        </w:rPr>
        <w:t>undermines the existing mechanism of one-time appeal against the application of a detention as a coercive measure in the higher court. Furthermore, it significantly violates the right to liberty and security of a person. The defendant is deprived of the possibility to have the facts and arguments presented at the trial court reviewed by the Court of Appeals. The existence of this criterion of admissibility strips the defendant of his right to have the grounds, the expediency, and proportionality of his or her detention reviewed by a higher court.</w:t>
      </w:r>
    </w:p>
    <w:p w:rsidR="00A5663F" w:rsidRPr="007845DE" w:rsidRDefault="00A5663F" w:rsidP="00343776">
      <w:pPr>
        <w:spacing w:before="240" w:after="200"/>
        <w:contextualSpacing/>
        <w:rPr>
          <w:lang w:val="en-GB"/>
        </w:rPr>
      </w:pPr>
    </w:p>
    <w:p w:rsidR="00343776" w:rsidRPr="007845DE" w:rsidRDefault="00343776" w:rsidP="00343776">
      <w:pPr>
        <w:spacing w:before="240" w:after="200"/>
        <w:contextualSpacing/>
        <w:rPr>
          <w:lang w:val="en-GB"/>
        </w:rPr>
      </w:pPr>
      <w:r w:rsidRPr="007845DE">
        <w:rPr>
          <w:lang w:val="en-GB"/>
        </w:rPr>
        <w:t>The Appellate Courts in most cases reject appeals against coercive measures because of the lack of a new essential circumstance.</w:t>
      </w:r>
    </w:p>
    <w:p w:rsidR="00343776" w:rsidRPr="007845DE" w:rsidRDefault="00343776" w:rsidP="00343776">
      <w:pPr>
        <w:spacing w:before="240" w:after="200"/>
        <w:contextualSpacing/>
        <w:rPr>
          <w:lang w:val="en-GB"/>
        </w:rPr>
      </w:pPr>
    </w:p>
    <w:p w:rsidR="00343776" w:rsidRPr="00BF0145" w:rsidRDefault="00343776" w:rsidP="00BF0145">
      <w:pPr>
        <w:rPr>
          <w:b/>
          <w:lang w:val="en-GB"/>
        </w:rPr>
      </w:pPr>
      <w:r w:rsidRPr="00BF0145">
        <w:rPr>
          <w:b/>
          <w:lang w:val="en-GB"/>
        </w:rPr>
        <w:t>Filing of an Appeal</w:t>
      </w:r>
    </w:p>
    <w:p w:rsidR="00343776" w:rsidRPr="007845DE" w:rsidRDefault="00343776" w:rsidP="00BF0145">
      <w:pPr>
        <w:spacing w:before="240" w:after="200"/>
        <w:contextualSpacing/>
        <w:rPr>
          <w:sz w:val="28"/>
          <w:lang w:val="en-GB"/>
        </w:rPr>
      </w:pPr>
      <w:r w:rsidRPr="007845DE">
        <w:rPr>
          <w:color w:val="000000"/>
          <w:lang w:val="en-GB"/>
        </w:rPr>
        <w:t>The CPC legislation imposes an arduous requirement for appealing against a coercive measure. Thus, the CPC legislation significantly hinders the process of filing an appeal by the defence. According to article 204 of the CPC, the defence lawyer is not all</w:t>
      </w:r>
      <w:r w:rsidR="007845DE">
        <w:rPr>
          <w:color w:val="000000"/>
          <w:lang w:val="en-GB"/>
        </w:rPr>
        <w:t>owed to file an appeal without the</w:t>
      </w:r>
      <w:r w:rsidRPr="007845DE">
        <w:rPr>
          <w:color w:val="000000"/>
          <w:lang w:val="en-GB"/>
        </w:rPr>
        <w:t xml:space="preserve"> consent of a defendant. Therefore, the defendant shall sign an appeal to make it legitimate. Because of the internal regulations, it takes a long period of time to enter the p</w:t>
      </w:r>
      <w:r w:rsidR="007845DE">
        <w:rPr>
          <w:color w:val="000000"/>
          <w:lang w:val="en-GB"/>
        </w:rPr>
        <w:t>enitentiary establishments. This makes</w:t>
      </w:r>
      <w:r w:rsidRPr="007845DE">
        <w:rPr>
          <w:color w:val="000000"/>
          <w:lang w:val="en-GB"/>
        </w:rPr>
        <w:t xml:space="preserve"> it difficult to obtain the defendant’s signature. The process of filing an appeal, on the other hand, is restricted in time and strictly defined</w:t>
      </w:r>
      <w:r w:rsidRPr="007845DE">
        <w:rPr>
          <w:rStyle w:val="Funotenzeichen"/>
          <w:color w:val="000000"/>
          <w:lang w:val="en-GB"/>
        </w:rPr>
        <w:footnoteReference w:id="31"/>
      </w:r>
      <w:r w:rsidRPr="007845DE">
        <w:rPr>
          <w:color w:val="000000"/>
          <w:lang w:val="en-GB"/>
        </w:rPr>
        <w:t>. Thus, deadlines are often missed, which significantly limits the interest of the defendant to have his or her coercive measure appealed.</w:t>
      </w:r>
    </w:p>
    <w:p w:rsidR="00BF0145" w:rsidRDefault="00BF0145" w:rsidP="00343776">
      <w:pPr>
        <w:rPr>
          <w:lang w:val="en-GB"/>
        </w:rPr>
      </w:pPr>
    </w:p>
    <w:p w:rsidR="00BF0145" w:rsidRDefault="00343776" w:rsidP="006C0B99">
      <w:pPr>
        <w:pStyle w:val="berschrift3"/>
        <w:rPr>
          <w:lang w:val="en-GB"/>
        </w:rPr>
      </w:pPr>
      <w:bookmarkStart w:id="20" w:name="_Toc363492735"/>
      <w:r>
        <w:rPr>
          <w:lang w:val="en-GB"/>
        </w:rPr>
        <w:t>Deficiencies</w:t>
      </w:r>
      <w:r w:rsidRPr="00C57193">
        <w:rPr>
          <w:lang w:val="en-GB"/>
        </w:rPr>
        <w:t xml:space="preserve"> in Practice</w:t>
      </w:r>
      <w:bookmarkEnd w:id="20"/>
    </w:p>
    <w:p w:rsidR="00343776" w:rsidRPr="00BF0145" w:rsidRDefault="00343776" w:rsidP="00BF0145">
      <w:pPr>
        <w:rPr>
          <w:rFonts w:ascii="Arial" w:hAnsi="Arial"/>
          <w:lang w:val="en-GB"/>
        </w:rPr>
      </w:pPr>
      <w:r w:rsidRPr="00BF0145">
        <w:rPr>
          <w:lang w:val="en-GB"/>
        </w:rPr>
        <w:t>There have been significant deficiencies in the administration of criminal proceedings, resulting in the arbitrary detention or arrest of a person for number of years.</w:t>
      </w:r>
    </w:p>
    <w:p w:rsidR="00BF0145" w:rsidRDefault="00BF0145" w:rsidP="00BF0145">
      <w:pPr>
        <w:rPr>
          <w:lang w:val="en-GB"/>
        </w:rPr>
      </w:pPr>
    </w:p>
    <w:p w:rsidR="00343776" w:rsidRPr="00BF0145" w:rsidRDefault="00343776" w:rsidP="00481B29">
      <w:pPr>
        <w:keepNext/>
        <w:rPr>
          <w:b/>
          <w:lang w:val="en-GB"/>
        </w:rPr>
      </w:pPr>
      <w:r w:rsidRPr="00BF0145">
        <w:rPr>
          <w:b/>
          <w:lang w:val="en-GB"/>
        </w:rPr>
        <w:t>Arrest</w:t>
      </w:r>
    </w:p>
    <w:p w:rsidR="00343776" w:rsidRPr="007845DE" w:rsidRDefault="00343776" w:rsidP="00481B29">
      <w:pPr>
        <w:keepNext/>
        <w:spacing w:before="240" w:after="200"/>
        <w:contextualSpacing/>
        <w:rPr>
          <w:lang w:val="en-GB"/>
        </w:rPr>
      </w:pPr>
      <w:r w:rsidRPr="007845DE">
        <w:rPr>
          <w:lang w:val="en-GB"/>
        </w:rPr>
        <w:t>As currently enforced, the CPC requires a probable cause for carrying out investigative measures, such as search and seizure against a person.</w:t>
      </w:r>
      <w:r w:rsidRPr="007845DE">
        <w:rPr>
          <w:rStyle w:val="Funotenzeichen"/>
          <w:lang w:val="en-GB"/>
        </w:rPr>
        <w:footnoteReference w:id="32"/>
      </w:r>
      <w:r w:rsidRPr="007845DE">
        <w:rPr>
          <w:lang w:val="en-GB"/>
        </w:rPr>
        <w:t xml:space="preserve"> Search and seizure are important in the context of an arrest. In the case of illegal possession of drugs or weapons the grounds for search and seizure become the grounds for the arrest. Thus, if caught with illegal drugs or weapons a person can be immediately arrested. </w:t>
      </w:r>
    </w:p>
    <w:p w:rsidR="00BF0145" w:rsidRPr="007845DE" w:rsidRDefault="00BF0145" w:rsidP="00BF0145">
      <w:pPr>
        <w:spacing w:before="240" w:after="200"/>
        <w:contextualSpacing/>
        <w:rPr>
          <w:lang w:val="en-GB"/>
        </w:rPr>
      </w:pPr>
    </w:p>
    <w:p w:rsidR="00343776" w:rsidRPr="007845DE" w:rsidRDefault="00343776" w:rsidP="00BF0145">
      <w:pPr>
        <w:spacing w:before="240" w:after="200"/>
        <w:contextualSpacing/>
        <w:rPr>
          <w:lang w:val="en-GB"/>
        </w:rPr>
      </w:pPr>
      <w:r w:rsidRPr="007845DE">
        <w:rPr>
          <w:lang w:val="en-GB"/>
        </w:rPr>
        <w:t>According to the widespread practice, search and seizure are carried out on the basis of anonymous operational information supplied to law enforcement officers. Therefore, the supplied information is not subject to verification. Operational information is laid out in a report of a law enforcement officer, stating that a person might be in possession of an illegal item. Moreover, law enforcement officers do not corroborate this information with further evidence. Thus, this kind of operational information does not create a basis for a probable cause and fails to meet the legally established standard for carrying out searches and seizures of a person.</w:t>
      </w:r>
      <w:r w:rsidRPr="007845DE">
        <w:rPr>
          <w:rStyle w:val="Funotenzeichen"/>
          <w:lang w:val="en-GB"/>
        </w:rPr>
        <w:footnoteReference w:id="33"/>
      </w:r>
      <w:r w:rsidRPr="007845DE">
        <w:rPr>
          <w:lang w:val="en-GB"/>
        </w:rPr>
        <w:t xml:space="preserve"> More troubling to Georgia’s legal system is that operational information is not verified on even during the time of trial.</w:t>
      </w:r>
    </w:p>
    <w:p w:rsidR="00BF0145" w:rsidRPr="007845DE" w:rsidRDefault="00BF0145" w:rsidP="00BF0145">
      <w:pPr>
        <w:spacing w:before="240" w:after="200"/>
        <w:contextualSpacing/>
        <w:rPr>
          <w:lang w:val="en-GB"/>
        </w:rPr>
      </w:pPr>
    </w:p>
    <w:p w:rsidR="00343776" w:rsidRPr="007845DE" w:rsidRDefault="00343776" w:rsidP="00BF0145">
      <w:pPr>
        <w:spacing w:before="240" w:after="200"/>
        <w:contextualSpacing/>
        <w:rPr>
          <w:lang w:val="en-GB"/>
        </w:rPr>
      </w:pPr>
      <w:r w:rsidRPr="007845DE">
        <w:rPr>
          <w:lang w:val="en-GB"/>
        </w:rPr>
        <w:t xml:space="preserve">Carrying out a search and seizure on the basis of operational information, followed by the arrest, is most frequent in cases of illegal purchase and possession of drugs or weapons. In most cases, searches and seizures are carried out under the conditions of urgency on the basis of the report of the law enforcement officer containing operational information and are followed by the arrest of a person. </w:t>
      </w:r>
    </w:p>
    <w:p w:rsidR="00D122D4" w:rsidRDefault="00D122D4" w:rsidP="00BF0145">
      <w:pPr>
        <w:spacing w:before="240" w:after="200"/>
        <w:contextualSpacing/>
        <w:rPr>
          <w:lang w:val="en-GB"/>
        </w:rPr>
      </w:pPr>
    </w:p>
    <w:p w:rsidR="00343776" w:rsidRPr="007845DE" w:rsidRDefault="00343776" w:rsidP="00BF0145">
      <w:pPr>
        <w:spacing w:before="240" w:after="200"/>
        <w:contextualSpacing/>
        <w:rPr>
          <w:lang w:val="en-GB"/>
        </w:rPr>
      </w:pPr>
      <w:r w:rsidRPr="007845DE">
        <w:rPr>
          <w:lang w:val="en-GB"/>
        </w:rPr>
        <w:t xml:space="preserve">Carrying out search and seizure on the basis of operational information has become a fallacious practice. Police officers circumvent court approval for search and seizure by citing the argument of urgency. Thus, anybody can become a wrongful victim of search and seizure. </w:t>
      </w:r>
      <w:r w:rsidR="00D122D4" w:rsidRPr="007845DE">
        <w:rPr>
          <w:lang w:val="en-GB"/>
        </w:rPr>
        <w:t>The practice of arresting anti-government protestors, opposition activists, and people of opposing views, on the charges of illegal purchase or possession of drugs or weapons was actively applied to sup</w:t>
      </w:r>
      <w:r w:rsidR="00D122D4">
        <w:rPr>
          <w:lang w:val="en-GB"/>
        </w:rPr>
        <w:t xml:space="preserve">press dissenting views. </w:t>
      </w:r>
    </w:p>
    <w:p w:rsidR="00BF0145" w:rsidRPr="007845DE" w:rsidRDefault="00BF0145" w:rsidP="00343776">
      <w:pPr>
        <w:spacing w:before="240"/>
        <w:rPr>
          <w:rFonts w:cs="Sylfaen"/>
          <w:i/>
          <w:sz w:val="24"/>
          <w:szCs w:val="24"/>
          <w:lang w:val="en-GB"/>
        </w:rPr>
      </w:pPr>
    </w:p>
    <w:p w:rsidR="00343776" w:rsidRPr="00BF0145" w:rsidRDefault="00343776" w:rsidP="00BF0145">
      <w:pPr>
        <w:rPr>
          <w:b/>
          <w:lang w:val="en-GB"/>
        </w:rPr>
      </w:pPr>
      <w:r w:rsidRPr="00BF0145">
        <w:rPr>
          <w:b/>
          <w:lang w:val="en-GB"/>
        </w:rPr>
        <w:lastRenderedPageBreak/>
        <w:t>Detention</w:t>
      </w:r>
    </w:p>
    <w:p w:rsidR="00343776" w:rsidRPr="00D122D4" w:rsidRDefault="00343776" w:rsidP="00BF0145">
      <w:pPr>
        <w:spacing w:before="240" w:after="200"/>
        <w:contextualSpacing/>
        <w:rPr>
          <w:lang w:val="en-GB"/>
        </w:rPr>
      </w:pPr>
      <w:r w:rsidRPr="00D122D4">
        <w:rPr>
          <w:lang w:val="en-GB"/>
        </w:rPr>
        <w:t>According to CPC legislation, detention is the strictest form of coercive measure. Detention can only be used in exceptional cases, when other, less strict coercive measures fail to fulfil its purpose.</w:t>
      </w:r>
      <w:r w:rsidRPr="00D122D4">
        <w:rPr>
          <w:rStyle w:val="Funotenzeichen"/>
          <w:lang w:val="en-GB"/>
        </w:rPr>
        <w:footnoteReference w:id="34"/>
      </w:r>
      <w:r w:rsidRPr="00D122D4">
        <w:rPr>
          <w:lang w:val="en-GB"/>
        </w:rPr>
        <w:t xml:space="preserve"> From 2007 to the first half of 2012, pre-trial detention was applied without proper justification.</w:t>
      </w:r>
      <w:r w:rsidRPr="00D122D4">
        <w:rPr>
          <w:rStyle w:val="Funotenzeichen"/>
          <w:lang w:val="en-GB"/>
        </w:rPr>
        <w:footnoteReference w:id="35"/>
      </w:r>
      <w:r w:rsidRPr="00D122D4">
        <w:rPr>
          <w:lang w:val="en-GB"/>
        </w:rPr>
        <w:t xml:space="preserve"> The use of unjustified and so-called “template</w:t>
      </w:r>
      <w:r w:rsidR="006650C8">
        <w:rPr>
          <w:lang w:val="en-GB"/>
        </w:rPr>
        <w:t>”</w:t>
      </w:r>
      <w:r w:rsidRPr="00D122D4">
        <w:rPr>
          <w:lang w:val="en-GB"/>
        </w:rPr>
        <w:t xml:space="preserve"> decisions on the application of pre-trial detention by the </w:t>
      </w:r>
      <w:proofErr w:type="gramStart"/>
      <w:r w:rsidRPr="00D122D4">
        <w:rPr>
          <w:lang w:val="en-GB"/>
        </w:rPr>
        <w:t>courts,</w:t>
      </w:r>
      <w:proofErr w:type="gramEnd"/>
      <w:r w:rsidRPr="00D122D4">
        <w:rPr>
          <w:lang w:val="en-GB"/>
        </w:rPr>
        <w:t xml:space="preserve"> was revealed </w:t>
      </w:r>
      <w:r w:rsidRPr="00D122D4">
        <w:rPr>
          <w:i/>
          <w:lang w:val="en-GB"/>
        </w:rPr>
        <w:t xml:space="preserve">inter alia </w:t>
      </w:r>
      <w:r w:rsidRPr="00D122D4">
        <w:rPr>
          <w:lang w:val="en-GB"/>
        </w:rPr>
        <w:t xml:space="preserve">during the analyses of criminal cases by the new government. </w:t>
      </w:r>
      <w:r w:rsidR="00C33FAB">
        <w:rPr>
          <w:lang w:val="en-GB"/>
        </w:rPr>
        <w:t>It is</w:t>
      </w:r>
      <w:r w:rsidRPr="00D122D4">
        <w:rPr>
          <w:lang w:val="en-GB"/>
        </w:rPr>
        <w:t xml:space="preserve"> alleged that pre-trail detention was often politically motiv</w:t>
      </w:r>
      <w:r w:rsidR="00BF0145" w:rsidRPr="00D122D4">
        <w:rPr>
          <w:lang w:val="en-GB"/>
        </w:rPr>
        <w:t>at</w:t>
      </w:r>
      <w:r w:rsidRPr="00D122D4">
        <w:rPr>
          <w:lang w:val="en-GB"/>
        </w:rPr>
        <w:t>ed.</w:t>
      </w:r>
      <w:r w:rsidRPr="00D122D4">
        <w:rPr>
          <w:rStyle w:val="Funotenzeichen"/>
          <w:lang w:val="en-GB"/>
        </w:rPr>
        <w:footnoteReference w:id="36"/>
      </w:r>
    </w:p>
    <w:p w:rsidR="00BF0145" w:rsidRPr="00D122D4" w:rsidRDefault="00BF0145" w:rsidP="00BF0145">
      <w:pPr>
        <w:spacing w:before="240" w:after="200"/>
        <w:contextualSpacing/>
        <w:rPr>
          <w:lang w:val="en-GB"/>
        </w:rPr>
      </w:pPr>
    </w:p>
    <w:p w:rsidR="00343776" w:rsidRPr="00D122D4" w:rsidRDefault="00343776" w:rsidP="00BF0145">
      <w:pPr>
        <w:spacing w:before="240" w:after="200"/>
        <w:contextualSpacing/>
        <w:rPr>
          <w:b/>
          <w:i/>
          <w:lang w:val="en-GB"/>
        </w:rPr>
      </w:pPr>
      <w:r w:rsidRPr="00D122D4">
        <w:rPr>
          <w:lang w:val="en-GB"/>
        </w:rPr>
        <w:t>According to statistical data from October to December 2011, out of 55 analysed court cases, prosecutors requested the use of a pre-trial detention as a coercive measure. Of the 55 cases, the courts granted pre-trail detention for all of them.</w:t>
      </w:r>
      <w:r w:rsidRPr="00D122D4">
        <w:rPr>
          <w:rStyle w:val="Funotenzeichen"/>
          <w:lang w:val="en-GB"/>
        </w:rPr>
        <w:footnoteReference w:id="37"/>
      </w:r>
      <w:r w:rsidR="00BF0145" w:rsidRPr="00D122D4">
        <w:rPr>
          <w:lang w:val="en-GB"/>
        </w:rPr>
        <w:t xml:space="preserve"> The subject was studied again </w:t>
      </w:r>
      <w:r w:rsidRPr="00D122D4">
        <w:rPr>
          <w:lang w:val="en-GB"/>
        </w:rPr>
        <w:t>from January to March 2012. Out of the 31 new cases studied, the court, again, granted every pre-trial detention request of the prosecution.</w:t>
      </w:r>
      <w:r w:rsidRPr="00D122D4">
        <w:rPr>
          <w:rStyle w:val="Funotenzeichen"/>
          <w:lang w:val="en-GB"/>
        </w:rPr>
        <w:footnoteReference w:id="38"/>
      </w:r>
      <w:r w:rsidRPr="00D122D4">
        <w:rPr>
          <w:lang w:val="en-GB"/>
        </w:rPr>
        <w:t xml:space="preserve"> In July 2012, the court decided to set more rigorous standards for pre-trail detention. Out of the 49 cases studied during the July to December 2012 period, the court refused to grant 13 pre-trail detention motions.</w:t>
      </w:r>
      <w:r w:rsidRPr="00D122D4">
        <w:rPr>
          <w:rStyle w:val="Funotenzeichen"/>
          <w:lang w:val="en-GB"/>
        </w:rPr>
        <w:footnoteReference w:id="39"/>
      </w:r>
    </w:p>
    <w:p w:rsidR="00BF0145" w:rsidRDefault="00BF0145" w:rsidP="00343776">
      <w:pPr>
        <w:rPr>
          <w:lang w:val="en-GB"/>
        </w:rPr>
      </w:pPr>
    </w:p>
    <w:p w:rsidR="00343776" w:rsidRPr="00A530E3" w:rsidRDefault="00343776" w:rsidP="00343776">
      <w:pPr>
        <w:rPr>
          <w:b/>
          <w:i/>
          <w:lang w:val="en-GB"/>
        </w:rPr>
      </w:pPr>
      <w:r w:rsidRPr="00A530E3">
        <w:rPr>
          <w:b/>
          <w:i/>
          <w:lang w:val="en-GB"/>
        </w:rPr>
        <w:t>Recommendations</w:t>
      </w:r>
    </w:p>
    <w:p w:rsidR="002E1F90" w:rsidRPr="00D122D4" w:rsidRDefault="002E1F90" w:rsidP="002E1F90">
      <w:pPr>
        <w:spacing w:before="240" w:after="200"/>
        <w:contextualSpacing/>
        <w:rPr>
          <w:lang w:val="en-GB"/>
        </w:rPr>
      </w:pPr>
      <w:r w:rsidRPr="00D122D4">
        <w:rPr>
          <w:rFonts w:cs="Sylfaen"/>
          <w:lang w:val="en-GB"/>
        </w:rPr>
        <w:t xml:space="preserve">1/ </w:t>
      </w:r>
      <w:r w:rsidR="00343776" w:rsidRPr="00D122D4">
        <w:rPr>
          <w:rFonts w:cs="Sylfaen"/>
          <w:lang w:val="en-GB"/>
        </w:rPr>
        <w:t>While applying pre-trial detention the court shall consider overall circumstances around the case, assess, and justify whether the formal and factual grounds for the application of coercive measure against a defendant are present.</w:t>
      </w:r>
      <w:r w:rsidR="00343776" w:rsidRPr="00D122D4">
        <w:rPr>
          <w:lang w:val="en-GB"/>
        </w:rPr>
        <w:t xml:space="preserve"> The court shall also consider whether the application of the strictest form of coercive measure – the pre-trial detention is necessary. </w:t>
      </w:r>
    </w:p>
    <w:p w:rsidR="00D122D4" w:rsidRPr="00D122D4" w:rsidRDefault="00D122D4" w:rsidP="002E1F90">
      <w:pPr>
        <w:spacing w:before="240" w:after="200"/>
        <w:contextualSpacing/>
        <w:rPr>
          <w:lang w:val="en-GB"/>
        </w:rPr>
      </w:pPr>
    </w:p>
    <w:p w:rsidR="00343776" w:rsidRPr="00D122D4" w:rsidRDefault="002E1F90" w:rsidP="002E1F90">
      <w:pPr>
        <w:spacing w:before="240" w:after="200"/>
        <w:contextualSpacing/>
        <w:rPr>
          <w:lang w:val="en-GB"/>
        </w:rPr>
      </w:pPr>
      <w:r w:rsidRPr="00D122D4">
        <w:rPr>
          <w:lang w:val="en-GB"/>
        </w:rPr>
        <w:t xml:space="preserve">2/ </w:t>
      </w:r>
      <w:proofErr w:type="gramStart"/>
      <w:r w:rsidR="00343776" w:rsidRPr="00D122D4">
        <w:rPr>
          <w:rFonts w:cs="Sylfaen"/>
          <w:lang w:val="en-GB"/>
        </w:rPr>
        <w:t>The</w:t>
      </w:r>
      <w:proofErr w:type="gramEnd"/>
      <w:r w:rsidR="00343776" w:rsidRPr="00D122D4">
        <w:rPr>
          <w:rFonts w:cs="Sylfaen"/>
          <w:lang w:val="en-GB"/>
        </w:rPr>
        <w:t xml:space="preserve"> criteria for appealing the decision on application of coercive measure shall be reconsidered; the criteria of ‘a new essential circumstance’ shall be reformulated and the requirement of the defendant’s written agreement to an appeal, when a defendant has a legal representative, shall be abolished.</w:t>
      </w:r>
    </w:p>
    <w:p w:rsidR="00D122D4" w:rsidRPr="00D122D4" w:rsidRDefault="00D122D4" w:rsidP="002E1F90">
      <w:pPr>
        <w:spacing w:before="240" w:after="200"/>
        <w:contextualSpacing/>
        <w:rPr>
          <w:lang w:val="en-GB"/>
        </w:rPr>
      </w:pPr>
    </w:p>
    <w:p w:rsidR="00343776" w:rsidRPr="00D122D4" w:rsidRDefault="002E1F90" w:rsidP="002E1F90">
      <w:pPr>
        <w:spacing w:before="240" w:after="200"/>
        <w:contextualSpacing/>
        <w:rPr>
          <w:i/>
          <w:lang w:val="en-GB"/>
        </w:rPr>
      </w:pPr>
      <w:r w:rsidRPr="00D122D4">
        <w:rPr>
          <w:lang w:val="en-GB"/>
        </w:rPr>
        <w:t xml:space="preserve">3/ </w:t>
      </w:r>
      <w:proofErr w:type="gramStart"/>
      <w:r w:rsidR="00343776" w:rsidRPr="00D122D4">
        <w:rPr>
          <w:lang w:val="en-GB"/>
        </w:rPr>
        <w:t>The</w:t>
      </w:r>
      <w:proofErr w:type="gramEnd"/>
      <w:r w:rsidR="00343776" w:rsidRPr="00D122D4">
        <w:rPr>
          <w:lang w:val="en-GB"/>
        </w:rPr>
        <w:t xml:space="preserve"> law enforcement bodies shall always corroborate information obtained from operational sources with other data in order to comply with a standard of probable cause when taking investigative measures against a person, including the detention.</w:t>
      </w:r>
    </w:p>
    <w:p w:rsidR="002E1F90" w:rsidRPr="00D122D4" w:rsidRDefault="002E1F90" w:rsidP="002E1F90">
      <w:pPr>
        <w:spacing w:before="240" w:after="200"/>
        <w:contextualSpacing/>
        <w:rPr>
          <w:rFonts w:cs="Sylfaen"/>
          <w:lang w:val="en-GB"/>
        </w:rPr>
      </w:pPr>
    </w:p>
    <w:p w:rsidR="00343776" w:rsidRPr="00D122D4" w:rsidRDefault="002E1F90" w:rsidP="002E1F90">
      <w:pPr>
        <w:spacing w:before="240" w:after="200"/>
        <w:contextualSpacing/>
        <w:rPr>
          <w:b/>
          <w:lang w:val="en-GB"/>
        </w:rPr>
      </w:pPr>
      <w:proofErr w:type="gramStart"/>
      <w:r w:rsidRPr="00D122D4">
        <w:rPr>
          <w:rFonts w:cs="Sylfaen"/>
          <w:lang w:val="en-GB"/>
        </w:rPr>
        <w:t xml:space="preserve">4/ </w:t>
      </w:r>
      <w:r w:rsidR="00343776" w:rsidRPr="00D122D4">
        <w:rPr>
          <w:rFonts w:cs="Sylfaen"/>
          <w:lang w:val="en-GB"/>
        </w:rPr>
        <w:t>Adopt legislative changes that ensure the possibility for the supervising prosecutor, as well as for the court to verify the operational information.</w:t>
      </w:r>
      <w:proofErr w:type="gramEnd"/>
    </w:p>
    <w:p w:rsidR="0003694A" w:rsidRDefault="0003694A" w:rsidP="006C0B99">
      <w:pPr>
        <w:pStyle w:val="berschrift1"/>
        <w:rPr>
          <w:lang w:val="en-US"/>
        </w:rPr>
      </w:pPr>
      <w:bookmarkStart w:id="21" w:name="_Toc363492736"/>
      <w:r>
        <w:rPr>
          <w:lang w:val="en-US"/>
        </w:rPr>
        <w:t>The Judiciary</w:t>
      </w:r>
      <w:r w:rsidR="00A5663F">
        <w:rPr>
          <w:lang w:val="en-US"/>
        </w:rPr>
        <w:t xml:space="preserve"> and rule of Law</w:t>
      </w:r>
      <w:bookmarkEnd w:id="21"/>
    </w:p>
    <w:p w:rsidR="0003694A" w:rsidRPr="0003694A" w:rsidRDefault="0003694A" w:rsidP="0003694A">
      <w:pPr>
        <w:rPr>
          <w:lang w:val="en-US"/>
        </w:rPr>
      </w:pPr>
      <w:r>
        <w:rPr>
          <w:lang w:val="en-US"/>
        </w:rPr>
        <w:t xml:space="preserve">The HRC </w:t>
      </w:r>
      <w:r w:rsidR="00023FE8">
        <w:rPr>
          <w:lang w:val="en-US"/>
        </w:rPr>
        <w:t xml:space="preserve">Concluding </w:t>
      </w:r>
      <w:r>
        <w:rPr>
          <w:lang w:val="en-US"/>
        </w:rPr>
        <w:t>Observations offered two separate concerns/criticisms for the Georgian Judicial system. Both of these related to article 14 of the ICCPR, on the right to a fair trial.</w:t>
      </w:r>
    </w:p>
    <w:p w:rsidR="00E51BBB" w:rsidRPr="006C0B99" w:rsidRDefault="00E45E83" w:rsidP="006C0B99">
      <w:pPr>
        <w:pStyle w:val="berschrift2"/>
        <w:rPr>
          <w:szCs w:val="24"/>
        </w:rPr>
      </w:pPr>
      <w:bookmarkStart w:id="22" w:name="_Toc363492737"/>
      <w:r w:rsidRPr="006C0B99">
        <w:lastRenderedPageBreak/>
        <w:t xml:space="preserve">HRC </w:t>
      </w:r>
      <w:r w:rsidR="009A3C99" w:rsidRPr="006C0B99">
        <w:t xml:space="preserve">Concluding </w:t>
      </w:r>
      <w:r w:rsidRPr="006C0B99">
        <w:t xml:space="preserve">Observations Paragraph </w:t>
      </w:r>
      <w:r w:rsidR="002040A8" w:rsidRPr="006C0B99">
        <w:t>13 Judicial independence (Article 14)</w:t>
      </w:r>
      <w:r w:rsidR="006C0B99">
        <w:rPr>
          <w:szCs w:val="24"/>
        </w:rPr>
        <w:t xml:space="preserve"> and </w:t>
      </w:r>
      <w:r w:rsidR="00E51BBB" w:rsidRPr="006C0B99">
        <w:t>HRC Observations Paragraph 14 Poor education of judges (Article 14)</w:t>
      </w:r>
      <w:bookmarkEnd w:id="22"/>
    </w:p>
    <w:p w:rsidR="00E51BBB" w:rsidRDefault="00E51BBB" w:rsidP="00E51BBB">
      <w:pPr>
        <w:rPr>
          <w:lang w:val="en-US"/>
        </w:rPr>
      </w:pPr>
    </w:p>
    <w:p w:rsidR="00E51BBB" w:rsidRDefault="00E51BBB" w:rsidP="00E51BBB">
      <w:pPr>
        <w:rPr>
          <w:rFonts w:ascii="Times New Roman" w:hAnsi="Times New Roman"/>
          <w:sz w:val="24"/>
          <w:szCs w:val="24"/>
          <w:lang w:val="en-US"/>
        </w:rPr>
      </w:pPr>
      <w:r>
        <w:rPr>
          <w:lang w:val="en-US"/>
        </w:rPr>
        <w:t>Paragraph 13</w:t>
      </w:r>
      <w:r w:rsidR="0003694A">
        <w:rPr>
          <w:lang w:val="en-US"/>
        </w:rPr>
        <w:t xml:space="preserve"> of the HRC </w:t>
      </w:r>
      <w:r w:rsidR="0047050E">
        <w:rPr>
          <w:lang w:val="en-US"/>
        </w:rPr>
        <w:t xml:space="preserve">concluding </w:t>
      </w:r>
      <w:r w:rsidR="0003694A">
        <w:rPr>
          <w:lang w:val="en-US"/>
        </w:rPr>
        <w:t xml:space="preserve">observations expresses </w:t>
      </w:r>
      <w:r w:rsidR="004F43CD">
        <w:rPr>
          <w:lang w:val="en-US"/>
        </w:rPr>
        <w:t>the Committees</w:t>
      </w:r>
      <w:r w:rsidR="0003694A">
        <w:rPr>
          <w:lang w:val="en-US"/>
        </w:rPr>
        <w:t xml:space="preserve"> continued concerns about the independence of the judiciary, and suggests that the state needs to ensure </w:t>
      </w:r>
      <w:r w:rsidR="002040A8" w:rsidRPr="002040A8">
        <w:rPr>
          <w:lang w:val="en-US"/>
        </w:rPr>
        <w:t>independence</w:t>
      </w:r>
      <w:r w:rsidR="0003694A">
        <w:rPr>
          <w:lang w:val="en-US"/>
        </w:rPr>
        <w:t xml:space="preserve"> of the judiciary</w:t>
      </w:r>
      <w:r w:rsidR="002040A8" w:rsidRPr="002040A8">
        <w:rPr>
          <w:lang w:val="en-US"/>
        </w:rPr>
        <w:t xml:space="preserve"> and prosecute judges if the</w:t>
      </w:r>
      <w:r>
        <w:rPr>
          <w:lang w:val="en-US"/>
        </w:rPr>
        <w:t xml:space="preserve"> shown to have behaved inappropriately.</w:t>
      </w:r>
    </w:p>
    <w:p w:rsidR="00E51BBB" w:rsidRDefault="00E51BBB" w:rsidP="00E51BBB">
      <w:pPr>
        <w:rPr>
          <w:rFonts w:ascii="Times New Roman" w:hAnsi="Times New Roman"/>
          <w:sz w:val="24"/>
          <w:szCs w:val="24"/>
          <w:lang w:val="en-US"/>
        </w:rPr>
      </w:pPr>
    </w:p>
    <w:p w:rsidR="00D0612C" w:rsidRDefault="00D0612C" w:rsidP="00E51BBB">
      <w:pPr>
        <w:rPr>
          <w:lang w:val="en-GB"/>
        </w:rPr>
      </w:pPr>
      <w:r w:rsidRPr="000E13A9">
        <w:rPr>
          <w:lang w:val="en-GB"/>
        </w:rPr>
        <w:t>Paragraph</w:t>
      </w:r>
      <w:r w:rsidRPr="00922395">
        <w:rPr>
          <w:lang w:val="en-GB"/>
        </w:rPr>
        <w:t>14</w:t>
      </w:r>
      <w:r w:rsidR="00E51BBB">
        <w:rPr>
          <w:lang w:val="en-GB"/>
        </w:rPr>
        <w:t xml:space="preserve"> of the HRC </w:t>
      </w:r>
      <w:r w:rsidR="0034056F">
        <w:rPr>
          <w:lang w:val="en-GB"/>
        </w:rPr>
        <w:t xml:space="preserve">concluding </w:t>
      </w:r>
      <w:r w:rsidR="00E51BBB">
        <w:rPr>
          <w:lang w:val="en-GB"/>
        </w:rPr>
        <w:t>observations relates to the poor education of judges and expresses particular concern about their lack of training in international human rights law.</w:t>
      </w:r>
    </w:p>
    <w:p w:rsidR="0013164B" w:rsidRDefault="0013164B" w:rsidP="0013164B">
      <w:pPr>
        <w:rPr>
          <w:b/>
          <w:lang w:val="en-GB"/>
        </w:rPr>
      </w:pPr>
    </w:p>
    <w:p w:rsidR="0013164B" w:rsidRPr="000749E2" w:rsidRDefault="0013164B" w:rsidP="0013164B">
      <w:pPr>
        <w:rPr>
          <w:b/>
          <w:lang w:val="en-GB"/>
        </w:rPr>
      </w:pPr>
      <w:r w:rsidRPr="000749E2">
        <w:rPr>
          <w:b/>
          <w:lang w:val="en-GB"/>
        </w:rPr>
        <w:t>The High Council of Justice</w:t>
      </w:r>
    </w:p>
    <w:p w:rsidR="00E51BBB" w:rsidRPr="00E51BBB" w:rsidRDefault="007709F8" w:rsidP="00E51BBB">
      <w:pPr>
        <w:rPr>
          <w:rFonts w:ascii="Times New Roman" w:hAnsi="Times New Roman"/>
          <w:sz w:val="24"/>
          <w:szCs w:val="24"/>
          <w:lang w:val="en-US"/>
        </w:rPr>
      </w:pPr>
      <w:r>
        <w:rPr>
          <w:lang w:val="en-GB"/>
        </w:rPr>
        <w:t>In response to the</w:t>
      </w:r>
      <w:r w:rsidR="00E51BBB">
        <w:rPr>
          <w:lang w:val="en-GB"/>
        </w:rPr>
        <w:t xml:space="preserve"> concerns</w:t>
      </w:r>
      <w:r>
        <w:rPr>
          <w:lang w:val="en-GB"/>
        </w:rPr>
        <w:t xml:space="preserve"> expressed by the Human Rights Committe</w:t>
      </w:r>
      <w:r w:rsidR="000E7DF9">
        <w:rPr>
          <w:lang w:val="en-GB"/>
        </w:rPr>
        <w:t>e</w:t>
      </w:r>
      <w:r w:rsidR="00E51BBB">
        <w:rPr>
          <w:lang w:val="en-GB"/>
        </w:rPr>
        <w:t xml:space="preserve">, the </w:t>
      </w:r>
      <w:proofErr w:type="spellStart"/>
      <w:r w:rsidR="00E51BBB">
        <w:rPr>
          <w:lang w:val="en-GB"/>
        </w:rPr>
        <w:t>GoG</w:t>
      </w:r>
      <w:proofErr w:type="spellEnd"/>
      <w:r w:rsidR="00E51BBB">
        <w:rPr>
          <w:lang w:val="en-GB"/>
        </w:rPr>
        <w:t xml:space="preserve"> 4</w:t>
      </w:r>
      <w:r w:rsidR="00E51BBB" w:rsidRPr="00E51BBB">
        <w:rPr>
          <w:vertAlign w:val="superscript"/>
          <w:lang w:val="en-GB"/>
        </w:rPr>
        <w:t>th</w:t>
      </w:r>
      <w:r w:rsidR="00E51BBB">
        <w:rPr>
          <w:lang w:val="en-GB"/>
        </w:rPr>
        <w:t xml:space="preserve"> periodic report highlights a range of reforms that have been undertaken, particularly with respect to reforms to the High Council of</w:t>
      </w:r>
      <w:r w:rsidR="000749E2">
        <w:rPr>
          <w:lang w:val="en-GB"/>
        </w:rPr>
        <w:t xml:space="preserve"> Justice</w:t>
      </w:r>
      <w:r w:rsidR="00A655C3">
        <w:rPr>
          <w:lang w:val="en-GB"/>
        </w:rPr>
        <w:t xml:space="preserve"> (HCOJ)</w:t>
      </w:r>
      <w:r w:rsidR="000749E2">
        <w:rPr>
          <w:lang w:val="en-GB"/>
        </w:rPr>
        <w:t xml:space="preserve"> and the functioning of </w:t>
      </w:r>
      <w:r w:rsidR="00E51BBB">
        <w:rPr>
          <w:lang w:val="en-GB"/>
        </w:rPr>
        <w:t xml:space="preserve">a disciplinary </w:t>
      </w:r>
      <w:r w:rsidR="00B24F92">
        <w:rPr>
          <w:lang w:val="en-GB"/>
        </w:rPr>
        <w:t>collegium</w:t>
      </w:r>
      <w:r w:rsidR="00E51BBB">
        <w:rPr>
          <w:lang w:val="en-GB"/>
        </w:rPr>
        <w:t xml:space="preserve">. </w:t>
      </w:r>
      <w:r w:rsidR="000749E2">
        <w:rPr>
          <w:lang w:val="en-GB"/>
        </w:rPr>
        <w:t>Both the HC</w:t>
      </w:r>
      <w:r w:rsidR="00012D3A">
        <w:rPr>
          <w:lang w:val="en-GB"/>
        </w:rPr>
        <w:t>O</w:t>
      </w:r>
      <w:r w:rsidR="000749E2">
        <w:rPr>
          <w:lang w:val="en-GB"/>
        </w:rPr>
        <w:t>J and the disciplinary collegiums are crucial as they can provide mechanisms for ensuring independence, but at the same time, if poorly organised, they can be one of the key structures through which that independence is undermined.</w:t>
      </w:r>
    </w:p>
    <w:p w:rsidR="00E51BBB" w:rsidRPr="00C57193" w:rsidRDefault="00E51BBB" w:rsidP="00D0612C">
      <w:pPr>
        <w:rPr>
          <w:rStyle w:val="A7"/>
          <w:rFonts w:ascii="Sylfaen" w:hAnsi="Sylfaen"/>
          <w:b/>
          <w:i/>
          <w:sz w:val="24"/>
          <w:szCs w:val="24"/>
          <w:lang w:val="en-GB"/>
        </w:rPr>
      </w:pPr>
    </w:p>
    <w:p w:rsidR="00EB69F6" w:rsidRDefault="000749E2" w:rsidP="00EB69F6">
      <w:pPr>
        <w:rPr>
          <w:lang w:val="en-GB"/>
        </w:rPr>
      </w:pPr>
      <w:r>
        <w:rPr>
          <w:lang w:val="en-GB"/>
        </w:rPr>
        <w:t xml:space="preserve">The </w:t>
      </w:r>
      <w:proofErr w:type="spellStart"/>
      <w:r>
        <w:rPr>
          <w:lang w:val="en-GB"/>
        </w:rPr>
        <w:t>GoG</w:t>
      </w:r>
      <w:proofErr w:type="spellEnd"/>
      <w:r>
        <w:rPr>
          <w:lang w:val="en-GB"/>
        </w:rPr>
        <w:t xml:space="preserve"> 4</w:t>
      </w:r>
      <w:r w:rsidRPr="00E51BBB">
        <w:rPr>
          <w:vertAlign w:val="superscript"/>
          <w:lang w:val="en-GB"/>
        </w:rPr>
        <w:t>th</w:t>
      </w:r>
      <w:r>
        <w:rPr>
          <w:lang w:val="en-GB"/>
        </w:rPr>
        <w:t xml:space="preserve"> periodic report </w:t>
      </w:r>
      <w:r w:rsidR="00D0612C" w:rsidRPr="000749E2">
        <w:rPr>
          <w:lang w:val="en-GB"/>
        </w:rPr>
        <w:t>stresses that as a result of the December 2007 Constitutional amendments, the High Council of Justice transformed into an independent structural unit within the judiciary. Despite this positive change, the issues concerning the staffing</w:t>
      </w:r>
      <w:r w:rsidR="00D0612C" w:rsidRPr="00C57193">
        <w:rPr>
          <w:rStyle w:val="Funotenzeichen"/>
          <w:rFonts w:ascii="Sylfaen" w:hAnsi="Sylfaen"/>
          <w:lang w:val="en-GB"/>
        </w:rPr>
        <w:footnoteReference w:id="40"/>
      </w:r>
      <w:r w:rsidR="00D0612C" w:rsidRPr="000749E2">
        <w:rPr>
          <w:lang w:val="en-GB"/>
        </w:rPr>
        <w:t xml:space="preserve"> of the Council and its mandate have been persistently problematic. </w:t>
      </w:r>
    </w:p>
    <w:p w:rsidR="00EB69F6" w:rsidRDefault="00EB69F6" w:rsidP="00EB69F6">
      <w:pPr>
        <w:rPr>
          <w:lang w:val="en-GB"/>
        </w:rPr>
      </w:pPr>
    </w:p>
    <w:p w:rsidR="00B07C00" w:rsidRDefault="00EB69F6" w:rsidP="000749E2">
      <w:pPr>
        <w:rPr>
          <w:bCs/>
          <w:lang w:val="en-US"/>
        </w:rPr>
      </w:pPr>
      <w:r w:rsidRPr="00EB69F6">
        <w:rPr>
          <w:lang w:val="en-GB"/>
        </w:rPr>
        <w:t xml:space="preserve">According to the Law on </w:t>
      </w:r>
      <w:r w:rsidR="00E35496">
        <w:rPr>
          <w:lang w:val="en-GB"/>
        </w:rPr>
        <w:t>G</w:t>
      </w:r>
      <w:r w:rsidRPr="00EB69F6">
        <w:rPr>
          <w:lang w:val="en-GB"/>
        </w:rPr>
        <w:t>eneral Courts</w:t>
      </w:r>
      <w:r w:rsidR="00826304">
        <w:rPr>
          <w:lang w:val="en-GB"/>
        </w:rPr>
        <w:t xml:space="preserve"> of Georgia</w:t>
      </w:r>
      <w:r w:rsidRPr="00EB69F6">
        <w:rPr>
          <w:lang w:val="en-GB"/>
        </w:rPr>
        <w:t xml:space="preserve">, the High Council of Justice is a body </w:t>
      </w:r>
      <w:r w:rsidRPr="00EB69F6">
        <w:rPr>
          <w:lang w:val="en-US"/>
        </w:rPr>
        <w:t xml:space="preserve">responsible for the </w:t>
      </w:r>
      <w:r w:rsidRPr="00EB69F6">
        <w:rPr>
          <w:bCs/>
          <w:lang w:val="en-US"/>
        </w:rPr>
        <w:t>appointment, promotion and dismissal of judges</w:t>
      </w:r>
      <w:r>
        <w:rPr>
          <w:bCs/>
          <w:lang w:val="en-US"/>
        </w:rPr>
        <w:t xml:space="preserve">. </w:t>
      </w:r>
      <w:r w:rsidR="00565DB9">
        <w:rPr>
          <w:bCs/>
          <w:lang w:val="en-US"/>
        </w:rPr>
        <w:t xml:space="preserve">Accordingly, the main </w:t>
      </w:r>
      <w:r w:rsidR="00565DB9" w:rsidRPr="000749E2">
        <w:rPr>
          <w:lang w:val="en-GB"/>
        </w:rPr>
        <w:t xml:space="preserve">levers of administration </w:t>
      </w:r>
      <w:r w:rsidR="002B3700">
        <w:rPr>
          <w:lang w:val="en-GB"/>
        </w:rPr>
        <w:t>are</w:t>
      </w:r>
      <w:r w:rsidR="00B44533">
        <w:rPr>
          <w:lang w:val="en-GB"/>
        </w:rPr>
        <w:t xml:space="preserve"> </w:t>
      </w:r>
      <w:r w:rsidR="00565DB9" w:rsidRPr="000749E2">
        <w:rPr>
          <w:lang w:val="en-GB"/>
        </w:rPr>
        <w:t xml:space="preserve">concentrated in the hands of </w:t>
      </w:r>
      <w:r w:rsidR="00565DB9">
        <w:rPr>
          <w:lang w:val="en-GB"/>
        </w:rPr>
        <w:t>HCOJ</w:t>
      </w:r>
      <w:r w:rsidR="00565DB9" w:rsidRPr="000749E2">
        <w:rPr>
          <w:lang w:val="en-GB"/>
        </w:rPr>
        <w:t>, violating the principle</w:t>
      </w:r>
      <w:r w:rsidR="00565DB9" w:rsidRPr="00C57193">
        <w:rPr>
          <w:rStyle w:val="Funotenzeichen"/>
          <w:rFonts w:ascii="Sylfaen" w:hAnsi="Sylfaen"/>
          <w:lang w:val="en-GB"/>
        </w:rPr>
        <w:footnoteReference w:id="41"/>
      </w:r>
      <w:r w:rsidR="00565DB9" w:rsidRPr="000749E2">
        <w:rPr>
          <w:lang w:val="en-GB"/>
        </w:rPr>
        <w:t xml:space="preserve"> of the balance of powers within the system.</w:t>
      </w:r>
      <w:r w:rsidR="00E35496">
        <w:rPr>
          <w:bCs/>
          <w:lang w:val="en-US"/>
        </w:rPr>
        <w:t xml:space="preserve">Before the amendments introduced to the Law </w:t>
      </w:r>
      <w:r w:rsidR="00A01F28">
        <w:rPr>
          <w:bCs/>
          <w:lang w:val="en-US"/>
        </w:rPr>
        <w:t xml:space="preserve">on General Court </w:t>
      </w:r>
      <w:r w:rsidR="00E35496">
        <w:rPr>
          <w:bCs/>
          <w:lang w:val="en-US"/>
        </w:rPr>
        <w:t xml:space="preserve">in June, 2013, the Council was composed of four members of the Parliament, two representatives of the President and nine judges elected by the Judicial Conference. </w:t>
      </w:r>
    </w:p>
    <w:p w:rsidR="00B07C00" w:rsidRDefault="00B07C00" w:rsidP="000749E2">
      <w:pPr>
        <w:rPr>
          <w:bCs/>
          <w:lang w:val="en-US"/>
        </w:rPr>
      </w:pPr>
    </w:p>
    <w:p w:rsidR="00C4204C" w:rsidRDefault="00A01F28" w:rsidP="000749E2">
      <w:pPr>
        <w:rPr>
          <w:bCs/>
          <w:lang w:val="en-US"/>
        </w:rPr>
      </w:pPr>
      <w:r>
        <w:rPr>
          <w:bCs/>
          <w:lang w:val="en-US"/>
        </w:rPr>
        <w:t xml:space="preserve">Under the </w:t>
      </w:r>
      <w:r w:rsidR="00C129F1">
        <w:rPr>
          <w:bCs/>
          <w:lang w:val="en-US"/>
        </w:rPr>
        <w:t xml:space="preserve">abovementioned </w:t>
      </w:r>
      <w:r>
        <w:rPr>
          <w:bCs/>
          <w:lang w:val="en-US"/>
        </w:rPr>
        <w:t xml:space="preserve">law, </w:t>
      </w:r>
      <w:r w:rsidR="00303DCD">
        <w:rPr>
          <w:bCs/>
          <w:lang w:val="en-US"/>
        </w:rPr>
        <w:t>the Administrative Committee of the Judicial Conference</w:t>
      </w:r>
      <w:r w:rsidR="00B07C00">
        <w:rPr>
          <w:bCs/>
          <w:lang w:val="en-US"/>
        </w:rPr>
        <w:t>, composed of nine judges</w:t>
      </w:r>
      <w:r w:rsidR="00C72858">
        <w:rPr>
          <w:bCs/>
          <w:lang w:val="en-US"/>
        </w:rPr>
        <w:t>,</w:t>
      </w:r>
      <w:r w:rsidR="00B44533">
        <w:rPr>
          <w:bCs/>
          <w:lang w:val="en-US"/>
        </w:rPr>
        <w:t xml:space="preserve"> </w:t>
      </w:r>
      <w:r w:rsidR="001567AA">
        <w:rPr>
          <w:bCs/>
          <w:lang w:val="en-US"/>
        </w:rPr>
        <w:t>was created with the aim to assist the Judicial Conference to carry out the f</w:t>
      </w:r>
      <w:r w:rsidR="00C04720">
        <w:rPr>
          <w:bCs/>
          <w:lang w:val="en-US"/>
        </w:rPr>
        <w:t xml:space="preserve">unctions prescribed by the law. </w:t>
      </w:r>
      <w:r w:rsidR="005F1D9E">
        <w:rPr>
          <w:bCs/>
          <w:lang w:val="en-US"/>
        </w:rPr>
        <w:t>However, members of the Administrative Committee</w:t>
      </w:r>
      <w:r w:rsidR="00711BFC">
        <w:rPr>
          <w:bCs/>
          <w:lang w:val="en-US"/>
        </w:rPr>
        <w:t xml:space="preserve">, </w:t>
      </w:r>
      <w:r w:rsidR="001833F0">
        <w:rPr>
          <w:bCs/>
          <w:lang w:val="en-US"/>
        </w:rPr>
        <w:t xml:space="preserve">nominated exclusively by the Chairperson of the Supreme Court and elected </w:t>
      </w:r>
      <w:r w:rsidR="008B09B4">
        <w:rPr>
          <w:bCs/>
          <w:lang w:val="en-US"/>
        </w:rPr>
        <w:t>through</w:t>
      </w:r>
      <w:r w:rsidR="001833F0">
        <w:rPr>
          <w:bCs/>
          <w:lang w:val="en-US"/>
        </w:rPr>
        <w:t xml:space="preserve"> the open voting</w:t>
      </w:r>
      <w:r w:rsidR="00634539">
        <w:rPr>
          <w:bCs/>
          <w:lang w:val="en-US"/>
        </w:rPr>
        <w:t xml:space="preserve"> by the Judicial Conference</w:t>
      </w:r>
      <w:r w:rsidR="001833F0">
        <w:rPr>
          <w:bCs/>
          <w:lang w:val="en-US"/>
        </w:rPr>
        <w:t>,</w:t>
      </w:r>
      <w:r w:rsidR="00B44533">
        <w:rPr>
          <w:bCs/>
          <w:lang w:val="en-US"/>
        </w:rPr>
        <w:t xml:space="preserve"> </w:t>
      </w:r>
      <w:r w:rsidR="00123658">
        <w:rPr>
          <w:bCs/>
          <w:lang w:val="en-US"/>
        </w:rPr>
        <w:t xml:space="preserve">could not be said to be representing the interests of the judges. </w:t>
      </w:r>
    </w:p>
    <w:p w:rsidR="00C4204C" w:rsidRDefault="00C4204C" w:rsidP="000749E2">
      <w:pPr>
        <w:rPr>
          <w:bCs/>
          <w:lang w:val="en-US"/>
        </w:rPr>
      </w:pPr>
    </w:p>
    <w:p w:rsidR="00D0612C" w:rsidRPr="00E06025" w:rsidRDefault="00D0612C" w:rsidP="000749E2">
      <w:pPr>
        <w:rPr>
          <w:bCs/>
          <w:lang w:val="en-US"/>
        </w:rPr>
      </w:pPr>
      <w:r w:rsidRPr="000749E2">
        <w:rPr>
          <w:lang w:val="en-GB"/>
        </w:rPr>
        <w:t xml:space="preserve">The Administrative Committee of the Conference, along with the Conference of Judges, was authorised to elect judge-members to the Council. </w:t>
      </w:r>
      <w:r w:rsidR="00B11E12">
        <w:rPr>
          <w:lang w:val="en-GB"/>
        </w:rPr>
        <w:t>Against the background mentioned above,</w:t>
      </w:r>
      <w:r w:rsidRPr="000749E2">
        <w:rPr>
          <w:lang w:val="en-GB"/>
        </w:rPr>
        <w:t xml:space="preserve"> electing the members of the </w:t>
      </w:r>
      <w:r w:rsidR="007A57A6">
        <w:rPr>
          <w:lang w:val="en-GB"/>
        </w:rPr>
        <w:t xml:space="preserve">High </w:t>
      </w:r>
      <w:r w:rsidRPr="000749E2">
        <w:rPr>
          <w:lang w:val="en-GB"/>
        </w:rPr>
        <w:t>Council</w:t>
      </w:r>
      <w:r w:rsidR="007A57A6">
        <w:rPr>
          <w:lang w:val="en-GB"/>
        </w:rPr>
        <w:t xml:space="preserve"> of Justice</w:t>
      </w:r>
      <w:r w:rsidRPr="000749E2">
        <w:rPr>
          <w:lang w:val="en-GB"/>
        </w:rPr>
        <w:t xml:space="preserve"> by the Administrative Committee had a low degree of legitimacy. Only the Chairman of the Supreme Court was authorised to nominate judges to be elected in the Council to the Conference of Judges and to the Administrative Committee.</w:t>
      </w:r>
      <w:r w:rsidRPr="00C57193">
        <w:rPr>
          <w:rStyle w:val="Funotenzeichen"/>
          <w:rFonts w:ascii="Sylfaen" w:hAnsi="Sylfaen"/>
          <w:lang w:val="en-GB"/>
        </w:rPr>
        <w:footnoteReference w:id="42"/>
      </w:r>
      <w:r w:rsidRPr="000749E2">
        <w:rPr>
          <w:lang w:val="en-GB"/>
        </w:rPr>
        <w:t xml:space="preserve"> From 2007 until the conduct of the Conference of Judges in </w:t>
      </w:r>
      <w:r w:rsidRPr="000749E2">
        <w:rPr>
          <w:lang w:val="en-GB"/>
        </w:rPr>
        <w:lastRenderedPageBreak/>
        <w:t>2011, five out of the eight representatives of the judiciary in the HCOJ were elected by the Administrative Committee.</w:t>
      </w:r>
      <w:r w:rsidRPr="00C57193">
        <w:rPr>
          <w:rStyle w:val="Funotenzeichen"/>
          <w:rFonts w:ascii="Sylfaen" w:hAnsi="Sylfaen"/>
          <w:lang w:val="en-GB"/>
        </w:rPr>
        <w:footnoteReference w:id="43"/>
      </w:r>
    </w:p>
    <w:p w:rsidR="000749E2" w:rsidRDefault="000749E2" w:rsidP="000749E2">
      <w:pPr>
        <w:contextualSpacing/>
        <w:rPr>
          <w:rFonts w:ascii="Sylfaen" w:hAnsi="Sylfaen"/>
          <w:lang w:val="en-GB"/>
        </w:rPr>
      </w:pPr>
    </w:p>
    <w:p w:rsidR="00D0612C" w:rsidRPr="000C5E35" w:rsidRDefault="00D0612C" w:rsidP="000749E2">
      <w:pPr>
        <w:contextualSpacing/>
        <w:rPr>
          <w:b/>
          <w:lang w:val="en-GB"/>
        </w:rPr>
      </w:pPr>
      <w:r w:rsidRPr="000C5E35">
        <w:rPr>
          <w:lang w:val="en-GB"/>
        </w:rPr>
        <w:t>Prior to legislative amendments of 2012, the provisions regulating the composition of the Cou</w:t>
      </w:r>
      <w:r w:rsidR="000749E2" w:rsidRPr="000C5E35">
        <w:rPr>
          <w:lang w:val="en-GB"/>
        </w:rPr>
        <w:t>ncil did not prohibit the appointment of</w:t>
      </w:r>
      <w:r w:rsidRPr="000C5E35">
        <w:rPr>
          <w:lang w:val="en-GB"/>
        </w:rPr>
        <w:t xml:space="preserve"> a representative of a political organization to the Council. The Council could veto a decision on the appointment of judges.</w:t>
      </w:r>
      <w:r w:rsidRPr="000C5E35">
        <w:rPr>
          <w:rStyle w:val="Funotenzeichen"/>
          <w:lang w:val="en-GB"/>
        </w:rPr>
        <w:footnoteReference w:id="44"/>
      </w:r>
      <w:r w:rsidRPr="000C5E35">
        <w:rPr>
          <w:lang w:val="en-GB"/>
        </w:rPr>
        <w:t xml:space="preserve"> These deficiencies were partially corrected in 2012 through amendments to legislation following an active dialogue and consultations between the judiciary and civil society organizations.</w:t>
      </w:r>
      <w:r w:rsidRPr="000C5E35">
        <w:rPr>
          <w:rStyle w:val="Funotenzeichen"/>
          <w:lang w:val="en-GB"/>
        </w:rPr>
        <w:footnoteReference w:id="45"/>
      </w:r>
    </w:p>
    <w:p w:rsidR="000749E2" w:rsidRPr="000C5E35" w:rsidRDefault="000749E2" w:rsidP="000749E2">
      <w:pPr>
        <w:contextualSpacing/>
        <w:rPr>
          <w:lang w:val="en-GB"/>
        </w:rPr>
      </w:pPr>
    </w:p>
    <w:p w:rsidR="00D0612C" w:rsidRPr="000C5E35" w:rsidRDefault="00D0612C" w:rsidP="000749E2">
      <w:pPr>
        <w:contextualSpacing/>
        <w:rPr>
          <w:lang w:val="en-GB"/>
        </w:rPr>
      </w:pPr>
      <w:r w:rsidRPr="000C5E35">
        <w:rPr>
          <w:lang w:val="en-GB"/>
        </w:rPr>
        <w:t>After the Parliamentary Elections in 2012, the government offered new initiatives aimed at changing the regulations on appointments to the Council. The new government also tried to make the appointment process more democrati</w:t>
      </w:r>
      <w:r w:rsidR="000749E2" w:rsidRPr="000C5E35">
        <w:rPr>
          <w:lang w:val="en-GB"/>
        </w:rPr>
        <w:t>c. As a result of these</w:t>
      </w:r>
      <w:r w:rsidRPr="000C5E35">
        <w:rPr>
          <w:lang w:val="en-GB"/>
        </w:rPr>
        <w:t xml:space="preserve"> changes, the Venice Commission on 8 March 2013</w:t>
      </w:r>
      <w:r w:rsidRPr="000C5E35">
        <w:rPr>
          <w:rStyle w:val="Funotenzeichen"/>
          <w:lang w:val="en-GB"/>
        </w:rPr>
        <w:footnoteReference w:id="46"/>
      </w:r>
      <w:r w:rsidRPr="000C5E35">
        <w:rPr>
          <w:lang w:val="en-GB"/>
        </w:rPr>
        <w:t xml:space="preserve"> lauded the reformed judiciary regulations. </w:t>
      </w:r>
      <w:r w:rsidR="000749E2" w:rsidRPr="000C5E35">
        <w:rPr>
          <w:lang w:val="en-GB"/>
        </w:rPr>
        <w:t>T</w:t>
      </w:r>
      <w:r w:rsidRPr="000C5E35">
        <w:rPr>
          <w:lang w:val="en-GB"/>
        </w:rPr>
        <w:t>he judiciary</w:t>
      </w:r>
      <w:r w:rsidR="000749E2" w:rsidRPr="000C5E35">
        <w:rPr>
          <w:lang w:val="en-GB"/>
        </w:rPr>
        <w:t xml:space="preserve"> also</w:t>
      </w:r>
      <w:r w:rsidRPr="000C5E35">
        <w:rPr>
          <w:lang w:val="en-GB"/>
        </w:rPr>
        <w:t xml:space="preserve"> changed how the Council was staffed. Instead of the two members appointed by the President and members of parliament, the council will ha</w:t>
      </w:r>
      <w:r w:rsidR="000749E2" w:rsidRPr="000C5E35">
        <w:rPr>
          <w:lang w:val="en-GB"/>
        </w:rPr>
        <w:t xml:space="preserve">ve six members elected from </w:t>
      </w:r>
      <w:r w:rsidRPr="000C5E35">
        <w:rPr>
          <w:lang w:val="en-GB"/>
        </w:rPr>
        <w:t>politically neutral</w:t>
      </w:r>
      <w:r w:rsidR="000749E2" w:rsidRPr="000C5E35">
        <w:rPr>
          <w:lang w:val="en-GB"/>
        </w:rPr>
        <w:t xml:space="preserve"> parts of</w:t>
      </w:r>
      <w:r w:rsidRPr="000C5E35">
        <w:rPr>
          <w:lang w:val="en-GB"/>
        </w:rPr>
        <w:t xml:space="preserve"> civil society. The Conference of Judges will have an exclusive power to elect judge-members of the Council by a secret vote. Additionally, any judge, not just the Chairman of the Supreme Court, will be able to nominate candidates.</w:t>
      </w:r>
      <w:r w:rsidRPr="000C5E35">
        <w:rPr>
          <w:rStyle w:val="Funotenzeichen"/>
          <w:lang w:val="en-GB"/>
        </w:rPr>
        <w:footnoteReference w:id="47"/>
      </w:r>
    </w:p>
    <w:p w:rsidR="00D0612C" w:rsidRPr="000C5E35" w:rsidRDefault="00D0612C" w:rsidP="00D0612C">
      <w:pPr>
        <w:rPr>
          <w:b/>
          <w:i/>
          <w:sz w:val="24"/>
          <w:szCs w:val="24"/>
          <w:lang w:val="en-GB"/>
        </w:rPr>
      </w:pPr>
    </w:p>
    <w:p w:rsidR="00D0612C" w:rsidRPr="000C5E35" w:rsidRDefault="00D0612C" w:rsidP="00B23E0F">
      <w:pPr>
        <w:rPr>
          <w:b/>
          <w:lang w:val="en-GB"/>
        </w:rPr>
      </w:pPr>
      <w:r w:rsidRPr="000C5E35">
        <w:rPr>
          <w:b/>
          <w:lang w:val="en-GB"/>
        </w:rPr>
        <w:t>Disciplinary Proceedings</w:t>
      </w:r>
    </w:p>
    <w:p w:rsidR="00D0612C" w:rsidRPr="000C5E35" w:rsidRDefault="00D0612C" w:rsidP="000749E2">
      <w:pPr>
        <w:contextualSpacing/>
        <w:rPr>
          <w:lang w:val="en-GB"/>
        </w:rPr>
      </w:pPr>
      <w:r w:rsidRPr="000C5E35">
        <w:rPr>
          <w:lang w:val="en-GB"/>
        </w:rPr>
        <w:t>A</w:t>
      </w:r>
      <w:r w:rsidR="004810D3" w:rsidRPr="000C5E35">
        <w:rPr>
          <w:lang w:val="en-GB"/>
        </w:rPr>
        <w:t xml:space="preserve">s noted in the </w:t>
      </w:r>
      <w:proofErr w:type="spellStart"/>
      <w:r w:rsidR="004810D3" w:rsidRPr="000C5E35">
        <w:rPr>
          <w:lang w:val="en-GB"/>
        </w:rPr>
        <w:t>GoG</w:t>
      </w:r>
      <w:proofErr w:type="spellEnd"/>
      <w:r w:rsidR="004810D3" w:rsidRPr="000C5E35">
        <w:rPr>
          <w:lang w:val="en-GB"/>
        </w:rPr>
        <w:t xml:space="preserve"> 4</w:t>
      </w:r>
      <w:r w:rsidR="004810D3" w:rsidRPr="000C5E35">
        <w:rPr>
          <w:vertAlign w:val="superscript"/>
          <w:lang w:val="en-GB"/>
        </w:rPr>
        <w:t>th</w:t>
      </w:r>
      <w:r w:rsidR="004810D3" w:rsidRPr="000C5E35">
        <w:rPr>
          <w:lang w:val="en-GB"/>
        </w:rPr>
        <w:t xml:space="preserve"> Periodic report, on the issue of</w:t>
      </w:r>
      <w:r w:rsidRPr="000C5E35">
        <w:rPr>
          <w:lang w:val="en-GB"/>
        </w:rPr>
        <w:t xml:space="preserve"> disciplinary proceedings (paragraph 117), following legislative amendments of 2006, a Disciplinary Collegium was set up within the High Council of </w:t>
      </w:r>
      <w:r w:rsidR="004810D3" w:rsidRPr="000C5E35">
        <w:rPr>
          <w:lang w:val="en-GB"/>
        </w:rPr>
        <w:t>Justice. T</w:t>
      </w:r>
      <w:r w:rsidRPr="000C5E35">
        <w:rPr>
          <w:lang w:val="en-GB"/>
        </w:rPr>
        <w:t>he Disciplinary Collegium made primary decisions on cases that could be appealed to the Disciplinary Chamber of the Supreme Court.</w:t>
      </w:r>
      <w:r w:rsidRPr="000C5E35">
        <w:rPr>
          <w:rStyle w:val="Funotenzeichen"/>
          <w:lang w:val="en-GB"/>
        </w:rPr>
        <w:footnoteReference w:id="48"/>
      </w:r>
    </w:p>
    <w:p w:rsidR="004810D3" w:rsidRPr="000C5E35" w:rsidRDefault="004810D3" w:rsidP="004810D3">
      <w:pPr>
        <w:contextualSpacing/>
        <w:rPr>
          <w:lang w:val="en-GB"/>
        </w:rPr>
      </w:pPr>
    </w:p>
    <w:p w:rsidR="004810D3" w:rsidRPr="000C5E35" w:rsidRDefault="00D0612C" w:rsidP="004810D3">
      <w:pPr>
        <w:contextualSpacing/>
        <w:rPr>
          <w:lang w:val="en-GB"/>
        </w:rPr>
      </w:pPr>
      <w:r w:rsidRPr="000C5E35">
        <w:rPr>
          <w:lang w:val="en-GB"/>
        </w:rPr>
        <w:t xml:space="preserve">The provisions regulating </w:t>
      </w:r>
      <w:r w:rsidR="004810D3" w:rsidRPr="000C5E35">
        <w:rPr>
          <w:lang w:val="en-GB"/>
        </w:rPr>
        <w:t xml:space="preserve">the collegiums </w:t>
      </w:r>
      <w:r w:rsidRPr="000C5E35">
        <w:rPr>
          <w:lang w:val="en-GB"/>
        </w:rPr>
        <w:t>contained numerous deficiencies. For example, the legislation allowed for complete secrecy of the disciplinary proceedings, maintained a low-level of transparency, used unreasonably strict grounds for disciplinary proceedings, and failed to address the issue of staffing the collegium within the Council.</w:t>
      </w:r>
      <w:r w:rsidRPr="000C5E35">
        <w:rPr>
          <w:rStyle w:val="Funotenzeichen"/>
          <w:lang w:val="en-GB"/>
        </w:rPr>
        <w:footnoteReference w:id="49"/>
      </w:r>
      <w:r w:rsidRPr="000C5E35">
        <w:rPr>
          <w:lang w:val="en-GB"/>
        </w:rPr>
        <w:t xml:space="preserve"> Although the legislation underwent several changes in 27 March 2012,</w:t>
      </w:r>
      <w:r w:rsidRPr="000C5E35">
        <w:rPr>
          <w:rStyle w:val="Funotenzeichen"/>
          <w:lang w:val="en-GB"/>
        </w:rPr>
        <w:footnoteReference w:id="50"/>
      </w:r>
      <w:r w:rsidRPr="000C5E35">
        <w:rPr>
          <w:lang w:val="en-GB"/>
        </w:rPr>
        <w:t xml:space="preserve"> the majority of reforms only focused on ameliorating the lack of transparency in confidential disciplinary proceedings. Some of the less notable changes were the removal of “flagrant violation of the law by a judge” and “the breach of internal regulations” from the grounds for administrative proceedings. </w:t>
      </w:r>
    </w:p>
    <w:p w:rsidR="004810D3" w:rsidRPr="000C5E35" w:rsidRDefault="004810D3" w:rsidP="004810D3">
      <w:pPr>
        <w:contextualSpacing/>
        <w:rPr>
          <w:lang w:val="en-GB"/>
        </w:rPr>
      </w:pPr>
    </w:p>
    <w:p w:rsidR="00D0612C" w:rsidRPr="000C5E35" w:rsidRDefault="00D0612C" w:rsidP="004810D3">
      <w:pPr>
        <w:contextualSpacing/>
        <w:rPr>
          <w:lang w:val="en-GB"/>
        </w:rPr>
      </w:pPr>
      <w:r w:rsidRPr="000C5E35">
        <w:rPr>
          <w:lang w:val="en-GB"/>
        </w:rPr>
        <w:t xml:space="preserve">The regulations on composition of the Disciplinary Collegium also underwent changes. However, this change failed to resolve the main problem related to the conflict of interest of the members of the Disciplinary Collegium. Namely, upon the adoption of the amendment the Disciplinary Collegiums was staffed by five members, out of whom three are judges-members elected to the High Council of Justice by the Conference </w:t>
      </w:r>
      <w:r w:rsidRPr="000C5E35">
        <w:rPr>
          <w:lang w:val="en-GB"/>
        </w:rPr>
        <w:lastRenderedPageBreak/>
        <w:t>of Judges, and two are non-judge members elected by the High Council of Justice from within its members. Moreover, the High Council of Justice was responsible for initiating decisions on subjecting a judge to disciplinary responsibility or suspending the disciplinary proceedings.</w:t>
      </w:r>
      <w:r w:rsidRPr="000C5E35">
        <w:rPr>
          <w:rStyle w:val="Funotenzeichen"/>
          <w:lang w:val="en-GB"/>
        </w:rPr>
        <w:footnoteReference w:id="51"/>
      </w:r>
      <w:r w:rsidRPr="000C5E35">
        <w:rPr>
          <w:lang w:val="en-GB"/>
        </w:rPr>
        <w:t xml:space="preserve"> Obviously, the rule of subjecting a judge to disciplinary proceedings by the HCOJ and reviewing the case by the members of a same body failed to meet the requirement of objectivity and impartiality of disciplinary proceedings. The provisions concerning the staffing of the Disciplinary Board failed to ensure the freedom of the members of the Council from conflict of interest.  </w:t>
      </w:r>
    </w:p>
    <w:p w:rsidR="004810D3" w:rsidRPr="000C5E35" w:rsidRDefault="004810D3" w:rsidP="004810D3">
      <w:pPr>
        <w:contextualSpacing/>
        <w:rPr>
          <w:lang w:val="en-GB"/>
        </w:rPr>
      </w:pPr>
    </w:p>
    <w:p w:rsidR="00D0612C" w:rsidRPr="000C5E35" w:rsidRDefault="00D0612C" w:rsidP="004810D3">
      <w:pPr>
        <w:contextualSpacing/>
        <w:rPr>
          <w:lang w:val="en-GB"/>
        </w:rPr>
      </w:pPr>
      <w:r w:rsidRPr="000C5E35">
        <w:rPr>
          <w:lang w:val="en-GB"/>
        </w:rPr>
        <w:t>If the 2012 amendment</w:t>
      </w:r>
      <w:r w:rsidR="004810D3" w:rsidRPr="000C5E35">
        <w:rPr>
          <w:lang w:val="en-GB"/>
        </w:rPr>
        <w:t xml:space="preserve">s are effectively implemented, </w:t>
      </w:r>
      <w:r w:rsidRPr="000C5E35">
        <w:rPr>
          <w:lang w:val="en-GB"/>
        </w:rPr>
        <w:t>the Disciplinary Collegium will transform into the independent body and the issue of conflict of interest shall be resolved.</w:t>
      </w:r>
      <w:r w:rsidRPr="000C5E35">
        <w:rPr>
          <w:rStyle w:val="Funotenzeichen"/>
          <w:lang w:val="en-GB"/>
        </w:rPr>
        <w:footnoteReference w:id="52"/>
      </w:r>
    </w:p>
    <w:p w:rsidR="00D0612C" w:rsidRPr="000C5E35" w:rsidRDefault="00D0612C" w:rsidP="00D0612C">
      <w:pPr>
        <w:rPr>
          <w:b/>
          <w:sz w:val="24"/>
          <w:szCs w:val="24"/>
          <w:lang w:val="en-GB"/>
        </w:rPr>
      </w:pPr>
    </w:p>
    <w:p w:rsidR="00D0612C" w:rsidRPr="000C5E35" w:rsidRDefault="00D0612C" w:rsidP="00B23E0F">
      <w:pPr>
        <w:rPr>
          <w:b/>
          <w:lang w:val="en-GB"/>
        </w:rPr>
      </w:pPr>
      <w:r w:rsidRPr="000C5E35">
        <w:rPr>
          <w:b/>
          <w:lang w:val="en-GB"/>
        </w:rPr>
        <w:t>The High School of Justice and the Competition for Judicial Positions</w:t>
      </w:r>
    </w:p>
    <w:p w:rsidR="00D0612C" w:rsidRPr="000C5E35" w:rsidRDefault="004810D3" w:rsidP="004810D3">
      <w:pPr>
        <w:contextualSpacing/>
        <w:rPr>
          <w:lang w:val="en-GB"/>
        </w:rPr>
      </w:pPr>
      <w:r w:rsidRPr="000C5E35">
        <w:rPr>
          <w:lang w:val="en-GB"/>
        </w:rPr>
        <w:t xml:space="preserve">Obviously, to ensure judicial independence and a high quality of judiciary, the selection and training of future judges is paramount. </w:t>
      </w:r>
      <w:r w:rsidR="00D0612C" w:rsidRPr="000C5E35">
        <w:rPr>
          <w:lang w:val="en-GB"/>
        </w:rPr>
        <w:t>The High School of Justice was established in 2006. The school has dual goals. First, it attempts to improve the qualifications of sitting judges. Second, it acts as a school for judges who wish to be appointed.</w:t>
      </w:r>
      <w:r w:rsidR="00D0612C" w:rsidRPr="000C5E35">
        <w:rPr>
          <w:rStyle w:val="Funotenzeichen"/>
          <w:lang w:val="en-GB"/>
        </w:rPr>
        <w:footnoteReference w:id="53"/>
      </w:r>
    </w:p>
    <w:p w:rsidR="004810D3" w:rsidRPr="000C5E35" w:rsidRDefault="004810D3" w:rsidP="004810D3">
      <w:pPr>
        <w:contextualSpacing/>
        <w:rPr>
          <w:lang w:val="en-GB"/>
        </w:rPr>
      </w:pPr>
    </w:p>
    <w:p w:rsidR="00D0612C" w:rsidRPr="000C5E35" w:rsidRDefault="004810D3" w:rsidP="004810D3">
      <w:pPr>
        <w:contextualSpacing/>
        <w:rPr>
          <w:lang w:val="en-GB"/>
        </w:rPr>
      </w:pPr>
      <w:r w:rsidRPr="000C5E35">
        <w:rPr>
          <w:lang w:val="en-GB"/>
        </w:rPr>
        <w:t>The school has three main weaknesses. F</w:t>
      </w:r>
      <w:r w:rsidR="00D0612C" w:rsidRPr="000C5E35">
        <w:rPr>
          <w:lang w:val="en-GB"/>
        </w:rPr>
        <w:t>irst, there is</w:t>
      </w:r>
      <w:r w:rsidRPr="000C5E35">
        <w:rPr>
          <w:lang w:val="en-GB"/>
        </w:rPr>
        <w:t xml:space="preserve"> a low degree of transparency in</w:t>
      </w:r>
      <w:r w:rsidR="00D0612C" w:rsidRPr="000C5E35">
        <w:rPr>
          <w:lang w:val="en-GB"/>
        </w:rPr>
        <w:t xml:space="preserve"> the process of admission of new students. Second, there is an unreasonably short period of time for the competition for admission to the school. Third, the remarks made by the members of t</w:t>
      </w:r>
      <w:r w:rsidRPr="000C5E35">
        <w:rPr>
          <w:lang w:val="en-GB"/>
        </w:rPr>
        <w:t>he High Council of Justice are inaccessible to</w:t>
      </w:r>
      <w:r w:rsidR="00D0612C" w:rsidRPr="000C5E35">
        <w:rPr>
          <w:lang w:val="en-GB"/>
        </w:rPr>
        <w:t xml:space="preserve"> the students.</w:t>
      </w:r>
      <w:r w:rsidR="00D0612C" w:rsidRPr="000C5E35">
        <w:rPr>
          <w:rStyle w:val="Funotenzeichen"/>
          <w:rFonts w:eastAsia="Sylfaen" w:cs="Sylfaen"/>
          <w:lang w:val="en-GB"/>
        </w:rPr>
        <w:footnoteReference w:id="54"/>
      </w:r>
    </w:p>
    <w:p w:rsidR="00D0612C" w:rsidRPr="000C5E35" w:rsidRDefault="00D0612C" w:rsidP="00D0612C">
      <w:pPr>
        <w:rPr>
          <w:b/>
          <w:sz w:val="24"/>
          <w:szCs w:val="24"/>
          <w:lang w:val="en-GB"/>
        </w:rPr>
      </w:pPr>
    </w:p>
    <w:p w:rsidR="00D0612C" w:rsidRPr="003008F9" w:rsidRDefault="00D0612C" w:rsidP="00B23E0F">
      <w:pPr>
        <w:rPr>
          <w:b/>
          <w:lang w:val="en-GB"/>
        </w:rPr>
      </w:pPr>
      <w:r w:rsidRPr="003008F9">
        <w:rPr>
          <w:b/>
          <w:lang w:val="en-GB"/>
        </w:rPr>
        <w:t>Remuneration of Judges</w:t>
      </w:r>
    </w:p>
    <w:p w:rsidR="00D0612C" w:rsidRPr="003008F9" w:rsidRDefault="004810D3" w:rsidP="004810D3">
      <w:pPr>
        <w:contextualSpacing/>
        <w:rPr>
          <w:rFonts w:cs="Sylfaen"/>
          <w:bCs/>
          <w:lang w:val="en-GB"/>
        </w:rPr>
      </w:pPr>
      <w:r w:rsidRPr="003008F9">
        <w:rPr>
          <w:lang w:val="en-GB"/>
        </w:rPr>
        <w:t>Remuneration is also essential for increasing judicial independence and quality. Remun</w:t>
      </w:r>
      <w:r w:rsidR="00F743CF" w:rsidRPr="003008F9">
        <w:rPr>
          <w:lang w:val="en-GB"/>
        </w:rPr>
        <w:t>eration</w:t>
      </w:r>
      <w:r w:rsidR="00D0612C" w:rsidRPr="003008F9">
        <w:rPr>
          <w:lang w:val="en-GB"/>
        </w:rPr>
        <w:t xml:space="preserve"> has been lauded </w:t>
      </w:r>
      <w:r w:rsidR="00F743CF" w:rsidRPr="003008F9">
        <w:rPr>
          <w:lang w:val="en-GB"/>
        </w:rPr>
        <w:t>as a successful j</w:t>
      </w:r>
      <w:r w:rsidRPr="003008F9">
        <w:rPr>
          <w:lang w:val="en-GB"/>
        </w:rPr>
        <w:t>udicial reform in some quarters</w:t>
      </w:r>
      <w:r w:rsidR="00D0612C" w:rsidRPr="003008F9">
        <w:rPr>
          <w:lang w:val="en-GB"/>
        </w:rPr>
        <w:t>. However, the issuance of sala</w:t>
      </w:r>
      <w:r w:rsidRPr="003008F9">
        <w:rPr>
          <w:lang w:val="en-GB"/>
        </w:rPr>
        <w:t xml:space="preserve">ries and salary supplements has been </w:t>
      </w:r>
      <w:r w:rsidR="00D0612C" w:rsidRPr="003008F9">
        <w:rPr>
          <w:lang w:val="en-GB"/>
        </w:rPr>
        <w:t>problematic. The problem is caused by inadequate legal framework and by a rather obscure practice, which in principle questions the reasonableness of the salary supplements in general. The law sets neither minimum nor maximum amounts for the salary supplements, whi</w:t>
      </w:r>
      <w:r w:rsidRPr="003008F9">
        <w:rPr>
          <w:lang w:val="en-GB"/>
        </w:rPr>
        <w:t xml:space="preserve">ch allows the authorised body, the Council, </w:t>
      </w:r>
      <w:r w:rsidR="00D0612C" w:rsidRPr="003008F9">
        <w:rPr>
          <w:lang w:val="en-GB"/>
        </w:rPr>
        <w:t>to make an unjustified decision, thus endangering the independence of judges.</w:t>
      </w:r>
      <w:r w:rsidR="00D0612C" w:rsidRPr="003008F9">
        <w:rPr>
          <w:rStyle w:val="Funotenzeichen"/>
          <w:rFonts w:cs="Sylfaen"/>
          <w:bCs/>
          <w:lang w:val="en-GB"/>
        </w:rPr>
        <w:footnoteReference w:id="55"/>
      </w:r>
    </w:p>
    <w:p w:rsidR="00D0612C" w:rsidRPr="003008F9" w:rsidRDefault="00D0612C" w:rsidP="00D061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rPr>
          <w:rFonts w:eastAsia="Sylfaen"/>
          <w:sz w:val="24"/>
          <w:szCs w:val="24"/>
          <w:lang w:val="en-GB"/>
        </w:rPr>
      </w:pPr>
    </w:p>
    <w:p w:rsidR="00D0612C" w:rsidRPr="003008F9" w:rsidRDefault="004810D3" w:rsidP="00B23E0F">
      <w:pPr>
        <w:rPr>
          <w:rFonts w:eastAsia="Sylfaen"/>
          <w:b/>
          <w:lang w:val="en-GB"/>
        </w:rPr>
      </w:pPr>
      <w:r w:rsidRPr="003008F9">
        <w:rPr>
          <w:rFonts w:eastAsia="Sylfaen"/>
          <w:b/>
          <w:lang w:val="en-GB"/>
        </w:rPr>
        <w:t>Appointing Judges for Life</w:t>
      </w:r>
    </w:p>
    <w:p w:rsidR="00D0612C" w:rsidRPr="003008F9" w:rsidRDefault="00D0612C" w:rsidP="004810D3">
      <w:pPr>
        <w:widowControl w:val="0"/>
        <w:autoSpaceDE w:val="0"/>
        <w:autoSpaceDN w:val="0"/>
        <w:adjustRightInd w:val="0"/>
        <w:contextualSpacing/>
        <w:rPr>
          <w:rFonts w:eastAsia="Sylfaen"/>
          <w:lang w:val="en-GB"/>
        </w:rPr>
      </w:pPr>
      <w:r w:rsidRPr="003008F9">
        <w:rPr>
          <w:rFonts w:eastAsia="Sylfaen"/>
          <w:lang w:val="en-GB"/>
        </w:rPr>
        <w:t>After the 2013 presidential election, the Constitutional amendments will come into effect and judges in Georgia will be appointed for life. However, the Constitution contains a note stating that</w:t>
      </w:r>
      <w:r w:rsidR="00F743CF" w:rsidRPr="003008F9">
        <w:rPr>
          <w:rFonts w:eastAsia="Sylfaen"/>
          <w:lang w:val="en-GB"/>
        </w:rPr>
        <w:t>,</w:t>
      </w:r>
      <w:r w:rsidRPr="003008F9">
        <w:rPr>
          <w:rFonts w:eastAsia="Sylfaen"/>
          <w:lang w:val="en-GB"/>
        </w:rPr>
        <w:t xml:space="preserve"> prior to the permanent appointment</w:t>
      </w:r>
      <w:r w:rsidR="00F743CF" w:rsidRPr="003008F9">
        <w:rPr>
          <w:rFonts w:eastAsia="Sylfaen"/>
          <w:lang w:val="en-GB"/>
        </w:rPr>
        <w:t>,</w:t>
      </w:r>
      <w:r w:rsidRPr="003008F9">
        <w:rPr>
          <w:rFonts w:eastAsia="Sylfaen"/>
          <w:lang w:val="en-GB"/>
        </w:rPr>
        <w:t xml:space="preserve"> judges may be appointed for probation period for 3 years.</w:t>
      </w:r>
      <w:r w:rsidRPr="003008F9">
        <w:rPr>
          <w:rStyle w:val="Funotenzeichen"/>
          <w:rFonts w:eastAsia="Sylfaen"/>
          <w:lang w:val="en-GB"/>
        </w:rPr>
        <w:footnoteReference w:id="56"/>
      </w:r>
      <w:r w:rsidRPr="003008F9">
        <w:rPr>
          <w:rFonts w:eastAsia="Sylfaen"/>
          <w:lang w:val="en-GB"/>
        </w:rPr>
        <w:t xml:space="preserve"> Th</w:t>
      </w:r>
      <w:r w:rsidR="007515D6" w:rsidRPr="003008F9">
        <w:rPr>
          <w:rFonts w:eastAsia="Sylfaen"/>
          <w:lang w:val="en-GB"/>
        </w:rPr>
        <w:t>is</w:t>
      </w:r>
      <w:r w:rsidRPr="003008F9">
        <w:rPr>
          <w:rFonts w:eastAsia="Sylfaen"/>
          <w:lang w:val="en-GB"/>
        </w:rPr>
        <w:t xml:space="preserve"> provision was negatively assessed by civil society</w:t>
      </w:r>
      <w:r w:rsidRPr="003008F9">
        <w:rPr>
          <w:rStyle w:val="Funotenzeichen"/>
          <w:rFonts w:eastAsia="Sylfaen"/>
          <w:lang w:val="en-GB"/>
        </w:rPr>
        <w:footnoteReference w:id="57"/>
      </w:r>
      <w:r w:rsidRPr="003008F9">
        <w:rPr>
          <w:rFonts w:eastAsia="Sylfaen"/>
          <w:lang w:val="en-GB"/>
        </w:rPr>
        <w:t xml:space="preserve"> and was considered inadmissible by the Venice Commission</w:t>
      </w:r>
      <w:r w:rsidRPr="003008F9">
        <w:rPr>
          <w:rStyle w:val="Funotenzeichen"/>
          <w:rFonts w:eastAsia="Sylfaen"/>
          <w:lang w:val="en-GB"/>
        </w:rPr>
        <w:footnoteReference w:id="58"/>
      </w:r>
      <w:r w:rsidRPr="003008F9">
        <w:rPr>
          <w:rFonts w:eastAsia="Sylfaen"/>
          <w:lang w:val="en-GB"/>
        </w:rPr>
        <w:t xml:space="preserve"> that reviewed the Constitutional amendment.</w:t>
      </w:r>
    </w:p>
    <w:p w:rsidR="00D0612C" w:rsidRPr="003008F9" w:rsidRDefault="00D0612C" w:rsidP="00D0612C">
      <w:pPr>
        <w:widowControl w:val="0"/>
        <w:autoSpaceDE w:val="0"/>
        <w:autoSpaceDN w:val="0"/>
        <w:adjustRightInd w:val="0"/>
        <w:rPr>
          <w:rFonts w:eastAsia="Sylfaen" w:cs="Sylfaen"/>
          <w:b/>
          <w:i/>
          <w:sz w:val="24"/>
          <w:szCs w:val="24"/>
          <w:lang w:val="en-GB"/>
        </w:rPr>
      </w:pPr>
    </w:p>
    <w:p w:rsidR="007515D6" w:rsidRPr="00A87D36" w:rsidRDefault="007515D6" w:rsidP="007515D6">
      <w:pPr>
        <w:rPr>
          <w:b/>
          <w:i/>
          <w:lang w:val="en-GB"/>
        </w:rPr>
      </w:pPr>
      <w:r w:rsidRPr="00A87D36">
        <w:rPr>
          <w:b/>
          <w:i/>
          <w:lang w:val="en-GB"/>
        </w:rPr>
        <w:lastRenderedPageBreak/>
        <w:t>Recommendations:</w:t>
      </w:r>
    </w:p>
    <w:p w:rsidR="007515D6" w:rsidRPr="003008F9" w:rsidRDefault="007515D6" w:rsidP="007515D6">
      <w:pPr>
        <w:rPr>
          <w:b/>
          <w:lang w:val="en-GB"/>
        </w:rPr>
      </w:pPr>
      <w:r w:rsidRPr="003008F9">
        <w:rPr>
          <w:b/>
          <w:lang w:val="en-GB"/>
        </w:rPr>
        <w:t>Transparency and Publicity of the Judiciary</w:t>
      </w: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lang w:val="en-GB"/>
        </w:rPr>
      </w:pPr>
      <w:r w:rsidRPr="003008F9">
        <w:rPr>
          <w:rFonts w:cs="Sylfaen"/>
          <w:sz w:val="24"/>
          <w:szCs w:val="24"/>
          <w:lang w:val="en-GB"/>
        </w:rPr>
        <w:t xml:space="preserve">1/ </w:t>
      </w:r>
      <w:r w:rsidRPr="003008F9">
        <w:rPr>
          <w:rFonts w:cs="Sylfaen"/>
          <w:lang w:val="en-GB"/>
        </w:rPr>
        <w:t xml:space="preserve">Consistent with the improvement of transparency of court proceedings, it is crucial to improve the transparency of the High Council of Justice. </w:t>
      </w:r>
    </w:p>
    <w:p w:rsidR="00F743CF" w:rsidRPr="003008F9" w:rsidRDefault="00F743CF"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lang w:val="en-GB"/>
        </w:rPr>
      </w:pP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lang w:val="en-GB"/>
        </w:rPr>
      </w:pPr>
      <w:r w:rsidRPr="003008F9">
        <w:rPr>
          <w:lang w:val="en-GB"/>
        </w:rPr>
        <w:t>2/ Organisation of periodic public events, proactive public relations and participation in the public debates related to the judiciary should</w:t>
      </w:r>
      <w:r w:rsidR="00F743CF" w:rsidRPr="003008F9">
        <w:rPr>
          <w:lang w:val="en-GB"/>
        </w:rPr>
        <w:t xml:space="preserve"> become </w:t>
      </w:r>
      <w:r w:rsidRPr="003008F9">
        <w:rPr>
          <w:lang w:val="en-GB"/>
        </w:rPr>
        <w:t xml:space="preserve">strategic objectives of the judiciary. It is also important to increase the possibilities of communication with judges of courts of all levels. </w:t>
      </w: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Sylfaen"/>
          <w:b/>
          <w:i/>
          <w:sz w:val="24"/>
          <w:szCs w:val="24"/>
          <w:lang w:val="en-GB"/>
        </w:rPr>
      </w:pPr>
    </w:p>
    <w:p w:rsidR="007515D6" w:rsidRPr="003008F9" w:rsidRDefault="007515D6" w:rsidP="007515D6">
      <w:pPr>
        <w:rPr>
          <w:b/>
          <w:lang w:val="en-GB"/>
        </w:rPr>
      </w:pPr>
      <w:r w:rsidRPr="003008F9">
        <w:rPr>
          <w:b/>
          <w:lang w:val="en-GB"/>
        </w:rPr>
        <w:t>Strengthening self-governance and independence of Judges</w:t>
      </w: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lang w:val="en-GB"/>
        </w:rPr>
      </w:pPr>
      <w:r w:rsidRPr="003008F9">
        <w:rPr>
          <w:rFonts w:cs="Sylfaen"/>
          <w:lang w:val="en-GB"/>
        </w:rPr>
        <w:t>3/ E</w:t>
      </w:r>
      <w:r w:rsidRPr="003008F9">
        <w:rPr>
          <w:lang w:val="en-GB"/>
        </w:rPr>
        <w:t>stablish a principle of electing Chair</w:t>
      </w:r>
      <w:r w:rsidR="004F43CD" w:rsidRPr="003008F9">
        <w:rPr>
          <w:lang w:val="en-GB"/>
        </w:rPr>
        <w:t>persons</w:t>
      </w:r>
      <w:r w:rsidRPr="003008F9">
        <w:rPr>
          <w:lang w:val="en-GB"/>
        </w:rPr>
        <w:t xml:space="preserve"> of Courts</w:t>
      </w:r>
      <w:r w:rsidRPr="003008F9">
        <w:rPr>
          <w:rFonts w:cs="Sylfaen"/>
          <w:lang w:val="en-GB"/>
        </w:rPr>
        <w:t>,</w:t>
      </w:r>
      <w:r w:rsidRPr="003008F9">
        <w:rPr>
          <w:lang w:val="en-GB"/>
        </w:rPr>
        <w:t xml:space="preserve"> in order to limit the subjective decisions by the Council and to ensure healthy relations between the chairman and other judges of the court.</w:t>
      </w:r>
    </w:p>
    <w:p w:rsidR="00F743CF" w:rsidRPr="003008F9" w:rsidRDefault="00F743CF"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lang w:val="en-GB"/>
        </w:rPr>
      </w:pP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b/>
          <w:i/>
          <w:lang w:val="en-GB"/>
        </w:rPr>
      </w:pPr>
      <w:r w:rsidRPr="003008F9">
        <w:rPr>
          <w:rFonts w:cs="Sylfaen"/>
          <w:lang w:val="en-GB"/>
        </w:rPr>
        <w:t xml:space="preserve">4/ Promotion and appraisal of judges remains to be one of the most acute and unresolved issues, thus it is important to detach the function of appraisal and promotion of judges form the competencies of the High Council of Justice. For this purpose a separate body </w:t>
      </w:r>
      <w:r w:rsidRPr="003008F9">
        <w:rPr>
          <w:lang w:val="en-GB"/>
        </w:rPr>
        <w:t>responsible for career development of judges</w:t>
      </w:r>
      <w:r w:rsidRPr="003008F9">
        <w:rPr>
          <w:rFonts w:cs="Sylfaen"/>
          <w:lang w:val="en-GB"/>
        </w:rPr>
        <w:t xml:space="preserve"> shall be set up by the Conference of Judges</w:t>
      </w:r>
      <w:r w:rsidRPr="003008F9">
        <w:rPr>
          <w:lang w:val="en-GB"/>
        </w:rPr>
        <w:t xml:space="preserve">. </w:t>
      </w: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Sylfaen"/>
          <w:b/>
          <w:i/>
          <w:lang w:val="en-GB"/>
        </w:rPr>
      </w:pPr>
    </w:p>
    <w:p w:rsidR="007515D6" w:rsidRPr="003008F9" w:rsidRDefault="007515D6" w:rsidP="007515D6">
      <w:pPr>
        <w:rPr>
          <w:b/>
          <w:lang w:val="en-GB"/>
        </w:rPr>
      </w:pPr>
      <w:r w:rsidRPr="003008F9">
        <w:rPr>
          <w:b/>
          <w:lang w:val="en-GB"/>
        </w:rPr>
        <w:t>Appointment of Judges</w:t>
      </w:r>
    </w:p>
    <w:p w:rsidR="007515D6" w:rsidRPr="003008F9" w:rsidRDefault="007515D6"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lang w:val="en-GB"/>
        </w:rPr>
      </w:pPr>
      <w:r w:rsidRPr="003008F9">
        <w:rPr>
          <w:rFonts w:cs="Sylfaen"/>
          <w:lang w:val="en-GB"/>
        </w:rPr>
        <w:t xml:space="preserve">5/ </w:t>
      </w:r>
      <w:proofErr w:type="gramStart"/>
      <w:r w:rsidRPr="003008F9">
        <w:rPr>
          <w:rFonts w:cs="Sylfaen"/>
          <w:lang w:val="en-GB"/>
        </w:rPr>
        <w:t>The</w:t>
      </w:r>
      <w:proofErr w:type="gramEnd"/>
      <w:r w:rsidRPr="003008F9">
        <w:rPr>
          <w:rFonts w:cs="Sylfaen"/>
          <w:lang w:val="en-GB"/>
        </w:rPr>
        <w:t xml:space="preserve"> provision of the Constitution of Georgia concerning probationary period of three years for judges prior to thei</w:t>
      </w:r>
      <w:r w:rsidR="00F743CF" w:rsidRPr="003008F9">
        <w:rPr>
          <w:rFonts w:cs="Sylfaen"/>
          <w:lang w:val="en-GB"/>
        </w:rPr>
        <w:t>r appointment of life time should</w:t>
      </w:r>
      <w:r w:rsidRPr="003008F9">
        <w:rPr>
          <w:rFonts w:cs="Sylfaen"/>
          <w:lang w:val="en-GB"/>
        </w:rPr>
        <w:t xml:space="preserve"> not be applied. </w:t>
      </w:r>
      <w:r w:rsidRPr="003008F9">
        <w:rPr>
          <w:lang w:val="en-GB"/>
        </w:rPr>
        <w:t>It is important to promptly start a discussion and to establish a clear procedure for transition to appointment of judges for life.</w:t>
      </w:r>
    </w:p>
    <w:p w:rsidR="00F743CF" w:rsidRPr="003008F9" w:rsidRDefault="00F743CF" w:rsidP="007515D6">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lang w:val="en-GB"/>
        </w:rPr>
      </w:pPr>
    </w:p>
    <w:p w:rsidR="007515D6" w:rsidRPr="003008F9" w:rsidRDefault="007515D6" w:rsidP="002D2A2A">
      <w:pPr>
        <w:widowControl w:val="0"/>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eastAsia="Sylfaen" w:cs="Sylfaen"/>
          <w:b/>
          <w:i/>
          <w:sz w:val="24"/>
          <w:szCs w:val="24"/>
          <w:lang w:val="en-GB"/>
        </w:rPr>
      </w:pPr>
      <w:r w:rsidRPr="003008F9">
        <w:rPr>
          <w:lang w:val="en-GB"/>
        </w:rPr>
        <w:t xml:space="preserve">6/ </w:t>
      </w:r>
      <w:proofErr w:type="gramStart"/>
      <w:r w:rsidRPr="003008F9">
        <w:rPr>
          <w:lang w:val="en-GB"/>
        </w:rPr>
        <w:t>The</w:t>
      </w:r>
      <w:proofErr w:type="gramEnd"/>
      <w:r w:rsidRPr="003008F9">
        <w:rPr>
          <w:lang w:val="en-GB"/>
        </w:rPr>
        <w:t xml:space="preserve"> procedures for appointment of judges and admission of students to the High School of Justice shall become transparent. Minimum requirements for justification of decisions made in this process by the HCOJ shall be established. </w:t>
      </w:r>
    </w:p>
    <w:p w:rsidR="00D0612C" w:rsidRDefault="00B36755" w:rsidP="006C0B99">
      <w:pPr>
        <w:pStyle w:val="berschrift2"/>
        <w:rPr>
          <w:rFonts w:eastAsia="Sylfaen"/>
          <w:lang w:val="en-GB"/>
        </w:rPr>
      </w:pPr>
      <w:bookmarkStart w:id="23" w:name="_Toc363492738"/>
      <w:r>
        <w:rPr>
          <w:rFonts w:eastAsia="Sylfaen"/>
          <w:lang w:val="en-GB"/>
        </w:rPr>
        <w:t>General Problems with the Right to a Fair Trial (article 14)</w:t>
      </w:r>
      <w:bookmarkEnd w:id="23"/>
    </w:p>
    <w:p w:rsidR="007515D6" w:rsidRPr="005B7B46" w:rsidRDefault="007515D6" w:rsidP="007515D6">
      <w:pPr>
        <w:widowControl w:val="0"/>
        <w:autoSpaceDE w:val="0"/>
        <w:autoSpaceDN w:val="0"/>
        <w:adjustRightInd w:val="0"/>
        <w:contextualSpacing/>
        <w:rPr>
          <w:rFonts w:eastAsia="Sylfaen"/>
          <w:szCs w:val="22"/>
          <w:lang w:val="en-GB"/>
        </w:rPr>
      </w:pPr>
      <w:r w:rsidRPr="005B7B46">
        <w:rPr>
          <w:rFonts w:eastAsia="Sylfaen"/>
          <w:szCs w:val="22"/>
          <w:lang w:val="en-GB"/>
        </w:rPr>
        <w:t>When considering article 14 of the ICCPR, on the right to a fair trial, the HRC focused on problems with the judiciary. However</w:t>
      </w:r>
      <w:r w:rsidR="005B0697">
        <w:rPr>
          <w:rFonts w:eastAsia="Sylfaen"/>
          <w:szCs w:val="22"/>
          <w:lang w:val="en-GB"/>
        </w:rPr>
        <w:t>,</w:t>
      </w:r>
      <w:r w:rsidRPr="005B7B46">
        <w:rPr>
          <w:rFonts w:eastAsia="Sylfaen"/>
          <w:szCs w:val="22"/>
          <w:lang w:val="en-GB"/>
        </w:rPr>
        <w:t xml:space="preserve"> in addition to discussing the judiciary, it is worth considering</w:t>
      </w:r>
      <w:r w:rsidR="00D0612C" w:rsidRPr="005B7B46">
        <w:rPr>
          <w:rFonts w:eastAsia="Sylfaen"/>
          <w:szCs w:val="22"/>
          <w:lang w:val="en-GB"/>
        </w:rPr>
        <w:t xml:space="preserve"> practical problem</w:t>
      </w:r>
      <w:r w:rsidR="00B36755" w:rsidRPr="005B7B46">
        <w:rPr>
          <w:rFonts w:eastAsia="Sylfaen"/>
          <w:szCs w:val="22"/>
          <w:lang w:val="en-GB"/>
        </w:rPr>
        <w:t>s related to the operation of the</w:t>
      </w:r>
      <w:r w:rsidR="00D0612C" w:rsidRPr="005B7B46">
        <w:rPr>
          <w:rFonts w:eastAsia="Sylfaen"/>
          <w:szCs w:val="22"/>
          <w:lang w:val="en-GB"/>
        </w:rPr>
        <w:t xml:space="preserve"> courts</w:t>
      </w:r>
      <w:r w:rsidR="00B36755" w:rsidRPr="005B7B46">
        <w:rPr>
          <w:rFonts w:eastAsia="Sylfaen"/>
          <w:szCs w:val="22"/>
          <w:lang w:val="en-GB"/>
        </w:rPr>
        <w:t xml:space="preserve"> and the </w:t>
      </w:r>
      <w:r w:rsidR="00A5388C">
        <w:rPr>
          <w:rFonts w:eastAsia="Sylfaen"/>
          <w:szCs w:val="22"/>
          <w:lang w:val="en-GB"/>
        </w:rPr>
        <w:t>C</w:t>
      </w:r>
      <w:r w:rsidR="00B36755" w:rsidRPr="005B7B46">
        <w:rPr>
          <w:rFonts w:eastAsia="Sylfaen"/>
          <w:szCs w:val="22"/>
          <w:lang w:val="en-GB"/>
        </w:rPr>
        <w:t xml:space="preserve">riminal </w:t>
      </w:r>
      <w:r w:rsidR="00A5388C">
        <w:rPr>
          <w:rFonts w:eastAsia="Sylfaen"/>
          <w:szCs w:val="22"/>
          <w:lang w:val="en-GB"/>
        </w:rPr>
        <w:t>P</w:t>
      </w:r>
      <w:r w:rsidR="00B36755" w:rsidRPr="005B7B46">
        <w:rPr>
          <w:rFonts w:eastAsia="Sylfaen"/>
          <w:szCs w:val="22"/>
          <w:lang w:val="en-GB"/>
        </w:rPr>
        <w:t xml:space="preserve">rocedural </w:t>
      </w:r>
      <w:r w:rsidR="00A5388C">
        <w:rPr>
          <w:rFonts w:eastAsia="Sylfaen"/>
          <w:szCs w:val="22"/>
          <w:lang w:val="en-GB"/>
        </w:rPr>
        <w:t>C</w:t>
      </w:r>
      <w:r w:rsidR="00B36755" w:rsidRPr="005B7B46">
        <w:rPr>
          <w:rFonts w:eastAsia="Sylfaen"/>
          <w:szCs w:val="22"/>
          <w:lang w:val="en-GB"/>
        </w:rPr>
        <w:t>ode</w:t>
      </w:r>
      <w:r w:rsidRPr="005B7B46">
        <w:rPr>
          <w:rFonts w:eastAsia="Sylfaen"/>
          <w:szCs w:val="22"/>
          <w:lang w:val="en-GB"/>
        </w:rPr>
        <w:t xml:space="preserve">. Several such problems were revealed between 2007 and </w:t>
      </w:r>
      <w:r w:rsidR="00B36755" w:rsidRPr="005B7B46">
        <w:rPr>
          <w:rFonts w:eastAsia="Sylfaen"/>
          <w:szCs w:val="22"/>
          <w:lang w:val="en-GB"/>
        </w:rPr>
        <w:t>2013, both legislative and practical.</w:t>
      </w: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b/>
          <w:i/>
          <w:szCs w:val="22"/>
          <w:lang w:val="en-GB"/>
        </w:rPr>
      </w:pP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The new CP</w:t>
      </w:r>
      <w:r w:rsidR="002B132C">
        <w:rPr>
          <w:rFonts w:cs="Sylfaen"/>
          <w:szCs w:val="22"/>
          <w:lang w:val="en-GB"/>
        </w:rPr>
        <w:t>C that came into force in 2010</w:t>
      </w:r>
      <w:proofErr w:type="gramStart"/>
      <w:r w:rsidR="002B132C">
        <w:rPr>
          <w:rFonts w:cs="Sylfaen"/>
          <w:szCs w:val="22"/>
          <w:lang w:val="en-GB"/>
        </w:rPr>
        <w:t>,</w:t>
      </w:r>
      <w:r w:rsidRPr="005B7B46">
        <w:rPr>
          <w:rFonts w:cs="Sylfaen"/>
          <w:szCs w:val="22"/>
          <w:lang w:val="en-GB"/>
        </w:rPr>
        <w:t>is</w:t>
      </w:r>
      <w:proofErr w:type="gramEnd"/>
      <w:r w:rsidRPr="005B7B46">
        <w:rPr>
          <w:rFonts w:cs="Sylfaen"/>
          <w:szCs w:val="22"/>
          <w:lang w:val="en-GB"/>
        </w:rPr>
        <w:t xml:space="preserve"> based on the pur</w:t>
      </w:r>
      <w:r w:rsidR="00C32C9B">
        <w:rPr>
          <w:rFonts w:cs="Sylfaen"/>
          <w:szCs w:val="22"/>
          <w:lang w:val="en-GB"/>
        </w:rPr>
        <w:t>e adversarial system of justice</w:t>
      </w:r>
      <w:r w:rsidRPr="005B7B46">
        <w:rPr>
          <w:rFonts w:cs="Sylfaen"/>
          <w:szCs w:val="22"/>
          <w:lang w:val="en-GB"/>
        </w:rPr>
        <w:t>.</w:t>
      </w:r>
      <w:r w:rsidR="00F743CF" w:rsidRPr="005B7B46">
        <w:rPr>
          <w:rFonts w:cs="Sylfaen"/>
          <w:szCs w:val="22"/>
          <w:lang w:val="en-GB"/>
        </w:rPr>
        <w:t xml:space="preserve"> However, there </w:t>
      </w:r>
      <w:r w:rsidRPr="005B7B46">
        <w:rPr>
          <w:szCs w:val="22"/>
          <w:lang w:val="en-GB"/>
        </w:rPr>
        <w:t>are deficiencies</w:t>
      </w:r>
      <w:r w:rsidR="00B36755" w:rsidRPr="005B7B46">
        <w:rPr>
          <w:szCs w:val="22"/>
          <w:lang w:val="en-GB"/>
        </w:rPr>
        <w:t xml:space="preserve"> in the code that</w:t>
      </w:r>
      <w:r w:rsidRPr="005B7B46">
        <w:rPr>
          <w:szCs w:val="22"/>
          <w:lang w:val="en-GB"/>
        </w:rPr>
        <w:t xml:space="preserve"> contradict this principle and prevent the defendant from effectively exercising </w:t>
      </w:r>
      <w:r w:rsidR="00582D3C">
        <w:rPr>
          <w:szCs w:val="22"/>
          <w:lang w:val="en-GB"/>
        </w:rPr>
        <w:t>her/</w:t>
      </w:r>
      <w:r w:rsidRPr="005B7B46">
        <w:rPr>
          <w:szCs w:val="22"/>
          <w:lang w:val="en-GB"/>
        </w:rPr>
        <w:t>his right to fair trial.</w:t>
      </w:r>
    </w:p>
    <w:p w:rsidR="00B36755" w:rsidRPr="005B7B46" w:rsidRDefault="00B36755"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The new CPC establishes that</w:t>
      </w:r>
      <w:r w:rsidR="00F743CF" w:rsidRPr="005B7B46">
        <w:rPr>
          <w:rFonts w:cs="Sylfaen"/>
          <w:szCs w:val="22"/>
          <w:lang w:val="en-GB"/>
        </w:rPr>
        <w:t xml:space="preserve"> the outcome of the case should depend</w:t>
      </w:r>
      <w:r w:rsidRPr="005B7B46">
        <w:rPr>
          <w:rFonts w:cs="Sylfaen"/>
          <w:szCs w:val="22"/>
          <w:lang w:val="en-GB"/>
        </w:rPr>
        <w:t xml:space="preserve"> entirely on the performance of the</w:t>
      </w:r>
      <w:r w:rsidR="00F743CF" w:rsidRPr="005B7B46">
        <w:rPr>
          <w:rFonts w:cs="Sylfaen"/>
          <w:szCs w:val="22"/>
          <w:lang w:val="en-GB"/>
        </w:rPr>
        <w:t xml:space="preserve"> parties (</w:t>
      </w:r>
      <w:r w:rsidRPr="005B7B46">
        <w:rPr>
          <w:rFonts w:cs="Sylfaen"/>
          <w:szCs w:val="22"/>
          <w:lang w:val="en-GB"/>
        </w:rPr>
        <w:t>defence and the prosecution</w:t>
      </w:r>
      <w:r w:rsidR="00F743CF" w:rsidRPr="005B7B46">
        <w:rPr>
          <w:rFonts w:cs="Sylfaen"/>
          <w:szCs w:val="22"/>
          <w:lang w:val="en-GB"/>
        </w:rPr>
        <w:t>), who will present evidence</w:t>
      </w:r>
      <w:r w:rsidRPr="005B7B46">
        <w:rPr>
          <w:rFonts w:cs="Sylfaen"/>
          <w:szCs w:val="22"/>
          <w:lang w:val="en-GB"/>
        </w:rPr>
        <w:t xml:space="preserve"> in the court on equal grounds (Criminal Procedure Code, Art. 9). Despite this legal provision, the rights of the defence are essentially limited in the process of collecting evidence. </w:t>
      </w:r>
    </w:p>
    <w:p w:rsidR="00B36755" w:rsidRPr="005B7B46" w:rsidRDefault="00B36755"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szCs w:val="22"/>
          <w:lang w:val="en-GB"/>
        </w:rPr>
      </w:pP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szCs w:val="22"/>
          <w:lang w:val="en-GB"/>
        </w:rPr>
        <w:t xml:space="preserve">The defence party has no right to carry out a search and/or seizure in order </w:t>
      </w:r>
      <w:r w:rsidR="00F743CF" w:rsidRPr="005B7B46">
        <w:rPr>
          <w:szCs w:val="22"/>
          <w:lang w:val="en-GB"/>
        </w:rPr>
        <w:t>to collect evidence relevant to</w:t>
      </w:r>
      <w:r w:rsidRPr="005B7B46">
        <w:rPr>
          <w:szCs w:val="22"/>
          <w:lang w:val="en-GB"/>
        </w:rPr>
        <w:t xml:space="preserve"> its case, nor can it address the court </w:t>
      </w:r>
      <w:r w:rsidR="009947BE">
        <w:rPr>
          <w:szCs w:val="22"/>
          <w:lang w:val="en-GB"/>
        </w:rPr>
        <w:t xml:space="preserve">with a motion to order the investigative body to </w:t>
      </w:r>
      <w:r w:rsidR="00567524">
        <w:rPr>
          <w:szCs w:val="22"/>
          <w:lang w:val="en-GB"/>
        </w:rPr>
        <w:t>carry out search and/or seizure</w:t>
      </w:r>
      <w:r w:rsidRPr="005B7B46">
        <w:rPr>
          <w:szCs w:val="22"/>
          <w:lang w:val="en-GB"/>
        </w:rPr>
        <w:t>.</w:t>
      </w:r>
      <w:r w:rsidRPr="005B7B46">
        <w:rPr>
          <w:rStyle w:val="Funotenzeichen"/>
          <w:szCs w:val="22"/>
          <w:lang w:val="en-GB"/>
        </w:rPr>
        <w:footnoteReference w:id="59"/>
      </w:r>
    </w:p>
    <w:p w:rsidR="00B36755" w:rsidRPr="005B7B46" w:rsidRDefault="00B36755"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 xml:space="preserve">The rules for summoning and questioning witnesses which represent </w:t>
      </w:r>
      <w:r w:rsidRPr="005B7B46">
        <w:rPr>
          <w:szCs w:val="22"/>
          <w:lang w:val="en-GB"/>
        </w:rPr>
        <w:t>essential investigative actions do not provide a level field for the parties to</w:t>
      </w:r>
      <w:r w:rsidR="00B36755" w:rsidRPr="005B7B46">
        <w:rPr>
          <w:szCs w:val="22"/>
          <w:lang w:val="en-GB"/>
        </w:rPr>
        <w:t xml:space="preserve"> criminal proceedings. A</w:t>
      </w:r>
      <w:r w:rsidRPr="005B7B46">
        <w:rPr>
          <w:szCs w:val="22"/>
          <w:lang w:val="en-GB"/>
        </w:rPr>
        <w:t xml:space="preserve">ccording to Article 332 of the transitional </w:t>
      </w:r>
      <w:r w:rsidRPr="005B7B46">
        <w:rPr>
          <w:szCs w:val="22"/>
          <w:lang w:val="en-GB"/>
        </w:rPr>
        <w:lastRenderedPageBreak/>
        <w:t>provisions of the CPC, until 1 September 2013 the questioning of witness during the investigation shall be carried out on the basis of the regulations of the old CPC. According to the old Code the witness was only obliged to testify before the investigative body.</w:t>
      </w:r>
      <w:r w:rsidRPr="005B7B46">
        <w:rPr>
          <w:rStyle w:val="Funotenzeichen"/>
          <w:szCs w:val="22"/>
          <w:lang w:val="en-GB"/>
        </w:rPr>
        <w:footnoteReference w:id="60"/>
      </w:r>
      <w:r w:rsidRPr="005B7B46">
        <w:rPr>
          <w:szCs w:val="22"/>
          <w:lang w:val="en-GB"/>
        </w:rPr>
        <w:t xml:space="preserve"> The defence party has no mechanism to make the witness testify. </w:t>
      </w:r>
    </w:p>
    <w:p w:rsidR="00B36755" w:rsidRPr="005B7B46" w:rsidRDefault="00B36755"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2F218D" w:rsidRPr="005B7B46" w:rsidRDefault="00D0612C"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 xml:space="preserve">To ensure adversarial proceedings the defence must have full access to the case materials of the prosecution. </w:t>
      </w:r>
      <w:r w:rsidR="002F218D" w:rsidRPr="005B7B46">
        <w:rPr>
          <w:rFonts w:cs="Sylfaen"/>
          <w:szCs w:val="22"/>
          <w:lang w:val="en-GB"/>
        </w:rPr>
        <w:t>According to current legislation, the prosecution has no obligation to provide the defence with all evidence. Even if requested, the prosecution is not require</w:t>
      </w:r>
      <w:r w:rsidR="00BB7DA1">
        <w:rPr>
          <w:rFonts w:cs="Sylfaen"/>
          <w:szCs w:val="22"/>
          <w:lang w:val="en-GB"/>
        </w:rPr>
        <w:t>d</w:t>
      </w:r>
      <w:r w:rsidR="002F218D" w:rsidRPr="005B7B46">
        <w:rPr>
          <w:rFonts w:cs="Sylfaen"/>
          <w:szCs w:val="22"/>
          <w:lang w:val="en-GB"/>
        </w:rPr>
        <w:t xml:space="preserve"> to give exculpatory evidence to the defence.</w:t>
      </w:r>
      <w:r w:rsidR="002F218D" w:rsidRPr="005B7B46">
        <w:rPr>
          <w:rStyle w:val="Funotenzeichen"/>
          <w:szCs w:val="22"/>
          <w:lang w:val="en-GB"/>
        </w:rPr>
        <w:footnoteReference w:id="61"/>
      </w:r>
      <w:r w:rsidR="002F218D" w:rsidRPr="005B7B46">
        <w:rPr>
          <w:rFonts w:cs="Sylfaen"/>
          <w:szCs w:val="22"/>
          <w:lang w:val="en-GB"/>
        </w:rPr>
        <w:t xml:space="preserve"> In addition, government agencies, such as the Ministry of Internal Affairs, have a practice of not disclosing the recordings of video cameras </w:t>
      </w:r>
      <w:r w:rsidR="002F218D" w:rsidRPr="005B7B46">
        <w:rPr>
          <w:szCs w:val="22"/>
          <w:lang w:val="en-GB"/>
        </w:rPr>
        <w:t>installed at public places to the defence, in spite of the fact that the Ministry obviously has this information</w:t>
      </w:r>
      <w:r w:rsidR="00582D3C">
        <w:rPr>
          <w:szCs w:val="22"/>
          <w:lang w:val="en-GB"/>
        </w:rPr>
        <w:t>.</w:t>
      </w:r>
      <w:r w:rsidR="002F218D" w:rsidRPr="005B7B46">
        <w:rPr>
          <w:rStyle w:val="Funotenzeichen"/>
          <w:szCs w:val="22"/>
          <w:lang w:val="en-GB"/>
        </w:rPr>
        <w:footnoteReference w:id="62"/>
      </w:r>
    </w:p>
    <w:p w:rsidR="00D0612C" w:rsidRPr="005B7B46" w:rsidRDefault="00D0612C" w:rsidP="00B36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D0612C" w:rsidRPr="005B7B46" w:rsidRDefault="00D0612C"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T</w:t>
      </w:r>
      <w:r w:rsidR="002F218D" w:rsidRPr="005B7B46">
        <w:rPr>
          <w:rFonts w:cs="Sylfaen"/>
          <w:szCs w:val="22"/>
          <w:lang w:val="en-GB"/>
        </w:rPr>
        <w:t>he right to invite someone to be in attendance as a witness,</w:t>
      </w:r>
      <w:r w:rsidRPr="005B7B46">
        <w:rPr>
          <w:rFonts w:cs="Sylfaen"/>
          <w:szCs w:val="22"/>
          <w:lang w:val="en-GB"/>
        </w:rPr>
        <w:t xml:space="preserve"> while</w:t>
      </w:r>
      <w:r w:rsidR="002F218D" w:rsidRPr="005B7B46">
        <w:rPr>
          <w:rFonts w:cs="Sylfaen"/>
          <w:szCs w:val="22"/>
          <w:lang w:val="en-GB"/>
        </w:rPr>
        <w:t xml:space="preserve"> the state carried</w:t>
      </w:r>
      <w:r w:rsidRPr="005B7B46">
        <w:rPr>
          <w:rFonts w:cs="Sylfaen"/>
          <w:szCs w:val="22"/>
          <w:lang w:val="en-GB"/>
        </w:rPr>
        <w:t xml:space="preserve"> out restrictive investigative measure, such as search and seizure, was an essential guarantee for the defendant</w:t>
      </w:r>
      <w:r w:rsidR="00873041" w:rsidRPr="005B7B46">
        <w:rPr>
          <w:rFonts w:cs="Sylfaen"/>
          <w:szCs w:val="22"/>
          <w:lang w:val="en-GB"/>
        </w:rPr>
        <w:t xml:space="preserve"> under the old code</w:t>
      </w:r>
      <w:r w:rsidRPr="005B7B46">
        <w:rPr>
          <w:rFonts w:cs="Sylfaen"/>
          <w:szCs w:val="22"/>
          <w:lang w:val="en-GB"/>
        </w:rPr>
        <w:t>. The new code, however, included the institute of inviting an attendee only for the transitional period. Thus the application of this norm has ceased to function on 1 October 2012.</w:t>
      </w:r>
      <w:r w:rsidRPr="005B7B46">
        <w:rPr>
          <w:rStyle w:val="Funotenzeichen"/>
          <w:szCs w:val="22"/>
          <w:lang w:val="en-GB"/>
        </w:rPr>
        <w:footnoteReference w:id="63"/>
      </w:r>
      <w:r w:rsidRPr="005B7B46">
        <w:rPr>
          <w:rFonts w:cs="Sylfaen"/>
          <w:szCs w:val="22"/>
          <w:lang w:val="en-GB"/>
        </w:rPr>
        <w:t xml:space="preserve"> Currently, law enforcement officers participate in carrying out search and seizure, and thus they are the only witnesses to the investigative actions.</w:t>
      </w:r>
    </w:p>
    <w:p w:rsidR="002F218D" w:rsidRPr="005B7B46" w:rsidRDefault="002F218D"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D0612C" w:rsidRPr="005B7B46" w:rsidRDefault="00D0612C"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 xml:space="preserve">The CPC does not </w:t>
      </w:r>
      <w:r w:rsidR="00873041" w:rsidRPr="005B7B46">
        <w:rPr>
          <w:rFonts w:cs="Sylfaen"/>
          <w:szCs w:val="22"/>
          <w:lang w:val="en-GB"/>
        </w:rPr>
        <w:t>do enough to protect the jury from external influence</w:t>
      </w:r>
      <w:r w:rsidRPr="005B7B46">
        <w:rPr>
          <w:rFonts w:cs="Sylfaen"/>
          <w:szCs w:val="22"/>
          <w:lang w:val="en-GB"/>
        </w:rPr>
        <w:t>. Th</w:t>
      </w:r>
      <w:r w:rsidR="00873041" w:rsidRPr="005B7B46">
        <w:rPr>
          <w:rFonts w:cs="Sylfaen"/>
          <w:szCs w:val="22"/>
          <w:lang w:val="en-GB"/>
        </w:rPr>
        <w:t xml:space="preserve">is is important to </w:t>
      </w:r>
      <w:proofErr w:type="spellStart"/>
      <w:r w:rsidR="00873041" w:rsidRPr="005B7B46">
        <w:rPr>
          <w:rFonts w:cs="Sylfaen"/>
          <w:szCs w:val="22"/>
          <w:lang w:val="en-GB"/>
        </w:rPr>
        <w:t>ensurethat</w:t>
      </w:r>
      <w:proofErr w:type="spellEnd"/>
      <w:r w:rsidR="00873041" w:rsidRPr="005B7B46">
        <w:rPr>
          <w:rFonts w:cs="Sylfaen"/>
          <w:szCs w:val="22"/>
          <w:lang w:val="en-GB"/>
        </w:rPr>
        <w:t xml:space="preserve"> </w:t>
      </w:r>
      <w:r w:rsidRPr="005B7B46">
        <w:rPr>
          <w:rFonts w:cs="Sylfaen"/>
          <w:szCs w:val="22"/>
          <w:lang w:val="en-GB"/>
        </w:rPr>
        <w:t xml:space="preserve">the verdict is based only on the evidence examined at the trial and not on the public opinion. </w:t>
      </w:r>
      <w:r w:rsidRPr="005B7B46">
        <w:rPr>
          <w:szCs w:val="22"/>
          <w:lang w:val="en-GB"/>
        </w:rPr>
        <w:t>This is only emphasized in Article 236.1 of the CPC. Article 236.1 refers to the warning of a jury by a judge not to search information about the case under consideration beyond the trial. It is important to try to prevent juries from making a decision before hearing the evidence at trial.</w:t>
      </w:r>
      <w:r w:rsidRPr="005B7B46">
        <w:rPr>
          <w:rStyle w:val="Funotenzeichen"/>
          <w:szCs w:val="22"/>
          <w:lang w:val="en-GB"/>
        </w:rPr>
        <w:footnoteReference w:id="64"/>
      </w:r>
    </w:p>
    <w:p w:rsidR="002F218D" w:rsidRPr="005B7B46" w:rsidRDefault="002F218D"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D0612C" w:rsidRPr="005B7B46" w:rsidRDefault="002F218D"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r w:rsidRPr="005B7B46">
        <w:rPr>
          <w:rFonts w:cs="Sylfaen"/>
          <w:szCs w:val="22"/>
          <w:lang w:val="en-GB"/>
        </w:rPr>
        <w:t xml:space="preserve">The </w:t>
      </w:r>
      <w:r w:rsidR="00D0612C" w:rsidRPr="005B7B46">
        <w:rPr>
          <w:rFonts w:cs="Sylfaen"/>
          <w:szCs w:val="22"/>
          <w:lang w:val="en-GB"/>
        </w:rPr>
        <w:t xml:space="preserve">system lacks an adequate appeals mechanism for plaintiff. According to Article 266 of the CPC, only a verdict of guilt can be appealed and only concerning the legal issues. Factual circumstances of the case however, cannot be a subject of an appeal. </w:t>
      </w:r>
      <w:r w:rsidR="00D0612C" w:rsidRPr="005B7B46">
        <w:rPr>
          <w:szCs w:val="22"/>
          <w:lang w:val="en-GB"/>
        </w:rPr>
        <w:t>While making a judgement, the jury is li</w:t>
      </w:r>
      <w:r w:rsidRPr="005B7B46">
        <w:rPr>
          <w:szCs w:val="22"/>
          <w:lang w:val="en-GB"/>
        </w:rPr>
        <w:t xml:space="preserve">mited to two choices: </w:t>
      </w:r>
      <w:r w:rsidR="00D0612C" w:rsidRPr="005B7B46">
        <w:rPr>
          <w:szCs w:val="22"/>
          <w:lang w:val="en-GB"/>
        </w:rPr>
        <w:t>guilt</w:t>
      </w:r>
      <w:r w:rsidRPr="005B7B46">
        <w:rPr>
          <w:szCs w:val="22"/>
          <w:lang w:val="en-GB"/>
        </w:rPr>
        <w:t>y verdict or</w:t>
      </w:r>
      <w:r w:rsidR="00D0612C" w:rsidRPr="005B7B46">
        <w:rPr>
          <w:szCs w:val="22"/>
          <w:lang w:val="en-GB"/>
        </w:rPr>
        <w:t xml:space="preserve"> acquittal. According to the European Court of Human Rights, the verdict of a jury is considered justified, only when they answered questions about factual circumstances or when the defence has an opportunity to appeal the verdict on the ground of its being ungrounded,</w:t>
      </w:r>
      <w:r w:rsidR="00D0612C" w:rsidRPr="005B7B46">
        <w:rPr>
          <w:rStyle w:val="Funotenzeichen"/>
          <w:szCs w:val="22"/>
          <w:lang w:val="en-GB"/>
        </w:rPr>
        <w:footnoteReference w:id="65"/>
      </w:r>
      <w:r w:rsidR="00D0612C" w:rsidRPr="005B7B46">
        <w:rPr>
          <w:szCs w:val="22"/>
          <w:lang w:val="en-GB"/>
        </w:rPr>
        <w:t xml:space="preserve"> that they considered unfounded. The CPC currently in force does not consider any of the above alternatives. </w:t>
      </w:r>
    </w:p>
    <w:p w:rsidR="002F218D" w:rsidRPr="005B7B46" w:rsidRDefault="002F218D" w:rsidP="002F21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contextualSpacing/>
        <w:rPr>
          <w:rFonts w:cs="Sylfaen"/>
          <w:szCs w:val="22"/>
          <w:lang w:val="en-GB"/>
        </w:rPr>
      </w:pPr>
    </w:p>
    <w:p w:rsidR="00653959" w:rsidRPr="00785DF6" w:rsidRDefault="00785DF6" w:rsidP="00B23E0F">
      <w:pPr>
        <w:rPr>
          <w:b/>
          <w:i/>
          <w:lang w:val="en-GB"/>
        </w:rPr>
      </w:pPr>
      <w:r>
        <w:rPr>
          <w:b/>
          <w:i/>
          <w:lang w:val="en-GB"/>
        </w:rPr>
        <w:t>Recommendations:</w:t>
      </w:r>
    </w:p>
    <w:p w:rsidR="00D0612C" w:rsidRPr="005B7B46" w:rsidRDefault="00D0612C" w:rsidP="00B23E0F">
      <w:pPr>
        <w:rPr>
          <w:b/>
          <w:szCs w:val="22"/>
          <w:lang w:val="en-GB"/>
        </w:rPr>
      </w:pPr>
      <w:r w:rsidRPr="005B7B46">
        <w:rPr>
          <w:b/>
          <w:szCs w:val="22"/>
          <w:lang w:val="en-GB"/>
        </w:rPr>
        <w:t>To Improve the</w:t>
      </w:r>
      <w:r w:rsidR="002F218D" w:rsidRPr="005B7B46">
        <w:rPr>
          <w:b/>
          <w:szCs w:val="22"/>
          <w:lang w:val="en-GB"/>
        </w:rPr>
        <w:t xml:space="preserve"> Criminal Procedure Legislation</w:t>
      </w:r>
    </w:p>
    <w:p w:rsidR="00873041" w:rsidRPr="005B7B46" w:rsidRDefault="002F218D" w:rsidP="002F218D">
      <w:pPr>
        <w:spacing w:before="240" w:after="200"/>
        <w:contextualSpacing/>
        <w:rPr>
          <w:szCs w:val="22"/>
          <w:lang w:val="en-GB"/>
        </w:rPr>
      </w:pPr>
      <w:r w:rsidRPr="005B7B46">
        <w:rPr>
          <w:szCs w:val="22"/>
          <w:lang w:val="en-GB"/>
        </w:rPr>
        <w:t xml:space="preserve">1/ </w:t>
      </w:r>
      <w:r w:rsidR="000509F2">
        <w:rPr>
          <w:szCs w:val="22"/>
          <w:lang w:val="en-GB"/>
        </w:rPr>
        <w:t xml:space="preserve">The </w:t>
      </w:r>
      <w:r w:rsidR="00D0612C" w:rsidRPr="005B7B46">
        <w:rPr>
          <w:szCs w:val="22"/>
          <w:lang w:val="en-GB"/>
        </w:rPr>
        <w:t>Parliament of Georgia shall promptly review and adopt amendments to the CPC initiated by the Ministry of Justice of Georgia.</w:t>
      </w:r>
    </w:p>
    <w:p w:rsidR="00D0612C" w:rsidRPr="005B7B46" w:rsidRDefault="00D0612C" w:rsidP="002F218D">
      <w:pPr>
        <w:spacing w:before="240" w:after="200"/>
        <w:contextualSpacing/>
        <w:rPr>
          <w:szCs w:val="22"/>
          <w:lang w:val="en-GB"/>
        </w:rPr>
      </w:pPr>
    </w:p>
    <w:p w:rsidR="00D0612C" w:rsidRPr="005B7B46" w:rsidRDefault="002F218D" w:rsidP="002F218D">
      <w:pPr>
        <w:spacing w:before="240" w:after="200"/>
        <w:contextualSpacing/>
        <w:rPr>
          <w:szCs w:val="22"/>
          <w:lang w:val="en-GB"/>
        </w:rPr>
      </w:pPr>
      <w:r w:rsidRPr="005B7B46">
        <w:rPr>
          <w:szCs w:val="22"/>
          <w:lang w:val="en-GB"/>
        </w:rPr>
        <w:t xml:space="preserve">2/ </w:t>
      </w:r>
      <w:proofErr w:type="gramStart"/>
      <w:r w:rsidRPr="005B7B46">
        <w:rPr>
          <w:szCs w:val="22"/>
          <w:lang w:val="en-GB"/>
        </w:rPr>
        <w:t>The</w:t>
      </w:r>
      <w:proofErr w:type="gramEnd"/>
      <w:r w:rsidRPr="005B7B46">
        <w:rPr>
          <w:szCs w:val="22"/>
          <w:lang w:val="en-GB"/>
        </w:rPr>
        <w:t xml:space="preserve"> right for an investigated individual to have a witness present during search and seizure operations should be reinstated.</w:t>
      </w:r>
    </w:p>
    <w:p w:rsidR="00873041" w:rsidRPr="005B7B46" w:rsidRDefault="00873041" w:rsidP="002F218D">
      <w:pPr>
        <w:spacing w:before="240" w:after="200"/>
        <w:contextualSpacing/>
        <w:rPr>
          <w:szCs w:val="22"/>
          <w:lang w:val="en-GB"/>
        </w:rPr>
      </w:pPr>
    </w:p>
    <w:p w:rsidR="00D0612C" w:rsidRPr="005B7B46" w:rsidRDefault="002F218D" w:rsidP="002F218D">
      <w:pPr>
        <w:spacing w:before="240" w:after="200"/>
        <w:contextualSpacing/>
        <w:rPr>
          <w:szCs w:val="22"/>
          <w:lang w:val="en-GB"/>
        </w:rPr>
      </w:pPr>
      <w:r w:rsidRPr="005B7B46">
        <w:rPr>
          <w:szCs w:val="22"/>
          <w:lang w:val="en-GB"/>
        </w:rPr>
        <w:t xml:space="preserve">3/ The </w:t>
      </w:r>
      <w:r w:rsidR="00D0612C" w:rsidRPr="005B7B46">
        <w:rPr>
          <w:szCs w:val="22"/>
          <w:lang w:val="en-GB"/>
        </w:rPr>
        <w:t>CPC</w:t>
      </w:r>
      <w:r w:rsidRPr="005B7B46">
        <w:rPr>
          <w:szCs w:val="22"/>
          <w:lang w:val="en-GB"/>
        </w:rPr>
        <w:t xml:space="preserve"> should include broader provisions</w:t>
      </w:r>
      <w:r w:rsidR="00D0612C" w:rsidRPr="005B7B46">
        <w:rPr>
          <w:szCs w:val="22"/>
          <w:lang w:val="en-GB"/>
        </w:rPr>
        <w:t xml:space="preserve"> for protecting jury against external influence </w:t>
      </w:r>
    </w:p>
    <w:p w:rsidR="00D0612C" w:rsidRPr="005B7B46" w:rsidRDefault="002F218D" w:rsidP="002F218D">
      <w:pPr>
        <w:contextualSpacing/>
        <w:rPr>
          <w:szCs w:val="22"/>
          <w:lang w:val="en-GB"/>
        </w:rPr>
      </w:pPr>
      <w:r w:rsidRPr="005B7B46">
        <w:rPr>
          <w:szCs w:val="22"/>
          <w:lang w:val="en-GB"/>
        </w:rPr>
        <w:lastRenderedPageBreak/>
        <w:t>4/ The Government of Georgia should r</w:t>
      </w:r>
      <w:r w:rsidR="00D0612C" w:rsidRPr="005B7B46">
        <w:rPr>
          <w:szCs w:val="22"/>
          <w:lang w:val="en-GB"/>
        </w:rPr>
        <w:t xml:space="preserve">evise legislation for </w:t>
      </w:r>
      <w:r w:rsidRPr="005B7B46">
        <w:rPr>
          <w:szCs w:val="22"/>
          <w:lang w:val="en-GB"/>
        </w:rPr>
        <w:t>improving jury trial provisions. In particular</w:t>
      </w:r>
      <w:r w:rsidR="00D0612C" w:rsidRPr="005B7B46">
        <w:rPr>
          <w:szCs w:val="22"/>
          <w:lang w:val="en-GB"/>
        </w:rPr>
        <w:t>, the ru</w:t>
      </w:r>
      <w:r w:rsidR="00873041" w:rsidRPr="005B7B46">
        <w:rPr>
          <w:szCs w:val="22"/>
          <w:lang w:val="en-GB"/>
        </w:rPr>
        <w:t>les for</w:t>
      </w:r>
      <w:r w:rsidRPr="005B7B46">
        <w:rPr>
          <w:szCs w:val="22"/>
          <w:lang w:val="en-GB"/>
        </w:rPr>
        <w:t xml:space="preserve"> appealing a jury verdict should</w:t>
      </w:r>
      <w:r w:rsidR="00D0612C" w:rsidRPr="005B7B46">
        <w:rPr>
          <w:szCs w:val="22"/>
          <w:lang w:val="en-GB"/>
        </w:rPr>
        <w:t xml:space="preserve"> be revisited and the possibility of asking questions on factual circumstances to the jury shall be defined.</w:t>
      </w:r>
    </w:p>
    <w:p w:rsidR="00450D32" w:rsidRDefault="00450D32" w:rsidP="006C0B99">
      <w:pPr>
        <w:pStyle w:val="berschrift2"/>
        <w:rPr>
          <w:lang w:val="en-US"/>
        </w:rPr>
      </w:pPr>
      <w:bookmarkStart w:id="24" w:name="_Toc363492739"/>
      <w:r>
        <w:rPr>
          <w:lang w:val="en-US"/>
        </w:rPr>
        <w:t>Juvenile Justice</w:t>
      </w:r>
      <w:bookmarkEnd w:id="24"/>
    </w:p>
    <w:p w:rsidR="00C34922" w:rsidRDefault="00450D32" w:rsidP="00C34922">
      <w:r w:rsidRPr="0062403F">
        <w:rPr>
          <w:lang w:val="ka-GE"/>
        </w:rPr>
        <w:t xml:space="preserve">In accordance with article 14 of the Covenant on Civil and Political Rights, "the due process for juvenile offender proceedings should </w:t>
      </w:r>
      <w:r w:rsidRPr="0062403F">
        <w:t xml:space="preserve"> be conducted with consideration for offender’s age and desirability of their re-education.” </w:t>
      </w:r>
    </w:p>
    <w:p w:rsidR="00C34922" w:rsidRPr="001A71DC" w:rsidRDefault="00C34922" w:rsidP="00C34922"/>
    <w:p w:rsidR="00450D32" w:rsidRDefault="00450D32" w:rsidP="00C34922">
      <w:pPr>
        <w:rPr>
          <w:rFonts w:eastAsiaTheme="minorHAnsi"/>
        </w:rPr>
      </w:pPr>
      <w:r>
        <w:t>In 2007 the</w:t>
      </w:r>
      <w:r w:rsidRPr="0062403F">
        <w:t xml:space="preserve"> Government of Georgia passed draconian laws </w:t>
      </w:r>
      <w:r>
        <w:t>relating to the treatment of juveniles</w:t>
      </w:r>
      <w:r w:rsidRPr="0062403F">
        <w:t xml:space="preserve">.  </w:t>
      </w:r>
      <w:r>
        <w:t>In particular, they lowered</w:t>
      </w:r>
      <w:r w:rsidRPr="0062403F">
        <w:t xml:space="preserve"> the age of criminal responsibility from</w:t>
      </w:r>
      <w:r>
        <w:t xml:space="preserve"> 14 to 12 years and brought</w:t>
      </w:r>
      <w:r w:rsidRPr="0062403F">
        <w:t xml:space="preserve"> juvenile justice proceeding under </w:t>
      </w:r>
      <w:r>
        <w:t>a</w:t>
      </w:r>
      <w:r w:rsidRPr="0062403F">
        <w:t xml:space="preserve"> so ca</w:t>
      </w:r>
      <w:r>
        <w:t xml:space="preserve">lled “zero tolerance” policy. </w:t>
      </w:r>
      <w:r w:rsidR="00873041">
        <w:rPr>
          <w:rFonts w:eastAsiaTheme="minorHAnsi"/>
        </w:rPr>
        <w:t>These</w:t>
      </w:r>
      <w:r w:rsidRPr="0062403F">
        <w:rPr>
          <w:rFonts w:eastAsiaTheme="minorHAnsi"/>
        </w:rPr>
        <w:t xml:space="preserve"> reforms were adopted despite </w:t>
      </w:r>
      <w:r>
        <w:rPr>
          <w:rFonts w:eastAsiaTheme="minorHAnsi"/>
        </w:rPr>
        <w:t>the fact that they</w:t>
      </w:r>
      <w:r w:rsidRPr="0062403F">
        <w:rPr>
          <w:rFonts w:eastAsiaTheme="minorHAnsi"/>
        </w:rPr>
        <w:t xml:space="preserve"> contradict</w:t>
      </w:r>
      <w:r>
        <w:rPr>
          <w:rFonts w:eastAsiaTheme="minorHAnsi"/>
        </w:rPr>
        <w:t>ed</w:t>
      </w:r>
      <w:r w:rsidRPr="0062403F">
        <w:rPr>
          <w:rFonts w:eastAsiaTheme="minorHAnsi"/>
        </w:rPr>
        <w:t xml:space="preserve"> with international conventions and treaties that mandate standard minimal protections for minors. </w:t>
      </w:r>
    </w:p>
    <w:p w:rsidR="00C34922" w:rsidRDefault="00C34922" w:rsidP="00C34922">
      <w:pPr>
        <w:rPr>
          <w:rStyle w:val="hps"/>
          <w:rFonts w:ascii="Times New Roman" w:hAnsi="Times New Roman"/>
          <w:sz w:val="24"/>
          <w:szCs w:val="24"/>
        </w:rPr>
      </w:pPr>
    </w:p>
    <w:p w:rsidR="00C34922" w:rsidRDefault="00450D32" w:rsidP="00C34922">
      <w:pPr>
        <w:rPr>
          <w:rFonts w:eastAsiaTheme="minorHAnsi"/>
        </w:rPr>
      </w:pPr>
      <w:r w:rsidRPr="00C34922">
        <w:t>In 2010, the Government started making the policies more lenient.</w:t>
      </w:r>
      <w:r w:rsidR="00967D43">
        <w:rPr>
          <w:rStyle w:val="Funotenzeichen"/>
        </w:rPr>
        <w:footnoteReference w:id="66"/>
      </w:r>
      <w:r>
        <w:rPr>
          <w:rFonts w:eastAsiaTheme="minorHAnsi"/>
        </w:rPr>
        <w:t>Although the 2010 law removed some of the harsher provisions of 2007</w:t>
      </w:r>
      <w:r w:rsidRPr="0062403F">
        <w:rPr>
          <w:rFonts w:eastAsiaTheme="minorHAnsi"/>
        </w:rPr>
        <w:t>,</w:t>
      </w:r>
      <w:r w:rsidR="00C35265">
        <w:rPr>
          <w:rFonts w:eastAsiaTheme="minorHAnsi"/>
        </w:rPr>
        <w:t xml:space="preserve"> most notably</w:t>
      </w:r>
      <w:r>
        <w:rPr>
          <w:rFonts w:eastAsiaTheme="minorHAnsi"/>
        </w:rPr>
        <w:t xml:space="preserve"> returning the age of criminal responsibility from 14 to 12,</w:t>
      </w:r>
      <w:r w:rsidRPr="0062403F">
        <w:rPr>
          <w:rStyle w:val="Funotenzeichen"/>
          <w:rFonts w:eastAsiaTheme="minorHAnsi"/>
        </w:rPr>
        <w:footnoteReference w:id="67"/>
      </w:r>
      <w:r w:rsidR="00C34922">
        <w:rPr>
          <w:rFonts w:eastAsiaTheme="minorHAnsi"/>
        </w:rPr>
        <w:t xml:space="preserve"> many limitations of the previous law remained in place</w:t>
      </w:r>
      <w:r w:rsidRPr="0062403F">
        <w:rPr>
          <w:rFonts w:eastAsiaTheme="minorHAnsi"/>
        </w:rPr>
        <w:t>.</w:t>
      </w:r>
    </w:p>
    <w:p w:rsidR="00C34922" w:rsidRDefault="00C34922" w:rsidP="00C34922">
      <w:pPr>
        <w:rPr>
          <w:rFonts w:eastAsiaTheme="minorHAnsi"/>
        </w:rPr>
      </w:pPr>
    </w:p>
    <w:p w:rsidR="00C34922" w:rsidRDefault="00656112" w:rsidP="00C34922">
      <w:r>
        <w:t>In particular, c</w:t>
      </w:r>
      <w:r w:rsidR="00C34922">
        <w:t xml:space="preserve">riminal liability continues to be applied too widely, even in the case of relatively minor crimes. In addition, the range of punishment is limited. Probationary sentences are usually only applied if </w:t>
      </w:r>
      <w:proofErr w:type="gramStart"/>
      <w:r w:rsidR="00C34922">
        <w:t>a plea-bargain</w:t>
      </w:r>
      <w:proofErr w:type="gramEnd"/>
      <w:r w:rsidR="00C34922">
        <w:t xml:space="preserve"> has been reached and punishments like ‘house arrest’ do not exist.</w:t>
      </w:r>
    </w:p>
    <w:p w:rsidR="00C34922" w:rsidRDefault="00C34922" w:rsidP="00C34922"/>
    <w:p w:rsidR="00C34922" w:rsidRDefault="00C34922" w:rsidP="00C34922">
      <w:r>
        <w:t xml:space="preserve">Judges have limited discretionary powers and are forced to </w:t>
      </w:r>
      <w:proofErr w:type="gramStart"/>
      <w:r>
        <w:t>imposed</w:t>
      </w:r>
      <w:proofErr w:type="gramEnd"/>
      <w:r>
        <w:t xml:space="preserve"> mandatory minimum sentences regardless of circumstances. They also lack the power to determine the length and nature of community service that should be imposed.</w:t>
      </w:r>
    </w:p>
    <w:p w:rsidR="00C34922" w:rsidRDefault="00C34922" w:rsidP="00C34922"/>
    <w:p w:rsidR="00450D32" w:rsidRPr="00C34922" w:rsidRDefault="00450D32" w:rsidP="00C34922">
      <w:r>
        <w:rPr>
          <w:rFonts w:eastAsiaTheme="minorHAnsi"/>
        </w:rPr>
        <w:t xml:space="preserve">One weakness is that </w:t>
      </w:r>
      <w:r w:rsidR="00C35265">
        <w:rPr>
          <w:rFonts w:eastAsiaTheme="minorHAnsi"/>
        </w:rPr>
        <w:t>under the previous legislation</w:t>
      </w:r>
      <w:r>
        <w:rPr>
          <w:rFonts w:eastAsiaTheme="minorHAnsi"/>
        </w:rPr>
        <w:t xml:space="preserve"> the exemption from criminal liability was possible</w:t>
      </w:r>
      <w:r w:rsidR="00C35265">
        <w:rPr>
          <w:rFonts w:eastAsiaTheme="minorHAnsi"/>
        </w:rPr>
        <w:t xml:space="preserve"> in the case of less serious crimes and first time offences</w:t>
      </w:r>
      <w:r>
        <w:rPr>
          <w:rFonts w:eastAsiaTheme="minorHAnsi"/>
        </w:rPr>
        <w:t xml:space="preserve"> through reconciliation with the victim, at the discretion of the court.</w:t>
      </w:r>
      <w:r w:rsidRPr="0062403F">
        <w:rPr>
          <w:rStyle w:val="Funotenzeichen"/>
        </w:rPr>
        <w:footnoteReference w:id="68"/>
      </w:r>
      <w:r>
        <w:rPr>
          <w:rFonts w:eastAsiaTheme="minorHAnsi"/>
        </w:rPr>
        <w:t xml:space="preserve"> The 2010 leg</w:t>
      </w:r>
      <w:r w:rsidR="00C35265">
        <w:rPr>
          <w:rFonts w:eastAsiaTheme="minorHAnsi"/>
        </w:rPr>
        <w:t>islation removes that provision. At the same time,</w:t>
      </w:r>
      <w:r>
        <w:rPr>
          <w:rFonts w:eastAsiaTheme="minorHAnsi"/>
        </w:rPr>
        <w:t xml:space="preserve"> the criminal procedural code has adopted the principle of </w:t>
      </w:r>
      <w:r w:rsidR="00C35265">
        <w:rPr>
          <w:rFonts w:eastAsiaTheme="minorHAnsi"/>
        </w:rPr>
        <w:t xml:space="preserve">restorative justice which allows for </w:t>
      </w:r>
      <w:r>
        <w:rPr>
          <w:rFonts w:eastAsiaTheme="minorHAnsi"/>
        </w:rPr>
        <w:t xml:space="preserve">diversion and mediation, through which the same outcome can be achieved. </w:t>
      </w:r>
    </w:p>
    <w:p w:rsidR="00450D32" w:rsidRDefault="00450D32" w:rsidP="00C34922">
      <w:pPr>
        <w:rPr>
          <w:rFonts w:eastAsiaTheme="minorHAnsi"/>
        </w:rPr>
      </w:pPr>
    </w:p>
    <w:p w:rsidR="00450D32" w:rsidRPr="00C35265" w:rsidRDefault="00450D32" w:rsidP="00C34922">
      <w:r>
        <w:rPr>
          <w:rFonts w:eastAsiaTheme="minorHAnsi"/>
        </w:rPr>
        <w:t xml:space="preserve">However, </w:t>
      </w:r>
      <w:r>
        <w:t xml:space="preserve">under the current law, </w:t>
      </w:r>
      <w:r w:rsidRPr="0062403F">
        <w:rPr>
          <w:rFonts w:eastAsiaTheme="minorHAnsi"/>
        </w:rPr>
        <w:t>diversion and mediation</w:t>
      </w:r>
      <w:r w:rsidR="00B44533">
        <w:rPr>
          <w:rFonts w:eastAsiaTheme="minorHAnsi"/>
        </w:rPr>
        <w:t xml:space="preserve"> </w:t>
      </w:r>
      <w:r>
        <w:t xml:space="preserve">is an </w:t>
      </w:r>
      <w:r w:rsidRPr="0062403F">
        <w:t xml:space="preserve">exclusive prerogative of a criminal prosecutor. </w:t>
      </w:r>
      <w:r>
        <w:t xml:space="preserve">This is in direct conflict with </w:t>
      </w:r>
      <w:r w:rsidRPr="0062403F">
        <w:t>Standards of the Council of Europe</w:t>
      </w:r>
      <w:r>
        <w:t xml:space="preserve"> which</w:t>
      </w:r>
      <w:r w:rsidRPr="0062403F">
        <w:t xml:space="preserve"> require</w:t>
      </w:r>
      <w:r>
        <w:t>s</w:t>
      </w:r>
      <w:r w:rsidRPr="0062403F">
        <w:t xml:space="preserve"> equal rights to the Prosecutor’s Office as well as to the courts (courts of the first instance, courts of appeal, and courts of cassation)</w:t>
      </w:r>
      <w:r>
        <w:t>.</w:t>
      </w:r>
      <w:r w:rsidR="00582D3C">
        <w:t xml:space="preserve"> </w:t>
      </w:r>
      <w:r w:rsidR="00C35265">
        <w:rPr>
          <w:rFonts w:eastAsiaTheme="minorHAnsi"/>
        </w:rPr>
        <w:t>Another complication is that</w:t>
      </w:r>
      <w:r w:rsidR="00B44533">
        <w:rPr>
          <w:rFonts w:eastAsiaTheme="minorHAnsi"/>
        </w:rPr>
        <w:t xml:space="preserve"> </w:t>
      </w:r>
      <w:r>
        <w:t xml:space="preserve">issues of </w:t>
      </w:r>
      <w:r w:rsidR="00C35265">
        <w:t xml:space="preserve">juvenile </w:t>
      </w:r>
      <w:r w:rsidRPr="0062403F">
        <w:t>criminal responsibility</w:t>
      </w:r>
      <w:r>
        <w:t xml:space="preserve"> are also regulated</w:t>
      </w:r>
      <w:r w:rsidRPr="0062403F">
        <w:t xml:space="preserve"> through by</w:t>
      </w:r>
      <w:r w:rsidR="00C35265">
        <w:t>-</w:t>
      </w:r>
      <w:r>
        <w:t xml:space="preserve">laws such as the decree of Minister of Justice. This complicates </w:t>
      </w:r>
      <w:r w:rsidRPr="0062403F">
        <w:t>compliance with criminal procedure codes</w:t>
      </w:r>
      <w:r>
        <w:t>.</w:t>
      </w:r>
    </w:p>
    <w:p w:rsidR="00C35265" w:rsidRDefault="00C35265" w:rsidP="00450D32">
      <w:pPr>
        <w:rPr>
          <w:rFonts w:eastAsiaTheme="minorHAnsi"/>
        </w:rPr>
      </w:pPr>
    </w:p>
    <w:p w:rsidR="00450D32" w:rsidRDefault="00C35265" w:rsidP="00450D32">
      <w:pPr>
        <w:rPr>
          <w:rFonts w:eastAsiaTheme="minorHAnsi"/>
        </w:rPr>
      </w:pPr>
      <w:r>
        <w:rPr>
          <w:rFonts w:eastAsiaTheme="minorHAnsi"/>
        </w:rPr>
        <w:t>In addition to these legislative problems there are also a range of practical problems with the government’s efforts to apply the concept of</w:t>
      </w:r>
      <w:r w:rsidR="00450D32">
        <w:rPr>
          <w:rFonts w:eastAsiaTheme="minorHAnsi"/>
        </w:rPr>
        <w:t xml:space="preserve"> r</w:t>
      </w:r>
      <w:r w:rsidR="00450D32" w:rsidRPr="0062403F">
        <w:rPr>
          <w:rFonts w:eastAsiaTheme="minorHAnsi"/>
        </w:rPr>
        <w:t>estorative justice</w:t>
      </w:r>
      <w:r>
        <w:rPr>
          <w:rFonts w:eastAsiaTheme="minorHAnsi"/>
        </w:rPr>
        <w:t xml:space="preserve"> in</w:t>
      </w:r>
      <w:r w:rsidR="00450D32">
        <w:rPr>
          <w:rFonts w:eastAsiaTheme="minorHAnsi"/>
        </w:rPr>
        <w:t xml:space="preserve"> juvenile justice</w:t>
      </w:r>
      <w:r>
        <w:rPr>
          <w:rFonts w:eastAsiaTheme="minorHAnsi"/>
        </w:rPr>
        <w:t xml:space="preserve"> cases. First, the system of restorative justice </w:t>
      </w:r>
      <w:r w:rsidR="00450D32" w:rsidRPr="0062403F">
        <w:rPr>
          <w:rFonts w:eastAsiaTheme="minorHAnsi"/>
        </w:rPr>
        <w:t xml:space="preserve">began with the implementation of several projects in five cities. </w:t>
      </w:r>
      <w:r>
        <w:rPr>
          <w:rFonts w:eastAsiaTheme="minorHAnsi"/>
        </w:rPr>
        <w:t>Equal treatment, however,</w:t>
      </w:r>
      <w:r w:rsidR="00450D32" w:rsidRPr="0062403F">
        <w:rPr>
          <w:rFonts w:eastAsiaTheme="minorHAnsi"/>
        </w:rPr>
        <w:t xml:space="preserve"> required a full-scale implementation of the projects through</w:t>
      </w:r>
      <w:r w:rsidR="00450D32">
        <w:rPr>
          <w:rFonts w:eastAsiaTheme="minorHAnsi"/>
        </w:rPr>
        <w:t>out</w:t>
      </w:r>
      <w:r w:rsidR="00450D32" w:rsidRPr="0062403F">
        <w:rPr>
          <w:rFonts w:eastAsiaTheme="minorHAnsi"/>
        </w:rPr>
        <w:t xml:space="preserve"> the entire country, thus protecting every juvenile offender </w:t>
      </w:r>
      <w:r>
        <w:rPr>
          <w:rFonts w:eastAsiaTheme="minorHAnsi"/>
        </w:rPr>
        <w:t xml:space="preserve">who has committed less </w:t>
      </w:r>
      <w:r w:rsidR="00450D32" w:rsidRPr="0062403F">
        <w:rPr>
          <w:rFonts w:eastAsiaTheme="minorHAnsi"/>
        </w:rPr>
        <w:t>serious offences.</w:t>
      </w:r>
    </w:p>
    <w:p w:rsidR="00C35265" w:rsidRDefault="00C35265" w:rsidP="00450D32">
      <w:pPr>
        <w:rPr>
          <w:rFonts w:eastAsiaTheme="minorHAnsi"/>
        </w:rPr>
      </w:pPr>
    </w:p>
    <w:p w:rsidR="00450D32" w:rsidRDefault="00C35265" w:rsidP="00450D32">
      <w:r>
        <w:rPr>
          <w:rFonts w:eastAsiaTheme="minorHAnsi"/>
        </w:rPr>
        <w:lastRenderedPageBreak/>
        <w:t>Another problem is that</w:t>
      </w:r>
      <w:r w:rsidR="00B44533">
        <w:rPr>
          <w:rFonts w:eastAsiaTheme="minorHAnsi"/>
        </w:rPr>
        <w:t xml:space="preserve"> </w:t>
      </w:r>
      <w:r w:rsidR="00450D32">
        <w:t>t</w:t>
      </w:r>
      <w:r w:rsidR="00450D32" w:rsidRPr="0062403F">
        <w:t xml:space="preserve">he </w:t>
      </w:r>
      <w:proofErr w:type="gramStart"/>
      <w:r w:rsidR="00450D32" w:rsidRPr="0062403F">
        <w:t xml:space="preserve">implementation of </w:t>
      </w:r>
      <w:r>
        <w:t xml:space="preserve">the </w:t>
      </w:r>
      <w:r w:rsidR="00450D32" w:rsidRPr="0062403F">
        <w:t>pilot programs regarding juvenile justice have</w:t>
      </w:r>
      <w:proofErr w:type="gramEnd"/>
      <w:r w:rsidR="00450D32" w:rsidRPr="0062403F">
        <w:t xml:space="preserve"> been initiated without proper training of personal working in this field. In Georgia, no </w:t>
      </w:r>
      <w:r w:rsidR="00450D32">
        <w:t>certified mediators exist. Even the</w:t>
      </w:r>
      <w:r w:rsidR="00450D32" w:rsidRPr="0062403F">
        <w:t xml:space="preserve"> number</w:t>
      </w:r>
      <w:r w:rsidR="00450D32">
        <w:t xml:space="preserve"> of mediators who are not properly certified</w:t>
      </w:r>
      <w:r w:rsidR="00450D32" w:rsidRPr="0062403F">
        <w:t xml:space="preserve"> is insufficient for the implementation of diversion and mediation project</w:t>
      </w:r>
      <w:r w:rsidR="00450D32">
        <w:t>s</w:t>
      </w:r>
      <w:r w:rsidR="00450D32" w:rsidRPr="0062403F">
        <w:t xml:space="preserve"> across Georgia.</w:t>
      </w:r>
    </w:p>
    <w:p w:rsidR="00450D32" w:rsidRDefault="00450D32" w:rsidP="00450D32"/>
    <w:p w:rsidR="00450D32" w:rsidRDefault="00C35265" w:rsidP="00450D32">
      <w:r>
        <w:t xml:space="preserve">More broadly, the juvenile justice system suffers from a lack of specialists in the area. </w:t>
      </w:r>
      <w:r w:rsidR="00450D32" w:rsidRPr="0062403F">
        <w:t>No specific training programs for police officers, prosecutors, lawyers, judges and probation officers working with</w:t>
      </w:r>
      <w:r>
        <w:t xml:space="preserve"> juveniles exist in the country and there is no specialised system of juvenile courts. Finally, the</w:t>
      </w:r>
      <w:r w:rsidR="00B44533">
        <w:t xml:space="preserve"> </w:t>
      </w:r>
      <w:r>
        <w:t>s</w:t>
      </w:r>
      <w:r w:rsidR="00967D43">
        <w:t xml:space="preserve">tate is unable to </w:t>
      </w:r>
      <w:r>
        <w:t>effectively educate</w:t>
      </w:r>
      <w:r w:rsidRPr="0062403F">
        <w:t xml:space="preserve"> and</w:t>
      </w:r>
      <w:r>
        <w:t xml:space="preserve"> prepare for employment </w:t>
      </w:r>
      <w:r w:rsidRPr="0062403F">
        <w:t xml:space="preserve">juveniles who are under </w:t>
      </w:r>
      <w:r>
        <w:t>s</w:t>
      </w:r>
      <w:r w:rsidRPr="0062403F">
        <w:t>tate supervision.</w:t>
      </w:r>
    </w:p>
    <w:p w:rsidR="00C35265" w:rsidRDefault="00C35265" w:rsidP="00450D32"/>
    <w:p w:rsidR="00450D32" w:rsidRDefault="00C35265" w:rsidP="00450D32">
      <w:r>
        <w:t xml:space="preserve">In addition, there is no publically available data </w:t>
      </w:r>
      <w:r w:rsidR="00450D32" w:rsidRPr="0062403F">
        <w:t>on</w:t>
      </w:r>
      <w:r>
        <w:t xml:space="preserve"> levels of</w:t>
      </w:r>
      <w:r w:rsidR="00C34922">
        <w:t xml:space="preserve"> juvenile crime and detention. This makes analysis of the situation, debate and the development of public policy extremely difficult.</w:t>
      </w:r>
    </w:p>
    <w:p w:rsidR="00450D32" w:rsidRDefault="00450D32" w:rsidP="00450D32"/>
    <w:p w:rsidR="00450D32" w:rsidRDefault="00450D32" w:rsidP="00450D32">
      <w:r>
        <w:t>P</w:t>
      </w:r>
      <w:r w:rsidRPr="0062403F">
        <w:t>hase II and II</w:t>
      </w:r>
      <w:r>
        <w:t>I</w:t>
      </w:r>
      <w:r w:rsidRPr="0062403F">
        <w:t xml:space="preserve"> plans for juvenile justice reform are being prepared for implementation. In phase II, the government plans to extend the diversion program throughout the country. In phase III, the program shall be extended to juvenile perpetrators of more grave crimes.</w:t>
      </w:r>
      <w:r w:rsidRPr="0062403F">
        <w:rPr>
          <w:rStyle w:val="Funotenzeichen"/>
          <w:lang w:val="ka-GE"/>
        </w:rPr>
        <w:footnoteReference w:id="69"/>
      </w:r>
    </w:p>
    <w:p w:rsidR="00450D32" w:rsidRPr="0062403F" w:rsidRDefault="00450D32" w:rsidP="00450D32">
      <w:pPr>
        <w:autoSpaceDE w:val="0"/>
        <w:autoSpaceDN w:val="0"/>
        <w:adjustRightInd w:val="0"/>
        <w:rPr>
          <w:rFonts w:ascii="Times New Roman" w:hAnsi="Times New Roman"/>
          <w:sz w:val="24"/>
          <w:szCs w:val="24"/>
        </w:rPr>
      </w:pPr>
    </w:p>
    <w:p w:rsidR="00450D32" w:rsidRPr="00F91D88" w:rsidRDefault="00450D32" w:rsidP="007E28F2">
      <w:pPr>
        <w:rPr>
          <w:b/>
          <w:i/>
        </w:rPr>
      </w:pPr>
      <w:r w:rsidRPr="00F91D88">
        <w:rPr>
          <w:b/>
          <w:i/>
        </w:rPr>
        <w:t>Recommendations</w:t>
      </w:r>
    </w:p>
    <w:p w:rsidR="00450D32" w:rsidRDefault="00450D32" w:rsidP="00C34922">
      <w:r>
        <w:t xml:space="preserve">1/ </w:t>
      </w:r>
      <w:proofErr w:type="gramStart"/>
      <w:r w:rsidRPr="00EA5BD7">
        <w:t>To</w:t>
      </w:r>
      <w:proofErr w:type="gramEnd"/>
      <w:r w:rsidRPr="00EA5BD7">
        <w:t xml:space="preserve"> liberalize the juvenile criminal justice legislation, the maximum and minimum statutory penalties envisaged in special part of criminal code must be red</w:t>
      </w:r>
      <w:r w:rsidR="00C34922">
        <w:t>uced</w:t>
      </w:r>
      <w:r w:rsidRPr="00EA5BD7">
        <w:t>.</w:t>
      </w:r>
    </w:p>
    <w:p w:rsidR="007E28F2" w:rsidRDefault="007E28F2" w:rsidP="00450D32"/>
    <w:p w:rsidR="00450D32" w:rsidRDefault="00450D32" w:rsidP="00450D32">
      <w:r>
        <w:t xml:space="preserve">2/ </w:t>
      </w:r>
      <w:proofErr w:type="gramStart"/>
      <w:r w:rsidRPr="0062403F">
        <w:t>The</w:t>
      </w:r>
      <w:proofErr w:type="gramEnd"/>
      <w:r w:rsidRPr="0062403F">
        <w:t xml:space="preserve"> regulation of issues of juvenile criminal responsibility through bylaws (decree of Minister of Justice) complicates the compliance with criminal procedure codes from the point of view of legislative </w:t>
      </w:r>
      <w:r w:rsidR="007E28F2">
        <w:t>interpretation</w:t>
      </w:r>
      <w:r w:rsidRPr="0062403F">
        <w:t>. Therefore</w:t>
      </w:r>
      <w:r>
        <w:t>,</w:t>
      </w:r>
      <w:r w:rsidRPr="0062403F">
        <w:t xml:space="preserve"> it is deemed appropriate to provide detailed regulations of juvenile justice in criminal code (substantive) and criminal procedure code. </w:t>
      </w:r>
    </w:p>
    <w:p w:rsidR="00450D32" w:rsidRDefault="00450D32" w:rsidP="00450D32">
      <w:pPr>
        <w:pStyle w:val="Listenabsatz"/>
        <w:autoSpaceDE w:val="0"/>
        <w:autoSpaceDN w:val="0"/>
        <w:adjustRightInd w:val="0"/>
      </w:pPr>
    </w:p>
    <w:p w:rsidR="00450D32" w:rsidRDefault="00450D32" w:rsidP="00450D32">
      <w:pPr>
        <w:jc w:val="left"/>
      </w:pPr>
      <w:r>
        <w:t xml:space="preserve">3/ </w:t>
      </w:r>
      <w:proofErr w:type="gramStart"/>
      <w:r w:rsidRPr="0062403F">
        <w:t>The</w:t>
      </w:r>
      <w:proofErr w:type="gramEnd"/>
      <w:r w:rsidR="00B44533">
        <w:t xml:space="preserve"> </w:t>
      </w:r>
      <w:r w:rsidRPr="0062403F">
        <w:t>judge should</w:t>
      </w:r>
      <w:r>
        <w:t xml:space="preserve"> be given wider discretionary powers in juvenile cases</w:t>
      </w:r>
    </w:p>
    <w:p w:rsidR="00450D32" w:rsidRDefault="00450D32" w:rsidP="00450D32">
      <w:pPr>
        <w:ind w:left="720"/>
        <w:jc w:val="left"/>
      </w:pPr>
      <w:proofErr w:type="gramStart"/>
      <w:r>
        <w:t>a</w:t>
      </w:r>
      <w:proofErr w:type="gramEnd"/>
      <w:r>
        <w:t xml:space="preserve">/ they should </w:t>
      </w:r>
      <w:r w:rsidRPr="0062403F">
        <w:t>be able to apply</w:t>
      </w:r>
      <w:r>
        <w:t xml:space="preserve"> sentences below statutory minimum </w:t>
      </w:r>
      <w:r w:rsidRPr="0062403F">
        <w:t>in</w:t>
      </w:r>
      <w:r>
        <w:t xml:space="preserve"> the</w:t>
      </w:r>
      <w:r w:rsidRPr="0062403F">
        <w:t xml:space="preserve"> presence of mitigating circumstances of special nature. </w:t>
      </w:r>
    </w:p>
    <w:p w:rsidR="00450D32" w:rsidRPr="007E28F2" w:rsidRDefault="00450D32" w:rsidP="00450D32">
      <w:pPr>
        <w:pStyle w:val="Listenabsatz"/>
        <w:autoSpaceDE w:val="0"/>
        <w:autoSpaceDN w:val="0"/>
        <w:adjustRightInd w:val="0"/>
      </w:pPr>
      <w:proofErr w:type="gramStart"/>
      <w:r w:rsidRPr="007E28F2">
        <w:rPr>
          <w:sz w:val="22"/>
          <w:szCs w:val="22"/>
        </w:rPr>
        <w:t>b</w:t>
      </w:r>
      <w:proofErr w:type="gramEnd"/>
      <w:r w:rsidRPr="007E28F2">
        <w:rPr>
          <w:sz w:val="22"/>
          <w:szCs w:val="22"/>
        </w:rPr>
        <w:t>/ Judges should be given discretion to determine the length and type of community service of juvenile perpetrators’ sentences.</w:t>
      </w:r>
    </w:p>
    <w:p w:rsidR="00450D32" w:rsidRDefault="00450D32" w:rsidP="00450D32">
      <w:pPr>
        <w:pStyle w:val="Listenabsatz"/>
        <w:autoSpaceDE w:val="0"/>
        <w:autoSpaceDN w:val="0"/>
        <w:adjustRightInd w:val="0"/>
      </w:pPr>
    </w:p>
    <w:p w:rsidR="00450D32" w:rsidRDefault="00450D32" w:rsidP="00450D32">
      <w:r>
        <w:t xml:space="preserve">4/ </w:t>
      </w:r>
      <w:proofErr w:type="gramStart"/>
      <w:r w:rsidRPr="0062403F">
        <w:t>The</w:t>
      </w:r>
      <w:proofErr w:type="gramEnd"/>
      <w:r w:rsidRPr="0062403F">
        <w:t xml:space="preserve"> court must retrieve the statutory tool for alleviation of punishment in cases where a juvenile defendant submits him</w:t>
      </w:r>
      <w:r>
        <w:t xml:space="preserve"> or her</w:t>
      </w:r>
      <w:r w:rsidRPr="0062403F">
        <w:t>self to the police, confesses the crime</w:t>
      </w:r>
      <w:r>
        <w:t>,</w:t>
      </w:r>
      <w:r w:rsidRPr="0062403F">
        <w:t xml:space="preserve"> and contributes to the investigation of the crime. </w:t>
      </w:r>
    </w:p>
    <w:p w:rsidR="00450D32" w:rsidRPr="007E28F2" w:rsidRDefault="00450D32" w:rsidP="00450D32">
      <w:pPr>
        <w:pStyle w:val="Listenabsatz"/>
        <w:autoSpaceDE w:val="0"/>
        <w:autoSpaceDN w:val="0"/>
        <w:adjustRightInd w:val="0"/>
        <w:rPr>
          <w:lang w:val="en-AU"/>
        </w:rPr>
      </w:pPr>
    </w:p>
    <w:p w:rsidR="00450D32" w:rsidRDefault="00450D32" w:rsidP="00450D32">
      <w:r>
        <w:t xml:space="preserve">5/ </w:t>
      </w:r>
      <w:r w:rsidRPr="0062403F">
        <w:t>Criminal liability should be abolished for p</w:t>
      </w:r>
      <w:r w:rsidR="007E28F2">
        <w:t xml:space="preserve">erpetration </w:t>
      </w:r>
      <w:r w:rsidRPr="0062403F">
        <w:t xml:space="preserve">of minor crimes. At the same time, for inchoate offences, such as the preparation or attempt of a crime, a provision should be enacted which enables the judges to give lighter penalties. In other words, the rule of calculation of maximum penalty for attempt and preparation should be specified. </w:t>
      </w:r>
    </w:p>
    <w:p w:rsidR="00450D32" w:rsidRDefault="00450D32" w:rsidP="00450D32">
      <w:pPr>
        <w:pStyle w:val="Listenabsatz"/>
        <w:autoSpaceDE w:val="0"/>
        <w:autoSpaceDN w:val="0"/>
        <w:adjustRightInd w:val="0"/>
      </w:pPr>
    </w:p>
    <w:p w:rsidR="00450D32" w:rsidRDefault="00450D32" w:rsidP="00450D32">
      <w:r>
        <w:t>6/ P</w:t>
      </w:r>
      <w:r w:rsidRPr="0062403F">
        <w:t xml:space="preserve">robation should be extended and applicable to juveniles even without plea bargaining in cases specified by law (maximum penalty, to which probation may be applied can be specified). </w:t>
      </w:r>
    </w:p>
    <w:p w:rsidR="00450D32" w:rsidRDefault="00450D32" w:rsidP="00450D32">
      <w:pPr>
        <w:pStyle w:val="Listenabsatz"/>
        <w:autoSpaceDE w:val="0"/>
        <w:autoSpaceDN w:val="0"/>
        <w:adjustRightInd w:val="0"/>
      </w:pPr>
    </w:p>
    <w:p w:rsidR="00450D32" w:rsidRDefault="00450D32" w:rsidP="00450D32">
      <w:r>
        <w:t xml:space="preserve">7/ </w:t>
      </w:r>
      <w:proofErr w:type="gramStart"/>
      <w:r w:rsidRPr="0062403F">
        <w:t>The</w:t>
      </w:r>
      <w:proofErr w:type="gramEnd"/>
      <w:r w:rsidRPr="0062403F">
        <w:t xml:space="preserve"> list of punishment enumerated in the code (main as well as complementary punishments) should be diversified. New punishments, such as house arrest, should be introduced. </w:t>
      </w:r>
    </w:p>
    <w:p w:rsidR="00450D32" w:rsidRDefault="00450D32" w:rsidP="00450D32">
      <w:pPr>
        <w:pStyle w:val="Listenabsatz"/>
        <w:autoSpaceDE w:val="0"/>
        <w:autoSpaceDN w:val="0"/>
        <w:adjustRightInd w:val="0"/>
      </w:pPr>
    </w:p>
    <w:p w:rsidR="00450D32" w:rsidRDefault="00450D32" w:rsidP="00450D32">
      <w:r>
        <w:t xml:space="preserve">8/ </w:t>
      </w:r>
      <w:r w:rsidRPr="0062403F">
        <w:t xml:space="preserve">A procedure for calculating monetary fines should be introduced. Furthermore, the maximum amount of a fine should be established by law. </w:t>
      </w:r>
    </w:p>
    <w:p w:rsidR="00450D32" w:rsidRDefault="00450D32" w:rsidP="00450D32">
      <w:pPr>
        <w:pStyle w:val="Listenabsatz"/>
        <w:autoSpaceDE w:val="0"/>
        <w:autoSpaceDN w:val="0"/>
        <w:adjustRightInd w:val="0"/>
      </w:pPr>
    </w:p>
    <w:p w:rsidR="00450D32" w:rsidRDefault="00450D32" w:rsidP="00450D32">
      <w:r>
        <w:t xml:space="preserve">9/ </w:t>
      </w:r>
      <w:proofErr w:type="gramStart"/>
      <w:r w:rsidRPr="0062403F">
        <w:t>The</w:t>
      </w:r>
      <w:proofErr w:type="gramEnd"/>
      <w:r w:rsidRPr="0062403F">
        <w:t xml:space="preserve"> power of the prosecutor to use mediation and diversion with a juvenile charged with the commission of grave and particularly grave crimes should be reconsidered and the restorative justice should become the competence of the court. The court should have possibility to apply restorative measures to juveniles charged with less grave, grave</w:t>
      </w:r>
      <w:r>
        <w:t>,</w:t>
      </w:r>
      <w:r w:rsidRPr="0062403F">
        <w:t xml:space="preserve"> and particularly grave crimes in every stage of administration of justice. </w:t>
      </w:r>
    </w:p>
    <w:p w:rsidR="00450D32" w:rsidRDefault="00450D32" w:rsidP="00450D32">
      <w:pPr>
        <w:pStyle w:val="Listenabsatz"/>
        <w:autoSpaceDE w:val="0"/>
        <w:autoSpaceDN w:val="0"/>
        <w:adjustRightInd w:val="0"/>
      </w:pPr>
    </w:p>
    <w:p w:rsidR="00450D32" w:rsidRDefault="00450D32" w:rsidP="00450D32">
      <w:r>
        <w:t xml:space="preserve">10/ </w:t>
      </w:r>
      <w:r w:rsidRPr="0062403F">
        <w:t>The Georgian legal system should codify a penitentiary judge reserved for juvenile offenders</w:t>
      </w:r>
      <w:r>
        <w:t xml:space="preserve">. </w:t>
      </w:r>
      <w:r w:rsidRPr="0062403F">
        <w:t xml:space="preserve">Additionally, courts should be established that focus exclusively on juvenile trials. </w:t>
      </w:r>
    </w:p>
    <w:p w:rsidR="00450D32" w:rsidRDefault="00450D32" w:rsidP="00450D32">
      <w:pPr>
        <w:pStyle w:val="Listenabsatz"/>
        <w:autoSpaceDE w:val="0"/>
        <w:autoSpaceDN w:val="0"/>
        <w:adjustRightInd w:val="0"/>
      </w:pPr>
    </w:p>
    <w:p w:rsidR="00450D32" w:rsidRDefault="00450D32" w:rsidP="00450D32">
      <w:r>
        <w:t xml:space="preserve">11/ </w:t>
      </w:r>
      <w:proofErr w:type="gramStart"/>
      <w:r w:rsidRPr="0062403F">
        <w:t>The</w:t>
      </w:r>
      <w:proofErr w:type="gramEnd"/>
      <w:r w:rsidRPr="0062403F">
        <w:t xml:space="preserve"> diversion and mediation pilot programs should be expanded across the country. </w:t>
      </w:r>
    </w:p>
    <w:p w:rsidR="00450D32" w:rsidRDefault="00450D32" w:rsidP="00450D32">
      <w:pPr>
        <w:pStyle w:val="Listenabsatz"/>
        <w:autoSpaceDE w:val="0"/>
        <w:autoSpaceDN w:val="0"/>
        <w:adjustRightInd w:val="0"/>
      </w:pPr>
    </w:p>
    <w:p w:rsidR="00450D32" w:rsidRDefault="00450D32" w:rsidP="00450D32">
      <w:r>
        <w:t xml:space="preserve">12/ </w:t>
      </w:r>
      <w:r w:rsidRPr="0062403F">
        <w:t xml:space="preserve">Social workers should be trained to better handle juvenile offenders. </w:t>
      </w:r>
    </w:p>
    <w:p w:rsidR="00450D32" w:rsidRDefault="00450D32" w:rsidP="00450D32">
      <w:pPr>
        <w:pStyle w:val="Listenabsatz"/>
        <w:autoSpaceDE w:val="0"/>
        <w:autoSpaceDN w:val="0"/>
        <w:adjustRightInd w:val="0"/>
      </w:pPr>
    </w:p>
    <w:p w:rsidR="00450D32" w:rsidRDefault="00450D32" w:rsidP="00450D32">
      <w:pPr>
        <w:autoSpaceDE w:val="0"/>
        <w:autoSpaceDN w:val="0"/>
        <w:adjustRightInd w:val="0"/>
      </w:pPr>
      <w:r>
        <w:t xml:space="preserve">13/ </w:t>
      </w:r>
      <w:r w:rsidRPr="00EA5BD7">
        <w:t>There should be greater access to training for mediators involved in juvenile justice.</w:t>
      </w:r>
    </w:p>
    <w:p w:rsidR="00450D32" w:rsidRDefault="00450D32" w:rsidP="00450D32">
      <w:pPr>
        <w:pStyle w:val="Listenabsatz"/>
        <w:autoSpaceDE w:val="0"/>
        <w:autoSpaceDN w:val="0"/>
        <w:adjustRightInd w:val="0"/>
      </w:pPr>
    </w:p>
    <w:p w:rsidR="00C90E71" w:rsidRDefault="002F218D" w:rsidP="006C0B99">
      <w:pPr>
        <w:pStyle w:val="berschrift1"/>
        <w:rPr>
          <w:lang w:val="en-US"/>
        </w:rPr>
      </w:pPr>
      <w:bookmarkStart w:id="25" w:name="_Toc363492740"/>
      <w:r>
        <w:rPr>
          <w:lang w:val="en-US"/>
        </w:rPr>
        <w:t>Other Infringements of the</w:t>
      </w:r>
      <w:r w:rsidR="00C90E71">
        <w:rPr>
          <w:lang w:val="en-US"/>
        </w:rPr>
        <w:t xml:space="preserve"> ICCPR</w:t>
      </w:r>
      <w:bookmarkEnd w:id="25"/>
    </w:p>
    <w:p w:rsidR="002F218D" w:rsidRDefault="00FE040E" w:rsidP="00C90E71">
      <w:pPr>
        <w:rPr>
          <w:lang w:val="en-US"/>
        </w:rPr>
      </w:pPr>
      <w:r>
        <w:rPr>
          <w:lang w:val="en-US"/>
        </w:rPr>
        <w:t>In addition to issues of</w:t>
      </w:r>
      <w:r w:rsidR="0069301E">
        <w:rPr>
          <w:lang w:val="en-US"/>
        </w:rPr>
        <w:t xml:space="preserve"> discrimination, liberty and security, and the judiciary and the courts, the HRC</w:t>
      </w:r>
      <w:r w:rsidR="001E2C3D">
        <w:rPr>
          <w:lang w:val="en-US"/>
        </w:rPr>
        <w:t xml:space="preserve"> concluding</w:t>
      </w:r>
      <w:r w:rsidR="0069301E">
        <w:rPr>
          <w:lang w:val="en-US"/>
        </w:rPr>
        <w:t xml:space="preserve"> observations, the GoG</w:t>
      </w:r>
      <w:r w:rsidR="00273306">
        <w:rPr>
          <w:lang w:val="en-US"/>
        </w:rPr>
        <w:t>’s4th</w:t>
      </w:r>
      <w:r>
        <w:rPr>
          <w:lang w:val="en-US"/>
        </w:rPr>
        <w:t xml:space="preserve"> period</w:t>
      </w:r>
      <w:r w:rsidR="007E28F2">
        <w:rPr>
          <w:lang w:val="en-US"/>
        </w:rPr>
        <w:t>ical</w:t>
      </w:r>
      <w:r>
        <w:rPr>
          <w:lang w:val="en-US"/>
        </w:rPr>
        <w:t xml:space="preserve"> report and the NGO coalition looked at a number of other issues covered by the ICCPR.</w:t>
      </w:r>
      <w:r w:rsidR="000C2994">
        <w:rPr>
          <w:lang w:val="en-US"/>
        </w:rPr>
        <w:t xml:space="preserve"> In this final section of the analysis, we will consider, the harassment of journalists, the rights to assemble and the right to free and fair elections </w:t>
      </w:r>
    </w:p>
    <w:p w:rsidR="002040A8" w:rsidRDefault="00E45E83" w:rsidP="006C0B99">
      <w:pPr>
        <w:pStyle w:val="berschrift2"/>
        <w:rPr>
          <w:lang w:val="en-US"/>
        </w:rPr>
      </w:pPr>
      <w:bookmarkStart w:id="26" w:name="_Toc363492741"/>
      <w:r>
        <w:rPr>
          <w:lang w:val="en-US"/>
        </w:rPr>
        <w:t xml:space="preserve">HRC </w:t>
      </w:r>
      <w:r w:rsidR="006C051A">
        <w:rPr>
          <w:lang w:val="en-US"/>
        </w:rPr>
        <w:t xml:space="preserve">Concluding </w:t>
      </w:r>
      <w:r>
        <w:rPr>
          <w:lang w:val="en-US"/>
        </w:rPr>
        <w:t>Observations</w:t>
      </w:r>
      <w:r w:rsidR="00303DD1">
        <w:rPr>
          <w:lang w:val="en-US"/>
        </w:rPr>
        <w:t>,</w:t>
      </w:r>
      <w:r>
        <w:rPr>
          <w:lang w:val="en-US"/>
        </w:rPr>
        <w:t xml:space="preserve"> Paragraph </w:t>
      </w:r>
      <w:r w:rsidR="002040A8" w:rsidRPr="002040A8">
        <w:rPr>
          <w:lang w:val="en-US"/>
        </w:rPr>
        <w:t>16 Investigation of harassment of journalists (19)</w:t>
      </w:r>
      <w:bookmarkEnd w:id="26"/>
    </w:p>
    <w:p w:rsidR="007E28F2" w:rsidRDefault="000C2994" w:rsidP="004E5D65">
      <w:r>
        <w:t xml:space="preserve">Paragraph 16 of the HRC observations highlights concerns of the committee about continued reports of the harassment of journalists. </w:t>
      </w:r>
      <w:r w:rsidRPr="004E5D65">
        <w:t xml:space="preserve">The </w:t>
      </w:r>
      <w:r w:rsidR="00D0612C" w:rsidRPr="004E5D65">
        <w:t xml:space="preserve">government’s </w:t>
      </w:r>
      <w:r w:rsidRPr="004E5D65">
        <w:t>4th periodic report responds to these concerns (paragraph</w:t>
      </w:r>
      <w:r w:rsidR="00D0612C" w:rsidRPr="004E5D65">
        <w:t xml:space="preserve"> 40)</w:t>
      </w:r>
      <w:r w:rsidRPr="004E5D65">
        <w:t xml:space="preserve"> by highlighting </w:t>
      </w:r>
      <w:r w:rsidR="007E28F2">
        <w:t xml:space="preserve">the </w:t>
      </w:r>
      <w:r w:rsidRPr="004E5D65">
        <w:t>government</w:t>
      </w:r>
      <w:r w:rsidR="007E28F2">
        <w:t>’</w:t>
      </w:r>
      <w:r w:rsidRPr="004E5D65">
        <w:t>s</w:t>
      </w:r>
      <w:r w:rsidR="00D0612C" w:rsidRPr="004E5D65">
        <w:t xml:space="preserve"> criminal investigations</w:t>
      </w:r>
      <w:r w:rsidRPr="004E5D65">
        <w:t xml:space="preserve"> into charges of harassment</w:t>
      </w:r>
      <w:r w:rsidR="00D0612C" w:rsidRPr="004E5D65">
        <w:t xml:space="preserve">. </w:t>
      </w:r>
    </w:p>
    <w:p w:rsidR="007E28F2" w:rsidRDefault="007E28F2" w:rsidP="004E5D65"/>
    <w:p w:rsidR="00D93622" w:rsidRPr="007E28F2" w:rsidRDefault="000C2994" w:rsidP="004E5D65">
      <w:pPr>
        <w:rPr>
          <w:rFonts w:ascii="Times New Roman" w:hAnsi="Times New Roman"/>
        </w:rPr>
      </w:pPr>
      <w:r w:rsidRPr="004E5D65">
        <w:t>However, not only was there widespread evidence of harassment of journalists, but</w:t>
      </w:r>
      <w:r w:rsidR="00D0612C" w:rsidRPr="004E5D65">
        <w:t xml:space="preserve"> offences against jo</w:t>
      </w:r>
      <w:r w:rsidRPr="004E5D65">
        <w:t>urnalists remained</w:t>
      </w:r>
      <w:r w:rsidR="00D0612C" w:rsidRPr="004E5D65">
        <w:t xml:space="preserve"> unpunished for</w:t>
      </w:r>
      <w:r w:rsidRPr="004E5D65">
        <w:t xml:space="preserve"> many</w:t>
      </w:r>
      <w:r w:rsidR="00D0612C" w:rsidRPr="004E5D65">
        <w:t xml:space="preserve"> years.</w:t>
      </w:r>
      <w:r w:rsidR="00254861">
        <w:t xml:space="preserve"> </w:t>
      </w:r>
      <w:r w:rsidR="007E28F2" w:rsidRPr="007E28F2">
        <w:rPr>
          <w:szCs w:val="22"/>
        </w:rPr>
        <w:t>For example,</w:t>
      </w:r>
      <w:r w:rsidR="00254861">
        <w:rPr>
          <w:szCs w:val="22"/>
        </w:rPr>
        <w:t xml:space="preserve"> </w:t>
      </w:r>
      <w:r w:rsidR="007E28F2">
        <w:t>i</w:t>
      </w:r>
      <w:r w:rsidR="00D0612C" w:rsidRPr="000C2994">
        <w:t xml:space="preserve">t is still unknown to the public if law enforcement officers responsible for attacks against journalists during the forceful dispersal of peaceful rallies on 15 June 2009 and 26 May 2011 were held accountable. A number of incidences of physical and verbal abuse of journalists </w:t>
      </w:r>
      <w:r>
        <w:t>were also</w:t>
      </w:r>
      <w:r w:rsidR="00D0612C" w:rsidRPr="000C2994">
        <w:t xml:space="preserve"> revealed during the 2012 pre-election period. The results of investigation of these incidents are still not known to the public.</w:t>
      </w:r>
      <w:r w:rsidR="00D0612C">
        <w:rPr>
          <w:rStyle w:val="Funotenzeichen"/>
          <w:rFonts w:ascii="Times New Roman" w:hAnsi="Times New Roman"/>
        </w:rPr>
        <w:footnoteReference w:id="70"/>
      </w:r>
    </w:p>
    <w:p w:rsidR="00D0612C" w:rsidRPr="000C2994" w:rsidRDefault="00D0612C" w:rsidP="00D93622"/>
    <w:p w:rsidR="000325D6" w:rsidRDefault="000C2994" w:rsidP="00D93622">
      <w:r>
        <w:t>More broadly, the</w:t>
      </w:r>
      <w:r w:rsidR="00D0612C" w:rsidRPr="000C2994">
        <w:t xml:space="preserve"> government’s </w:t>
      </w:r>
      <w:r>
        <w:t>4</w:t>
      </w:r>
      <w:r w:rsidRPr="000C2994">
        <w:rPr>
          <w:vertAlign w:val="superscript"/>
        </w:rPr>
        <w:t>th</w:t>
      </w:r>
      <w:r w:rsidR="00D93622">
        <w:t xml:space="preserve"> periodic report</w:t>
      </w:r>
      <w:r>
        <w:t xml:space="preserve"> highlight</w:t>
      </w:r>
      <w:r w:rsidR="000325D6">
        <w:t>s</w:t>
      </w:r>
      <w:r w:rsidR="00D93622">
        <w:t xml:space="preserve"> a range of improvements in the media environment. In paragraph </w:t>
      </w:r>
      <w:r w:rsidR="00D93622" w:rsidRPr="000C2994">
        <w:t>144</w:t>
      </w:r>
      <w:r w:rsidR="00D93622">
        <w:t>, they highlight</w:t>
      </w:r>
      <w:r>
        <w:t xml:space="preserve"> the plurality of media</w:t>
      </w:r>
      <w:r w:rsidR="000325D6">
        <w:t>/new media licenses, paragraph 146 claims improvements in the independence of the public broadcaster, paragraph 147 elaborates the importance of the code of conduct adopted by the Georgian National Communication Commission, paragraph 148 looks at changes to the law to ensure financial transparency.</w:t>
      </w:r>
    </w:p>
    <w:p w:rsidR="000325D6" w:rsidRDefault="000325D6" w:rsidP="00D93622"/>
    <w:p w:rsidR="00D0612C" w:rsidRPr="000C2994" w:rsidRDefault="000325D6" w:rsidP="00D93622">
      <w:r>
        <w:t>However, while each of these paragraphs is factually true, they often misrepresent the overall situation</w:t>
      </w:r>
      <w:r w:rsidR="009249B7">
        <w:t xml:space="preserve"> and give</w:t>
      </w:r>
      <w:r>
        <w:t xml:space="preserve"> an entirely inaccurate picture of media independence prior to the 2012 election campaign</w:t>
      </w:r>
      <w:r w:rsidR="007E28F2">
        <w:t>. Until the implementation of the ‘must carry, must offer’ rule, during the 2012 election campaign, the listed</w:t>
      </w:r>
      <w:r w:rsidR="009249B7">
        <w:t xml:space="preserve"> legal </w:t>
      </w:r>
      <w:r w:rsidR="009249B7">
        <w:lastRenderedPageBreak/>
        <w:t xml:space="preserve">amendments rarely had much of an impact on media pluralism and independence and, at the beginning of 2012, the Georgian media landscape was extremely restricted and biased in favour of the government. </w:t>
      </w:r>
    </w:p>
    <w:p w:rsidR="00D93622" w:rsidRDefault="00D93622" w:rsidP="00D93622">
      <w:pPr>
        <w:rPr>
          <w:rFonts w:ascii="Times New Roman" w:hAnsi="Times New Roman"/>
          <w:sz w:val="24"/>
          <w:szCs w:val="24"/>
        </w:rPr>
      </w:pPr>
    </w:p>
    <w:p w:rsidR="00D0612C" w:rsidRDefault="009249B7" w:rsidP="00D93622">
      <w:r>
        <w:t>To deal with each of the government comments, paragraph 144 highlight the plurality of media/new media licenses issued in 2011. However,</w:t>
      </w:r>
      <w:r w:rsidR="000C2994">
        <w:t xml:space="preserve"> i</w:t>
      </w:r>
      <w:r w:rsidR="00D0612C">
        <w:t xml:space="preserve">t is important to note that </w:t>
      </w:r>
      <w:r w:rsidR="00D93622">
        <w:t xml:space="preserve">the </w:t>
      </w:r>
      <w:r w:rsidR="00D0612C">
        <w:t>issuance of licenses to TV and radio broadcasters was completely suspended from May 2008 to April 2011</w:t>
      </w:r>
      <w:r w:rsidR="00D93622">
        <w:t xml:space="preserve"> because the</w:t>
      </w:r>
      <w:r w:rsidR="00D0612C">
        <w:t xml:space="preserve"> National Communication Commission</w:t>
      </w:r>
      <w:r w:rsidR="00D93622">
        <w:t xml:space="preserve"> had failed to set its bi-annual priorities</w:t>
      </w:r>
      <w:r w:rsidR="00D0612C">
        <w:t xml:space="preserve">. </w:t>
      </w:r>
      <w:r w:rsidR="00D93622">
        <w:t xml:space="preserve">As a result, the </w:t>
      </w:r>
      <w:r w:rsidR="00D0612C">
        <w:t xml:space="preserve">licenses to TV and Radio Broadcasting companies referred to in the Government’s report were issued only in the period after April 2011. </w:t>
      </w:r>
      <w:r w:rsidR="00D93622">
        <w:t xml:space="preserve">The loss of three years, during which time licenses were not </w:t>
      </w:r>
      <w:proofErr w:type="gramStart"/>
      <w:r w:rsidR="00D93622">
        <w:t>issued</w:t>
      </w:r>
      <w:proofErr w:type="gramEnd"/>
      <w:r w:rsidR="00D93622">
        <w:t xml:space="preserve"> had a profoundly negative impact on the Georgian media environment</w:t>
      </w:r>
      <w:r w:rsidR="00C06200">
        <w:t xml:space="preserve">. </w:t>
      </w:r>
    </w:p>
    <w:p w:rsidR="00D93622" w:rsidRDefault="00D93622" w:rsidP="00D93622">
      <w:pPr>
        <w:spacing w:before="120" w:after="120"/>
        <w:contextualSpacing/>
        <w:rPr>
          <w:rFonts w:ascii="Times New Roman" w:hAnsi="Times New Roman"/>
        </w:rPr>
      </w:pPr>
    </w:p>
    <w:p w:rsidR="00D93622" w:rsidRPr="00D93622" w:rsidRDefault="00D93622" w:rsidP="009249B7">
      <w:r w:rsidRPr="00D93622">
        <w:t xml:space="preserve">With regard to the legislative amendments referred to in </w:t>
      </w:r>
      <w:r w:rsidR="009249B7">
        <w:t xml:space="preserve">paragraph 146 of </w:t>
      </w:r>
      <w:r w:rsidRPr="00D93622">
        <w:t>the Government’s Report</w:t>
      </w:r>
      <w:r w:rsidR="009249B7">
        <w:t xml:space="preserve">, there is little reason to believe that these changes enhanced the independence of the public </w:t>
      </w:r>
      <w:proofErr w:type="spellStart"/>
      <w:r w:rsidR="009249B7">
        <w:t>broadcaster.C</w:t>
      </w:r>
      <w:r w:rsidRPr="00D93622">
        <w:t>ivil</w:t>
      </w:r>
      <w:proofErr w:type="spellEnd"/>
      <w:r w:rsidRPr="00D93622">
        <w:t xml:space="preserve"> society organizations submitted a draft bill to the Parliament of Georgia proposing changes to the rules of formation of the </w:t>
      </w:r>
      <w:r w:rsidR="00B30006">
        <w:t>Board of Trustees</w:t>
      </w:r>
      <w:r w:rsidRPr="00D93622">
        <w:t xml:space="preserve"> of the LEPL “Public Broadcasting.” The </w:t>
      </w:r>
      <w:r w:rsidR="00F02738">
        <w:t>Board of Trustees</w:t>
      </w:r>
      <w:r w:rsidRPr="00D93622">
        <w:t xml:space="preserve"> established through current procedures does not ensure </w:t>
      </w:r>
      <w:proofErr w:type="spellStart"/>
      <w:r w:rsidRPr="00D93622">
        <w:t>fulfillment</w:t>
      </w:r>
      <w:proofErr w:type="spellEnd"/>
      <w:r w:rsidRPr="00D93622">
        <w:t xml:space="preserve"> of its duties.</w:t>
      </w:r>
      <w:r w:rsidR="00C505E1">
        <w:rPr>
          <w:rStyle w:val="Funotenzeichen"/>
        </w:rPr>
        <w:footnoteReference w:id="71"/>
      </w:r>
    </w:p>
    <w:p w:rsidR="009249B7" w:rsidRDefault="009249B7" w:rsidP="009249B7">
      <w:pPr>
        <w:spacing w:before="120" w:after="120"/>
        <w:contextualSpacing/>
        <w:rPr>
          <w:rFonts w:ascii="Times New Roman" w:hAnsi="Times New Roman"/>
        </w:rPr>
      </w:pPr>
    </w:p>
    <w:p w:rsidR="007E28F2" w:rsidRDefault="00D93622" w:rsidP="009249B7">
      <w:r w:rsidRPr="009249B7">
        <w:t>The adoption of the Code of Conduct for broadcasters by the National Communication Commission</w:t>
      </w:r>
      <w:r w:rsidR="009249B7">
        <w:t>, highlighted in paragraph 147 was positive</w:t>
      </w:r>
      <w:r w:rsidRPr="009249B7">
        <w:t>. According to the Code, the broadcasters of Georgia shall set up an effec</w:t>
      </w:r>
      <w:r w:rsidR="00D36381">
        <w:t>tive self-regulating mechanism.</w:t>
      </w:r>
      <w:r w:rsidRPr="009249B7">
        <w:t xml:space="preserve"> However, the statistical data obtained from the National Communication Commission</w:t>
      </w:r>
      <w:r>
        <w:rPr>
          <w:rStyle w:val="Funotenzeichen"/>
          <w:rFonts w:ascii="Times New Roman" w:hAnsi="Times New Roman"/>
        </w:rPr>
        <w:footnoteReference w:id="72"/>
      </w:r>
      <w:r w:rsidRPr="009249B7">
        <w:t xml:space="preserve"> and lack of enforcement of the decisions made by self-regulating mechanisms in </w:t>
      </w:r>
      <w:r w:rsidR="007E28F2">
        <w:t xml:space="preserve">a </w:t>
      </w:r>
      <w:r w:rsidRPr="009249B7">
        <w:t>number of cases, attest to inefficiency of these mechanisms.</w:t>
      </w:r>
    </w:p>
    <w:p w:rsidR="00D93622" w:rsidRPr="009249B7" w:rsidRDefault="00D93622" w:rsidP="009249B7">
      <w:pPr>
        <w:rPr>
          <w:rFonts w:ascii="Sylfaen" w:hAnsi="Sylfaen"/>
          <w:lang w:val="de-DE"/>
        </w:rPr>
      </w:pPr>
    </w:p>
    <w:p w:rsidR="009249B7" w:rsidRDefault="009249B7" w:rsidP="009249B7">
      <w:pPr>
        <w:rPr>
          <w:rFonts w:ascii="Sylfaen" w:hAnsi="Sylfaen"/>
          <w:lang w:val="de-DE"/>
        </w:rPr>
      </w:pPr>
      <w:r>
        <w:t xml:space="preserve">Paragraph </w:t>
      </w:r>
      <w:r w:rsidR="00D93622" w:rsidRPr="009249B7">
        <w:t>148</w:t>
      </w:r>
      <w:r>
        <w:t xml:space="preserve"> of the Government</w:t>
      </w:r>
      <w:r w:rsidR="00DC061E">
        <w:t>’</w:t>
      </w:r>
      <w:r>
        <w:t xml:space="preserve">s report refers to </w:t>
      </w:r>
      <w:r w:rsidR="00D93622" w:rsidRPr="009249B7">
        <w:t>amendments</w:t>
      </w:r>
      <w:r>
        <w:t xml:space="preserve"> to the Georgian Law on </w:t>
      </w:r>
      <w:proofErr w:type="gramStart"/>
      <w:r>
        <w:t>Broadcasting, that</w:t>
      </w:r>
      <w:proofErr w:type="gramEnd"/>
      <w:r>
        <w:t xml:space="preserve"> were intended to ensure</w:t>
      </w:r>
      <w:r w:rsidR="00D93622" w:rsidRPr="009249B7">
        <w:t xml:space="preserve"> transparency of media. However, these measures are insufficient as it is clearly demonstrated by the events that have unfolded with regard to </w:t>
      </w:r>
      <w:proofErr w:type="spellStart"/>
      <w:r w:rsidR="00D93622" w:rsidRPr="009249B7">
        <w:t>Imedi</w:t>
      </w:r>
      <w:proofErr w:type="spellEnd"/>
      <w:r w:rsidR="00D93622" w:rsidRPr="009249B7">
        <w:t xml:space="preserve"> TV.</w:t>
      </w:r>
      <w:r w:rsidR="00D93622">
        <w:rPr>
          <w:rStyle w:val="Funotenzeichen"/>
          <w:rFonts w:ascii="Times New Roman" w:hAnsi="Times New Roman"/>
        </w:rPr>
        <w:footnoteReference w:id="73"/>
      </w:r>
      <w:r w:rsidR="00D93622" w:rsidRPr="009249B7">
        <w:t xml:space="preserve"> Civil society representatives have submitted a legislative initiative to </w:t>
      </w:r>
      <w:r>
        <w:t>the Parliament of Georgia aimed</w:t>
      </w:r>
      <w:r w:rsidR="00D93622" w:rsidRPr="009249B7">
        <w:t xml:space="preserve"> at addressing </w:t>
      </w:r>
      <w:r>
        <w:t xml:space="preserve">the </w:t>
      </w:r>
      <w:r w:rsidR="00D93622" w:rsidRPr="009249B7">
        <w:t>remaining legislative gaps</w:t>
      </w:r>
      <w:r>
        <w:t>, particularly as it relates to the</w:t>
      </w:r>
      <w:r w:rsidR="00D93622" w:rsidRPr="009249B7">
        <w:t xml:space="preserve"> financial transparency of the public broadcaster through legislative regulations</w:t>
      </w:r>
      <w:r w:rsidR="00D93622">
        <w:rPr>
          <w:rStyle w:val="Funotenzeichen"/>
          <w:rFonts w:ascii="Times New Roman" w:hAnsi="Times New Roman"/>
        </w:rPr>
        <w:footnoteReference w:id="74"/>
      </w:r>
      <w:r w:rsidR="00D93622" w:rsidRPr="009249B7">
        <w:t xml:space="preserve">.  </w:t>
      </w:r>
    </w:p>
    <w:p w:rsidR="009249B7" w:rsidRDefault="009249B7" w:rsidP="009249B7">
      <w:pPr>
        <w:rPr>
          <w:rFonts w:ascii="Sylfaen" w:hAnsi="Sylfaen"/>
          <w:lang w:val="de-DE"/>
        </w:rPr>
      </w:pPr>
    </w:p>
    <w:p w:rsidR="00D0612C" w:rsidRPr="00D93622" w:rsidRDefault="00623C67" w:rsidP="00623C67">
      <w:r>
        <w:t xml:space="preserve">In addition to these weaknesses in the comments of the Georgian government assessment of media freedom there are also several other issues. </w:t>
      </w:r>
      <w:proofErr w:type="gramStart"/>
      <w:r w:rsidR="00D0612C" w:rsidRPr="00D93622">
        <w:t>In spite of the prohibition of setting up a state television by the Georgian Law on Broadcasting Art.</w:t>
      </w:r>
      <w:proofErr w:type="gramEnd"/>
      <w:r w:rsidR="00D0612C" w:rsidRPr="00D93622">
        <w:t xml:space="preserve"> 37 (Government’s report of 25 June 2012, Para. 145) the status of the State Television of </w:t>
      </w:r>
      <w:proofErr w:type="spellStart"/>
      <w:r w:rsidR="00D0612C" w:rsidRPr="00D93622">
        <w:t>Adjara</w:t>
      </w:r>
      <w:proofErr w:type="spellEnd"/>
      <w:r w:rsidR="00D0612C" w:rsidRPr="00D93622">
        <w:t xml:space="preserve"> Autonomous Republic remains a serious concern. Regardless of the prohibition by the law, according to the ruling #58 of the government of the Autonomous Republic of 5 October 2004, </w:t>
      </w:r>
      <w:r w:rsidR="00D0612C" w:rsidRPr="00D93622">
        <w:lastRenderedPageBreak/>
        <w:t xml:space="preserve">Government of the Autonomous Republic of </w:t>
      </w:r>
      <w:proofErr w:type="spellStart"/>
      <w:r w:rsidR="00D0612C" w:rsidRPr="00D93622">
        <w:t>Adjara</w:t>
      </w:r>
      <w:proofErr w:type="spellEnd"/>
      <w:r w:rsidR="00D0612C" w:rsidRPr="00D93622">
        <w:t xml:space="preserve"> still retains the management function of the </w:t>
      </w:r>
      <w:proofErr w:type="spellStart"/>
      <w:r w:rsidR="00D0612C" w:rsidRPr="00D93622">
        <w:t>Adjara</w:t>
      </w:r>
      <w:proofErr w:type="spellEnd"/>
      <w:r w:rsidR="00D0612C" w:rsidRPr="00D93622">
        <w:t xml:space="preserve"> TV-Radio Broadcasting Department while representing an administrative body</w:t>
      </w:r>
      <w:r w:rsidR="00D0612C">
        <w:rPr>
          <w:rStyle w:val="Funotenzeichen"/>
          <w:rFonts w:ascii="Times New Roman" w:hAnsi="Times New Roman"/>
        </w:rPr>
        <w:footnoteReference w:id="75"/>
      </w:r>
      <w:r w:rsidR="00D0612C" w:rsidRPr="00D93622">
        <w:t xml:space="preserve">.    </w:t>
      </w:r>
    </w:p>
    <w:p w:rsidR="00D93622" w:rsidRDefault="00D93622" w:rsidP="00D93622">
      <w:pPr>
        <w:spacing w:before="120" w:after="120"/>
        <w:contextualSpacing/>
        <w:rPr>
          <w:rFonts w:ascii="Times New Roman" w:hAnsi="Times New Roman"/>
        </w:rPr>
      </w:pPr>
    </w:p>
    <w:p w:rsidR="00D0612C" w:rsidRPr="00623C67" w:rsidRDefault="00C505E1" w:rsidP="00C505E1">
      <w:r>
        <w:t>Finally,</w:t>
      </w:r>
      <w:r w:rsidR="00254861">
        <w:t xml:space="preserve"> </w:t>
      </w:r>
      <w:r>
        <w:t>legislation does not anticipate the</w:t>
      </w:r>
      <w:r w:rsidR="00D0612C" w:rsidRPr="00623C67">
        <w:t xml:space="preserve"> permanent application of</w:t>
      </w:r>
      <w:r>
        <w:t xml:space="preserve"> the ‘must carry, must offer’ laws that were so useful in levelling the media playing-field in the election of 2012</w:t>
      </w:r>
      <w:r w:rsidR="00623C67">
        <w:t>. T</w:t>
      </w:r>
      <w:r w:rsidR="00D0612C" w:rsidRPr="00623C67">
        <w:t>herefore, cable providers</w:t>
      </w:r>
      <w:r w:rsidR="00623C67">
        <w:t xml:space="preserve"> will have</w:t>
      </w:r>
      <w:r w:rsidR="00D0612C" w:rsidRPr="00623C67">
        <w:t xml:space="preserve"> discretion</w:t>
      </w:r>
      <w:r w:rsidR="00623C67">
        <w:t xml:space="preserve"> in selecting which stations to carry</w:t>
      </w:r>
      <w:r w:rsidR="00D0612C" w:rsidRPr="00623C67">
        <w:t xml:space="preserve">. The </w:t>
      </w:r>
      <w:r w:rsidR="00623C67">
        <w:t>problems of this discretion are effectively illustrated by the 2012 parliamentary elections. The ability of certain carriers to exclude certain stations had created a government bias in nationwide coverage. As a result, the</w:t>
      </w:r>
      <w:r w:rsidR="00D0612C" w:rsidRPr="00623C67">
        <w:t xml:space="preserve"> Election </w:t>
      </w:r>
      <w:r w:rsidR="00623C67">
        <w:t xml:space="preserve">Code of Georgia was amended, and </w:t>
      </w:r>
      <w:r w:rsidR="00D0612C" w:rsidRPr="00623C67">
        <w:t>on the basis of the principles of ‘must offer’ and ‘must carry’ cable providers became obliged to include in their service package all the broadcasters holding general broadcasting licenses</w:t>
      </w:r>
      <w:r w:rsidR="00D0612C">
        <w:rPr>
          <w:rStyle w:val="Funotenzeichen"/>
          <w:rFonts w:ascii="Times New Roman" w:hAnsi="Times New Roman"/>
        </w:rPr>
        <w:footnoteReference w:id="76"/>
      </w:r>
      <w:r w:rsidR="00623C67">
        <w:t xml:space="preserve">for the </w:t>
      </w:r>
      <w:r w:rsidR="00D0612C" w:rsidRPr="00623C67">
        <w:t>pre-election period</w:t>
      </w:r>
      <w:r w:rsidR="00D0612C">
        <w:rPr>
          <w:rStyle w:val="Funotenzeichen"/>
          <w:rFonts w:ascii="Times New Roman" w:hAnsi="Times New Roman"/>
        </w:rPr>
        <w:footnoteReference w:id="77"/>
      </w:r>
      <w:r w:rsidR="00D0612C" w:rsidRPr="00623C67">
        <w:t xml:space="preserve">.           </w:t>
      </w:r>
    </w:p>
    <w:p w:rsidR="00623C67" w:rsidRDefault="00623C67" w:rsidP="00B23E0F"/>
    <w:p w:rsidR="00D0612C" w:rsidRPr="00C33FAD" w:rsidRDefault="00D0612C" w:rsidP="00B23E0F">
      <w:pPr>
        <w:rPr>
          <w:b/>
          <w:i/>
        </w:rPr>
      </w:pPr>
      <w:r w:rsidRPr="00C33FAD">
        <w:rPr>
          <w:b/>
          <w:i/>
        </w:rPr>
        <w:t>Recommendations</w:t>
      </w:r>
    </w:p>
    <w:p w:rsidR="00D0612C" w:rsidRPr="00C505E1" w:rsidRDefault="00623C67" w:rsidP="00623C67">
      <w:pPr>
        <w:rPr>
          <w:b/>
          <w:bCs/>
          <w:spacing w:val="4"/>
          <w:w w:val="103"/>
          <w:kern w:val="14"/>
          <w:lang w:val="ka-GE" w:eastAsia="ko-KR"/>
        </w:rPr>
      </w:pPr>
      <w:r w:rsidRPr="00C505E1">
        <w:t xml:space="preserve">1/ </w:t>
      </w:r>
      <w:r w:rsidR="00D0612C" w:rsidRPr="00C505E1">
        <w:t xml:space="preserve">Timely and Effective investigation of attacks against journalists shall become a priority for the state. The numerous cases of violence and offenses against journalists committed throughout the years shall be fully investigated and perpetrators shall be punished. </w:t>
      </w:r>
    </w:p>
    <w:p w:rsidR="00C505E1" w:rsidRPr="00C505E1" w:rsidRDefault="00C505E1" w:rsidP="00623C67">
      <w:pPr>
        <w:rPr>
          <w:lang w:val="en-US"/>
        </w:rPr>
      </w:pPr>
    </w:p>
    <w:p w:rsidR="00D0612C" w:rsidRPr="00C505E1" w:rsidRDefault="00623C67" w:rsidP="00623C67">
      <w:pPr>
        <w:rPr>
          <w:b/>
          <w:bCs/>
          <w:spacing w:val="4"/>
          <w:w w:val="103"/>
          <w:kern w:val="14"/>
          <w:lang w:val="ka-GE" w:eastAsia="ko-KR"/>
        </w:rPr>
      </w:pPr>
      <w:r w:rsidRPr="00C505E1">
        <w:rPr>
          <w:lang w:val="en-US"/>
        </w:rPr>
        <w:t xml:space="preserve">2/ </w:t>
      </w:r>
      <w:r w:rsidR="00D0612C" w:rsidRPr="00C505E1">
        <w:rPr>
          <w:lang w:val="ka-GE"/>
        </w:rPr>
        <w:t xml:space="preserve">National Communication Commission shall perform its duties timely and in accordance with the rules established by the law to prevent </w:t>
      </w:r>
      <w:r w:rsidR="00D0612C" w:rsidRPr="00C505E1">
        <w:t>any impediments to functioning of media outlets.</w:t>
      </w:r>
    </w:p>
    <w:p w:rsidR="00C505E1" w:rsidRPr="00C505E1" w:rsidRDefault="00C505E1" w:rsidP="00623C67">
      <w:pPr>
        <w:spacing w:before="120" w:after="120"/>
        <w:contextualSpacing/>
        <w:rPr>
          <w:lang w:val="en-US"/>
        </w:rPr>
      </w:pPr>
    </w:p>
    <w:p w:rsidR="00623C67" w:rsidRPr="00C505E1" w:rsidRDefault="00623C67" w:rsidP="00623C67">
      <w:pPr>
        <w:spacing w:before="120" w:after="120"/>
        <w:contextualSpacing/>
      </w:pPr>
      <w:r w:rsidRPr="00C505E1">
        <w:rPr>
          <w:lang w:val="en-US"/>
        </w:rPr>
        <w:t xml:space="preserve">3/ </w:t>
      </w:r>
      <w:r w:rsidR="00D0612C" w:rsidRPr="00C505E1">
        <w:rPr>
          <w:lang w:val="ka-GE"/>
        </w:rPr>
        <w:t>National Communication Commission</w:t>
      </w:r>
      <w:r w:rsidR="00D0612C" w:rsidRPr="00C505E1">
        <w:t xml:space="preserve"> shall monitor the functioning of self-regulating commissions.</w:t>
      </w:r>
    </w:p>
    <w:p w:rsidR="00C505E1" w:rsidRPr="00C505E1" w:rsidRDefault="00C505E1" w:rsidP="00623C67">
      <w:pPr>
        <w:spacing w:before="120" w:after="120"/>
        <w:contextualSpacing/>
      </w:pPr>
    </w:p>
    <w:p w:rsidR="00D0612C" w:rsidRPr="00C505E1" w:rsidRDefault="00623C67" w:rsidP="00623C67">
      <w:pPr>
        <w:spacing w:before="120" w:after="120"/>
        <w:contextualSpacing/>
        <w:rPr>
          <w:b/>
          <w:bCs/>
          <w:spacing w:val="4"/>
          <w:w w:val="103"/>
          <w:kern w:val="14"/>
          <w:lang w:val="ka-GE" w:eastAsia="ko-KR"/>
        </w:rPr>
      </w:pPr>
      <w:r w:rsidRPr="00C505E1">
        <w:t xml:space="preserve">4/ </w:t>
      </w:r>
      <w:r w:rsidR="00D0612C" w:rsidRPr="00C505E1">
        <w:rPr>
          <w:lang w:val="ka-GE"/>
        </w:rPr>
        <w:t xml:space="preserve">Georgian Parliament shall timely review and adopt the law that would bring the status of the Adjara Autonomous Republic in compliance with the law. </w:t>
      </w:r>
    </w:p>
    <w:p w:rsidR="00C505E1" w:rsidRPr="00C505E1" w:rsidRDefault="00C505E1" w:rsidP="00623C67">
      <w:pPr>
        <w:spacing w:before="120" w:after="120"/>
        <w:contextualSpacing/>
        <w:rPr>
          <w:lang w:val="en-US"/>
        </w:rPr>
      </w:pPr>
    </w:p>
    <w:p w:rsidR="00D0612C" w:rsidRPr="00C505E1" w:rsidRDefault="00623C67" w:rsidP="00623C67">
      <w:pPr>
        <w:spacing w:before="120" w:after="120"/>
        <w:contextualSpacing/>
        <w:rPr>
          <w:b/>
          <w:bCs/>
          <w:spacing w:val="4"/>
          <w:w w:val="103"/>
          <w:kern w:val="14"/>
          <w:lang w:val="ka-GE" w:eastAsia="ko-KR"/>
        </w:rPr>
      </w:pPr>
      <w:r w:rsidRPr="00C505E1">
        <w:t xml:space="preserve">5/ </w:t>
      </w:r>
      <w:r w:rsidR="00D0612C" w:rsidRPr="00C505E1">
        <w:t>Parliament shall reconsider the rules of formation of the Supervisory Board of the Public Broadcaster in order to make it more balanced and ensure participation of civil society in its work.</w:t>
      </w:r>
    </w:p>
    <w:p w:rsidR="00D0612C" w:rsidRPr="006A65FF" w:rsidRDefault="00D0612C" w:rsidP="00623C67">
      <w:pPr>
        <w:spacing w:before="120" w:after="120"/>
        <w:contextualSpacing/>
        <w:rPr>
          <w:b/>
          <w:bCs/>
          <w:spacing w:val="4"/>
          <w:w w:val="103"/>
          <w:kern w:val="14"/>
          <w:lang w:val="en-US" w:eastAsia="ko-KR"/>
        </w:rPr>
      </w:pPr>
    </w:p>
    <w:p w:rsidR="00D0612C" w:rsidRPr="00C505E1" w:rsidRDefault="00C505E1" w:rsidP="00D0612C">
      <w:pPr>
        <w:rPr>
          <w:lang w:val="en-US"/>
        </w:rPr>
      </w:pPr>
      <w:r w:rsidRPr="00C505E1">
        <w:t xml:space="preserve">6/ </w:t>
      </w:r>
      <w:r w:rsidR="00D0612C" w:rsidRPr="00C505E1">
        <w:t>Legislative amendments shall be made to ensure permanent application of provisions on “must offer” and “must carry.”</w:t>
      </w:r>
    </w:p>
    <w:p w:rsidR="00D0612C" w:rsidRPr="00504BE1" w:rsidRDefault="00D0612C" w:rsidP="006C0B99">
      <w:pPr>
        <w:pStyle w:val="berschrift2"/>
      </w:pPr>
      <w:bookmarkStart w:id="27" w:name="_Toc363492742"/>
      <w:r>
        <w:t>Rig</w:t>
      </w:r>
      <w:r w:rsidR="000962C0">
        <w:t>ht to</w:t>
      </w:r>
      <w:r w:rsidR="006C0B99">
        <w:t xml:space="preserve"> </w:t>
      </w:r>
      <w:r w:rsidR="00843795">
        <w:t>P</w:t>
      </w:r>
      <w:r w:rsidR="004F43CD">
        <w:t>eaceful</w:t>
      </w:r>
      <w:r w:rsidR="006C0B99">
        <w:t xml:space="preserve"> </w:t>
      </w:r>
      <w:r w:rsidR="000250B6">
        <w:t>A</w:t>
      </w:r>
      <w:r w:rsidR="000962C0">
        <w:t>ssembly (article 21</w:t>
      </w:r>
      <w:r>
        <w:t>)</w:t>
      </w:r>
      <w:bookmarkEnd w:id="27"/>
    </w:p>
    <w:p w:rsidR="00C505E1" w:rsidRDefault="00D0612C" w:rsidP="00F34052">
      <w:r w:rsidRPr="000962C0">
        <w:rPr>
          <w:lang w:val="ka-GE"/>
        </w:rPr>
        <w:t>The right to assemply</w:t>
      </w:r>
      <w:r w:rsidR="000962C0">
        <w:rPr>
          <w:lang w:val="en-US"/>
        </w:rPr>
        <w:t xml:space="preserve"> is</w:t>
      </w:r>
      <w:r w:rsidRPr="000962C0">
        <w:rPr>
          <w:lang w:val="ka-GE"/>
        </w:rPr>
        <w:t xml:space="preserve"> regulate</w:t>
      </w:r>
      <w:r w:rsidR="000962C0">
        <w:rPr>
          <w:lang w:val="ka-GE"/>
        </w:rPr>
        <w:t>d by several provisions of the</w:t>
      </w:r>
      <w:r w:rsidR="00C505E1">
        <w:rPr>
          <w:lang w:val="ka-GE"/>
        </w:rPr>
        <w:t>Constitution of Georgia</w:t>
      </w:r>
      <w:r w:rsidR="00804AAF">
        <w:rPr>
          <w:lang w:val="en-US"/>
        </w:rPr>
        <w:t>,</w:t>
      </w:r>
      <w:r w:rsidR="00C505E1">
        <w:rPr>
          <w:lang w:val="en-US"/>
        </w:rPr>
        <w:t xml:space="preserve"> the</w:t>
      </w:r>
      <w:r w:rsidRPr="000962C0">
        <w:rPr>
          <w:lang w:val="ka-GE"/>
        </w:rPr>
        <w:t xml:space="preserve"> Law on As</w:t>
      </w:r>
      <w:r w:rsidR="000962C0">
        <w:rPr>
          <w:lang w:val="ka-GE"/>
        </w:rPr>
        <w:t>sembly and Manifestation</w:t>
      </w:r>
      <w:r w:rsidR="00F973D7">
        <w:rPr>
          <w:lang w:val="en-US"/>
        </w:rPr>
        <w:t>,</w:t>
      </w:r>
      <w:r w:rsidR="00F973D7">
        <w:t>the</w:t>
      </w:r>
      <w:r w:rsidRPr="000962C0">
        <w:rPr>
          <w:lang w:val="ka-GE"/>
        </w:rPr>
        <w:t xml:space="preserve"> Law on Police and the Administrative Violations Code</w:t>
      </w:r>
      <w:r w:rsidR="00C505E1">
        <w:t xml:space="preserve"> of Georgia</w:t>
      </w:r>
      <w:r w:rsidRPr="000962C0">
        <w:t xml:space="preserve">. </w:t>
      </w:r>
    </w:p>
    <w:p w:rsidR="00C505E1" w:rsidRDefault="00C505E1" w:rsidP="00F34052"/>
    <w:p w:rsidR="00D0612C" w:rsidRPr="000962C0" w:rsidRDefault="00D0612C" w:rsidP="00F34052">
      <w:pPr>
        <w:rPr>
          <w:rFonts w:cs="Sylfaen"/>
          <w:bCs/>
          <w:lang w:val="ka-GE"/>
        </w:rPr>
      </w:pPr>
      <w:r w:rsidRPr="000962C0">
        <w:rPr>
          <w:rFonts w:cs="Sylfaen"/>
          <w:bCs/>
          <w:lang w:val="ka-GE"/>
        </w:rPr>
        <w:t xml:space="preserve">Since the adoption of the Law </w:t>
      </w:r>
      <w:r w:rsidRPr="000962C0">
        <w:rPr>
          <w:lang w:val="ka-GE"/>
        </w:rPr>
        <w:t>on Assembly and Manifestation</w:t>
      </w:r>
      <w:r>
        <w:rPr>
          <w:rStyle w:val="Funotenzeichen"/>
          <w:rFonts w:ascii="Sylfaen" w:hAnsi="Sylfaen"/>
          <w:lang w:val="ka-GE"/>
        </w:rPr>
        <w:footnoteReference w:id="78"/>
      </w:r>
      <w:r w:rsidRPr="000962C0">
        <w:rPr>
          <w:lang w:val="ka-GE"/>
        </w:rPr>
        <w:t xml:space="preserve"> it has been </w:t>
      </w:r>
      <w:r w:rsidR="000962C0">
        <w:rPr>
          <w:lang w:val="en-US"/>
        </w:rPr>
        <w:t xml:space="preserve">modified </w:t>
      </w:r>
      <w:r w:rsidRPr="000962C0">
        <w:t>six</w:t>
      </w:r>
      <w:r w:rsidRPr="000962C0">
        <w:rPr>
          <w:lang w:val="ka-GE"/>
        </w:rPr>
        <w:t xml:space="preserve"> times by </w:t>
      </w:r>
      <w:r w:rsidR="00EE7B3B">
        <w:rPr>
          <w:lang w:val="en-US"/>
        </w:rPr>
        <w:t xml:space="preserve">the </w:t>
      </w:r>
      <w:r w:rsidRPr="000962C0">
        <w:rPr>
          <w:lang w:val="ka-GE"/>
        </w:rPr>
        <w:t>Parliament</w:t>
      </w:r>
      <w:r>
        <w:rPr>
          <w:rStyle w:val="Funotenzeichen"/>
          <w:rFonts w:ascii="Sylfaen" w:hAnsi="Sylfaen"/>
          <w:lang w:val="ka-GE"/>
        </w:rPr>
        <w:footnoteReference w:id="79"/>
      </w:r>
      <w:r w:rsidRPr="000962C0">
        <w:t>.</w:t>
      </w:r>
      <w:r w:rsidRPr="000962C0">
        <w:rPr>
          <w:rFonts w:cs="Sylfaen"/>
          <w:bCs/>
          <w:lang w:val="ka-GE"/>
        </w:rPr>
        <w:t>It is this latest amen</w:t>
      </w:r>
      <w:r w:rsidR="00C505E1">
        <w:rPr>
          <w:rFonts w:cs="Sylfaen"/>
          <w:bCs/>
          <w:lang w:val="ka-GE"/>
        </w:rPr>
        <w:t xml:space="preserve">dment that is referred to in </w:t>
      </w:r>
      <w:r w:rsidR="00C505E1">
        <w:rPr>
          <w:rFonts w:cs="Sylfaen"/>
          <w:bCs/>
          <w:lang w:val="en-US"/>
        </w:rPr>
        <w:t>p</w:t>
      </w:r>
      <w:r w:rsidR="000962C0">
        <w:rPr>
          <w:rFonts w:cs="Sylfaen"/>
          <w:bCs/>
          <w:lang w:val="en-US"/>
        </w:rPr>
        <w:t xml:space="preserve">aragraphs 151-155 of </w:t>
      </w:r>
      <w:r w:rsidR="000962C0" w:rsidRPr="000962C0">
        <w:rPr>
          <w:rFonts w:cs="Sylfaen"/>
          <w:bCs/>
          <w:lang w:val="ka-GE"/>
        </w:rPr>
        <w:t xml:space="preserve">Georgian Government’s </w:t>
      </w:r>
      <w:r w:rsidR="000962C0">
        <w:rPr>
          <w:rFonts w:cs="Sylfaen"/>
          <w:bCs/>
          <w:lang w:val="en-US"/>
        </w:rPr>
        <w:t>4</w:t>
      </w:r>
      <w:r w:rsidR="000962C0" w:rsidRPr="000962C0">
        <w:rPr>
          <w:rFonts w:cs="Sylfaen"/>
          <w:bCs/>
          <w:vertAlign w:val="superscript"/>
          <w:lang w:val="en-US"/>
        </w:rPr>
        <w:t>th</w:t>
      </w:r>
      <w:r w:rsidR="000962C0">
        <w:rPr>
          <w:rFonts w:cs="Sylfaen"/>
          <w:bCs/>
          <w:lang w:val="en-US"/>
        </w:rPr>
        <w:t xml:space="preserve"> periodic report </w:t>
      </w:r>
      <w:r w:rsidR="000962C0">
        <w:rPr>
          <w:rFonts w:cs="Sylfaen"/>
          <w:bCs/>
          <w:lang w:val="ka-GE"/>
        </w:rPr>
        <w:t>state</w:t>
      </w:r>
      <w:r w:rsidR="000962C0">
        <w:rPr>
          <w:rFonts w:cs="Sylfaen"/>
          <w:bCs/>
          <w:lang w:val="en-US"/>
        </w:rPr>
        <w:t>s</w:t>
      </w:r>
      <w:r w:rsidRPr="000962C0">
        <w:rPr>
          <w:rFonts w:cs="Sylfaen"/>
          <w:bCs/>
          <w:lang w:val="ka-GE"/>
        </w:rPr>
        <w:t xml:space="preserve"> that</w:t>
      </w:r>
      <w:r w:rsidR="000962C0">
        <w:rPr>
          <w:rFonts w:cs="Sylfaen"/>
          <w:bCs/>
          <w:lang w:val="en-US"/>
        </w:rPr>
        <w:t>,</w:t>
      </w:r>
      <w:r w:rsidRPr="000962C0">
        <w:rPr>
          <w:rFonts w:cs="Sylfaen"/>
          <w:bCs/>
          <w:lang w:val="ka-GE"/>
        </w:rPr>
        <w:t xml:space="preserve"> with th</w:t>
      </w:r>
      <w:r w:rsidRPr="000962C0">
        <w:rPr>
          <w:rFonts w:cs="Sylfaen"/>
          <w:bCs/>
        </w:rPr>
        <w:t>e</w:t>
      </w:r>
      <w:r w:rsidRPr="000962C0">
        <w:rPr>
          <w:rFonts w:cs="Sylfaen"/>
          <w:bCs/>
          <w:lang w:val="ka-GE"/>
        </w:rPr>
        <w:t>s</w:t>
      </w:r>
      <w:r w:rsidRPr="000962C0">
        <w:rPr>
          <w:rFonts w:cs="Sylfaen"/>
          <w:bCs/>
        </w:rPr>
        <w:t>e</w:t>
      </w:r>
      <w:r w:rsidRPr="000962C0">
        <w:rPr>
          <w:rFonts w:cs="Sylfaen"/>
          <w:bCs/>
          <w:lang w:val="ka-GE"/>
        </w:rPr>
        <w:t xml:space="preserve"> amendments</w:t>
      </w:r>
      <w:r w:rsidR="000962C0">
        <w:rPr>
          <w:rFonts w:cs="Sylfaen"/>
          <w:bCs/>
          <w:lang w:val="en-US"/>
        </w:rPr>
        <w:t>,</w:t>
      </w:r>
      <w:r w:rsidRPr="000962C0">
        <w:rPr>
          <w:rFonts w:cs="Sylfaen"/>
          <w:bCs/>
          <w:lang w:val="ka-GE"/>
        </w:rPr>
        <w:t xml:space="preserve"> the Georgian government took into consideration the recommendations of the Council of Europe Venice Commission and ensured compliance </w:t>
      </w:r>
      <w:r w:rsidRPr="000962C0">
        <w:rPr>
          <w:rFonts w:cs="Sylfaen"/>
          <w:bCs/>
        </w:rPr>
        <w:t xml:space="preserve">of </w:t>
      </w:r>
      <w:r w:rsidRPr="000962C0">
        <w:rPr>
          <w:rFonts w:cs="Sylfaen"/>
          <w:bCs/>
          <w:lang w:val="ka-GE"/>
        </w:rPr>
        <w:t>regulation</w:t>
      </w:r>
      <w:r w:rsidRPr="000962C0">
        <w:rPr>
          <w:rFonts w:cs="Sylfaen"/>
          <w:bCs/>
        </w:rPr>
        <w:t>s</w:t>
      </w:r>
      <w:r w:rsidR="000962C0">
        <w:rPr>
          <w:rFonts w:cs="Sylfaen"/>
          <w:bCs/>
        </w:rPr>
        <w:t xml:space="preserve"> with international standards</w:t>
      </w:r>
      <w:r w:rsidRPr="000962C0">
        <w:rPr>
          <w:rFonts w:cs="Sylfaen"/>
          <w:bCs/>
        </w:rPr>
        <w:t>.</w:t>
      </w:r>
    </w:p>
    <w:p w:rsidR="000962C0" w:rsidRPr="00C505E1" w:rsidRDefault="000962C0" w:rsidP="00F34052">
      <w:pPr>
        <w:rPr>
          <w:rFonts w:cs="Sylfaen"/>
          <w:bCs/>
          <w:lang w:val="ka-GE"/>
        </w:rPr>
      </w:pPr>
    </w:p>
    <w:p w:rsidR="000962C0" w:rsidRDefault="00D0612C" w:rsidP="00F34052">
      <w:pPr>
        <w:rPr>
          <w:rFonts w:cs="Sylfaen"/>
          <w:bCs/>
          <w:lang w:val="en-US"/>
        </w:rPr>
      </w:pPr>
      <w:r w:rsidRPr="000962C0">
        <w:rPr>
          <w:rFonts w:cs="Sylfaen"/>
          <w:bCs/>
        </w:rPr>
        <w:t xml:space="preserve">Nevertheless, </w:t>
      </w:r>
      <w:r w:rsidR="000962C0">
        <w:rPr>
          <w:rFonts w:cs="Sylfaen"/>
          <w:bCs/>
        </w:rPr>
        <w:t>t</w:t>
      </w:r>
      <w:r w:rsidRPr="000962C0">
        <w:rPr>
          <w:rFonts w:cs="Sylfaen"/>
          <w:bCs/>
        </w:rPr>
        <w:t>he Venice Commission, and lo</w:t>
      </w:r>
      <w:r w:rsidR="000962C0">
        <w:rPr>
          <w:rFonts w:cs="Sylfaen"/>
          <w:bCs/>
        </w:rPr>
        <w:t>cal civil society organizations</w:t>
      </w:r>
      <w:r w:rsidRPr="000962C0">
        <w:rPr>
          <w:rFonts w:cs="Sylfaen"/>
          <w:bCs/>
        </w:rPr>
        <w:t>,</w:t>
      </w:r>
      <w:r w:rsidR="00582D3C">
        <w:rPr>
          <w:rFonts w:cs="Sylfaen"/>
          <w:bCs/>
        </w:rPr>
        <w:t xml:space="preserve"> </w:t>
      </w:r>
      <w:r w:rsidRPr="000962C0">
        <w:rPr>
          <w:rFonts w:cs="Sylfaen"/>
          <w:bCs/>
        </w:rPr>
        <w:t>and the Office of the Public Defender have all criticized the a</w:t>
      </w:r>
      <w:r w:rsidR="000962C0">
        <w:rPr>
          <w:rFonts w:cs="Sylfaen"/>
          <w:bCs/>
        </w:rPr>
        <w:t>mendments in the law</w:t>
      </w:r>
      <w:r w:rsidRPr="000962C0">
        <w:rPr>
          <w:rFonts w:cs="Sylfaen"/>
          <w:bCs/>
        </w:rPr>
        <w:t xml:space="preserve"> against assembling spontaneously.</w:t>
      </w:r>
      <w:r>
        <w:rPr>
          <w:rStyle w:val="Funotenzeichen"/>
          <w:rFonts w:ascii="Sylfaen" w:hAnsi="Sylfaen" w:cs="Sylfaen"/>
          <w:bCs/>
        </w:rPr>
        <w:footnoteReference w:id="80"/>
      </w:r>
    </w:p>
    <w:p w:rsidR="000962C0" w:rsidRDefault="000962C0" w:rsidP="00F34052">
      <w:pPr>
        <w:rPr>
          <w:rFonts w:cs="Sylfaen"/>
          <w:bCs/>
          <w:lang w:val="en-US"/>
        </w:rPr>
      </w:pPr>
    </w:p>
    <w:p w:rsidR="00131008" w:rsidRDefault="000962C0" w:rsidP="00F34052">
      <w:pPr>
        <w:rPr>
          <w:rFonts w:cs="Sylfaen"/>
          <w:bCs/>
        </w:rPr>
      </w:pPr>
      <w:r>
        <w:rPr>
          <w:rFonts w:cs="Sylfaen"/>
          <w:bCs/>
          <w:lang w:val="en-US"/>
        </w:rPr>
        <w:t>The p</w:t>
      </w:r>
      <w:proofErr w:type="spellStart"/>
      <w:r w:rsidR="00D0612C" w:rsidRPr="000962C0">
        <w:rPr>
          <w:rFonts w:cs="Sylfaen"/>
          <w:bCs/>
        </w:rPr>
        <w:t>ractical</w:t>
      </w:r>
      <w:proofErr w:type="spellEnd"/>
      <w:r w:rsidR="00D0612C" w:rsidRPr="000962C0">
        <w:rPr>
          <w:rFonts w:cs="Sylfaen"/>
          <w:bCs/>
        </w:rPr>
        <w:t xml:space="preserve"> implementation of </w:t>
      </w:r>
      <w:r>
        <w:rPr>
          <w:rFonts w:cs="Sylfaen"/>
          <w:bCs/>
        </w:rPr>
        <w:t xml:space="preserve">the standards enshrined in the </w:t>
      </w:r>
      <w:r w:rsidR="00D0612C" w:rsidRPr="000962C0">
        <w:rPr>
          <w:rFonts w:cs="Sylfaen"/>
          <w:bCs/>
        </w:rPr>
        <w:t>legislation is</w:t>
      </w:r>
      <w:r>
        <w:rPr>
          <w:rFonts w:cs="Sylfaen"/>
          <w:bCs/>
        </w:rPr>
        <w:t xml:space="preserve"> also</w:t>
      </w:r>
      <w:r w:rsidR="00D0612C" w:rsidRPr="000962C0">
        <w:rPr>
          <w:rFonts w:cs="Sylfaen"/>
          <w:bCs/>
        </w:rPr>
        <w:t xml:space="preserve"> still problematic. There have been number o</w:t>
      </w:r>
      <w:r>
        <w:rPr>
          <w:rFonts w:cs="Sylfaen"/>
          <w:bCs/>
        </w:rPr>
        <w:t xml:space="preserve">f assemblies </w:t>
      </w:r>
      <w:r w:rsidR="00D0612C" w:rsidRPr="000962C0">
        <w:rPr>
          <w:rFonts w:cs="Sylfaen"/>
          <w:bCs/>
        </w:rPr>
        <w:t>held since October 2007</w:t>
      </w:r>
      <w:r>
        <w:rPr>
          <w:rFonts w:cs="Sylfaen"/>
          <w:bCs/>
        </w:rPr>
        <w:t xml:space="preserve"> and in key instances, the </w:t>
      </w:r>
      <w:r w:rsidR="00D0612C" w:rsidRPr="000962C0">
        <w:rPr>
          <w:rFonts w:cs="Sylfaen"/>
          <w:bCs/>
        </w:rPr>
        <w:t xml:space="preserve">law enforcement services applied disproportional force to disperse demonstrators.  </w:t>
      </w:r>
    </w:p>
    <w:p w:rsidR="000962C0" w:rsidRDefault="000962C0" w:rsidP="00F34052">
      <w:pPr>
        <w:rPr>
          <w:rFonts w:cs="Sylfaen"/>
          <w:bCs/>
        </w:rPr>
      </w:pPr>
    </w:p>
    <w:p w:rsidR="00D0612C" w:rsidRPr="000962C0" w:rsidRDefault="00D0612C" w:rsidP="00F34052">
      <w:pPr>
        <w:rPr>
          <w:rFonts w:cs="Sylfaen"/>
          <w:bCs/>
          <w:lang w:val="ka-GE"/>
        </w:rPr>
      </w:pPr>
      <w:r w:rsidRPr="000962C0">
        <w:rPr>
          <w:rFonts w:cs="Sylfaen"/>
          <w:bCs/>
        </w:rPr>
        <w:t>Serious and grave violations of the freedom of assembly occurred during the demonstrations of 7 November 2007, 15 June 2009, 3 January 2010</w:t>
      </w:r>
      <w:r>
        <w:rPr>
          <w:rStyle w:val="Funotenzeichen"/>
          <w:rFonts w:ascii="Sylfaen" w:hAnsi="Sylfaen" w:cs="Sylfaen"/>
          <w:bCs/>
        </w:rPr>
        <w:footnoteReference w:id="81"/>
      </w:r>
      <w:r w:rsidRPr="000962C0">
        <w:rPr>
          <w:rFonts w:cs="Sylfaen"/>
          <w:bCs/>
        </w:rPr>
        <w:t>, 7 May 2011</w:t>
      </w:r>
      <w:r>
        <w:rPr>
          <w:rStyle w:val="Funotenzeichen"/>
          <w:rFonts w:ascii="Sylfaen" w:hAnsi="Sylfaen" w:cs="Sylfaen"/>
          <w:bCs/>
        </w:rPr>
        <w:footnoteReference w:id="82"/>
      </w:r>
      <w:r w:rsidRPr="000962C0">
        <w:rPr>
          <w:rFonts w:cs="Sylfaen"/>
          <w:bCs/>
        </w:rPr>
        <w:t>, 25 March 2011, 5 June 2011</w:t>
      </w:r>
      <w:r>
        <w:rPr>
          <w:rStyle w:val="Funotenzeichen"/>
          <w:rFonts w:ascii="Sylfaen" w:hAnsi="Sylfaen" w:cs="Sylfaen"/>
          <w:bCs/>
        </w:rPr>
        <w:footnoteReference w:id="83"/>
      </w:r>
      <w:r w:rsidRPr="000962C0">
        <w:rPr>
          <w:rFonts w:cs="Sylfaen"/>
          <w:bCs/>
        </w:rPr>
        <w:t>, 26 May 2011 and 15 September 2011</w:t>
      </w:r>
      <w:r>
        <w:rPr>
          <w:rStyle w:val="Funotenzeichen"/>
          <w:rFonts w:ascii="Sylfaen" w:hAnsi="Sylfaen" w:cs="Sylfaen"/>
          <w:bCs/>
        </w:rPr>
        <w:footnoteReference w:id="84"/>
      </w:r>
      <w:r w:rsidRPr="000962C0">
        <w:rPr>
          <w:rFonts w:cs="Sylfaen"/>
          <w:bCs/>
        </w:rPr>
        <w:t>.  In the course of dispersal of demonstration on 26 May 2011, five people – including one policeman - lost their lives.</w:t>
      </w:r>
      <w:r>
        <w:rPr>
          <w:rStyle w:val="Funotenzeichen"/>
          <w:rFonts w:ascii="Sylfaen" w:hAnsi="Sylfaen" w:cs="Sylfaen"/>
          <w:bCs/>
        </w:rPr>
        <w:footnoteReference w:id="85"/>
      </w:r>
    </w:p>
    <w:p w:rsidR="006516B3" w:rsidRDefault="006516B3" w:rsidP="00E226E2">
      <w:pPr>
        <w:rPr>
          <w:b/>
        </w:rPr>
      </w:pPr>
    </w:p>
    <w:p w:rsidR="00D0612C" w:rsidRPr="00B82C4A" w:rsidRDefault="00D0612C" w:rsidP="00E226E2">
      <w:pPr>
        <w:rPr>
          <w:b/>
          <w:i/>
        </w:rPr>
      </w:pPr>
      <w:r w:rsidRPr="00B82C4A">
        <w:rPr>
          <w:b/>
          <w:i/>
        </w:rPr>
        <w:t>Recommendations</w:t>
      </w:r>
    </w:p>
    <w:p w:rsidR="000962C0" w:rsidRDefault="000962C0" w:rsidP="00F34052">
      <w:r>
        <w:rPr>
          <w:lang w:val="en-US"/>
        </w:rPr>
        <w:t xml:space="preserve">1/ </w:t>
      </w:r>
      <w:r w:rsidR="00D0612C">
        <w:t>Local legislation shall be revised in line with recommendations of the Venice Commission, local NGOs, and the Office of the Public Defender</w:t>
      </w:r>
      <w:r w:rsidR="00C505E1">
        <w:t>.</w:t>
      </w:r>
    </w:p>
    <w:p w:rsidR="00161649" w:rsidRDefault="00161649" w:rsidP="00F34052"/>
    <w:p w:rsidR="00D0612C" w:rsidRPr="000962C0" w:rsidRDefault="000962C0" w:rsidP="00F34052">
      <w:pPr>
        <w:rPr>
          <w:lang w:val="en-US"/>
        </w:rPr>
      </w:pPr>
      <w:r>
        <w:t xml:space="preserve">2/ </w:t>
      </w:r>
      <w:proofErr w:type="gramStart"/>
      <w:r w:rsidR="00D0612C">
        <w:t>The</w:t>
      </w:r>
      <w:proofErr w:type="gramEnd"/>
      <w:r w:rsidR="00D0612C">
        <w:t xml:space="preserve"> legality of forceful dispersal of demonstrations of 7 November 2007, 15 June 2009, 3 January 2011, 25 March 2011 and 26 May 2011 and cases of violence against peaceful demonstrators shall be investigated and perpetrators shall be </w:t>
      </w:r>
      <w:r w:rsidR="00C8371E">
        <w:t>held responsible</w:t>
      </w:r>
      <w:r w:rsidR="00D0612C">
        <w:t xml:space="preserve">.  </w:t>
      </w:r>
    </w:p>
    <w:p w:rsidR="00532A38" w:rsidRDefault="00D0612C" w:rsidP="006C0B99">
      <w:pPr>
        <w:pStyle w:val="berschrift2"/>
        <w:rPr>
          <w:w w:val="103"/>
          <w:kern w:val="14"/>
          <w:lang w:eastAsia="ko-KR"/>
        </w:rPr>
      </w:pPr>
      <w:bookmarkStart w:id="28" w:name="_Toc363492743"/>
      <w:r>
        <w:rPr>
          <w:w w:val="103"/>
          <w:kern w:val="14"/>
          <w:lang w:eastAsia="ko-KR"/>
        </w:rPr>
        <w:lastRenderedPageBreak/>
        <w:t>Freedom of elections</w:t>
      </w:r>
      <w:r w:rsidR="000962C0">
        <w:rPr>
          <w:w w:val="103"/>
          <w:kern w:val="14"/>
          <w:lang w:eastAsia="ko-KR"/>
        </w:rPr>
        <w:t xml:space="preserve"> (Article 25</w:t>
      </w:r>
      <w:r>
        <w:rPr>
          <w:w w:val="103"/>
          <w:kern w:val="14"/>
          <w:lang w:eastAsia="ko-KR"/>
        </w:rPr>
        <w:t>)</w:t>
      </w:r>
      <w:bookmarkEnd w:id="28"/>
    </w:p>
    <w:p w:rsidR="00CE5F56" w:rsidRDefault="00CE5F56" w:rsidP="00F34052">
      <w:pPr>
        <w:rPr>
          <w:w w:val="103"/>
          <w:kern w:val="14"/>
          <w:lang w:eastAsia="ko-KR"/>
        </w:rPr>
      </w:pPr>
      <w:r>
        <w:rPr>
          <w:w w:val="103"/>
          <w:kern w:val="14"/>
          <w:lang w:eastAsia="ko-KR"/>
        </w:rPr>
        <w:t>In the period since the</w:t>
      </w:r>
      <w:r w:rsidR="00C505E1">
        <w:rPr>
          <w:w w:val="103"/>
          <w:kern w:val="14"/>
          <w:lang w:eastAsia="ko-KR"/>
        </w:rPr>
        <w:t xml:space="preserve"> 2007 HRC</w:t>
      </w:r>
      <w:r w:rsidR="00C558A3">
        <w:rPr>
          <w:w w:val="103"/>
          <w:kern w:val="14"/>
          <w:lang w:eastAsia="ko-KR"/>
        </w:rPr>
        <w:t xml:space="preserve"> concluding</w:t>
      </w:r>
      <w:r w:rsidR="00C505E1">
        <w:rPr>
          <w:w w:val="103"/>
          <w:kern w:val="14"/>
          <w:lang w:eastAsia="ko-KR"/>
        </w:rPr>
        <w:t xml:space="preserve"> observations there has been</w:t>
      </w:r>
      <w:r w:rsidR="00C94122">
        <w:rPr>
          <w:w w:val="103"/>
          <w:kern w:val="14"/>
          <w:lang w:eastAsia="ko-KR"/>
        </w:rPr>
        <w:t xml:space="preserve"> </w:t>
      </w:r>
      <w:r w:rsidR="008F36ED">
        <w:rPr>
          <w:w w:val="103"/>
          <w:kern w:val="14"/>
          <w:lang w:eastAsia="ko-KR"/>
        </w:rPr>
        <w:t>extraordinary presidential and parliamentary elections</w:t>
      </w:r>
      <w:r>
        <w:rPr>
          <w:w w:val="103"/>
          <w:kern w:val="14"/>
          <w:lang w:eastAsia="ko-KR"/>
        </w:rPr>
        <w:t>, called in 2008 and a local election in 2010. Since the Georgian Government 4</w:t>
      </w:r>
      <w:r w:rsidRPr="00CE5F56">
        <w:rPr>
          <w:w w:val="103"/>
          <w:kern w:val="14"/>
          <w:vertAlign w:val="superscript"/>
          <w:lang w:eastAsia="ko-KR"/>
        </w:rPr>
        <w:t>th</w:t>
      </w:r>
      <w:r>
        <w:rPr>
          <w:w w:val="103"/>
          <w:kern w:val="14"/>
          <w:lang w:eastAsia="ko-KR"/>
        </w:rPr>
        <w:t xml:space="preserve"> Periodical Report was submitted, there has also been a Parliamentary election in October 2012.</w:t>
      </w:r>
    </w:p>
    <w:p w:rsidR="00CE5F56" w:rsidRDefault="00CE5F56" w:rsidP="00F34052">
      <w:pPr>
        <w:rPr>
          <w:w w:val="103"/>
          <w:kern w:val="14"/>
          <w:lang w:eastAsia="ko-KR"/>
        </w:rPr>
      </w:pPr>
    </w:p>
    <w:p w:rsidR="00F34052" w:rsidRDefault="00F34052" w:rsidP="00F34052">
      <w:pPr>
        <w:rPr>
          <w:w w:val="103"/>
          <w:kern w:val="14"/>
          <w:lang w:eastAsia="ko-KR"/>
        </w:rPr>
      </w:pPr>
      <w:r>
        <w:rPr>
          <w:w w:val="103"/>
          <w:kern w:val="14"/>
          <w:lang w:eastAsia="ko-KR"/>
        </w:rPr>
        <w:t>Paragraphs 169-176 of the Georgian Government</w:t>
      </w:r>
      <w:r w:rsidR="008F36ED">
        <w:rPr>
          <w:w w:val="103"/>
          <w:kern w:val="14"/>
          <w:lang w:eastAsia="ko-KR"/>
        </w:rPr>
        <w:t>’s</w:t>
      </w:r>
      <w:r>
        <w:rPr>
          <w:w w:val="103"/>
          <w:kern w:val="14"/>
          <w:lang w:eastAsia="ko-KR"/>
        </w:rPr>
        <w:t xml:space="preserve"> 4</w:t>
      </w:r>
      <w:r w:rsidRPr="00F34052">
        <w:rPr>
          <w:w w:val="103"/>
          <w:kern w:val="14"/>
          <w:vertAlign w:val="superscript"/>
          <w:lang w:eastAsia="ko-KR"/>
        </w:rPr>
        <w:t>th</w:t>
      </w:r>
      <w:r>
        <w:rPr>
          <w:w w:val="103"/>
          <w:kern w:val="14"/>
          <w:lang w:eastAsia="ko-KR"/>
        </w:rPr>
        <w:t xml:space="preserve"> Periodical report, highlights the improvements that have been made in relation to elections. The section discusses the activities of the inter-party electoral working group (paragraph 170 and 175), the Central Election Commission (171) as well as the Inter-Agency Task-Force for Free and Fair Elections (173).</w:t>
      </w:r>
    </w:p>
    <w:p w:rsidR="00C505E1" w:rsidRDefault="00C505E1" w:rsidP="00F34052">
      <w:pPr>
        <w:rPr>
          <w:w w:val="103"/>
          <w:kern w:val="14"/>
          <w:lang w:eastAsia="ko-KR"/>
        </w:rPr>
      </w:pPr>
    </w:p>
    <w:p w:rsidR="00C505E1" w:rsidRDefault="00C505E1" w:rsidP="00F34052">
      <w:pPr>
        <w:rPr>
          <w:w w:val="103"/>
          <w:kern w:val="14"/>
          <w:lang w:eastAsia="ko-KR"/>
        </w:rPr>
      </w:pPr>
      <w:r>
        <w:rPr>
          <w:w w:val="103"/>
          <w:kern w:val="14"/>
          <w:lang w:eastAsia="ko-KR"/>
        </w:rPr>
        <w:t>However, in spite of these r</w:t>
      </w:r>
      <w:r w:rsidR="00476008">
        <w:rPr>
          <w:w w:val="103"/>
          <w:kern w:val="14"/>
          <w:lang w:eastAsia="ko-KR"/>
        </w:rPr>
        <w:t xml:space="preserve">evisions, the NGO </w:t>
      </w:r>
      <w:proofErr w:type="gramStart"/>
      <w:r w:rsidR="00476008">
        <w:rPr>
          <w:w w:val="103"/>
          <w:kern w:val="14"/>
          <w:lang w:eastAsia="ko-KR"/>
        </w:rPr>
        <w:t xml:space="preserve">coalition </w:t>
      </w:r>
      <w:r>
        <w:rPr>
          <w:w w:val="103"/>
          <w:kern w:val="14"/>
          <w:lang w:eastAsia="ko-KR"/>
        </w:rPr>
        <w:t>believe</w:t>
      </w:r>
      <w:proofErr w:type="gramEnd"/>
      <w:r>
        <w:rPr>
          <w:w w:val="103"/>
          <w:kern w:val="14"/>
          <w:lang w:eastAsia="ko-KR"/>
        </w:rPr>
        <w:t xml:space="preserve"> that it is clear that a wide range of electoral violations continued under the former government.</w:t>
      </w:r>
    </w:p>
    <w:p w:rsidR="00F34052" w:rsidRDefault="00F34052" w:rsidP="00F34052">
      <w:pPr>
        <w:rPr>
          <w:w w:val="103"/>
          <w:kern w:val="14"/>
          <w:lang w:eastAsia="ko-KR"/>
        </w:rPr>
      </w:pPr>
    </w:p>
    <w:p w:rsidR="00E226E2" w:rsidRPr="00E226E2" w:rsidRDefault="00E226E2" w:rsidP="00E226E2">
      <w:pPr>
        <w:rPr>
          <w:b/>
        </w:rPr>
      </w:pPr>
      <w:r w:rsidRPr="00E226E2">
        <w:rPr>
          <w:b/>
        </w:rPr>
        <w:t>Working group on electoral reforms</w:t>
      </w:r>
    </w:p>
    <w:p w:rsidR="00E226E2" w:rsidRPr="00ED672C" w:rsidRDefault="00E226E2" w:rsidP="00E226E2">
      <w:r w:rsidRPr="00CB2B53">
        <w:t>As highlighted in paragraph 170 of the government report, in</w:t>
      </w:r>
      <w:r w:rsidRPr="00CB2B53">
        <w:rPr>
          <w:lang w:val="ka-GE"/>
        </w:rPr>
        <w:t xml:space="preserve"> February 2009</w:t>
      </w:r>
      <w:r w:rsidRPr="00CB2B53">
        <w:t>,</w:t>
      </w:r>
      <w:r w:rsidRPr="00CB2B53">
        <w:rPr>
          <w:lang w:val="ka-GE"/>
        </w:rPr>
        <w:t xml:space="preserve"> an inter-party working group on electoral reform was set up. The Working Group</w:t>
      </w:r>
      <w:r w:rsidRPr="00CB2B53">
        <w:t>,</w:t>
      </w:r>
      <w:r w:rsidRPr="00CB2B53">
        <w:rPr>
          <w:lang w:val="ka-GE"/>
        </w:rPr>
        <w:t xml:space="preserve"> composed of 11 political organizations</w:t>
      </w:r>
      <w:r w:rsidRPr="00CB2B53">
        <w:t>,</w:t>
      </w:r>
      <w:r w:rsidRPr="00CB2B53">
        <w:rPr>
          <w:lang w:val="ka-GE"/>
        </w:rPr>
        <w:t xml:space="preserve"> was </w:t>
      </w:r>
      <w:r w:rsidRPr="00CB2B53">
        <w:t xml:space="preserve">asked to establish an Election Code for the 2010 local elections. The group was made up of the representatives of the ruling party and parliamentary and non-parliamentary opposition members. The ruling party was the primary decision maker in the group and rejected proposals that would reform the primary process. The group, however, managed to reach a consensus on non-fundamental electoral changes.  </w:t>
      </w:r>
    </w:p>
    <w:p w:rsidR="00E226E2" w:rsidRPr="00ED672C" w:rsidRDefault="00E226E2" w:rsidP="00E226E2"/>
    <w:p w:rsidR="00E226E2" w:rsidRPr="00E226E2" w:rsidRDefault="00E226E2" w:rsidP="00E226E2">
      <w:pPr>
        <w:rPr>
          <w:b/>
          <w:lang w:val="en-US"/>
        </w:rPr>
      </w:pPr>
      <w:r w:rsidRPr="00E226E2">
        <w:rPr>
          <w:b/>
          <w:lang w:val="en-US"/>
        </w:rPr>
        <w:t>Central Election Commission</w:t>
      </w:r>
    </w:p>
    <w:p w:rsidR="00E226E2" w:rsidRPr="00CB2B53" w:rsidRDefault="00E226E2" w:rsidP="00E226E2">
      <w:pPr>
        <w:rPr>
          <w:b/>
          <w:lang w:val="ka-GE"/>
        </w:rPr>
      </w:pPr>
      <w:r>
        <w:rPr>
          <w:lang w:val="en-US"/>
        </w:rPr>
        <w:t xml:space="preserve">In paragraph 171 of the government report they highlight the rules that govern the selection of members for the Central Election Commission. However, </w:t>
      </w:r>
      <w:r>
        <w:t>t</w:t>
      </w:r>
      <w:r w:rsidRPr="00CB2B53">
        <w:t xml:space="preserve">he rules </w:t>
      </w:r>
      <w:r>
        <w:t>governing the</w:t>
      </w:r>
      <w:r w:rsidRPr="00CB2B53">
        <w:t xml:space="preserve"> formation of election administration</w:t>
      </w:r>
      <w:r>
        <w:t xml:space="preserve"> are still highly contested issues in Georgia and do not ensure the</w:t>
      </w:r>
      <w:r w:rsidRPr="00CB2B53">
        <w:t xml:space="preserve"> political neutrality of its members</w:t>
      </w:r>
      <w:r>
        <w:t>. For example, the</w:t>
      </w:r>
      <w:r w:rsidRPr="00CB2B53">
        <w:t xml:space="preserve"> Chairman</w:t>
      </w:r>
      <w:r>
        <w:t xml:space="preserve"> of the current CEC</w:t>
      </w:r>
      <w:r w:rsidRPr="00CB2B53">
        <w:t xml:space="preserve"> was elected by the Parliament of Georgia on 15 January 2010</w:t>
      </w:r>
      <w:r>
        <w:t xml:space="preserve">. However, the </w:t>
      </w:r>
      <w:r w:rsidRPr="00CB2B53">
        <w:t>opposition parties</w:t>
      </w:r>
      <w:r>
        <w:t xml:space="preserve"> abstained from the </w:t>
      </w:r>
      <w:r w:rsidRPr="00CB2B53">
        <w:t>elect</w:t>
      </w:r>
      <w:r>
        <w:t>ion as they objected to</w:t>
      </w:r>
      <w:r w:rsidRPr="00CB2B53">
        <w:t xml:space="preserve"> the</w:t>
      </w:r>
      <w:r>
        <w:t xml:space="preserve"> short-list provided by the President</w:t>
      </w:r>
      <w:r w:rsidRPr="00CB2B53">
        <w:t>.</w:t>
      </w:r>
      <w:r>
        <w:rPr>
          <w:rStyle w:val="Funotenzeichen"/>
          <w:rFonts w:ascii="Sylfaen" w:hAnsi="Sylfaen"/>
        </w:rPr>
        <w:footnoteReference w:id="86"/>
      </w:r>
    </w:p>
    <w:p w:rsidR="00E226E2" w:rsidRDefault="00E226E2" w:rsidP="00E226E2">
      <w:pPr>
        <w:rPr>
          <w:lang w:val="en-US"/>
        </w:rPr>
      </w:pPr>
    </w:p>
    <w:p w:rsidR="00E226E2" w:rsidRDefault="00E226E2" w:rsidP="00BC67F3">
      <w:r w:rsidRPr="00ED6CF4">
        <w:t>The rule establishing appointment of representatives of opposition parties as secretaries to pre</w:t>
      </w:r>
      <w:r w:rsidR="003440B2">
        <w:t>cinct election commissions should, however,</w:t>
      </w:r>
      <w:r w:rsidR="00C94122">
        <w:t xml:space="preserve"> </w:t>
      </w:r>
      <w:proofErr w:type="gramStart"/>
      <w:r w:rsidRPr="00ED6CF4">
        <w:t>be</w:t>
      </w:r>
      <w:proofErr w:type="gramEnd"/>
      <w:r w:rsidRPr="00ED6CF4">
        <w:t xml:space="preserve"> seen as a positive development.</w:t>
      </w:r>
      <w:r>
        <w:rPr>
          <w:rStyle w:val="Funotenzeichen"/>
          <w:rFonts w:ascii="Sylfaen" w:hAnsi="Sylfaen"/>
        </w:rPr>
        <w:footnoteReference w:id="87"/>
      </w:r>
      <w:r w:rsidRPr="00ED6CF4">
        <w:t>This rule</w:t>
      </w:r>
      <w:r>
        <w:t xml:space="preserve"> was</w:t>
      </w:r>
      <w:r w:rsidRPr="00ED6CF4">
        <w:t xml:space="preserve"> first applied during local elections of 2010. Until that time, all management positions in the electoral administration were in the hands of the ruling party.</w:t>
      </w:r>
      <w:r>
        <w:rPr>
          <w:rStyle w:val="Funotenzeichen"/>
          <w:rFonts w:ascii="Sylfaen" w:hAnsi="Sylfaen"/>
        </w:rPr>
        <w:footnoteReference w:id="88"/>
      </w:r>
    </w:p>
    <w:p w:rsidR="00E226E2" w:rsidRDefault="00E226E2" w:rsidP="00BC67F3"/>
    <w:p w:rsidR="00E226E2" w:rsidRPr="00ED672C" w:rsidRDefault="00E226E2" w:rsidP="00BC67F3">
      <w:pPr>
        <w:rPr>
          <w:lang w:val="en-US"/>
        </w:rPr>
      </w:pPr>
      <w:r>
        <w:t>In paragraph 173, the government report highlights the role of the</w:t>
      </w:r>
      <w:r w:rsidRPr="00ED672C">
        <w:t xml:space="preserve"> Interagency Task Force for Free and Fair Elections</w:t>
      </w:r>
      <w:r>
        <w:t>, which</w:t>
      </w:r>
      <w:r w:rsidRPr="00ED672C">
        <w:t xml:space="preserve"> was established for the 2008 presidential elections. The </w:t>
      </w:r>
      <w:r w:rsidR="00C34BF9">
        <w:t>T</w:t>
      </w:r>
      <w:r w:rsidRPr="00ED672C">
        <w:t xml:space="preserve">ask </w:t>
      </w:r>
      <w:r w:rsidR="00C34BF9">
        <w:t>F</w:t>
      </w:r>
      <w:r w:rsidRPr="00ED672C">
        <w:t>orce coordinated activities between state agencies responsible for various issues linked with elections. It was compo</w:t>
      </w:r>
      <w:r w:rsidR="003440B2">
        <w:t>sed of high-ranking officials</w:t>
      </w:r>
      <w:r w:rsidR="004F4607">
        <w:t>,</w:t>
      </w:r>
      <w:r w:rsidR="00C94122">
        <w:t xml:space="preserve"> </w:t>
      </w:r>
      <w:r w:rsidRPr="00ED672C">
        <w:t xml:space="preserve">ministers and deputy ministers. Despite the fact that the task force was set up for the 2008 elections, its legal framework was established in 2011. The work of the Interagency Task Force in the run-up to 2012 elections shall be assessed as relatively positive. Unlike other institutions, the task force was more inclined to react to and prevent violations identified during the pre-election period. </w:t>
      </w:r>
    </w:p>
    <w:p w:rsidR="00E226E2" w:rsidRPr="00ED6CF4" w:rsidRDefault="00E226E2" w:rsidP="00E226E2">
      <w:pPr>
        <w:rPr>
          <w:lang w:val="ka-GE"/>
        </w:rPr>
      </w:pPr>
    </w:p>
    <w:p w:rsidR="00E226E2" w:rsidRPr="00E226E2" w:rsidRDefault="00E226E2" w:rsidP="00E226E2">
      <w:pPr>
        <w:rPr>
          <w:b/>
          <w:lang w:val="en-US"/>
        </w:rPr>
      </w:pPr>
      <w:r w:rsidRPr="00E226E2">
        <w:rPr>
          <w:b/>
          <w:lang w:val="en-US"/>
        </w:rPr>
        <w:lastRenderedPageBreak/>
        <w:t>Mayoral Elections</w:t>
      </w:r>
    </w:p>
    <w:p w:rsidR="00E226E2" w:rsidRDefault="00E226E2" w:rsidP="00E226E2">
      <w:r w:rsidRPr="00CB2B53">
        <w:t>The adoption of amendments to the electoral legislation on direct electi</w:t>
      </w:r>
      <w:r w:rsidR="003440B2">
        <w:t>on of the Mayor of Tbilisi should also</w:t>
      </w:r>
      <w:r w:rsidRPr="00CB2B53">
        <w:t xml:space="preserve"> be asse</w:t>
      </w:r>
      <w:r w:rsidR="003440B2">
        <w:t>ssed as</w:t>
      </w:r>
      <w:r>
        <w:t xml:space="preserve"> positive. However, d</w:t>
      </w:r>
      <w:r w:rsidRPr="00CB2B53">
        <w:t>espite the</w:t>
      </w:r>
      <w:r w:rsidR="00C94122">
        <w:t xml:space="preserve"> </w:t>
      </w:r>
      <w:r w:rsidRPr="00CB2B53">
        <w:t>President’s declaration at the UN General Assembly, on 4 November 2009, that mayoral elections</w:t>
      </w:r>
      <w:r>
        <w:t xml:space="preserve"> across the country</w:t>
      </w:r>
      <w:r w:rsidRPr="00CB2B53">
        <w:t xml:space="preserve"> would become direct elections</w:t>
      </w:r>
      <w:r>
        <w:t>, o</w:t>
      </w:r>
      <w:r w:rsidRPr="00CB2B53">
        <w:t>nly Tbili</w:t>
      </w:r>
      <w:r>
        <w:t>si has direct elections. T</w:t>
      </w:r>
      <w:r w:rsidRPr="00CB2B53">
        <w:t xml:space="preserve">he other four self-governing cities are appointed mayors. </w:t>
      </w:r>
    </w:p>
    <w:p w:rsidR="00E226E2" w:rsidRDefault="00E226E2" w:rsidP="00E226E2"/>
    <w:p w:rsidR="00E226E2" w:rsidRPr="00CB2B53" w:rsidRDefault="00E226E2" w:rsidP="00E226E2">
      <w:pPr>
        <w:rPr>
          <w:lang w:val="ka-GE"/>
        </w:rPr>
      </w:pPr>
      <w:r>
        <w:t>Later electoral regulation of the</w:t>
      </w:r>
      <w:r w:rsidRPr="00CB2B53">
        <w:t xml:space="preserve"> mayoral elections became a disputed issue between the ruling party and the opposition. The ruling party and the parliamentary opposition were in </w:t>
      </w:r>
      <w:proofErr w:type="spellStart"/>
      <w:r w:rsidRPr="00CB2B53">
        <w:t>favor</w:t>
      </w:r>
      <w:proofErr w:type="spellEnd"/>
      <w:r w:rsidRPr="00CB2B53">
        <w:t xml:space="preserve"> of establishing 30 percent barrier for the election of Tbilisi Mayor, while non-parliamentary opposition demanded the threshold to be set at 45 To 50 percent. The inter-party working group was dissolved in October 2009 due to inability to reach consensus on this point.  </w:t>
      </w:r>
    </w:p>
    <w:p w:rsidR="00E226E2" w:rsidRDefault="00E226E2" w:rsidP="00E226E2">
      <w:pPr>
        <w:rPr>
          <w:lang w:val="en-US"/>
        </w:rPr>
      </w:pPr>
    </w:p>
    <w:p w:rsidR="00E226E2" w:rsidRPr="00E226E2" w:rsidRDefault="00E226E2" w:rsidP="00E226E2">
      <w:pPr>
        <w:rPr>
          <w:b/>
          <w:lang w:val="en-US"/>
        </w:rPr>
      </w:pPr>
      <w:r w:rsidRPr="00E226E2">
        <w:rPr>
          <w:b/>
          <w:lang w:val="en-US"/>
        </w:rPr>
        <w:t>Voter list</w:t>
      </w:r>
    </w:p>
    <w:p w:rsidR="00E226E2" w:rsidRPr="00ED6CF4" w:rsidRDefault="00E226E2" w:rsidP="00E226E2">
      <w:pPr>
        <w:rPr>
          <w:lang w:val="ka-GE"/>
        </w:rPr>
      </w:pPr>
      <w:r>
        <w:t>P</w:t>
      </w:r>
      <w:r w:rsidRPr="00ED6CF4">
        <w:t>rior</w:t>
      </w:r>
      <w:r>
        <w:t xml:space="preserve"> to 2010 local elections 100</w:t>
      </w:r>
      <w:r w:rsidRPr="00ED6CF4">
        <w:t xml:space="preserve"> thousand GEL were allocated to</w:t>
      </w:r>
      <w:r>
        <w:t xml:space="preserve"> each of</w:t>
      </w:r>
      <w:r w:rsidRPr="00ED6CF4">
        <w:t xml:space="preserve"> 12 political parties from the state budget</w:t>
      </w:r>
      <w:r>
        <w:t xml:space="preserve"> to provide them with the resources to verify the voter list</w:t>
      </w:r>
      <w:r w:rsidRPr="00ED6CF4">
        <w:t xml:space="preserve">. The work carried out by parties appeared to be insufficiently effective regardless of significant financial and material resources. Notable errors were identified in the voting list on the day of elections.     </w:t>
      </w:r>
    </w:p>
    <w:p w:rsidR="00E226E2" w:rsidRDefault="00E226E2" w:rsidP="00E226E2">
      <w:pPr>
        <w:rPr>
          <w:b/>
        </w:rPr>
      </w:pPr>
    </w:p>
    <w:p w:rsidR="00E226E2" w:rsidRPr="00E226E2" w:rsidRDefault="00E226E2" w:rsidP="00E226E2">
      <w:pPr>
        <w:rPr>
          <w:b/>
        </w:rPr>
      </w:pPr>
      <w:r w:rsidRPr="00E226E2">
        <w:rPr>
          <w:b/>
        </w:rPr>
        <w:t>Problems of the Different Elections (2007-2012)</w:t>
      </w:r>
    </w:p>
    <w:p w:rsidR="00E226E2" w:rsidRPr="00ED6CF4" w:rsidRDefault="00E226E2" w:rsidP="00E226E2">
      <w:pPr>
        <w:rPr>
          <w:b/>
          <w:lang w:val="ka-GE"/>
        </w:rPr>
      </w:pPr>
      <w:r>
        <w:t>P</w:t>
      </w:r>
      <w:r w:rsidRPr="00ED6CF4">
        <w:t xml:space="preserve">re-term presidential </w:t>
      </w:r>
      <w:r>
        <w:t>elections were held on the</w:t>
      </w:r>
      <w:r w:rsidRPr="00ED6CF4">
        <w:t xml:space="preserve"> 5 January 2008</w:t>
      </w:r>
      <w:r>
        <w:t>. These elections were problematic in a range of ways. The rules governing</w:t>
      </w:r>
      <w:r w:rsidRPr="00ED6CF4">
        <w:t xml:space="preserve"> pre-election campaigning were not consistent with international standards. Voter lists were inaccurate. Independent and impartial observers found incidences of voter intimidation. Additionally, biased courts were in charge of reviewing electoral complaints.</w:t>
      </w:r>
      <w:r>
        <w:rPr>
          <w:rStyle w:val="Funotenzeichen"/>
          <w:rFonts w:ascii="Sylfaen" w:hAnsi="Sylfaen"/>
        </w:rPr>
        <w:footnoteReference w:id="89"/>
      </w:r>
    </w:p>
    <w:p w:rsidR="00E226E2" w:rsidRDefault="00E226E2" w:rsidP="00E226E2">
      <w:pPr>
        <w:rPr>
          <w:lang w:val="en-US"/>
        </w:rPr>
      </w:pPr>
    </w:p>
    <w:p w:rsidR="00E226E2" w:rsidRPr="00ED6CF4" w:rsidRDefault="00E226E2" w:rsidP="00E226E2">
      <w:pPr>
        <w:rPr>
          <w:lang w:val="ka-GE"/>
        </w:rPr>
      </w:pPr>
      <w:r>
        <w:rPr>
          <w:lang w:val="en-US"/>
        </w:rPr>
        <w:t xml:space="preserve">The ignorance of the </w:t>
      </w:r>
      <w:r w:rsidRPr="00ED6CF4">
        <w:rPr>
          <w:lang w:val="ka-GE"/>
        </w:rPr>
        <w:t xml:space="preserve">election administration </w:t>
      </w:r>
      <w:r>
        <w:rPr>
          <w:lang w:val="en-US"/>
        </w:rPr>
        <w:t xml:space="preserve">vis-à-vis </w:t>
      </w:r>
      <w:r w:rsidRPr="00ED6CF4">
        <w:rPr>
          <w:lang w:val="ka-GE"/>
        </w:rPr>
        <w:t>principles of local and international legislation represented a special concern.</w:t>
      </w:r>
      <w:r>
        <w:t xml:space="preserve"> Throughout the</w:t>
      </w:r>
      <w:r w:rsidRPr="00ED6CF4">
        <w:t xml:space="preserve"> elections</w:t>
      </w:r>
      <w:r>
        <w:t>,</w:t>
      </w:r>
      <w:r w:rsidRPr="00ED6CF4">
        <w:t xml:space="preserve"> every level of </w:t>
      </w:r>
      <w:r>
        <w:t xml:space="preserve">the </w:t>
      </w:r>
      <w:r w:rsidRPr="00ED6CF4">
        <w:t>election administration was politicized and suffered from a lack of impartiality.</w:t>
      </w:r>
      <w:r>
        <w:rPr>
          <w:rStyle w:val="Funotenzeichen"/>
          <w:rFonts w:ascii="Sylfaen" w:hAnsi="Sylfaen"/>
        </w:rPr>
        <w:footnoteReference w:id="90"/>
      </w:r>
    </w:p>
    <w:p w:rsidR="00E226E2" w:rsidRDefault="00E226E2" w:rsidP="00E226E2">
      <w:pPr>
        <w:rPr>
          <w:b/>
          <w:lang w:val="en-US"/>
        </w:rPr>
      </w:pPr>
    </w:p>
    <w:p w:rsidR="00E226E2" w:rsidRPr="00ED6CF4" w:rsidRDefault="00E226E2" w:rsidP="00E226E2">
      <w:pPr>
        <w:rPr>
          <w:lang w:val="ka-GE"/>
        </w:rPr>
      </w:pPr>
      <w:r w:rsidRPr="00ED6CF4">
        <w:rPr>
          <w:lang w:val="ka-GE"/>
        </w:rPr>
        <w:t>The faults identified during the pre-election period for the</w:t>
      </w:r>
      <w:r>
        <w:rPr>
          <w:lang w:val="en-US"/>
        </w:rPr>
        <w:t xml:space="preserve"> Parliamentary Elections of the</w:t>
      </w:r>
      <w:r w:rsidRPr="00ED6CF4">
        <w:rPr>
          <w:lang w:val="ka-GE"/>
        </w:rPr>
        <w:t xml:space="preserve"> 21 May </w:t>
      </w:r>
      <w:r>
        <w:rPr>
          <w:lang w:val="en-US"/>
        </w:rPr>
        <w:t>2008</w:t>
      </w:r>
      <w:r w:rsidRPr="00ED6CF4">
        <w:rPr>
          <w:lang w:val="ka-GE"/>
        </w:rPr>
        <w:t xml:space="preserve"> ha</w:t>
      </w:r>
      <w:r w:rsidRPr="00ED6CF4">
        <w:t>d</w:t>
      </w:r>
      <w:r w:rsidRPr="00ED6CF4">
        <w:rPr>
          <w:lang w:val="ka-GE"/>
        </w:rPr>
        <w:t xml:space="preserve"> significant impact</w:t>
      </w:r>
      <w:r w:rsidRPr="00ED6CF4">
        <w:t>s</w:t>
      </w:r>
      <w:r w:rsidRPr="00ED6CF4">
        <w:rPr>
          <w:lang w:val="ka-GE"/>
        </w:rPr>
        <w:t xml:space="preserve"> on the final results.</w:t>
      </w:r>
      <w:r>
        <w:t xml:space="preserve"> Of particular concern is the intimidation of </w:t>
      </w:r>
      <w:r w:rsidRPr="00ED6CF4">
        <w:t>civil servants and teachers</w:t>
      </w:r>
      <w:r>
        <w:t>, who</w:t>
      </w:r>
      <w:r w:rsidRPr="00ED6CF4">
        <w:t xml:space="preserve"> were forbidden to be active supporters of the opposition parties. If they chose to participate, they</w:t>
      </w:r>
      <w:r>
        <w:t xml:space="preserve"> risked the threat of dismissal</w:t>
      </w:r>
      <w:r w:rsidRPr="00ED6CF4">
        <w:t>.</w:t>
      </w:r>
      <w:r>
        <w:rPr>
          <w:rStyle w:val="Funotenzeichen"/>
          <w:rFonts w:ascii="Sylfaen" w:hAnsi="Sylfaen"/>
          <w:lang w:val="ka-GE"/>
        </w:rPr>
        <w:footnoteReference w:id="91"/>
      </w:r>
    </w:p>
    <w:p w:rsidR="00E226E2" w:rsidRDefault="00E226E2" w:rsidP="00E226E2">
      <w:pPr>
        <w:rPr>
          <w:lang w:val="en-US"/>
        </w:rPr>
      </w:pPr>
    </w:p>
    <w:p w:rsidR="00E226E2" w:rsidRPr="00ED672C" w:rsidRDefault="00E226E2" w:rsidP="00E226E2">
      <w:pPr>
        <w:rPr>
          <w:lang w:val="ka-GE"/>
        </w:rPr>
      </w:pPr>
      <w:r>
        <w:rPr>
          <w:lang w:val="en-US"/>
        </w:rPr>
        <w:t xml:space="preserve">In addition, </w:t>
      </w:r>
      <w:r>
        <w:t>r</w:t>
      </w:r>
      <w:r w:rsidRPr="00ED672C">
        <w:t>epresentatives of election observation missions often had no opportunity to write and submit complaints to the precinct election commissions. When they attempted to do so, they were threatened, intimidated and/or expelled from polling stations.</w:t>
      </w:r>
      <w:r>
        <w:rPr>
          <w:rStyle w:val="Funotenzeichen"/>
          <w:rFonts w:ascii="Sylfaen" w:hAnsi="Sylfaen"/>
        </w:rPr>
        <w:footnoteReference w:id="92"/>
      </w:r>
    </w:p>
    <w:p w:rsidR="00E226E2" w:rsidRDefault="00E226E2" w:rsidP="00E226E2">
      <w:pPr>
        <w:rPr>
          <w:lang w:val="en-US"/>
        </w:rPr>
      </w:pPr>
    </w:p>
    <w:p w:rsidR="00E226E2" w:rsidRDefault="00E226E2" w:rsidP="00E226E2">
      <w:r w:rsidRPr="00ED672C">
        <w:t>Despite the fact that election code procedures for filing complaints and appeals have been simplified, the CEC and the courts did not appropriately review c</w:t>
      </w:r>
      <w:r w:rsidR="003440B2">
        <w:t>omplaints and appeals. T</w:t>
      </w:r>
      <w:r w:rsidRPr="00ED672C">
        <w:t xml:space="preserve">heir bias in </w:t>
      </w:r>
      <w:proofErr w:type="spellStart"/>
      <w:r w:rsidRPr="00ED672C">
        <w:t>favor</w:t>
      </w:r>
      <w:proofErr w:type="spellEnd"/>
      <w:r w:rsidRPr="00ED672C">
        <w:t xml:space="preserve"> of the ruling party and public servants was noticeable. Election administrations and </w:t>
      </w:r>
      <w:r w:rsidR="003440B2">
        <w:t>t</w:t>
      </w:r>
      <w:r w:rsidR="00AD3106">
        <w:t>h</w:t>
      </w:r>
      <w:r w:rsidR="003440B2">
        <w:t xml:space="preserve">e </w:t>
      </w:r>
      <w:r w:rsidRPr="00ED672C">
        <w:t xml:space="preserve">courts frequently refused to examine witnesses and other evidence. </w:t>
      </w:r>
    </w:p>
    <w:p w:rsidR="003440B2" w:rsidRPr="00ED672C" w:rsidRDefault="003440B2" w:rsidP="00E226E2">
      <w:pPr>
        <w:rPr>
          <w:lang w:val="ka-GE"/>
        </w:rPr>
      </w:pPr>
    </w:p>
    <w:p w:rsidR="00E226E2" w:rsidRPr="00ED672C" w:rsidRDefault="00E226E2" w:rsidP="00E226E2">
      <w:pPr>
        <w:rPr>
          <w:lang w:val="ka-GE"/>
        </w:rPr>
      </w:pPr>
      <w:r w:rsidRPr="00ED672C">
        <w:lastRenderedPageBreak/>
        <w:t>The coverage of pre-election campaigns by the media was</w:t>
      </w:r>
      <w:r w:rsidR="003440B2">
        <w:t xml:space="preserve"> problematic</w:t>
      </w:r>
      <w:r w:rsidRPr="00ED672C">
        <w:t xml:space="preserve">. National broadcasters provided mainly </w:t>
      </w:r>
      <w:proofErr w:type="spellStart"/>
      <w:r w:rsidRPr="00ED672C">
        <w:t>favorable</w:t>
      </w:r>
      <w:proofErr w:type="spellEnd"/>
      <w:r w:rsidRPr="00ED672C">
        <w:t xml:space="preserve"> coverage of activities of the ruling party.</w:t>
      </w:r>
      <w:r>
        <w:rPr>
          <w:rStyle w:val="Funotenzeichen"/>
          <w:rFonts w:ascii="Sylfaen" w:hAnsi="Sylfaen"/>
        </w:rPr>
        <w:footnoteReference w:id="93"/>
      </w:r>
      <w:r w:rsidRPr="00ED672C">
        <w:t xml:space="preserve"> It was difficult to draw lines between governmental programs and party campaign.     </w:t>
      </w:r>
    </w:p>
    <w:p w:rsidR="00E226E2" w:rsidRDefault="00E226E2" w:rsidP="00E226E2">
      <w:pPr>
        <w:rPr>
          <w:lang w:val="en-US"/>
        </w:rPr>
      </w:pPr>
    </w:p>
    <w:p w:rsidR="00E226E2" w:rsidRDefault="00E226E2" w:rsidP="00E226E2">
      <w:pPr>
        <w:rPr>
          <w:rStyle w:val="Kommentarzeichen"/>
          <w:rFonts w:ascii="Calibri" w:hAnsi="Calibri"/>
        </w:rPr>
      </w:pPr>
      <w:r w:rsidRPr="00ED672C">
        <w:t>In addition to threatening voters, opposition party members were intimidated and threated. The threat of violence was used to try to get the candidates to withdraw during the pre-election per</w:t>
      </w:r>
      <w:r>
        <w:t>iod. In some cases, candidates’</w:t>
      </w:r>
      <w:r w:rsidRPr="00ED672C">
        <w:t xml:space="preserve"> campaign materials had been destroyed and campaign had been interrupted. </w:t>
      </w:r>
    </w:p>
    <w:p w:rsidR="00E226E2" w:rsidRDefault="00E226E2" w:rsidP="00E226E2">
      <w:pPr>
        <w:rPr>
          <w:rStyle w:val="Kommentarzeichen"/>
          <w:rFonts w:ascii="Calibri" w:hAnsi="Calibri"/>
        </w:rPr>
      </w:pPr>
    </w:p>
    <w:p w:rsidR="00E226E2" w:rsidRPr="001A368F" w:rsidRDefault="00E226E2" w:rsidP="00E226E2">
      <w:pPr>
        <w:rPr>
          <w:rFonts w:cs="Sylfaen"/>
          <w:lang w:val="ka-GE"/>
        </w:rPr>
      </w:pPr>
      <w:r w:rsidRPr="004E5A84">
        <w:rPr>
          <w:rFonts w:cs="Sylfaen"/>
        </w:rPr>
        <w:t xml:space="preserve">In the period prior to the </w:t>
      </w:r>
      <w:r w:rsidRPr="004E5A84">
        <w:rPr>
          <w:rFonts w:cs="Sylfaen"/>
          <w:lang w:val="ka-GE"/>
        </w:rPr>
        <w:t>2012 Parliamentary Elections</w:t>
      </w:r>
      <w:r>
        <w:rPr>
          <w:rFonts w:cs="Sylfaen"/>
          <w:lang w:val="en-US"/>
        </w:rPr>
        <w:t>,</w:t>
      </w:r>
      <w:r>
        <w:rPr>
          <w:rFonts w:cs="Sylfaen"/>
        </w:rPr>
        <w:t xml:space="preserve"> the campaign was characterised by numerous cases of hate speech and violence.</w:t>
      </w:r>
      <w:r w:rsidRPr="001A368F">
        <w:rPr>
          <w:rFonts w:cs="Sylfaen"/>
          <w:lang w:val="ka-GE"/>
        </w:rPr>
        <w:t>During this period the</w:t>
      </w:r>
      <w:r>
        <w:rPr>
          <w:rFonts w:cs="Sylfaen"/>
          <w:lang w:val="en-US"/>
        </w:rPr>
        <w:t>re were many documented</w:t>
      </w:r>
      <w:r w:rsidRPr="001A368F">
        <w:rPr>
          <w:rFonts w:cs="Sylfaen"/>
          <w:lang w:val="ka-GE"/>
        </w:rPr>
        <w:t xml:space="preserve"> cases of dismissal from work on political grounds, </w:t>
      </w:r>
      <w:r>
        <w:rPr>
          <w:rFonts w:cs="Sylfaen"/>
        </w:rPr>
        <w:t>illegal use</w:t>
      </w:r>
      <w:r w:rsidRPr="001A368F">
        <w:rPr>
          <w:rFonts w:cs="Sylfaen"/>
          <w:lang w:val="ka-GE"/>
        </w:rPr>
        <w:t xml:space="preserve"> of administrative resource</w:t>
      </w:r>
      <w:r>
        <w:rPr>
          <w:rFonts w:cs="Sylfaen"/>
          <w:lang w:val="ka-GE"/>
        </w:rPr>
        <w:t>s, violence and physical attack</w:t>
      </w:r>
      <w:r w:rsidRPr="001A368F">
        <w:rPr>
          <w:rFonts w:cs="Sylfaen"/>
          <w:lang w:val="ka-GE"/>
        </w:rPr>
        <w:t xml:space="preserve">s </w:t>
      </w:r>
      <w:r>
        <w:rPr>
          <w:rFonts w:cs="Sylfaen"/>
        </w:rPr>
        <w:t xml:space="preserve">on political grounds. </w:t>
      </w:r>
    </w:p>
    <w:p w:rsidR="00E226E2" w:rsidRPr="004E5A84" w:rsidRDefault="00E226E2" w:rsidP="00E226E2">
      <w:pPr>
        <w:rPr>
          <w:lang w:val="ka-GE"/>
        </w:rPr>
      </w:pPr>
    </w:p>
    <w:p w:rsidR="00E226E2" w:rsidRDefault="00E226E2" w:rsidP="00E226E2">
      <w:r w:rsidRPr="004E5A84">
        <w:t>The amendments to the Law of Georgia on “Political Unions of Citizens”</w:t>
      </w:r>
      <w:r>
        <w:t xml:space="preserve"> were particularly problematic</w:t>
      </w:r>
      <w:r w:rsidRPr="004E5A84">
        <w:t>. The amendments posed a threat to the freedom of expression and the right to property. It created a restriction on civil and political activities. Additionally, it gave the ruling party advantages in the election. The restrictions imposed by the law were often unreasonable</w:t>
      </w:r>
      <w:r w:rsidR="00C94122">
        <w:t xml:space="preserve"> </w:t>
      </w:r>
      <w:r w:rsidRPr="004E5A84">
        <w:t xml:space="preserve">and the </w:t>
      </w:r>
      <w:r w:rsidR="00C9284A">
        <w:t xml:space="preserve">monetary </w:t>
      </w:r>
      <w:r w:rsidRPr="004E5A84">
        <w:t>sanctions were disproportionate.</w:t>
      </w:r>
    </w:p>
    <w:p w:rsidR="00E226E2" w:rsidRPr="004E5A84" w:rsidRDefault="00E226E2" w:rsidP="00E226E2"/>
    <w:p w:rsidR="00E226E2" w:rsidRPr="004E5A84" w:rsidRDefault="00C94122" w:rsidP="00E226E2">
      <w:pPr>
        <w:rPr>
          <w:rFonts w:cs="Sylfaen"/>
          <w:lang w:val="ka-GE"/>
        </w:rPr>
      </w:pPr>
      <w:r>
        <w:t xml:space="preserve">On </w:t>
      </w:r>
      <w:proofErr w:type="gramStart"/>
      <w:r>
        <w:t xml:space="preserve">election </w:t>
      </w:r>
      <w:r w:rsidR="00E226E2">
        <w:t>day</w:t>
      </w:r>
      <w:proofErr w:type="gramEnd"/>
      <w:r w:rsidR="00E226E2">
        <w:t>, v</w:t>
      </w:r>
      <w:r w:rsidR="00E226E2" w:rsidRPr="004E5A84">
        <w:t>oting as well as the process of counting ballots</w:t>
      </w:r>
      <w:r w:rsidR="003440B2">
        <w:t>,</w:t>
      </w:r>
      <w:r w:rsidR="00E226E2" w:rsidRPr="004E5A84">
        <w:t xml:space="preserve"> was carried out properly in the majority of precincts throughout the entire country. The process of revision of complaints was handled in a transparent manner. The interested party had an opportunity to be present and participate in the Commission/Court session reviewing the complaint. Nevertheless, the decisions of the election commissions on rejecting the complaints were often insufficiently justified. </w:t>
      </w:r>
      <w:r w:rsidR="00E226E2">
        <w:t xml:space="preserve">In addition, </w:t>
      </w:r>
      <w:r w:rsidR="00E226E2" w:rsidRPr="004E5A84">
        <w:t xml:space="preserve">the courts were not always impartial and failed to comprehensively and fully examine the evidence </w:t>
      </w:r>
      <w:r w:rsidR="00E226E2">
        <w:t>when deciding on violation</w:t>
      </w:r>
      <w:r w:rsidR="00E226E2" w:rsidRPr="004E5A84">
        <w:t xml:space="preserve"> case</w:t>
      </w:r>
      <w:r w:rsidR="00E226E2">
        <w:t>s</w:t>
      </w:r>
      <w:r w:rsidR="00E226E2" w:rsidRPr="004E5A84">
        <w:t>.  Despite cases of fraud, the citizens of Georgia expressed their will which was reflected in by the</w:t>
      </w:r>
      <w:r>
        <w:t xml:space="preserve"> </w:t>
      </w:r>
      <w:r w:rsidR="00E226E2" w:rsidRPr="004E5A84">
        <w:t>polling results.</w:t>
      </w:r>
      <w:r w:rsidR="00E226E2">
        <w:rPr>
          <w:rStyle w:val="Funotenzeichen"/>
          <w:rFonts w:ascii="Sylfaen" w:hAnsi="Sylfaen"/>
        </w:rPr>
        <w:footnoteReference w:id="94"/>
      </w:r>
    </w:p>
    <w:p w:rsidR="00E226E2" w:rsidRPr="004E5A84" w:rsidRDefault="00E226E2" w:rsidP="00E226E2"/>
    <w:p w:rsidR="00761E11" w:rsidRPr="00761E11" w:rsidRDefault="00E226E2" w:rsidP="00E226E2">
      <w:pPr>
        <w:rPr>
          <w:b/>
          <w:i/>
        </w:rPr>
      </w:pPr>
      <w:r w:rsidRPr="00761E11">
        <w:rPr>
          <w:b/>
          <w:i/>
        </w:rPr>
        <w:t>Recommendations:</w:t>
      </w:r>
    </w:p>
    <w:p w:rsidR="00E226E2" w:rsidRDefault="00E226E2" w:rsidP="00E226E2">
      <w:pPr>
        <w:rPr>
          <w:rFonts w:cs="Sylfaen"/>
        </w:rPr>
      </w:pPr>
      <w:r>
        <w:rPr>
          <w:rFonts w:cs="Sylfaen"/>
          <w:lang w:val="en-US"/>
        </w:rPr>
        <w:t xml:space="preserve">1/ </w:t>
      </w:r>
      <w:proofErr w:type="gramStart"/>
      <w:r w:rsidRPr="00480F8D">
        <w:rPr>
          <w:rFonts w:cs="Sylfaen"/>
          <w:lang w:val="ka-GE"/>
        </w:rPr>
        <w:t>The</w:t>
      </w:r>
      <w:proofErr w:type="gramEnd"/>
      <w:r w:rsidRPr="00480F8D">
        <w:rPr>
          <w:rFonts w:cs="Sylfaen"/>
          <w:lang w:val="ka-GE"/>
        </w:rPr>
        <w:t xml:space="preserve"> past elections have shown that the election system and the electoral legislation of Georgia requires a fundamental reform.</w:t>
      </w:r>
      <w:r w:rsidRPr="00480F8D">
        <w:rPr>
          <w:rFonts w:cs="Sylfaen"/>
        </w:rPr>
        <w:t xml:space="preserve"> Fragmented and superficial revisions to the Election Code do not result in substantial improvement of the electoral environment. </w:t>
      </w:r>
      <w:r w:rsidRPr="00480F8D">
        <w:rPr>
          <w:rFonts w:cs="Sylfaen"/>
          <w:lang w:val="ka-GE"/>
        </w:rPr>
        <w:t xml:space="preserve"> The fundamental reforms shall touch upon issues, such as electoral system, formation</w:t>
      </w:r>
      <w:r w:rsidRPr="00480F8D">
        <w:rPr>
          <w:rFonts w:cs="Sylfaen"/>
        </w:rPr>
        <w:t xml:space="preserve"> of</w:t>
      </w:r>
      <w:r w:rsidRPr="00480F8D">
        <w:rPr>
          <w:rFonts w:cs="Sylfaen"/>
          <w:lang w:val="ka-GE"/>
        </w:rPr>
        <w:t xml:space="preserve"> the election administration, registration of voters, voting</w:t>
      </w:r>
      <w:r w:rsidRPr="00480F8D">
        <w:rPr>
          <w:rFonts w:cs="Sylfaen"/>
        </w:rPr>
        <w:t>,</w:t>
      </w:r>
      <w:r w:rsidRPr="00480F8D">
        <w:rPr>
          <w:rFonts w:cs="Sylfaen"/>
          <w:lang w:val="ka-GE"/>
        </w:rPr>
        <w:t xml:space="preserve"> the procedures for counting the votes</w:t>
      </w:r>
      <w:r w:rsidRPr="00480F8D">
        <w:rPr>
          <w:rFonts w:cs="Sylfaen"/>
        </w:rPr>
        <w:t>, and</w:t>
      </w:r>
      <w:r w:rsidRPr="00480F8D">
        <w:rPr>
          <w:rFonts w:cs="Sylfaen"/>
          <w:lang w:val="ka-GE"/>
        </w:rPr>
        <w:t xml:space="preserve"> rules regulating the use of administrative resources</w:t>
      </w:r>
      <w:r w:rsidRPr="00480F8D">
        <w:rPr>
          <w:rFonts w:cs="Sylfaen"/>
        </w:rPr>
        <w:t>.</w:t>
      </w:r>
    </w:p>
    <w:p w:rsidR="00761E11" w:rsidRDefault="00761E11" w:rsidP="00E226E2">
      <w:pPr>
        <w:rPr>
          <w:rFonts w:cs="Sylfaen"/>
        </w:rPr>
      </w:pPr>
    </w:p>
    <w:p w:rsidR="00E6388D" w:rsidRPr="003440B2" w:rsidRDefault="00E226E2" w:rsidP="003440B2">
      <w:pPr>
        <w:rPr>
          <w:lang w:val="en-US"/>
        </w:rPr>
      </w:pPr>
      <w:r>
        <w:rPr>
          <w:rFonts w:cs="Sylfaen"/>
        </w:rPr>
        <w:t xml:space="preserve">2/ </w:t>
      </w:r>
      <w:proofErr w:type="gramStart"/>
      <w:r>
        <w:rPr>
          <w:rFonts w:cs="Sylfaen"/>
        </w:rPr>
        <w:t>These</w:t>
      </w:r>
      <w:proofErr w:type="gramEnd"/>
      <w:r>
        <w:rPr>
          <w:rFonts w:cs="Sylfaen"/>
        </w:rPr>
        <w:t xml:space="preserve"> reforms need to be carried out in a timely manner, in advance of the 2014 Presidential elections.</w:t>
      </w:r>
    </w:p>
    <w:p w:rsidR="00195896" w:rsidRDefault="00195896">
      <w:pPr>
        <w:jc w:val="left"/>
        <w:rPr>
          <w:rFonts w:ascii="Arial" w:hAnsi="Arial"/>
          <w:b/>
          <w:bCs/>
          <w:w w:val="103"/>
          <w:kern w:val="14"/>
          <w:sz w:val="40"/>
          <w:szCs w:val="32"/>
          <w:lang w:val="en-US" w:eastAsia="ko-KR"/>
        </w:rPr>
      </w:pPr>
      <w:r>
        <w:rPr>
          <w:w w:val="103"/>
          <w:kern w:val="14"/>
          <w:lang w:val="en-US" w:eastAsia="ko-KR"/>
        </w:rPr>
        <w:br w:type="page"/>
      </w:r>
    </w:p>
    <w:p w:rsidR="00CE5F56" w:rsidRDefault="007742CA" w:rsidP="007742CA">
      <w:pPr>
        <w:pStyle w:val="berschrift1"/>
        <w:numPr>
          <w:ilvl w:val="0"/>
          <w:numId w:val="0"/>
        </w:numPr>
        <w:ind w:left="432" w:hanging="432"/>
        <w:rPr>
          <w:w w:val="103"/>
          <w:kern w:val="14"/>
          <w:lang w:val="en-US" w:eastAsia="ko-KR"/>
        </w:rPr>
      </w:pPr>
      <w:bookmarkStart w:id="29" w:name="_Toc363492744"/>
      <w:r>
        <w:rPr>
          <w:w w:val="103"/>
          <w:kern w:val="14"/>
          <w:lang w:val="en-US" w:eastAsia="ko-KR"/>
        </w:rPr>
        <w:lastRenderedPageBreak/>
        <w:t>Appendix 1: List of NGO Coalition Members</w:t>
      </w:r>
      <w:bookmarkEnd w:id="29"/>
    </w:p>
    <w:tbl>
      <w:tblPr>
        <w:tblW w:w="9796" w:type="dxa"/>
        <w:tblInd w:w="93" w:type="dxa"/>
        <w:tblLook w:val="04A0" w:firstRow="1" w:lastRow="0" w:firstColumn="1" w:lastColumn="0" w:noHBand="0" w:noVBand="1"/>
      </w:tblPr>
      <w:tblGrid>
        <w:gridCol w:w="9796"/>
      </w:tblGrid>
      <w:tr w:rsidR="007742CA" w:rsidRPr="007742CA" w:rsidTr="00E876BC">
        <w:trPr>
          <w:trHeight w:val="367"/>
        </w:trPr>
        <w:tc>
          <w:tcPr>
            <w:tcW w:w="9796" w:type="dxa"/>
            <w:tcBorders>
              <w:top w:val="nil"/>
              <w:left w:val="nil"/>
              <w:bottom w:val="nil"/>
              <w:right w:val="nil"/>
            </w:tcBorders>
            <w:shd w:val="clear" w:color="auto" w:fill="auto"/>
            <w:noWrap/>
            <w:vAlign w:val="bottom"/>
            <w:hideMark/>
          </w:tcPr>
          <w:p w:rsidR="003D334A" w:rsidRDefault="003D334A" w:rsidP="00D314A1">
            <w:pPr>
              <w:jc w:val="left"/>
              <w:rPr>
                <w:rFonts w:ascii="Sylfaen" w:hAnsi="Sylfaen"/>
                <w:color w:val="000000"/>
                <w:szCs w:val="22"/>
                <w:lang w:val="en-US"/>
              </w:rPr>
            </w:pPr>
          </w:p>
          <w:p w:rsidR="003D334A" w:rsidRDefault="003D334A" w:rsidP="00D314A1">
            <w:pPr>
              <w:jc w:val="left"/>
              <w:rPr>
                <w:rFonts w:ascii="Sylfaen" w:hAnsi="Sylfaen"/>
                <w:color w:val="000000"/>
                <w:szCs w:val="22"/>
                <w:lang w:val="en-US"/>
              </w:rPr>
            </w:pPr>
          </w:p>
          <w:p w:rsidR="003D334A" w:rsidRDefault="003D334A" w:rsidP="00D314A1">
            <w:pPr>
              <w:jc w:val="left"/>
              <w:rPr>
                <w:rFonts w:ascii="Sylfaen" w:hAnsi="Sylfaen"/>
                <w:color w:val="000000"/>
                <w:szCs w:val="22"/>
                <w:lang w:val="en-US"/>
              </w:rPr>
            </w:pPr>
          </w:p>
          <w:p w:rsidR="007742CA" w:rsidRPr="00AA4177" w:rsidRDefault="007742CA" w:rsidP="00D314A1">
            <w:pPr>
              <w:jc w:val="left"/>
              <w:rPr>
                <w:rFonts w:ascii="Sylfaen" w:hAnsi="Sylfaen"/>
                <w:color w:val="000000"/>
                <w:szCs w:val="22"/>
                <w:lang w:val="en-US"/>
              </w:rPr>
            </w:pPr>
            <w:r w:rsidRPr="00AA4177">
              <w:rPr>
                <w:rFonts w:ascii="Sylfaen" w:hAnsi="Sylfaen"/>
                <w:color w:val="000000"/>
                <w:szCs w:val="22"/>
                <w:lang w:val="en-US"/>
              </w:rPr>
              <w:t xml:space="preserve">Article 42 of the Constitution </w:t>
            </w:r>
          </w:p>
        </w:tc>
      </w:tr>
      <w:tr w:rsidR="007742CA" w:rsidRPr="007742CA" w:rsidTr="00E876BC">
        <w:trPr>
          <w:trHeight w:val="367"/>
        </w:trPr>
        <w:tc>
          <w:tcPr>
            <w:tcW w:w="9796" w:type="dxa"/>
            <w:tcBorders>
              <w:top w:val="nil"/>
              <w:left w:val="nil"/>
              <w:bottom w:val="nil"/>
              <w:right w:val="nil"/>
            </w:tcBorders>
            <w:shd w:val="clear" w:color="auto" w:fill="auto"/>
            <w:noWrap/>
            <w:vAlign w:val="bottom"/>
            <w:hideMark/>
          </w:tcPr>
          <w:p w:rsidR="007742CA" w:rsidRPr="00BC62FE" w:rsidRDefault="0025769A" w:rsidP="00D314A1">
            <w:pPr>
              <w:jc w:val="left"/>
              <w:rPr>
                <w:rFonts w:ascii="Sylfaen" w:hAnsi="Sylfaen"/>
                <w:color w:val="000000"/>
                <w:szCs w:val="22"/>
                <w:highlight w:val="yellow"/>
                <w:lang w:val="en-US"/>
              </w:rPr>
            </w:pPr>
            <w:r w:rsidRPr="00AA4177">
              <w:rPr>
                <w:rFonts w:ascii="Sylfaen" w:hAnsi="Sylfaen"/>
                <w:color w:val="000000"/>
                <w:szCs w:val="22"/>
                <w:lang w:val="en-US"/>
              </w:rPr>
              <w:t xml:space="preserve">Analytical Centre for Interethnic Cooperation and Consultation  </w:t>
            </w:r>
          </w:p>
        </w:tc>
      </w:tr>
      <w:tr w:rsidR="007742CA" w:rsidRPr="007742CA" w:rsidTr="00E876BC">
        <w:trPr>
          <w:trHeight w:val="367"/>
        </w:trPr>
        <w:tc>
          <w:tcPr>
            <w:tcW w:w="9796" w:type="dxa"/>
            <w:tcBorders>
              <w:top w:val="nil"/>
              <w:left w:val="nil"/>
              <w:bottom w:val="nil"/>
              <w:right w:val="nil"/>
            </w:tcBorders>
            <w:shd w:val="clear" w:color="auto" w:fill="auto"/>
            <w:noWrap/>
            <w:vAlign w:val="bottom"/>
            <w:hideMark/>
          </w:tcPr>
          <w:p w:rsidR="007742CA" w:rsidRPr="00BC62FE" w:rsidRDefault="007742CA" w:rsidP="00D314A1">
            <w:pPr>
              <w:jc w:val="left"/>
              <w:rPr>
                <w:rFonts w:ascii="Sylfaen" w:hAnsi="Sylfaen"/>
                <w:color w:val="000000"/>
                <w:szCs w:val="22"/>
                <w:highlight w:val="yellow"/>
                <w:lang w:val="en-US"/>
              </w:rPr>
            </w:pPr>
            <w:r w:rsidRPr="00570905">
              <w:rPr>
                <w:rFonts w:ascii="Sylfaen" w:hAnsi="Sylfaen"/>
                <w:color w:val="000000"/>
                <w:szCs w:val="22"/>
                <w:lang w:val="en-US"/>
              </w:rPr>
              <w:t xml:space="preserve">Coalition for Independent Living </w:t>
            </w:r>
          </w:p>
        </w:tc>
      </w:tr>
      <w:tr w:rsidR="007742CA" w:rsidRPr="007742CA" w:rsidTr="00E876BC">
        <w:trPr>
          <w:trHeight w:val="367"/>
        </w:trPr>
        <w:tc>
          <w:tcPr>
            <w:tcW w:w="9796" w:type="dxa"/>
            <w:tcBorders>
              <w:top w:val="nil"/>
              <w:left w:val="nil"/>
              <w:bottom w:val="nil"/>
              <w:right w:val="nil"/>
            </w:tcBorders>
            <w:shd w:val="clear" w:color="auto" w:fill="auto"/>
            <w:noWrap/>
            <w:vAlign w:val="bottom"/>
            <w:hideMark/>
          </w:tcPr>
          <w:p w:rsidR="007742CA" w:rsidRPr="00BC62FE" w:rsidRDefault="0025769A" w:rsidP="00D314A1">
            <w:pPr>
              <w:jc w:val="left"/>
              <w:rPr>
                <w:rFonts w:ascii="Times New Roman" w:hAnsi="Times New Roman"/>
                <w:color w:val="000000"/>
                <w:szCs w:val="22"/>
                <w:highlight w:val="yellow"/>
                <w:lang w:val="en-US"/>
              </w:rPr>
            </w:pPr>
            <w:r w:rsidRPr="0025769A">
              <w:rPr>
                <w:rFonts w:ascii="Sylfaen" w:hAnsi="Sylfaen"/>
                <w:color w:val="000000"/>
                <w:szCs w:val="22"/>
                <w:lang w:val="en-US"/>
              </w:rPr>
              <w:t>Former Political Prisoners for Human Rights</w:t>
            </w:r>
          </w:p>
        </w:tc>
      </w:tr>
      <w:tr w:rsidR="0025769A" w:rsidRPr="007742CA" w:rsidTr="00E876BC">
        <w:trPr>
          <w:trHeight w:val="367"/>
        </w:trPr>
        <w:tc>
          <w:tcPr>
            <w:tcW w:w="9796" w:type="dxa"/>
            <w:tcBorders>
              <w:top w:val="nil"/>
              <w:left w:val="nil"/>
              <w:bottom w:val="nil"/>
              <w:right w:val="nil"/>
            </w:tcBorders>
            <w:shd w:val="clear" w:color="auto" w:fill="auto"/>
            <w:noWrap/>
            <w:vAlign w:val="bottom"/>
            <w:hideMark/>
          </w:tcPr>
          <w:p w:rsidR="0025769A" w:rsidRPr="00AA4177" w:rsidRDefault="0025769A" w:rsidP="00E37614">
            <w:pPr>
              <w:jc w:val="left"/>
              <w:rPr>
                <w:rFonts w:ascii="Times New Roman" w:hAnsi="Times New Roman"/>
                <w:color w:val="000000"/>
                <w:szCs w:val="22"/>
                <w:lang w:val="en-US"/>
              </w:rPr>
            </w:pPr>
            <w:r w:rsidRPr="00AA4177">
              <w:rPr>
                <w:rFonts w:ascii="Times New Roman" w:hAnsi="Times New Roman"/>
                <w:color w:val="000000"/>
                <w:szCs w:val="22"/>
                <w:lang w:val="ka-GE"/>
              </w:rPr>
              <w:t>GCRT</w:t>
            </w:r>
            <w:r w:rsidRPr="00AA4177">
              <w:rPr>
                <w:rFonts w:ascii="Sylfaen" w:hAnsi="Sylfaen"/>
                <w:color w:val="000000"/>
                <w:szCs w:val="22"/>
                <w:lang w:val="ka-GE"/>
              </w:rPr>
              <w:t xml:space="preserve"> (Psychological and Medical Rehabilitation Centre of Victims of Torture) </w:t>
            </w: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AA4177" w:rsidRDefault="0025769A" w:rsidP="00D314A1">
            <w:pPr>
              <w:jc w:val="left"/>
              <w:rPr>
                <w:rFonts w:ascii="Times New Roman" w:hAnsi="Times New Roman"/>
                <w:color w:val="000000"/>
                <w:szCs w:val="22"/>
                <w:lang w:val="en-US"/>
              </w:rPr>
            </w:pPr>
            <w:r w:rsidRPr="00AA4177">
              <w:rPr>
                <w:rFonts w:ascii="Times New Roman" w:hAnsi="Times New Roman"/>
                <w:color w:val="000000"/>
                <w:szCs w:val="22"/>
                <w:lang w:val="en-US"/>
              </w:rPr>
              <w:t>Georgian Young Lawyers</w:t>
            </w:r>
            <w:r>
              <w:rPr>
                <w:rFonts w:ascii="Times New Roman" w:hAnsi="Times New Roman"/>
                <w:color w:val="000000"/>
                <w:szCs w:val="22"/>
                <w:lang w:val="en-US"/>
              </w:rPr>
              <w:t>’</w:t>
            </w:r>
            <w:r w:rsidRPr="00AA4177">
              <w:rPr>
                <w:rFonts w:ascii="Times New Roman" w:hAnsi="Times New Roman"/>
                <w:color w:val="000000"/>
                <w:szCs w:val="22"/>
                <w:lang w:val="en-US"/>
              </w:rPr>
              <w:t xml:space="preserve"> Association (GYLA)</w:t>
            </w:r>
          </w:p>
        </w:tc>
      </w:tr>
      <w:tr w:rsidR="0025769A" w:rsidRPr="007742CA" w:rsidTr="00E876BC">
        <w:trPr>
          <w:trHeight w:val="367"/>
        </w:trPr>
        <w:tc>
          <w:tcPr>
            <w:tcW w:w="9796" w:type="dxa"/>
            <w:tcBorders>
              <w:top w:val="nil"/>
              <w:left w:val="nil"/>
              <w:bottom w:val="nil"/>
              <w:right w:val="nil"/>
            </w:tcBorders>
            <w:shd w:val="clear" w:color="auto" w:fill="auto"/>
            <w:noWrap/>
            <w:vAlign w:val="bottom"/>
            <w:hideMark/>
          </w:tcPr>
          <w:p w:rsidR="0025769A" w:rsidRPr="00AA4177" w:rsidRDefault="0025769A" w:rsidP="00D314A1">
            <w:pPr>
              <w:jc w:val="left"/>
              <w:rPr>
                <w:rFonts w:ascii="Times New Roman" w:hAnsi="Times New Roman"/>
                <w:color w:val="000000"/>
                <w:szCs w:val="22"/>
                <w:lang w:val="en-US"/>
              </w:rPr>
            </w:pPr>
            <w:r>
              <w:rPr>
                <w:rFonts w:ascii="Sylfaen" w:hAnsi="Sylfaen"/>
                <w:color w:val="000000"/>
                <w:szCs w:val="22"/>
                <w:lang w:val="en-US"/>
              </w:rPr>
              <w:t>International Society for Fair Elections and Democracy</w:t>
            </w:r>
            <w:r w:rsidR="00355516">
              <w:rPr>
                <w:rFonts w:ascii="Sylfaen" w:hAnsi="Sylfaen"/>
                <w:color w:val="000000"/>
                <w:szCs w:val="22"/>
                <w:lang w:val="en-US"/>
              </w:rPr>
              <w:t xml:space="preserve"> (ISFED)</w:t>
            </w:r>
          </w:p>
        </w:tc>
      </w:tr>
      <w:tr w:rsidR="0025769A" w:rsidRPr="007742CA" w:rsidTr="00E876BC">
        <w:trPr>
          <w:trHeight w:val="367"/>
        </w:trPr>
        <w:tc>
          <w:tcPr>
            <w:tcW w:w="9796" w:type="dxa"/>
            <w:tcBorders>
              <w:top w:val="nil"/>
              <w:left w:val="nil"/>
              <w:bottom w:val="nil"/>
              <w:right w:val="nil"/>
            </w:tcBorders>
            <w:shd w:val="clear" w:color="auto" w:fill="auto"/>
            <w:noWrap/>
            <w:vAlign w:val="bottom"/>
            <w:hideMark/>
          </w:tcPr>
          <w:p w:rsidR="0025769A" w:rsidRPr="00AA4177" w:rsidRDefault="0025769A" w:rsidP="00E17447">
            <w:pPr>
              <w:jc w:val="left"/>
              <w:rPr>
                <w:rFonts w:ascii="Sylfaen" w:hAnsi="Sylfaen"/>
                <w:color w:val="000000"/>
                <w:szCs w:val="22"/>
                <w:lang w:val="en-US"/>
              </w:rPr>
            </w:pPr>
            <w:r w:rsidRPr="00AA4177">
              <w:rPr>
                <w:rFonts w:ascii="Sylfaen" w:hAnsi="Sylfaen"/>
                <w:color w:val="000000"/>
                <w:szCs w:val="22"/>
                <w:lang w:val="en-US"/>
              </w:rPr>
              <w:t xml:space="preserve">Human Rights </w:t>
            </w:r>
            <w:r w:rsidRPr="00BC29CE">
              <w:rPr>
                <w:rFonts w:ascii="Sylfaen" w:hAnsi="Sylfaen"/>
                <w:color w:val="000000"/>
                <w:szCs w:val="22"/>
                <w:lang w:val="en-US"/>
              </w:rPr>
              <w:t>Cent</w:t>
            </w:r>
            <w:r w:rsidR="00E17447" w:rsidRPr="00BC29CE">
              <w:rPr>
                <w:rFonts w:ascii="Sylfaen" w:hAnsi="Sylfaen"/>
                <w:color w:val="000000"/>
                <w:szCs w:val="22"/>
                <w:lang w:val="en-US"/>
              </w:rPr>
              <w:t>er (</w:t>
            </w:r>
            <w:r w:rsidR="00BC29CE" w:rsidRPr="00BC29CE">
              <w:rPr>
                <w:rFonts w:ascii="Sylfaen" w:hAnsi="Sylfaen"/>
                <w:bCs/>
                <w:color w:val="000000"/>
                <w:szCs w:val="22"/>
              </w:rPr>
              <w:t>HRIDC</w:t>
            </w:r>
            <w:r w:rsidR="00E17447" w:rsidRPr="00BC29CE">
              <w:rPr>
                <w:rFonts w:ascii="Sylfaen" w:hAnsi="Sylfaen"/>
                <w:color w:val="000000"/>
                <w:szCs w:val="22"/>
                <w:lang w:val="en-US"/>
              </w:rPr>
              <w:t>)</w:t>
            </w:r>
            <w:r w:rsidRPr="00AA4177">
              <w:rPr>
                <w:rFonts w:ascii="Sylfaen" w:hAnsi="Sylfaen"/>
                <w:color w:val="000000"/>
                <w:szCs w:val="22"/>
                <w:lang w:val="en-US"/>
              </w:rPr>
              <w:t xml:space="preserve">  </w:t>
            </w: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AA4177" w:rsidRDefault="0025769A" w:rsidP="00D314A1">
            <w:pPr>
              <w:jc w:val="left"/>
              <w:rPr>
                <w:rFonts w:ascii="Times New Roman" w:hAnsi="Times New Roman"/>
                <w:color w:val="000000"/>
                <w:szCs w:val="22"/>
                <w:lang w:val="en-US"/>
              </w:rPr>
            </w:pPr>
            <w:r w:rsidRPr="00AA4177">
              <w:rPr>
                <w:rFonts w:ascii="Sylfaen" w:hAnsi="Sylfaen"/>
                <w:color w:val="000000"/>
                <w:szCs w:val="22"/>
                <w:lang w:val="en-US"/>
              </w:rPr>
              <w:t>Penal Reform International (PRI)</w:t>
            </w:r>
          </w:p>
        </w:tc>
      </w:tr>
      <w:tr w:rsidR="0025769A" w:rsidRPr="007742CA" w:rsidTr="00E876BC">
        <w:trPr>
          <w:trHeight w:val="367"/>
        </w:trPr>
        <w:tc>
          <w:tcPr>
            <w:tcW w:w="9796" w:type="dxa"/>
            <w:tcBorders>
              <w:top w:val="nil"/>
              <w:left w:val="nil"/>
              <w:bottom w:val="nil"/>
              <w:right w:val="nil"/>
            </w:tcBorders>
            <w:shd w:val="clear" w:color="auto" w:fill="auto"/>
            <w:noWrap/>
            <w:vAlign w:val="bottom"/>
            <w:hideMark/>
          </w:tcPr>
          <w:p w:rsidR="0025769A" w:rsidRPr="00AA4177" w:rsidRDefault="0025769A" w:rsidP="00E37614">
            <w:pPr>
              <w:jc w:val="left"/>
              <w:rPr>
                <w:rFonts w:ascii="Times New Roman" w:hAnsi="Times New Roman"/>
                <w:color w:val="000000"/>
                <w:szCs w:val="22"/>
                <w:lang w:val="en-US"/>
              </w:rPr>
            </w:pPr>
            <w:r w:rsidRPr="00AA4177">
              <w:rPr>
                <w:rFonts w:ascii="Times New Roman" w:hAnsi="Times New Roman"/>
                <w:color w:val="000000"/>
                <w:szCs w:val="22"/>
                <w:lang w:val="en-US"/>
              </w:rPr>
              <w:t>Research Centre on Juvenile Justice Issues</w:t>
            </w: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AA4177" w:rsidRDefault="0025769A" w:rsidP="00195896">
            <w:pPr>
              <w:jc w:val="left"/>
              <w:rPr>
                <w:rFonts w:ascii="Sylfaen" w:hAnsi="Sylfaen"/>
                <w:color w:val="000000"/>
                <w:szCs w:val="22"/>
                <w:lang w:val="en-US"/>
              </w:rPr>
            </w:pPr>
            <w:r w:rsidRPr="00AA4177">
              <w:rPr>
                <w:rFonts w:ascii="Sylfaen" w:hAnsi="Sylfaen"/>
                <w:color w:val="000000"/>
                <w:szCs w:val="22"/>
                <w:lang w:val="en-US"/>
              </w:rPr>
              <w:t>Women Information Centre</w:t>
            </w: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AA4177" w:rsidRDefault="0025769A" w:rsidP="00D314A1">
            <w:pPr>
              <w:jc w:val="left"/>
              <w:rPr>
                <w:rFonts w:ascii="Sylfaen" w:hAnsi="Sylfaen"/>
                <w:color w:val="000000"/>
                <w:szCs w:val="22"/>
                <w:lang w:val="en-US"/>
              </w:rPr>
            </w:pP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42CA" w:rsidRDefault="0025769A" w:rsidP="002C2E88">
            <w:pPr>
              <w:jc w:val="left"/>
              <w:rPr>
                <w:rFonts w:ascii="Sylfaen" w:hAnsi="Sylfaen"/>
                <w:color w:val="000000"/>
                <w:szCs w:val="22"/>
                <w:lang w:val="en-US"/>
              </w:rPr>
            </w:pP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0A3C" w:rsidRDefault="0025769A" w:rsidP="00195896">
            <w:pPr>
              <w:jc w:val="left"/>
              <w:rPr>
                <w:rFonts w:ascii="Times New Roman" w:hAnsi="Times New Roman"/>
                <w:color w:val="000000"/>
                <w:szCs w:val="22"/>
                <w:highlight w:val="yellow"/>
                <w:lang w:val="en-US"/>
              </w:rPr>
            </w:pP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42CA" w:rsidRDefault="0025769A" w:rsidP="00195896">
            <w:pPr>
              <w:jc w:val="left"/>
              <w:rPr>
                <w:rFonts w:ascii="Times New Roman" w:hAnsi="Times New Roman"/>
                <w:color w:val="000000"/>
                <w:szCs w:val="22"/>
                <w:lang w:val="en-US"/>
              </w:rPr>
            </w:pP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42CA" w:rsidRDefault="0025769A" w:rsidP="00195896">
            <w:pPr>
              <w:jc w:val="left"/>
              <w:rPr>
                <w:rFonts w:ascii="Sylfaen" w:hAnsi="Sylfaen"/>
                <w:color w:val="000000"/>
                <w:szCs w:val="22"/>
                <w:lang w:val="en-US"/>
              </w:rPr>
            </w:pPr>
          </w:p>
        </w:tc>
      </w:tr>
      <w:tr w:rsidR="00E876BC" w:rsidRPr="007742CA" w:rsidTr="00E876BC">
        <w:trPr>
          <w:trHeight w:val="367"/>
        </w:trPr>
        <w:tc>
          <w:tcPr>
            <w:tcW w:w="9796" w:type="dxa"/>
            <w:tcBorders>
              <w:top w:val="nil"/>
              <w:left w:val="nil"/>
              <w:bottom w:val="nil"/>
            </w:tcBorders>
            <w:shd w:val="clear" w:color="auto" w:fill="auto"/>
            <w:noWrap/>
            <w:vAlign w:val="bottom"/>
          </w:tcPr>
          <w:p w:rsidR="00E876BC" w:rsidRPr="007742CA" w:rsidRDefault="00E876BC" w:rsidP="00195896">
            <w:pPr>
              <w:jc w:val="left"/>
              <w:rPr>
                <w:rFonts w:ascii="Sylfaen" w:hAnsi="Sylfaen"/>
                <w:color w:val="000000"/>
                <w:szCs w:val="22"/>
                <w:lang w:val="en-US"/>
              </w:rPr>
            </w:pPr>
            <w:r>
              <w:rPr>
                <w:rFonts w:ascii="Sylfaen" w:hAnsi="Sylfaen"/>
                <w:color w:val="000000"/>
                <w:szCs w:val="22"/>
                <w:lang w:val="en-US"/>
              </w:rPr>
              <w:t xml:space="preserve">The NGO Coalition wants to thank the Office of the High Commissioner of Human Rights (OHCHR) and the United Nations Development </w:t>
            </w:r>
            <w:proofErr w:type="spellStart"/>
            <w:r>
              <w:rPr>
                <w:rFonts w:ascii="Sylfaen" w:hAnsi="Sylfaen"/>
                <w:color w:val="000000"/>
                <w:szCs w:val="22"/>
                <w:lang w:val="en-US"/>
              </w:rPr>
              <w:t>Programme</w:t>
            </w:r>
            <w:proofErr w:type="spellEnd"/>
            <w:r>
              <w:rPr>
                <w:rFonts w:ascii="Sylfaen" w:hAnsi="Sylfaen"/>
                <w:color w:val="000000"/>
                <w:szCs w:val="22"/>
                <w:lang w:val="en-US"/>
              </w:rPr>
              <w:t xml:space="preserve"> (UNDP) in Georgia for their support in developing the shadow report. </w:t>
            </w: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42CA" w:rsidRDefault="0025769A" w:rsidP="00195896">
            <w:pPr>
              <w:jc w:val="left"/>
              <w:rPr>
                <w:rFonts w:ascii="Times New Roman" w:hAnsi="Times New Roman"/>
                <w:color w:val="000000"/>
                <w:szCs w:val="22"/>
                <w:lang w:val="en-US"/>
              </w:rPr>
            </w:pPr>
          </w:p>
        </w:tc>
      </w:tr>
      <w:tr w:rsidR="0025769A" w:rsidRPr="007742CA" w:rsidTr="00E876BC">
        <w:trPr>
          <w:trHeight w:val="367"/>
        </w:trPr>
        <w:tc>
          <w:tcPr>
            <w:tcW w:w="9796" w:type="dxa"/>
            <w:tcBorders>
              <w:top w:val="nil"/>
              <w:left w:val="nil"/>
              <w:bottom w:val="nil"/>
              <w:right w:val="nil"/>
            </w:tcBorders>
            <w:shd w:val="clear" w:color="auto" w:fill="auto"/>
            <w:noWrap/>
            <w:vAlign w:val="bottom"/>
          </w:tcPr>
          <w:p w:rsidR="0025769A" w:rsidRPr="007742CA" w:rsidRDefault="0025769A" w:rsidP="00195896">
            <w:pPr>
              <w:jc w:val="left"/>
              <w:rPr>
                <w:rFonts w:ascii="Sylfaen" w:hAnsi="Sylfaen"/>
                <w:color w:val="000000"/>
                <w:szCs w:val="22"/>
                <w:lang w:val="en-US"/>
              </w:rPr>
            </w:pPr>
          </w:p>
        </w:tc>
      </w:tr>
    </w:tbl>
    <w:p w:rsidR="00D314A1" w:rsidRDefault="00D314A1" w:rsidP="00D314A1">
      <w:pPr>
        <w:jc w:val="left"/>
        <w:rPr>
          <w:highlight w:val="yellow"/>
          <w:lang w:val="en-US" w:eastAsia="ko-KR"/>
        </w:rPr>
      </w:pPr>
    </w:p>
    <w:p w:rsidR="00D314A1" w:rsidRDefault="00D314A1" w:rsidP="00D314A1">
      <w:pPr>
        <w:jc w:val="left"/>
        <w:rPr>
          <w:highlight w:val="yellow"/>
          <w:lang w:val="en-US" w:eastAsia="ko-KR"/>
        </w:rPr>
      </w:pPr>
    </w:p>
    <w:p w:rsidR="00F34052" w:rsidRPr="00F34052" w:rsidRDefault="00F34052" w:rsidP="00D314A1">
      <w:pPr>
        <w:jc w:val="left"/>
        <w:rPr>
          <w:w w:val="103"/>
          <w:kern w:val="14"/>
          <w:lang w:eastAsia="ko-KR"/>
        </w:rPr>
      </w:pPr>
    </w:p>
    <w:p w:rsidR="00F34052" w:rsidRDefault="00F34052" w:rsidP="00D314A1">
      <w:pPr>
        <w:spacing w:before="120" w:after="120"/>
        <w:jc w:val="left"/>
        <w:outlineLvl w:val="0"/>
        <w:rPr>
          <w:rFonts w:ascii="Sylfaen" w:hAnsi="Sylfaen"/>
          <w:b/>
          <w:bCs/>
          <w:spacing w:val="4"/>
          <w:w w:val="103"/>
          <w:kern w:val="14"/>
          <w:lang w:eastAsia="ko-KR"/>
        </w:rPr>
      </w:pPr>
    </w:p>
    <w:p w:rsidR="00D0612C" w:rsidRPr="0036210C" w:rsidRDefault="00D0612C" w:rsidP="00D0612C">
      <w:pPr>
        <w:pStyle w:val="Listenabsatz"/>
        <w:rPr>
          <w:rFonts w:ascii="Sylfaen" w:hAnsi="Sylfaen"/>
          <w:lang w:val="ka-GE"/>
        </w:rPr>
      </w:pPr>
    </w:p>
    <w:p w:rsidR="00650BCB" w:rsidRDefault="00650BCB">
      <w:pPr>
        <w:rPr>
          <w:lang w:val="en-US"/>
        </w:rPr>
      </w:pPr>
    </w:p>
    <w:p w:rsidR="00650BCB" w:rsidRPr="00182C1C" w:rsidRDefault="00650BCB">
      <w:pPr>
        <w:rPr>
          <w:lang w:val="en-US"/>
        </w:rPr>
      </w:pPr>
    </w:p>
    <w:sectPr w:rsidR="00650BCB" w:rsidRPr="00182C1C" w:rsidSect="0000358E">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06" w:rsidRDefault="001F2E06" w:rsidP="00FC76E9">
      <w:r>
        <w:separator/>
      </w:r>
    </w:p>
  </w:endnote>
  <w:endnote w:type="continuationSeparator" w:id="0">
    <w:p w:rsidR="001F2E06" w:rsidRDefault="001F2E06" w:rsidP="00FC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HKolkhety">
    <w:charset w:val="00"/>
    <w:family w:val="swiss"/>
    <w:pitch w:val="variable"/>
    <w:sig w:usb0="00000203" w:usb1="00000000" w:usb2="00000000" w:usb3="00000000" w:csb0="00000005" w:csb1="00000000"/>
  </w:font>
  <w:font w:name="AcadNusx">
    <w:altName w:val="Times New Roman"/>
    <w:charset w:val="00"/>
    <w:family w:val="auto"/>
    <w:pitch w:val="variable"/>
    <w:sig w:usb0="00000087" w:usb1="00000000" w:usb2="00000000" w:usb3="00000000" w:csb0="0000001B" w:csb1="00000000"/>
  </w:font>
  <w:font w:name="AKolkhetyN">
    <w:charset w:val="80"/>
    <w:family w:val="auto"/>
    <w:pitch w:val="variable"/>
  </w:font>
  <w:font w:name="FuturaBook Geo Unicode">
    <w:altName w:val="MS Mincho"/>
    <w:charset w:val="80"/>
    <w:family w:val="auto"/>
    <w:pitch w:val="variable"/>
  </w:font>
  <w:font w:name="LitNusx">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0B" w:rsidRDefault="00B56F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77438"/>
      <w:docPartObj>
        <w:docPartGallery w:val="Page Numbers (Bottom of Page)"/>
        <w:docPartUnique/>
      </w:docPartObj>
    </w:sdtPr>
    <w:sdtEndPr>
      <w:rPr>
        <w:noProof/>
      </w:rPr>
    </w:sdtEndPr>
    <w:sdtContent>
      <w:p w:rsidR="00B56F0B" w:rsidRDefault="00B56F0B">
        <w:pPr>
          <w:pStyle w:val="Fuzeile"/>
          <w:jc w:val="right"/>
        </w:pPr>
        <w:r>
          <w:fldChar w:fldCharType="begin"/>
        </w:r>
        <w:r>
          <w:instrText xml:space="preserve"> PAGE   \* MERGEFORMAT </w:instrText>
        </w:r>
        <w:r>
          <w:fldChar w:fldCharType="separate"/>
        </w:r>
        <w:r w:rsidR="009F04AA">
          <w:rPr>
            <w:noProof/>
          </w:rPr>
          <w:t>2</w:t>
        </w:r>
        <w:r>
          <w:rPr>
            <w:noProof/>
          </w:rPr>
          <w:fldChar w:fldCharType="end"/>
        </w:r>
      </w:p>
    </w:sdtContent>
  </w:sdt>
  <w:p w:rsidR="00B56F0B" w:rsidRDefault="00B56F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06" w:rsidRDefault="001F2E06" w:rsidP="00FC76E9">
      <w:r>
        <w:separator/>
      </w:r>
    </w:p>
  </w:footnote>
  <w:footnote w:type="continuationSeparator" w:id="0">
    <w:p w:rsidR="001F2E06" w:rsidRDefault="001F2E06" w:rsidP="00FC76E9">
      <w:r>
        <w:continuationSeparator/>
      </w:r>
    </w:p>
  </w:footnote>
  <w:footnote w:id="1">
    <w:p w:rsidR="00B56F0B" w:rsidRPr="000B1C7D" w:rsidRDefault="00B56F0B" w:rsidP="007F0DC6">
      <w:pPr>
        <w:pStyle w:val="Funotentext"/>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List of NGO members of the coalition can be found in Appendix 1.</w:t>
      </w:r>
    </w:p>
  </w:footnote>
  <w:footnote w:id="2">
    <w:p w:rsidR="00B56F0B" w:rsidRPr="000B1C7D" w:rsidRDefault="00B56F0B" w:rsidP="007F0DC6">
      <w:pPr>
        <w:pStyle w:val="Funotentext"/>
        <w:ind w:left="0" w:firstLine="0"/>
        <w:rPr>
          <w:rFonts w:ascii="Garamond" w:hAnsi="Garamond"/>
        </w:rPr>
      </w:pPr>
      <w:r w:rsidRPr="000B1C7D">
        <w:rPr>
          <w:rStyle w:val="Funotenzeichen"/>
          <w:rFonts w:ascii="Garamond" w:hAnsi="Garamond"/>
        </w:rPr>
        <w:footnoteRef/>
      </w:r>
      <w:r w:rsidRPr="000B1C7D">
        <w:rPr>
          <w:rFonts w:ascii="Garamond" w:hAnsi="Garamond"/>
        </w:rPr>
        <w:t xml:space="preserve"> The ICCPR is a multilateral treaty, adopted by the United Nations in 1966 and ratified by Georgia in 1994. It commits the parties to the treaty to respect and protect</w:t>
      </w:r>
      <w:r>
        <w:rPr>
          <w:rFonts w:ascii="Garamond" w:hAnsi="Garamond"/>
        </w:rPr>
        <w:t xml:space="preserve"> human</w:t>
      </w:r>
      <w:r w:rsidRPr="000B1C7D">
        <w:rPr>
          <w:rFonts w:ascii="Garamond" w:hAnsi="Garamond"/>
        </w:rPr>
        <w:t xml:space="preserve"> rights ensuring equal treatment, rights to physical integrity, liberty and security, rights to legal due process, a set of individual liberties and a set of political rights.</w:t>
      </w:r>
    </w:p>
  </w:footnote>
  <w:footnote w:id="3">
    <w:p w:rsidR="00B56F0B" w:rsidRPr="000B1C7D" w:rsidRDefault="00B56F0B" w:rsidP="000B1C7D">
      <w:pPr>
        <w:pStyle w:val="Funotentext"/>
        <w:ind w:left="0" w:firstLine="0"/>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For instance, direct financial support for disabled people has not increased since 2004,</w:t>
      </w:r>
      <w:r>
        <w:rPr>
          <w:rFonts w:ascii="Garamond" w:hAnsi="Garamond"/>
        </w:rPr>
        <w:t xml:space="preserve"> even though the overall budget </w:t>
      </w:r>
      <w:r w:rsidRPr="000B1C7D">
        <w:rPr>
          <w:rFonts w:ascii="Garamond" w:hAnsi="Garamond"/>
        </w:rPr>
        <w:t>has increased more than 11 fold.</w:t>
      </w:r>
    </w:p>
  </w:footnote>
  <w:footnote w:id="4">
    <w:p w:rsidR="00B56F0B" w:rsidRDefault="00B56F0B" w:rsidP="00FC76E9">
      <w:pPr>
        <w:pStyle w:val="FootnoteText1"/>
        <w:rPr>
          <w:rFonts w:ascii="Garamond" w:hAnsi="Garamond" w:cs="Times New Roman"/>
          <w:bCs/>
          <w:sz w:val="20"/>
          <w:szCs w:val="20"/>
        </w:rPr>
      </w:pPr>
      <w:r w:rsidRPr="000B1C7D">
        <w:rPr>
          <w:rStyle w:val="FootnoteCharacters"/>
          <w:rFonts w:ascii="Garamond" w:hAnsi="Garamond"/>
          <w:sz w:val="20"/>
          <w:szCs w:val="20"/>
          <w:vertAlign w:val="superscript"/>
        </w:rPr>
        <w:footnoteRef/>
      </w:r>
      <w:r w:rsidRPr="000B1C7D">
        <w:rPr>
          <w:rFonts w:ascii="Garamond" w:hAnsi="Garamond" w:cs="Times New Roman"/>
          <w:bCs/>
          <w:sz w:val="20"/>
          <w:szCs w:val="20"/>
        </w:rPr>
        <w:t xml:space="preserve"> </w:t>
      </w:r>
      <w:proofErr w:type="gramStart"/>
      <w:r w:rsidRPr="000B1C7D">
        <w:rPr>
          <w:rFonts w:ascii="Garamond" w:hAnsi="Garamond" w:cs="Times New Roman"/>
          <w:bCs/>
          <w:sz w:val="20"/>
          <w:szCs w:val="20"/>
        </w:rPr>
        <w:t xml:space="preserve">Marine </w:t>
      </w:r>
      <w:proofErr w:type="spellStart"/>
      <w:r w:rsidRPr="000B1C7D">
        <w:rPr>
          <w:rFonts w:ascii="Garamond" w:hAnsi="Garamond" w:cs="Times New Roman"/>
          <w:bCs/>
          <w:sz w:val="20"/>
          <w:szCs w:val="20"/>
        </w:rPr>
        <w:t>Chitashvili</w:t>
      </w:r>
      <w:proofErr w:type="spellEnd"/>
      <w:r w:rsidRPr="000B1C7D">
        <w:rPr>
          <w:rFonts w:ascii="Garamond" w:hAnsi="Garamond" w:cs="Times New Roman"/>
          <w:bCs/>
          <w:sz w:val="20"/>
          <w:szCs w:val="20"/>
        </w:rPr>
        <w:t xml:space="preserve">, Nino </w:t>
      </w:r>
      <w:proofErr w:type="spellStart"/>
      <w:r w:rsidRPr="000B1C7D">
        <w:rPr>
          <w:rFonts w:ascii="Garamond" w:hAnsi="Garamond" w:cs="Times New Roman"/>
          <w:bCs/>
          <w:sz w:val="20"/>
          <w:szCs w:val="20"/>
        </w:rPr>
        <w:t>Javakhishvili</w:t>
      </w:r>
      <w:proofErr w:type="spellEnd"/>
      <w:r w:rsidRPr="000B1C7D">
        <w:rPr>
          <w:rFonts w:ascii="Garamond" w:hAnsi="Garamond" w:cs="Times New Roman"/>
          <w:bCs/>
          <w:sz w:val="20"/>
          <w:szCs w:val="20"/>
        </w:rPr>
        <w:t xml:space="preserve">, </w:t>
      </w:r>
      <w:proofErr w:type="spellStart"/>
      <w:r w:rsidRPr="000B1C7D">
        <w:rPr>
          <w:rFonts w:ascii="Garamond" w:hAnsi="Garamond" w:cs="Times New Roman"/>
          <w:bCs/>
          <w:sz w:val="20"/>
          <w:szCs w:val="20"/>
        </w:rPr>
        <w:t>Luiza</w:t>
      </w:r>
      <w:proofErr w:type="spellEnd"/>
      <w:r w:rsidRPr="000B1C7D">
        <w:rPr>
          <w:rFonts w:ascii="Garamond" w:hAnsi="Garamond" w:cs="Times New Roman"/>
          <w:bCs/>
          <w:sz w:val="20"/>
          <w:szCs w:val="20"/>
        </w:rPr>
        <w:t xml:space="preserve"> </w:t>
      </w:r>
      <w:proofErr w:type="spellStart"/>
      <w:r w:rsidRPr="000B1C7D">
        <w:rPr>
          <w:rFonts w:ascii="Garamond" w:hAnsi="Garamond" w:cs="Times New Roman"/>
          <w:bCs/>
          <w:sz w:val="20"/>
          <w:szCs w:val="20"/>
        </w:rPr>
        <w:t>Arutinovi</w:t>
      </w:r>
      <w:proofErr w:type="spellEnd"/>
      <w:r w:rsidRPr="000B1C7D">
        <w:rPr>
          <w:rFonts w:ascii="Garamond" w:hAnsi="Garamond" w:cs="Times New Roman"/>
          <w:bCs/>
          <w:sz w:val="20"/>
          <w:szCs w:val="20"/>
        </w:rPr>
        <w:t xml:space="preserve">, </w:t>
      </w:r>
      <w:proofErr w:type="spellStart"/>
      <w:r w:rsidRPr="000B1C7D">
        <w:rPr>
          <w:rFonts w:ascii="Garamond" w:hAnsi="Garamond" w:cs="Times New Roman"/>
          <w:bCs/>
          <w:sz w:val="20"/>
          <w:szCs w:val="20"/>
        </w:rPr>
        <w:t>Lia</w:t>
      </w:r>
      <w:proofErr w:type="spellEnd"/>
      <w:r w:rsidRPr="000B1C7D">
        <w:rPr>
          <w:rFonts w:ascii="Garamond" w:hAnsi="Garamond" w:cs="Times New Roman"/>
          <w:bCs/>
          <w:sz w:val="20"/>
          <w:szCs w:val="20"/>
        </w:rPr>
        <w:t xml:space="preserve"> </w:t>
      </w:r>
      <w:proofErr w:type="spellStart"/>
      <w:r w:rsidRPr="000B1C7D">
        <w:rPr>
          <w:rFonts w:ascii="Garamond" w:hAnsi="Garamond" w:cs="Times New Roman"/>
          <w:bCs/>
          <w:sz w:val="20"/>
          <w:szCs w:val="20"/>
        </w:rPr>
        <w:t>Tsuladze</w:t>
      </w:r>
      <w:proofErr w:type="spellEnd"/>
      <w:r w:rsidRPr="000B1C7D">
        <w:rPr>
          <w:rFonts w:ascii="Garamond" w:hAnsi="Garamond" w:cs="Times New Roman"/>
          <w:bCs/>
          <w:sz w:val="20"/>
          <w:szCs w:val="20"/>
        </w:rPr>
        <w:t xml:space="preserve">, </w:t>
      </w:r>
      <w:proofErr w:type="spellStart"/>
      <w:r w:rsidRPr="000B1C7D">
        <w:rPr>
          <w:rFonts w:ascii="Garamond" w:hAnsi="Garamond" w:cs="Times New Roman"/>
          <w:bCs/>
          <w:sz w:val="20"/>
          <w:szCs w:val="20"/>
        </w:rPr>
        <w:t>Sophio</w:t>
      </w:r>
      <w:proofErr w:type="spellEnd"/>
      <w:r w:rsidRPr="000B1C7D">
        <w:rPr>
          <w:rFonts w:ascii="Garamond" w:hAnsi="Garamond" w:cs="Times New Roman"/>
          <w:bCs/>
          <w:sz w:val="20"/>
          <w:szCs w:val="20"/>
        </w:rPr>
        <w:t xml:space="preserve"> Chachanidze (2010), “National Research on Domestic Violence against Women in Georgia”, Tbilisi.</w:t>
      </w:r>
      <w:proofErr w:type="gramEnd"/>
      <w:r w:rsidRPr="000B1C7D">
        <w:rPr>
          <w:rFonts w:ascii="Garamond" w:hAnsi="Garamond" w:cs="Times New Roman"/>
          <w:bCs/>
          <w:sz w:val="20"/>
          <w:szCs w:val="20"/>
        </w:rPr>
        <w:t xml:space="preserve"> </w:t>
      </w:r>
    </w:p>
    <w:p w:rsidR="00B56F0B" w:rsidRPr="000B1C7D" w:rsidRDefault="00B56F0B" w:rsidP="00FC76E9">
      <w:pPr>
        <w:pStyle w:val="FootnoteText1"/>
        <w:rPr>
          <w:rFonts w:ascii="Garamond" w:hAnsi="Garamond" w:cs="Times New Roman"/>
          <w:sz w:val="20"/>
          <w:szCs w:val="20"/>
        </w:rPr>
      </w:pPr>
      <w:r w:rsidRPr="000B1C7D">
        <w:rPr>
          <w:rFonts w:ascii="Garamond" w:hAnsi="Garamond" w:cs="Times New Roman"/>
          <w:bCs/>
          <w:sz w:val="20"/>
          <w:szCs w:val="20"/>
        </w:rPr>
        <w:t>The Research was carried out within a framework of</w:t>
      </w:r>
      <w:r>
        <w:rPr>
          <w:rFonts w:ascii="Garamond" w:hAnsi="Garamond" w:cs="Times New Roman"/>
          <w:bCs/>
          <w:sz w:val="20"/>
          <w:szCs w:val="20"/>
        </w:rPr>
        <w:t xml:space="preserve"> a project entitled,</w:t>
      </w:r>
      <w:r w:rsidRPr="000B1C7D">
        <w:rPr>
          <w:rFonts w:ascii="Garamond" w:hAnsi="Garamond" w:cs="Times New Roman"/>
          <w:bCs/>
          <w:sz w:val="20"/>
          <w:szCs w:val="20"/>
        </w:rPr>
        <w:t xml:space="preserve"> “Combating the Gender-Based Violence in the South Caucasus”, co-funded by UNFPA and the Government of Norway</w:t>
      </w:r>
      <w:r w:rsidRPr="000B1C7D">
        <w:rPr>
          <w:rStyle w:val="FootnoteReference1"/>
          <w:rFonts w:ascii="Garamond" w:eastAsia="Times New Roman" w:hAnsi="Garamond"/>
          <w:kern w:val="0"/>
          <w:sz w:val="20"/>
          <w:szCs w:val="20"/>
          <w:lang w:val="en-AU" w:eastAsia="en-US" w:bidi="ar-SA"/>
        </w:rPr>
        <w:t>.</w:t>
      </w:r>
    </w:p>
  </w:footnote>
  <w:footnote w:id="5">
    <w:p w:rsidR="00B56F0B" w:rsidRPr="000B1C7D" w:rsidRDefault="00B56F0B" w:rsidP="00FC76E9">
      <w:pPr>
        <w:pStyle w:val="FootnoteText1"/>
        <w:rPr>
          <w:rFonts w:ascii="Garamond" w:hAnsi="Garamond"/>
          <w:sz w:val="20"/>
          <w:szCs w:val="20"/>
        </w:rPr>
      </w:pPr>
      <w:r w:rsidRPr="000B1C7D">
        <w:rPr>
          <w:rStyle w:val="FootnoteCharacters"/>
          <w:rFonts w:ascii="Garamond" w:hAnsi="Garamond" w:cs="Times New Roman"/>
          <w:sz w:val="20"/>
          <w:szCs w:val="20"/>
          <w:vertAlign w:val="superscript"/>
        </w:rPr>
        <w:footnoteRef/>
      </w:r>
      <w:proofErr w:type="gramStart"/>
      <w:r w:rsidRPr="000B1C7D">
        <w:rPr>
          <w:rFonts w:ascii="Garamond" w:hAnsi="Garamond" w:cs="Times New Roman"/>
          <w:sz w:val="20"/>
          <w:szCs w:val="20"/>
          <w:lang w:val="en-GB"/>
        </w:rPr>
        <w:t>Law of Georgia on Changes and Amendments t</w:t>
      </w:r>
      <w:r>
        <w:rPr>
          <w:rFonts w:ascii="Garamond" w:hAnsi="Garamond" w:cs="Times New Roman"/>
          <w:sz w:val="20"/>
          <w:szCs w:val="20"/>
          <w:lang w:val="en-GB"/>
        </w:rPr>
        <w:t>o the Criminal Code of Georgia.</w:t>
      </w:r>
      <w:proofErr w:type="gramEnd"/>
    </w:p>
  </w:footnote>
  <w:footnote w:id="6">
    <w:p w:rsidR="00B56F0B" w:rsidRPr="000B1C7D" w:rsidRDefault="00B56F0B">
      <w:pPr>
        <w:pStyle w:val="Funotentext"/>
        <w:rPr>
          <w:rFonts w:ascii="Garamond" w:hAnsi="Garamond" w:cs="Times New Roman"/>
        </w:rPr>
      </w:pPr>
      <w:r w:rsidRPr="000B1C7D">
        <w:rPr>
          <w:rStyle w:val="Funotenzeichen"/>
          <w:rFonts w:ascii="Garamond" w:hAnsi="Garamond" w:cs="Times New Roman"/>
        </w:rPr>
        <w:footnoteRef/>
      </w:r>
      <w:proofErr w:type="gramStart"/>
      <w:r w:rsidRPr="000B1C7D">
        <w:rPr>
          <w:rFonts w:ascii="Garamond" w:hAnsi="Garamond" w:cs="Times New Roman"/>
          <w:lang w:val="en-AU"/>
        </w:rPr>
        <w:t xml:space="preserve">Government of Georgia (2012), </w:t>
      </w:r>
      <w:r w:rsidRPr="000B1C7D">
        <w:rPr>
          <w:rFonts w:ascii="Garamond" w:hAnsi="Garamond" w:cs="Times New Roman"/>
        </w:rPr>
        <w:t>“Fourth Periodic Report of States Parties due in 2011”, p</w:t>
      </w:r>
      <w:r>
        <w:rPr>
          <w:rFonts w:ascii="Garamond" w:hAnsi="Garamond" w:cs="Times New Roman"/>
        </w:rPr>
        <w:t>p</w:t>
      </w:r>
      <w:r w:rsidRPr="000B1C7D">
        <w:rPr>
          <w:rFonts w:ascii="Garamond" w:hAnsi="Garamond" w:cs="Times New Roman"/>
        </w:rPr>
        <w:t>8-9, para.</w:t>
      </w:r>
      <w:proofErr w:type="gramEnd"/>
      <w:r w:rsidRPr="000B1C7D">
        <w:rPr>
          <w:rFonts w:ascii="Garamond" w:hAnsi="Garamond" w:cs="Times New Roman"/>
        </w:rPr>
        <w:t xml:space="preserve"> 19.</w:t>
      </w:r>
    </w:p>
  </w:footnote>
  <w:footnote w:id="7">
    <w:p w:rsidR="00B56F0B" w:rsidRPr="000B1C7D" w:rsidRDefault="00B56F0B" w:rsidP="00DB5BB7">
      <w:pPr>
        <w:rPr>
          <w:rStyle w:val="FootnoteReference1"/>
          <w:sz w:val="20"/>
        </w:rPr>
      </w:pPr>
      <w:r w:rsidRPr="000B1C7D">
        <w:rPr>
          <w:rStyle w:val="FootnoteCharacters"/>
          <w:rFonts w:eastAsia="DejaVu Sans"/>
          <w:sz w:val="20"/>
          <w:vertAlign w:val="superscript"/>
        </w:rPr>
        <w:footnoteRef/>
      </w:r>
      <w:r>
        <w:rPr>
          <w:sz w:val="20"/>
        </w:rPr>
        <w:t xml:space="preserve"> </w:t>
      </w:r>
      <w:proofErr w:type="gramStart"/>
      <w:r w:rsidRPr="000B1C7D">
        <w:rPr>
          <w:sz w:val="20"/>
        </w:rPr>
        <w:t xml:space="preserve">Inga </w:t>
      </w:r>
      <w:proofErr w:type="spellStart"/>
      <w:r w:rsidRPr="000B1C7D">
        <w:rPr>
          <w:sz w:val="20"/>
        </w:rPr>
        <w:t>Beridize</w:t>
      </w:r>
      <w:proofErr w:type="spellEnd"/>
      <w:r w:rsidRPr="000B1C7D">
        <w:rPr>
          <w:sz w:val="20"/>
        </w:rPr>
        <w:t xml:space="preserve"> (2011), </w:t>
      </w:r>
      <w:r w:rsidRPr="000B1C7D">
        <w:rPr>
          <w:rStyle w:val="FootnoteReference1"/>
          <w:sz w:val="20"/>
        </w:rPr>
        <w:t>“Gender Analysis of the Georgian Legislation and Court Practice”, Tbilisi.</w:t>
      </w:r>
      <w:proofErr w:type="gramEnd"/>
      <w:r w:rsidRPr="000B1C7D">
        <w:rPr>
          <w:rStyle w:val="FootnoteReference1"/>
          <w:sz w:val="20"/>
        </w:rPr>
        <w:t xml:space="preserve"> The research was undertaken by the Women’s Information </w:t>
      </w:r>
      <w:proofErr w:type="spellStart"/>
      <w:r w:rsidRPr="000B1C7D">
        <w:rPr>
          <w:rStyle w:val="FootnoteReference1"/>
          <w:sz w:val="20"/>
        </w:rPr>
        <w:t>Center</w:t>
      </w:r>
      <w:proofErr w:type="spellEnd"/>
      <w:r w:rsidRPr="000B1C7D">
        <w:rPr>
          <w:rStyle w:val="FootnoteReference1"/>
          <w:sz w:val="20"/>
        </w:rPr>
        <w:t xml:space="preserve"> (WIC), in the framework of the project</w:t>
      </w:r>
      <w:r>
        <w:rPr>
          <w:rStyle w:val="FootnoteReference1"/>
          <w:sz w:val="20"/>
        </w:rPr>
        <w:t>,</w:t>
      </w:r>
      <w:r w:rsidRPr="000B1C7D">
        <w:rPr>
          <w:rStyle w:val="FootnoteReference1"/>
          <w:sz w:val="20"/>
        </w:rPr>
        <w:t xml:space="preserve"> “Civil Society Consolidated Response to violations of women's rights though monitoring of relevant international standards”, with the support of the National Democratic Institute (NDI).</w:t>
      </w:r>
    </w:p>
  </w:footnote>
  <w:footnote w:id="8">
    <w:p w:rsidR="00B56F0B" w:rsidRPr="000B1C7D" w:rsidRDefault="00B56F0B" w:rsidP="000A5AAB">
      <w:pPr>
        <w:rPr>
          <w:rFonts w:cs="Tahoma"/>
          <w:sz w:val="20"/>
          <w:lang w:val="ka-GE"/>
        </w:rPr>
      </w:pPr>
      <w:r w:rsidRPr="000B1C7D">
        <w:rPr>
          <w:rStyle w:val="FootnoteCharacters"/>
          <w:rFonts w:eastAsia="DejaVu Sans"/>
          <w:sz w:val="20"/>
          <w:vertAlign w:val="superscript"/>
        </w:rPr>
        <w:footnoteRef/>
      </w:r>
      <w:r>
        <w:rPr>
          <w:sz w:val="20"/>
        </w:rPr>
        <w:t xml:space="preserve"> </w:t>
      </w:r>
      <w:proofErr w:type="gramStart"/>
      <w:r w:rsidRPr="000B1C7D">
        <w:rPr>
          <w:sz w:val="20"/>
        </w:rPr>
        <w:t>For example, the Association of Women Democrats and the National Anti-Violence Network with financial support of the US Embassy.</w:t>
      </w:r>
      <w:proofErr w:type="gramEnd"/>
    </w:p>
  </w:footnote>
  <w:footnote w:id="9">
    <w:p w:rsidR="00B56F0B" w:rsidRPr="000B1C7D" w:rsidRDefault="00B56F0B">
      <w:pPr>
        <w:pStyle w:val="Funotentext"/>
        <w:ind w:left="0" w:firstLine="0"/>
        <w:rPr>
          <w:rFonts w:ascii="Garamond" w:hAnsi="Garamond" w:cs="Times New Roman"/>
        </w:rPr>
      </w:pPr>
      <w:r w:rsidRPr="000B1C7D">
        <w:rPr>
          <w:rStyle w:val="FootnoteCharacters"/>
          <w:rFonts w:ascii="Garamond" w:hAnsi="Garamond" w:cs="Times New Roman"/>
          <w:vertAlign w:val="superscript"/>
        </w:rPr>
        <w:footnoteRef/>
      </w:r>
      <w:r>
        <w:rPr>
          <w:rFonts w:ascii="Garamond" w:hAnsi="Garamond" w:cs="Times New Roman"/>
        </w:rPr>
        <w:t xml:space="preserve"> </w:t>
      </w:r>
      <w:proofErr w:type="gramStart"/>
      <w:r w:rsidRPr="000B1C7D">
        <w:rPr>
          <w:rFonts w:ascii="Garamond" w:hAnsi="Garamond" w:cs="Times New Roman"/>
        </w:rPr>
        <w:t xml:space="preserve">National Statistics Office of Georgia, Education, </w:t>
      </w:r>
      <w:hyperlink r:id="rId1" w:history="1">
        <w:r w:rsidRPr="000B1C7D">
          <w:rPr>
            <w:rStyle w:val="Hyperlink"/>
            <w:rFonts w:ascii="Garamond" w:hAnsi="Garamond" w:cs="Times New Roman"/>
          </w:rPr>
          <w:t>www.geostat.ge/index.php?action=page&amp;p_id=205&amp;lang=geo</w:t>
        </w:r>
      </w:hyperlink>
      <w:r w:rsidRPr="000B1C7D">
        <w:rPr>
          <w:rStyle w:val="Hyperlink"/>
          <w:rFonts w:ascii="Garamond" w:hAnsi="Garamond" w:cs="Times New Roman"/>
        </w:rPr>
        <w:t>.</w:t>
      </w:r>
      <w:proofErr w:type="gramEnd"/>
    </w:p>
  </w:footnote>
  <w:footnote w:id="10">
    <w:p w:rsidR="00B56F0B" w:rsidRPr="000B1C7D" w:rsidRDefault="00B56F0B" w:rsidP="00DB5BB7">
      <w:pPr>
        <w:pStyle w:val="Funotentext"/>
        <w:rPr>
          <w:rFonts w:ascii="Garamond" w:hAnsi="Garamond" w:cs="Times New Roman"/>
        </w:rPr>
      </w:pPr>
      <w:r w:rsidRPr="000B1C7D">
        <w:rPr>
          <w:rStyle w:val="FootnoteCharacters"/>
          <w:rFonts w:ascii="Garamond" w:hAnsi="Garamond" w:cs="Times New Roman"/>
          <w:vertAlign w:val="superscript"/>
        </w:rPr>
        <w:footnoteRef/>
      </w:r>
      <w:r>
        <w:rPr>
          <w:rFonts w:ascii="Garamond" w:hAnsi="Garamond" w:cs="Times New Roman"/>
        </w:rPr>
        <w:t xml:space="preserve"> </w:t>
      </w:r>
      <w:proofErr w:type="gramStart"/>
      <w:r w:rsidRPr="000B1C7D">
        <w:rPr>
          <w:rFonts w:ascii="Garamond" w:hAnsi="Garamond" w:cs="Times New Roman"/>
        </w:rPr>
        <w:t xml:space="preserve">Nana </w:t>
      </w:r>
      <w:proofErr w:type="spellStart"/>
      <w:r w:rsidRPr="000B1C7D">
        <w:rPr>
          <w:rFonts w:ascii="Garamond" w:hAnsi="Garamond" w:cs="Times New Roman"/>
        </w:rPr>
        <w:t>Berekashvili</w:t>
      </w:r>
      <w:proofErr w:type="spellEnd"/>
      <w:r w:rsidRPr="000B1C7D">
        <w:rPr>
          <w:rFonts w:ascii="Garamond" w:hAnsi="Garamond" w:cs="Times New Roman"/>
        </w:rPr>
        <w:t xml:space="preserve"> (March 4, 2013), “Education Policy and Gender Equality”, Tbilisi, Thematic discussion.</w:t>
      </w:r>
      <w:proofErr w:type="gramEnd"/>
    </w:p>
  </w:footnote>
  <w:footnote w:id="11">
    <w:p w:rsidR="00B56F0B" w:rsidRPr="000B1C7D" w:rsidRDefault="00B56F0B" w:rsidP="00B9372D">
      <w:pPr>
        <w:pStyle w:val="Funotentext"/>
        <w:ind w:left="0" w:firstLine="0"/>
        <w:rPr>
          <w:rFonts w:ascii="Garamond" w:hAnsi="Garamond"/>
          <w:lang w:val="ka-GE"/>
        </w:rPr>
      </w:pPr>
      <w:r w:rsidRPr="000B1C7D">
        <w:rPr>
          <w:rStyle w:val="FootnoteCharacters"/>
          <w:rFonts w:ascii="Garamond" w:hAnsi="Garamond" w:cs="Times New Roman"/>
          <w:vertAlign w:val="superscript"/>
        </w:rPr>
        <w:footnoteRef/>
      </w:r>
      <w:r>
        <w:rPr>
          <w:rFonts w:ascii="Garamond" w:hAnsi="Garamond" w:cs="Times New Roman"/>
        </w:rPr>
        <w:t xml:space="preserve"> </w:t>
      </w:r>
      <w:r w:rsidRPr="000B1C7D">
        <w:rPr>
          <w:rFonts w:ascii="Garamond" w:hAnsi="Garamond" w:cs="Times New Roman"/>
        </w:rPr>
        <w:t xml:space="preserve">Ricardo </w:t>
      </w:r>
      <w:proofErr w:type="spellStart"/>
      <w:r w:rsidRPr="000B1C7D">
        <w:rPr>
          <w:rFonts w:ascii="Garamond" w:hAnsi="Garamond" w:cs="Times New Roman"/>
        </w:rPr>
        <w:t>Hausmann</w:t>
      </w:r>
      <w:proofErr w:type="spellEnd"/>
      <w:r w:rsidRPr="000B1C7D">
        <w:rPr>
          <w:rFonts w:ascii="Garamond" w:hAnsi="Garamond" w:cs="Times New Roman"/>
        </w:rPr>
        <w:t xml:space="preserve">, Laura D. Tyson, </w:t>
      </w:r>
      <w:proofErr w:type="spellStart"/>
      <w:r w:rsidRPr="000B1C7D">
        <w:rPr>
          <w:rFonts w:ascii="Garamond" w:hAnsi="Garamond" w:cs="Times New Roman"/>
        </w:rPr>
        <w:t>Saadia</w:t>
      </w:r>
      <w:proofErr w:type="spellEnd"/>
      <w:r w:rsidRPr="000B1C7D">
        <w:rPr>
          <w:rFonts w:ascii="Garamond" w:hAnsi="Garamond" w:cs="Times New Roman"/>
        </w:rPr>
        <w:t xml:space="preserve"> </w:t>
      </w:r>
      <w:proofErr w:type="spellStart"/>
      <w:r w:rsidRPr="000B1C7D">
        <w:rPr>
          <w:rFonts w:ascii="Garamond" w:hAnsi="Garamond" w:cs="Times New Roman"/>
        </w:rPr>
        <w:t>Zahidi</w:t>
      </w:r>
      <w:proofErr w:type="spellEnd"/>
      <w:r w:rsidRPr="000B1C7D">
        <w:rPr>
          <w:rFonts w:ascii="Garamond" w:hAnsi="Garamond" w:cs="Times New Roman"/>
        </w:rPr>
        <w:t xml:space="preserve"> (2012),</w:t>
      </w:r>
      <w:r w:rsidRPr="000B1C7D">
        <w:rPr>
          <w:rFonts w:ascii="Garamond" w:hAnsi="Garamond" w:cs="Times New Roman"/>
          <w:vertAlign w:val="superscript"/>
        </w:rPr>
        <w:t xml:space="preserve"> “</w:t>
      </w:r>
      <w:r w:rsidRPr="000B1C7D">
        <w:rPr>
          <w:rFonts w:ascii="Garamond" w:hAnsi="Garamond" w:cs="Times New Roman"/>
          <w:lang w:val="ka-GE"/>
        </w:rPr>
        <w:t>The Global Gender Gap Report</w:t>
      </w:r>
      <w:r w:rsidRPr="000B1C7D">
        <w:rPr>
          <w:rFonts w:ascii="Garamond" w:hAnsi="Garamond" w:cs="Times New Roman"/>
        </w:rPr>
        <w:t xml:space="preserve">”, World Economic Forum, Geneva, </w:t>
      </w:r>
      <w:r w:rsidRPr="000B1C7D">
        <w:rPr>
          <w:rFonts w:ascii="Garamond" w:hAnsi="Garamond" w:cs="Sylfaen"/>
          <w:lang w:val="ka-GE"/>
        </w:rPr>
        <w:t>p</w:t>
      </w:r>
      <w:r w:rsidRPr="000B1C7D">
        <w:rPr>
          <w:rFonts w:ascii="Garamond" w:hAnsi="Garamond" w:cs="Times New Roman"/>
          <w:lang w:val="ka-GE"/>
        </w:rPr>
        <w:t>.184</w:t>
      </w:r>
      <w:r w:rsidRPr="000B1C7D">
        <w:rPr>
          <w:rFonts w:ascii="Garamond" w:hAnsi="Garamond" w:cs="Times New Roman"/>
        </w:rPr>
        <w:t xml:space="preserve">, </w:t>
      </w:r>
      <w:hyperlink r:id="rId2" w:history="1">
        <w:r w:rsidRPr="000B1C7D">
          <w:rPr>
            <w:rStyle w:val="Hyperlink"/>
            <w:rFonts w:ascii="Garamond" w:hAnsi="Garamond" w:cs="Times New Roman"/>
            <w:lang w:val="ka-GE"/>
          </w:rPr>
          <w:t>http://www.weforum.org/reports/global-gender-gap-report-2012</w:t>
        </w:r>
      </w:hyperlink>
      <w:r w:rsidRPr="000B1C7D">
        <w:rPr>
          <w:rStyle w:val="Hyperlink"/>
          <w:rFonts w:ascii="Garamond" w:hAnsi="Garamond" w:cs="Times New Roman"/>
          <w:color w:val="auto"/>
          <w:u w:val="none"/>
        </w:rPr>
        <w:t>.</w:t>
      </w:r>
    </w:p>
  </w:footnote>
  <w:footnote w:id="12">
    <w:p w:rsidR="00B56F0B" w:rsidRPr="000B1C7D" w:rsidRDefault="00B56F0B" w:rsidP="00DB5BB7">
      <w:pPr>
        <w:pStyle w:val="Funotentext"/>
        <w:rPr>
          <w:rFonts w:ascii="Garamond" w:hAnsi="Garamond" w:cs="Times New Roman"/>
        </w:rPr>
      </w:pPr>
      <w:r w:rsidRPr="000B1C7D">
        <w:rPr>
          <w:rStyle w:val="FootnoteCharacters"/>
          <w:rFonts w:ascii="Garamond" w:hAnsi="Garamond" w:cs="Times New Roman"/>
          <w:vertAlign w:val="superscript"/>
        </w:rPr>
        <w:footnoteRef/>
      </w:r>
      <w:r>
        <w:rPr>
          <w:rFonts w:ascii="Garamond" w:hAnsi="Garamond" w:cs="Times New Roman"/>
        </w:rPr>
        <w:t xml:space="preserve"> </w:t>
      </w:r>
      <w:r w:rsidRPr="000B1C7D">
        <w:rPr>
          <w:rFonts w:ascii="Garamond" w:hAnsi="Garamond" w:cs="Times New Roman"/>
        </w:rPr>
        <w:t xml:space="preserve">Ch. </w:t>
      </w:r>
      <w:proofErr w:type="spellStart"/>
      <w:r w:rsidRPr="000B1C7D">
        <w:rPr>
          <w:rFonts w:ascii="Garamond" w:hAnsi="Garamond" w:cs="Times New Roman"/>
        </w:rPr>
        <w:t>Jashi</w:t>
      </w:r>
      <w:proofErr w:type="spellEnd"/>
      <w:r w:rsidRPr="000B1C7D">
        <w:rPr>
          <w:rFonts w:ascii="Garamond" w:hAnsi="Garamond" w:cs="Times New Roman"/>
        </w:rPr>
        <w:t xml:space="preserve"> (2011), “Gender Paradoxes in th</w:t>
      </w:r>
      <w:r>
        <w:rPr>
          <w:rFonts w:ascii="Garamond" w:hAnsi="Garamond" w:cs="Times New Roman"/>
        </w:rPr>
        <w:t>e Field of Healthcare”, Tbilisi</w:t>
      </w:r>
    </w:p>
  </w:footnote>
  <w:footnote w:id="13">
    <w:p w:rsidR="00B56F0B" w:rsidRPr="00A24595" w:rsidRDefault="00B56F0B" w:rsidP="003B3966">
      <w:pPr>
        <w:pStyle w:val="Funotentext"/>
        <w:ind w:left="142" w:hanging="142"/>
        <w:rPr>
          <w:rFonts w:ascii="Garamond" w:hAnsi="Garamond"/>
        </w:rPr>
      </w:pPr>
      <w:r>
        <w:rPr>
          <w:rStyle w:val="Funotenzeichen"/>
        </w:rPr>
        <w:footnoteRef/>
      </w:r>
      <w:r>
        <w:t xml:space="preserve"> </w:t>
      </w:r>
      <w:r>
        <w:rPr>
          <w:rFonts w:ascii="Garamond" w:hAnsi="Garamond"/>
        </w:rPr>
        <w:t xml:space="preserve">The information was collected from Tbilisi and Kutaisi Special School administration and Tbilisi Blind School Administration by the NGO “Coalition for Independent Living” </w:t>
      </w:r>
    </w:p>
  </w:footnote>
  <w:footnote w:id="14">
    <w:p w:rsidR="00B56F0B" w:rsidRPr="00082030" w:rsidRDefault="00B56F0B">
      <w:pPr>
        <w:pStyle w:val="Funotentext"/>
        <w:rPr>
          <w:rFonts w:ascii="Garamond" w:hAnsi="Garamond"/>
        </w:rPr>
      </w:pPr>
      <w:r>
        <w:rPr>
          <w:rStyle w:val="Funotenzeichen"/>
        </w:rPr>
        <w:footnoteRef/>
      </w:r>
      <w:r>
        <w:t xml:space="preserve"> </w:t>
      </w:r>
      <w:r>
        <w:rPr>
          <w:rFonts w:ascii="Garamond" w:hAnsi="Garamond"/>
        </w:rPr>
        <w:t xml:space="preserve">According to the information provided by the Ministry of Education and Science of Georgia, </w:t>
      </w:r>
      <w:hyperlink r:id="rId3" w:history="1">
        <w:r w:rsidRPr="00417699">
          <w:rPr>
            <w:rStyle w:val="Hyperlink"/>
            <w:rFonts w:ascii="Garamond" w:hAnsi="Garamond"/>
          </w:rPr>
          <w:t>http://www.mes.gov.ge/</w:t>
        </w:r>
      </w:hyperlink>
      <w:r>
        <w:rPr>
          <w:rFonts w:ascii="Garamond" w:hAnsi="Garamond"/>
        </w:rPr>
        <w:t xml:space="preserve"> </w:t>
      </w:r>
    </w:p>
  </w:footnote>
  <w:footnote w:id="15">
    <w:p w:rsidR="00B56F0B" w:rsidRPr="002F361F" w:rsidRDefault="00B56F0B">
      <w:pPr>
        <w:pStyle w:val="Funotentext"/>
        <w:rPr>
          <w:rFonts w:ascii="Garamond" w:hAnsi="Garamond"/>
        </w:rPr>
      </w:pPr>
      <w:r>
        <w:rPr>
          <w:rStyle w:val="Funotenzeichen"/>
        </w:rPr>
        <w:footnoteRef/>
      </w:r>
      <w:r>
        <w:t xml:space="preserve"> </w:t>
      </w:r>
      <w:r>
        <w:rPr>
          <w:rFonts w:ascii="Garamond" w:hAnsi="Garamond"/>
        </w:rPr>
        <w:t>Monitoring results conducted by the non-governmental organizations working on disability issues</w:t>
      </w:r>
    </w:p>
  </w:footnote>
  <w:footnote w:id="16">
    <w:p w:rsidR="00B56F0B" w:rsidRDefault="00B56F0B" w:rsidP="00B9372D">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proofErr w:type="gramStart"/>
      <w:r w:rsidRPr="000B1C7D">
        <w:rPr>
          <w:rFonts w:ascii="Garamond" w:hAnsi="Garamond" w:cs="Times New Roman"/>
        </w:rPr>
        <w:t>Bakar Jikia (2012), “Monitoring Freedom of Peaceful Assembly in Georgia - Legislation and Practice”, Human Rights Center (HRIDC), Tbilisi.</w:t>
      </w:r>
      <w:proofErr w:type="gramEnd"/>
      <w:r w:rsidRPr="000B1C7D">
        <w:rPr>
          <w:rFonts w:ascii="Garamond" w:hAnsi="Garamond" w:cs="Times New Roman"/>
        </w:rPr>
        <w:t xml:space="preserve"> </w:t>
      </w:r>
    </w:p>
    <w:p w:rsidR="00B56F0B" w:rsidRPr="000B1C7D" w:rsidRDefault="00B56F0B" w:rsidP="00B9372D">
      <w:pPr>
        <w:pStyle w:val="Funotentext"/>
        <w:ind w:left="0" w:firstLine="0"/>
        <w:rPr>
          <w:rFonts w:ascii="Garamond" w:hAnsi="Garamond" w:cs="Times New Roman"/>
        </w:rPr>
      </w:pPr>
      <w:r w:rsidRPr="000B1C7D">
        <w:rPr>
          <w:rFonts w:ascii="Garamond" w:hAnsi="Garamond" w:cs="Times New Roman"/>
        </w:rPr>
        <w:t xml:space="preserve">Demonstration of November 7, 2007, Demonstrations of May 6 and June 15, 2009, Demonstrations of January 3 and May 26, 2011. </w:t>
      </w:r>
      <w:hyperlink r:id="rId4" w:history="1">
        <w:r w:rsidRPr="000B1C7D">
          <w:rPr>
            <w:rStyle w:val="Hyperlink"/>
            <w:rFonts w:ascii="Garamond" w:hAnsi="Garamond" w:cs="Times New Roman"/>
          </w:rPr>
          <w:t>http://humanrights.ge/admin/editor/uploads/pdf/02%20English_final.pdf</w:t>
        </w:r>
      </w:hyperlink>
      <w:r w:rsidRPr="000B1C7D">
        <w:rPr>
          <w:rFonts w:ascii="Garamond" w:hAnsi="Garamond"/>
        </w:rPr>
        <w:t>.</w:t>
      </w:r>
    </w:p>
  </w:footnote>
  <w:footnote w:id="17">
    <w:p w:rsidR="00B56F0B" w:rsidRPr="000B1C7D" w:rsidRDefault="00B56F0B" w:rsidP="00966A45">
      <w:pPr>
        <w:pStyle w:val="Funotentext"/>
        <w:ind w:left="0" w:hanging="13"/>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w:t>
      </w:r>
      <w:proofErr w:type="gramStart"/>
      <w:r w:rsidRPr="000B1C7D">
        <w:rPr>
          <w:rFonts w:ascii="Garamond" w:hAnsi="Garamond" w:cs="Times New Roman"/>
        </w:rPr>
        <w:t>D</w:t>
      </w:r>
      <w:r w:rsidRPr="000B1C7D">
        <w:rPr>
          <w:rFonts w:ascii="Garamond" w:hAnsi="Garamond" w:cs="Times New Roman"/>
          <w:lang w:val="ka-GE"/>
        </w:rPr>
        <w:t xml:space="preserve">eclaration of </w:t>
      </w:r>
      <w:r w:rsidRPr="000B1C7D">
        <w:rPr>
          <w:rFonts w:ascii="Garamond" w:hAnsi="Garamond" w:cs="Times New Roman"/>
        </w:rPr>
        <w:t xml:space="preserve">the </w:t>
      </w:r>
      <w:r w:rsidRPr="000B1C7D">
        <w:rPr>
          <w:rFonts w:ascii="Garamond" w:hAnsi="Garamond" w:cs="Times New Roman"/>
          <w:lang w:val="ka-GE"/>
        </w:rPr>
        <w:t>Georgian Young Lawyers’ Association</w:t>
      </w:r>
      <w:r w:rsidRPr="000B1C7D">
        <w:rPr>
          <w:rFonts w:ascii="Garamond" w:hAnsi="Garamond" w:cs="Times New Roman"/>
        </w:rPr>
        <w:t xml:space="preserve"> (GYLA)</w:t>
      </w:r>
      <w:r w:rsidRPr="000B1C7D">
        <w:rPr>
          <w:rFonts w:ascii="Garamond" w:hAnsi="Garamond" w:cs="Times New Roman"/>
          <w:lang w:val="ka-GE"/>
        </w:rPr>
        <w:t xml:space="preserve"> about raiding the demonstration on June 15, 2009</w:t>
      </w:r>
      <w:r w:rsidRPr="000B1C7D">
        <w:rPr>
          <w:rFonts w:ascii="Garamond" w:hAnsi="Garamond" w:cs="Times New Roman"/>
        </w:rPr>
        <w:t>.</w:t>
      </w:r>
      <w:proofErr w:type="gramEnd"/>
      <w:r w:rsidRPr="000B1C7D">
        <w:rPr>
          <w:rFonts w:ascii="Garamond" w:hAnsi="Garamond" w:cs="Times New Roman"/>
        </w:rPr>
        <w:t xml:space="preserve"> </w:t>
      </w:r>
      <w:r w:rsidRPr="000B1C7D">
        <w:rPr>
          <w:rFonts w:ascii="Garamond" w:hAnsi="Garamond" w:cs="Times New Roman"/>
          <w:lang w:val="ka-GE"/>
        </w:rPr>
        <w:t>Case o</w:t>
      </w:r>
      <w:r w:rsidRPr="000B1C7D">
        <w:rPr>
          <w:rFonts w:ascii="Garamond" w:hAnsi="Garamond" w:cs="Times New Roman"/>
        </w:rPr>
        <w:t xml:space="preserve">f </w:t>
      </w:r>
      <w:r w:rsidRPr="000B1C7D">
        <w:rPr>
          <w:rFonts w:ascii="Garamond" w:hAnsi="Garamond" w:cs="Times New Roman"/>
          <w:lang w:val="ka-GE"/>
        </w:rPr>
        <w:t>Levan Asatiani, Ilia Chighoshvili, Malkhaz Topuria, Amur Revishvili, Shota Zghudadze,</w:t>
      </w:r>
      <w:r w:rsidRPr="000B1C7D">
        <w:rPr>
          <w:rFonts w:ascii="Garamond" w:hAnsi="Garamond" w:cs="Times New Roman"/>
        </w:rPr>
        <w:t xml:space="preserve"> </w:t>
      </w:r>
      <w:r w:rsidRPr="000B1C7D">
        <w:rPr>
          <w:rFonts w:ascii="Garamond" w:hAnsi="Garamond" w:cs="Times New Roman"/>
          <w:lang w:val="ka-GE"/>
        </w:rPr>
        <w:t>Zaza Germanozashvili, Shota Iamanidze, Valerian Dzebisashvili, Teimuraz Elisashvili and Elguja Chkhaidze</w:t>
      </w:r>
      <w:r w:rsidRPr="000B1C7D">
        <w:rPr>
          <w:rFonts w:ascii="Garamond" w:hAnsi="Garamond" w:cs="Times New Roman"/>
        </w:rPr>
        <w:t xml:space="preserve"> </w:t>
      </w:r>
      <w:r w:rsidRPr="000B1C7D">
        <w:rPr>
          <w:rFonts w:ascii="Garamond" w:hAnsi="Garamond" w:cs="Times New Roman"/>
          <w:lang w:val="ka-GE"/>
        </w:rPr>
        <w:t>vs.Georgia; Case of Murman Dumbadze, Besik Tabatadze, Zaza Sanikiani and Andrei Gora vs. Georgia</w:t>
      </w:r>
      <w:r w:rsidRPr="000B1C7D">
        <w:rPr>
          <w:rFonts w:ascii="Garamond" w:hAnsi="Garamond" w:cs="Times New Roman"/>
        </w:rPr>
        <w:t xml:space="preserve">, </w:t>
      </w:r>
      <w:hyperlink r:id="rId5" w:history="1">
        <w:r w:rsidRPr="000B1C7D">
          <w:rPr>
            <w:rStyle w:val="Hyperlink"/>
            <w:rFonts w:ascii="Garamond" w:hAnsi="Garamond" w:cs="Times New Roman"/>
            <w:lang w:val="ka-GE"/>
          </w:rPr>
          <w:t>http://gyla.ge/eng/news?info=994</w:t>
        </w:r>
      </w:hyperlink>
      <w:r w:rsidRPr="000B1C7D">
        <w:rPr>
          <w:rFonts w:ascii="Garamond" w:hAnsi="Garamond"/>
        </w:rPr>
        <w:t>.</w:t>
      </w:r>
    </w:p>
  </w:footnote>
  <w:footnote w:id="18">
    <w:p w:rsidR="00B56F0B" w:rsidRPr="00C91688" w:rsidRDefault="00B56F0B" w:rsidP="00966A45">
      <w:pPr>
        <w:pStyle w:val="Funotentext"/>
        <w:ind w:left="0" w:firstLine="0"/>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w:t>
      </w:r>
      <w:r w:rsidRPr="000B1C7D">
        <w:rPr>
          <w:rFonts w:ascii="Garamond" w:hAnsi="Garamond" w:cs="Times New Roman"/>
          <w:lang w:val="en-AU"/>
        </w:rPr>
        <w:t xml:space="preserve">Georgian Young Lawyers’ Association (GYLA) (2011), “Report 26 May - Analysis of Human Rights Violations during and related to the Dispersal of the May 26 Assembly”, Tbilisi, </w:t>
      </w:r>
      <w:hyperlink r:id="rId6" w:history="1">
        <w:r w:rsidRPr="000B1C7D">
          <w:rPr>
            <w:rStyle w:val="Hyperlink"/>
            <w:rFonts w:ascii="Garamond" w:hAnsi="Garamond" w:cs="Times New Roman"/>
            <w:lang w:val="ka-GE"/>
          </w:rPr>
          <w:t>http://gyla.ge/uploads/publications/2011/26_maisi_eng.pdf</w:t>
        </w:r>
      </w:hyperlink>
    </w:p>
  </w:footnote>
  <w:footnote w:id="19">
    <w:p w:rsidR="00B56F0B" w:rsidRPr="000B1C7D" w:rsidRDefault="00B56F0B" w:rsidP="007C3A20">
      <w:pPr>
        <w:pStyle w:val="Funotentext"/>
        <w:ind w:left="0" w:firstLine="0"/>
        <w:jc w:val="both"/>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Georgian Young Lawyers’ Association (GYLA) (2012),</w:t>
      </w:r>
      <w:r w:rsidRPr="000B1C7D">
        <w:rPr>
          <w:rFonts w:ascii="Garamond" w:hAnsi="Garamond" w:cs="Times New Roman"/>
          <w:lang w:val="ka-GE"/>
        </w:rPr>
        <w:t xml:space="preserve"> </w:t>
      </w:r>
      <w:r w:rsidRPr="000B1C7D">
        <w:rPr>
          <w:rFonts w:ascii="Garamond" w:hAnsi="Garamond" w:cs="Times New Roman"/>
        </w:rPr>
        <w:t>“</w:t>
      </w:r>
      <w:r w:rsidRPr="000B1C7D">
        <w:rPr>
          <w:rFonts w:ascii="Garamond" w:hAnsi="Garamond" w:cs="Times New Roman"/>
          <w:lang w:val="ka-GE"/>
        </w:rPr>
        <w:t>Legal Analysis of Cases of Criminal</w:t>
      </w:r>
      <w:r w:rsidRPr="000B1C7D">
        <w:rPr>
          <w:rFonts w:ascii="Garamond" w:hAnsi="Garamond" w:cs="Times New Roman"/>
        </w:rPr>
        <w:t xml:space="preserve"> and Administrative Offences with Alleged Political Motive”</w:t>
      </w:r>
      <w:r w:rsidRPr="000B1C7D">
        <w:rPr>
          <w:rFonts w:ascii="Garamond" w:hAnsi="Garamond" w:cs="Times New Roman"/>
          <w:lang w:val="ka-GE"/>
        </w:rPr>
        <w:t>,</w:t>
      </w:r>
      <w:r w:rsidRPr="000B1C7D">
        <w:rPr>
          <w:rFonts w:ascii="Garamond" w:hAnsi="Garamond" w:cs="Times New Roman"/>
        </w:rPr>
        <w:t xml:space="preserve"> Tbilisi.</w:t>
      </w:r>
      <w:r w:rsidRPr="000B1C7D">
        <w:rPr>
          <w:rFonts w:ascii="Garamond" w:hAnsi="Garamond" w:cs="Times New Roman"/>
          <w:lang w:val="ka-GE"/>
        </w:rPr>
        <w:t xml:space="preserve"> </w:t>
      </w:r>
      <w:r w:rsidRPr="000B1C7D">
        <w:rPr>
          <w:rFonts w:ascii="Garamond" w:hAnsi="Garamond" w:cs="Times New Roman"/>
        </w:rPr>
        <w:t xml:space="preserve">Case of </w:t>
      </w:r>
      <w:proofErr w:type="spellStart"/>
      <w:r w:rsidRPr="000B1C7D">
        <w:rPr>
          <w:rFonts w:ascii="Garamond" w:hAnsi="Garamond" w:cs="Times New Roman"/>
        </w:rPr>
        <w:t>Murman</w:t>
      </w:r>
      <w:proofErr w:type="spellEnd"/>
      <w:r w:rsidRPr="000B1C7D">
        <w:rPr>
          <w:rFonts w:ascii="Garamond" w:hAnsi="Garamond" w:cs="Times New Roman"/>
        </w:rPr>
        <w:t xml:space="preserve"> </w:t>
      </w:r>
      <w:proofErr w:type="spellStart"/>
      <w:r w:rsidRPr="000B1C7D">
        <w:rPr>
          <w:rFonts w:ascii="Garamond" w:hAnsi="Garamond" w:cs="Times New Roman"/>
        </w:rPr>
        <w:t>Dumbadze</w:t>
      </w:r>
      <w:proofErr w:type="spellEnd"/>
      <w:r w:rsidRPr="000B1C7D">
        <w:rPr>
          <w:rFonts w:ascii="Garamond" w:hAnsi="Garamond" w:cs="Times New Roman"/>
        </w:rPr>
        <w:t>,</w:t>
      </w:r>
    </w:p>
    <w:p w:rsidR="00B56F0B" w:rsidRPr="000B1C7D" w:rsidRDefault="001F2E06" w:rsidP="007C3A20">
      <w:pPr>
        <w:pStyle w:val="Funotentext"/>
        <w:tabs>
          <w:tab w:val="left" w:pos="2454"/>
        </w:tabs>
        <w:ind w:left="0" w:firstLine="0"/>
        <w:jc w:val="both"/>
        <w:rPr>
          <w:rFonts w:ascii="Garamond" w:hAnsi="Garamond" w:cs="Times New Roman"/>
        </w:rPr>
      </w:pPr>
      <w:hyperlink r:id="rId7" w:history="1">
        <w:r w:rsidR="00B56F0B" w:rsidRPr="000B1C7D">
          <w:rPr>
            <w:rStyle w:val="Hyperlink"/>
            <w:rFonts w:ascii="Garamond" w:hAnsi="Garamond"/>
          </w:rPr>
          <w:t>http://gyla.ge/uploads/publications/2012/legal_analysis_of_cases_of_criminal_and_administrative_offences_with_alleged_political_motive.pdf</w:t>
        </w:r>
      </w:hyperlink>
      <w:r w:rsidR="00B56F0B" w:rsidRPr="000B1C7D">
        <w:rPr>
          <w:rFonts w:ascii="Garamond" w:hAnsi="Garamond"/>
        </w:rPr>
        <w:t xml:space="preserve">; </w:t>
      </w:r>
      <w:r w:rsidR="00B56F0B" w:rsidRPr="000B1C7D">
        <w:rPr>
          <w:rFonts w:ascii="Garamond" w:hAnsi="Garamond" w:cs="Times New Roman"/>
        </w:rPr>
        <w:tab/>
      </w:r>
    </w:p>
    <w:p w:rsidR="00B56F0B" w:rsidRPr="000B1C7D" w:rsidRDefault="00B56F0B" w:rsidP="00EC22FB">
      <w:pPr>
        <w:pStyle w:val="Funotentext"/>
        <w:ind w:left="0" w:firstLine="0"/>
        <w:jc w:val="both"/>
        <w:rPr>
          <w:rFonts w:ascii="Garamond" w:hAnsi="Garamond" w:cs="Times New Roman"/>
        </w:rPr>
      </w:pPr>
      <w:r w:rsidRPr="000B1C7D">
        <w:rPr>
          <w:rFonts w:ascii="Garamond" w:hAnsi="Garamond" w:cs="Times New Roman"/>
        </w:rPr>
        <w:t>Letters of the Georgian Young Lawyers’</w:t>
      </w:r>
      <w:r>
        <w:rPr>
          <w:rFonts w:ascii="Garamond" w:hAnsi="Garamond" w:cs="Times New Roman"/>
        </w:rPr>
        <w:t xml:space="preserve"> </w:t>
      </w:r>
      <w:r w:rsidRPr="000B1C7D">
        <w:rPr>
          <w:rFonts w:ascii="Garamond" w:hAnsi="Garamond" w:cs="Times New Roman"/>
        </w:rPr>
        <w:t xml:space="preserve">Association </w:t>
      </w:r>
      <w:r w:rsidRPr="000B1C7D">
        <w:rPr>
          <w:rFonts w:ascii="Garamond" w:hAnsi="Garamond" w:cs="Times New Roman"/>
          <w:lang w:val="en-AU"/>
        </w:rPr>
        <w:t xml:space="preserve">(GYLA) </w:t>
      </w:r>
      <w:r w:rsidRPr="000B1C7D">
        <w:rPr>
          <w:rFonts w:ascii="Garamond" w:hAnsi="Garamond" w:cs="Times New Roman"/>
        </w:rPr>
        <w:t>to the Prosecutor’s Office about investigation into the use  of disproportional force against demonstrators on January 3, 2011;</w:t>
      </w:r>
    </w:p>
    <w:p w:rsidR="00B56F0B" w:rsidRPr="000B1C7D" w:rsidRDefault="00B56F0B" w:rsidP="00786812">
      <w:pPr>
        <w:pStyle w:val="Funotentext"/>
        <w:jc w:val="both"/>
        <w:rPr>
          <w:rFonts w:ascii="Garamond" w:hAnsi="Garamond" w:cs="Times New Roman"/>
        </w:rPr>
      </w:pPr>
      <w:r w:rsidRPr="000B1C7D">
        <w:rPr>
          <w:rFonts w:ascii="Garamond" w:hAnsi="Garamond" w:cs="Times New Roman"/>
          <w:lang w:val="ka-GE"/>
        </w:rPr>
        <w:t>Letter of</w:t>
      </w:r>
      <w:r w:rsidRPr="000B1C7D">
        <w:rPr>
          <w:rFonts w:ascii="Garamond" w:hAnsi="Garamond" w:cs="Times New Roman"/>
        </w:rPr>
        <w:t xml:space="preserve"> the </w:t>
      </w:r>
      <w:r w:rsidRPr="000B1C7D">
        <w:rPr>
          <w:rFonts w:ascii="Garamond" w:hAnsi="Garamond" w:cs="Times New Roman"/>
          <w:lang w:val="ka-GE"/>
        </w:rPr>
        <w:t>Georgian Young Lawyers’ Association</w:t>
      </w:r>
      <w:r w:rsidRPr="000B1C7D">
        <w:rPr>
          <w:rFonts w:ascii="Garamond" w:hAnsi="Garamond" w:cs="Times New Roman"/>
        </w:rPr>
        <w:t xml:space="preserve"> </w:t>
      </w:r>
      <w:r w:rsidRPr="000B1C7D">
        <w:rPr>
          <w:rFonts w:ascii="Garamond" w:hAnsi="Garamond" w:cs="Times New Roman"/>
          <w:lang w:val="en-AU"/>
        </w:rPr>
        <w:t xml:space="preserve">(GYLA) </w:t>
      </w:r>
      <w:r w:rsidRPr="000B1C7D">
        <w:rPr>
          <w:rFonts w:ascii="Garamond" w:hAnsi="Garamond" w:cs="Times New Roman"/>
          <w:lang w:val="ka-GE"/>
        </w:rPr>
        <w:t>of March 10, 2011 #</w:t>
      </w:r>
      <w:r w:rsidRPr="000B1C7D">
        <w:rPr>
          <w:rFonts w:ascii="Garamond" w:hAnsi="Garamond" w:cs="Times New Roman"/>
        </w:rPr>
        <w:t>G</w:t>
      </w:r>
      <w:r w:rsidRPr="000B1C7D">
        <w:rPr>
          <w:rFonts w:ascii="Garamond" w:hAnsi="Garamond" w:cs="Times New Roman"/>
          <w:lang w:val="ka-GE"/>
        </w:rPr>
        <w:t>-01/57-11</w:t>
      </w:r>
      <w:r w:rsidRPr="000B1C7D">
        <w:rPr>
          <w:rFonts w:ascii="Garamond" w:hAnsi="Garamond" w:cs="Times New Roman"/>
        </w:rPr>
        <w:t>;</w:t>
      </w:r>
    </w:p>
    <w:p w:rsidR="00B56F0B" w:rsidRPr="000B1C7D" w:rsidRDefault="00B56F0B" w:rsidP="00786812">
      <w:pPr>
        <w:pStyle w:val="Funotentext"/>
        <w:jc w:val="both"/>
        <w:rPr>
          <w:rFonts w:ascii="Garamond" w:hAnsi="Garamond" w:cs="Times New Roman"/>
        </w:rPr>
      </w:pPr>
      <w:r w:rsidRPr="000B1C7D">
        <w:rPr>
          <w:rFonts w:ascii="Garamond" w:hAnsi="Garamond" w:cs="Times New Roman"/>
          <w:lang w:val="ka-GE"/>
        </w:rPr>
        <w:t xml:space="preserve">Letter of </w:t>
      </w:r>
      <w:r w:rsidRPr="000B1C7D">
        <w:rPr>
          <w:rFonts w:ascii="Garamond" w:hAnsi="Garamond" w:cs="Times New Roman"/>
        </w:rPr>
        <w:t xml:space="preserve">the </w:t>
      </w:r>
      <w:r w:rsidRPr="000B1C7D">
        <w:rPr>
          <w:rFonts w:ascii="Garamond" w:hAnsi="Garamond" w:cs="Times New Roman"/>
          <w:lang w:val="ka-GE"/>
        </w:rPr>
        <w:t>Georgian Young Lawyers’ Association</w:t>
      </w:r>
      <w:r w:rsidRPr="000B1C7D">
        <w:rPr>
          <w:rFonts w:ascii="Garamond" w:hAnsi="Garamond" w:cs="Times New Roman"/>
        </w:rPr>
        <w:t xml:space="preserve"> (</w:t>
      </w:r>
      <w:r w:rsidRPr="000B1C7D">
        <w:rPr>
          <w:rFonts w:ascii="Garamond" w:hAnsi="Garamond" w:cs="Times New Roman"/>
          <w:lang w:val="en-AU"/>
        </w:rPr>
        <w:t xml:space="preserve">GYLA) </w:t>
      </w:r>
      <w:r w:rsidRPr="000B1C7D">
        <w:rPr>
          <w:rFonts w:ascii="Garamond" w:hAnsi="Garamond" w:cs="Times New Roman"/>
          <w:lang w:val="ka-GE"/>
        </w:rPr>
        <w:t>of April 26, 2011  #</w:t>
      </w:r>
      <w:r w:rsidRPr="000B1C7D">
        <w:rPr>
          <w:rFonts w:ascii="Garamond" w:hAnsi="Garamond" w:cs="Times New Roman"/>
        </w:rPr>
        <w:t>G</w:t>
      </w:r>
      <w:r w:rsidRPr="000B1C7D">
        <w:rPr>
          <w:rFonts w:ascii="Garamond" w:hAnsi="Garamond" w:cs="Times New Roman"/>
          <w:lang w:val="ka-GE"/>
        </w:rPr>
        <w:t>-01/87-11</w:t>
      </w:r>
      <w:r w:rsidRPr="000B1C7D">
        <w:rPr>
          <w:rFonts w:ascii="Garamond" w:hAnsi="Garamond" w:cs="Times New Roman"/>
        </w:rPr>
        <w:t>;</w:t>
      </w:r>
    </w:p>
    <w:p w:rsidR="00B56F0B" w:rsidRPr="000B1C7D" w:rsidRDefault="00B56F0B" w:rsidP="00786812">
      <w:pPr>
        <w:pStyle w:val="Funotentext"/>
        <w:jc w:val="both"/>
        <w:rPr>
          <w:rFonts w:ascii="Garamond" w:hAnsi="Garamond" w:cs="Times New Roman"/>
        </w:rPr>
      </w:pPr>
      <w:r w:rsidRPr="000B1C7D">
        <w:rPr>
          <w:rFonts w:ascii="Garamond" w:hAnsi="Garamond" w:cs="Times New Roman"/>
          <w:lang w:val="ka-GE"/>
        </w:rPr>
        <w:t xml:space="preserve">Letter of </w:t>
      </w:r>
      <w:r w:rsidRPr="000B1C7D">
        <w:rPr>
          <w:rFonts w:ascii="Garamond" w:hAnsi="Garamond" w:cs="Times New Roman"/>
        </w:rPr>
        <w:t xml:space="preserve">the </w:t>
      </w:r>
      <w:r w:rsidRPr="000B1C7D">
        <w:rPr>
          <w:rFonts w:ascii="Garamond" w:hAnsi="Garamond" w:cs="Times New Roman"/>
          <w:lang w:val="ka-GE"/>
        </w:rPr>
        <w:t>Georgian Young Lawyers’ Association</w:t>
      </w:r>
      <w:r w:rsidRPr="000B1C7D">
        <w:rPr>
          <w:rFonts w:ascii="Garamond" w:hAnsi="Garamond" w:cs="Times New Roman"/>
        </w:rPr>
        <w:t xml:space="preserve"> </w:t>
      </w:r>
      <w:r w:rsidRPr="000B1C7D">
        <w:rPr>
          <w:rFonts w:ascii="Garamond" w:hAnsi="Garamond" w:cs="Times New Roman"/>
          <w:lang w:val="en-AU"/>
        </w:rPr>
        <w:t xml:space="preserve">(GYLA) </w:t>
      </w:r>
      <w:r w:rsidRPr="000B1C7D">
        <w:rPr>
          <w:rFonts w:ascii="Garamond" w:hAnsi="Garamond" w:cs="Times New Roman"/>
          <w:lang w:val="ka-GE"/>
        </w:rPr>
        <w:t>of</w:t>
      </w:r>
      <w:r w:rsidRPr="000B1C7D">
        <w:rPr>
          <w:rFonts w:ascii="Garamond" w:hAnsi="Garamond" w:cs="Times New Roman"/>
        </w:rPr>
        <w:t xml:space="preserve"> April 13, 2011 #G</w:t>
      </w:r>
      <w:r w:rsidRPr="000B1C7D">
        <w:rPr>
          <w:rFonts w:ascii="Garamond" w:hAnsi="Garamond" w:cs="Times New Roman"/>
          <w:lang w:val="ka-GE"/>
        </w:rPr>
        <w:t>-01/77-11</w:t>
      </w:r>
      <w:r w:rsidRPr="000B1C7D">
        <w:rPr>
          <w:rFonts w:ascii="Garamond" w:hAnsi="Garamond" w:cs="Times New Roman"/>
        </w:rPr>
        <w:t>;</w:t>
      </w:r>
    </w:p>
    <w:p w:rsidR="00B56F0B" w:rsidRPr="000B1C7D" w:rsidRDefault="00B56F0B" w:rsidP="00786812">
      <w:pPr>
        <w:pStyle w:val="Funotentext"/>
        <w:jc w:val="both"/>
        <w:rPr>
          <w:rFonts w:ascii="Garamond" w:hAnsi="Garamond" w:cs="Times New Roman"/>
        </w:rPr>
      </w:pPr>
      <w:r w:rsidRPr="000B1C7D">
        <w:rPr>
          <w:rFonts w:ascii="Garamond" w:hAnsi="Garamond" w:cs="Times New Roman"/>
          <w:lang w:val="ka-GE"/>
        </w:rPr>
        <w:t xml:space="preserve">Letter of </w:t>
      </w:r>
      <w:r w:rsidRPr="000B1C7D">
        <w:rPr>
          <w:rFonts w:ascii="Garamond" w:hAnsi="Garamond" w:cs="Times New Roman"/>
        </w:rPr>
        <w:t xml:space="preserve">the </w:t>
      </w:r>
      <w:r w:rsidRPr="000B1C7D">
        <w:rPr>
          <w:rFonts w:ascii="Garamond" w:hAnsi="Garamond" w:cs="Times New Roman"/>
          <w:lang w:val="ka-GE"/>
        </w:rPr>
        <w:t>Georgian Young Lawyers’ Association</w:t>
      </w:r>
      <w:r w:rsidRPr="000B1C7D">
        <w:rPr>
          <w:rFonts w:ascii="Garamond" w:hAnsi="Garamond" w:cs="Times New Roman"/>
        </w:rPr>
        <w:t xml:space="preserve"> </w:t>
      </w:r>
      <w:r w:rsidRPr="000B1C7D">
        <w:rPr>
          <w:rFonts w:ascii="Garamond" w:hAnsi="Garamond" w:cs="Times New Roman"/>
          <w:lang w:val="en-AU"/>
        </w:rPr>
        <w:t xml:space="preserve">(GYLA) </w:t>
      </w:r>
      <w:r w:rsidRPr="000B1C7D">
        <w:rPr>
          <w:rFonts w:ascii="Garamond" w:hAnsi="Garamond" w:cs="Times New Roman"/>
          <w:lang w:val="ka-GE"/>
        </w:rPr>
        <w:t>of</w:t>
      </w:r>
      <w:r w:rsidRPr="000B1C7D">
        <w:rPr>
          <w:rFonts w:ascii="Garamond" w:hAnsi="Garamond" w:cs="Times New Roman"/>
        </w:rPr>
        <w:t xml:space="preserve"> </w:t>
      </w:r>
      <w:r w:rsidRPr="000B1C7D">
        <w:rPr>
          <w:rFonts w:ascii="Garamond" w:hAnsi="Garamond" w:cs="Times New Roman"/>
          <w:lang w:val="ka-GE"/>
        </w:rPr>
        <w:t>June 6, 2011 #</w:t>
      </w:r>
      <w:r w:rsidRPr="000B1C7D">
        <w:rPr>
          <w:rFonts w:ascii="Garamond" w:hAnsi="Garamond" w:cs="Times New Roman"/>
        </w:rPr>
        <w:t>G</w:t>
      </w:r>
      <w:r w:rsidRPr="000B1C7D">
        <w:rPr>
          <w:rFonts w:ascii="Garamond" w:hAnsi="Garamond" w:cs="Times New Roman"/>
          <w:lang w:val="ka-GE"/>
        </w:rPr>
        <w:t>-01/104-11</w:t>
      </w:r>
      <w:r w:rsidRPr="000B1C7D">
        <w:rPr>
          <w:rFonts w:ascii="Garamond" w:hAnsi="Garamond" w:cs="Times New Roman"/>
        </w:rPr>
        <w:t>;</w:t>
      </w:r>
    </w:p>
    <w:p w:rsidR="00B56F0B" w:rsidRPr="000B1C7D" w:rsidRDefault="00B56F0B" w:rsidP="00786812">
      <w:pPr>
        <w:pStyle w:val="Funotentext"/>
        <w:jc w:val="both"/>
        <w:rPr>
          <w:rFonts w:ascii="Garamond" w:hAnsi="Garamond"/>
        </w:rPr>
      </w:pPr>
      <w:r w:rsidRPr="000B1C7D">
        <w:rPr>
          <w:rFonts w:ascii="Garamond" w:hAnsi="Garamond"/>
          <w:lang w:val="ka-GE"/>
        </w:rPr>
        <w:t xml:space="preserve">Letter of </w:t>
      </w:r>
      <w:r w:rsidRPr="000B1C7D">
        <w:rPr>
          <w:rFonts w:ascii="Garamond" w:hAnsi="Garamond"/>
        </w:rPr>
        <w:t xml:space="preserve">the </w:t>
      </w:r>
      <w:r w:rsidRPr="000B1C7D">
        <w:rPr>
          <w:rFonts w:ascii="Garamond" w:hAnsi="Garamond"/>
          <w:lang w:val="ka-GE"/>
        </w:rPr>
        <w:t>Georgian Young Lawyers’ Association</w:t>
      </w:r>
      <w:r w:rsidRPr="000B1C7D">
        <w:rPr>
          <w:rFonts w:ascii="Garamond" w:hAnsi="Garamond"/>
        </w:rPr>
        <w:t xml:space="preserve"> </w:t>
      </w:r>
      <w:r w:rsidRPr="000B1C7D">
        <w:rPr>
          <w:rFonts w:ascii="Garamond" w:hAnsi="Garamond"/>
          <w:lang w:val="en-AU"/>
        </w:rPr>
        <w:t xml:space="preserve">(GYLA) </w:t>
      </w:r>
      <w:r w:rsidRPr="000B1C7D">
        <w:rPr>
          <w:rFonts w:ascii="Garamond" w:hAnsi="Garamond"/>
          <w:lang w:val="ka-GE"/>
        </w:rPr>
        <w:t xml:space="preserve">of </w:t>
      </w:r>
      <w:r w:rsidRPr="000B1C7D">
        <w:rPr>
          <w:rFonts w:ascii="Garamond" w:hAnsi="Garamond"/>
        </w:rPr>
        <w:t>June 28, 2011</w:t>
      </w:r>
      <w:r w:rsidRPr="000B1C7D">
        <w:rPr>
          <w:rFonts w:ascii="Garamond" w:hAnsi="Garamond"/>
          <w:lang w:val="ka-GE"/>
        </w:rPr>
        <w:t xml:space="preserve"> #</w:t>
      </w:r>
      <w:r w:rsidRPr="000B1C7D">
        <w:rPr>
          <w:rFonts w:ascii="Garamond" w:hAnsi="Garamond"/>
        </w:rPr>
        <w:t>G</w:t>
      </w:r>
      <w:r w:rsidRPr="000B1C7D">
        <w:rPr>
          <w:rFonts w:ascii="Garamond" w:hAnsi="Garamond"/>
          <w:lang w:val="ka-GE"/>
        </w:rPr>
        <w:t>-01/110-11</w:t>
      </w:r>
      <w:r w:rsidRPr="000B1C7D">
        <w:rPr>
          <w:rFonts w:ascii="Garamond" w:hAnsi="Garamond"/>
        </w:rPr>
        <w:t>;</w:t>
      </w:r>
    </w:p>
    <w:p w:rsidR="00B56F0B" w:rsidRPr="000B1C7D" w:rsidRDefault="00B56F0B" w:rsidP="00EC22FB">
      <w:pPr>
        <w:pStyle w:val="Funotentext"/>
        <w:ind w:left="0" w:firstLine="0"/>
        <w:jc w:val="both"/>
        <w:rPr>
          <w:rFonts w:ascii="Garamond" w:hAnsi="Garamond"/>
        </w:rPr>
      </w:pPr>
      <w:r w:rsidRPr="000B1C7D">
        <w:rPr>
          <w:rFonts w:ascii="Garamond" w:hAnsi="Garamond"/>
        </w:rPr>
        <w:t xml:space="preserve">Letters of the Georgian Young Lawyers’ Association </w:t>
      </w:r>
      <w:r w:rsidRPr="000B1C7D">
        <w:rPr>
          <w:rFonts w:ascii="Garamond" w:hAnsi="Garamond"/>
          <w:lang w:val="en-AU"/>
        </w:rPr>
        <w:t xml:space="preserve">(GYLA) </w:t>
      </w:r>
      <w:r w:rsidRPr="000B1C7D">
        <w:rPr>
          <w:rFonts w:ascii="Garamond" w:hAnsi="Garamond"/>
        </w:rPr>
        <w:t>to  the Prosecutor’s Office about  investigation  into  use  of disproportional force against demonstrators</w:t>
      </w:r>
      <w:r w:rsidRPr="000B1C7D">
        <w:rPr>
          <w:rFonts w:ascii="Garamond" w:hAnsi="Garamond"/>
          <w:lang w:val="ka-GE"/>
        </w:rPr>
        <w:t xml:space="preserve"> on May 26, 201</w:t>
      </w:r>
      <w:r w:rsidRPr="000B1C7D">
        <w:rPr>
          <w:rFonts w:ascii="Garamond" w:hAnsi="Garamond"/>
        </w:rPr>
        <w:t>1;</w:t>
      </w:r>
    </w:p>
    <w:p w:rsidR="00B56F0B" w:rsidRPr="000B1C7D" w:rsidRDefault="00B56F0B" w:rsidP="00786812">
      <w:pPr>
        <w:pStyle w:val="Funotentext"/>
        <w:rPr>
          <w:rFonts w:ascii="Garamond" w:hAnsi="Garamond"/>
          <w:lang w:val="ka-GE"/>
        </w:rPr>
      </w:pPr>
      <w:r w:rsidRPr="000B1C7D">
        <w:rPr>
          <w:rFonts w:ascii="Garamond" w:hAnsi="Garamond"/>
          <w:lang w:val="ka-GE"/>
        </w:rPr>
        <w:t xml:space="preserve">Letter of </w:t>
      </w:r>
      <w:r w:rsidRPr="000B1C7D">
        <w:rPr>
          <w:rFonts w:ascii="Garamond" w:hAnsi="Garamond"/>
        </w:rPr>
        <w:t xml:space="preserve">the </w:t>
      </w:r>
      <w:r w:rsidRPr="000B1C7D">
        <w:rPr>
          <w:rFonts w:ascii="Garamond" w:hAnsi="Garamond"/>
          <w:lang w:val="ka-GE"/>
        </w:rPr>
        <w:t xml:space="preserve">Georgian Young Lawyers’ Association </w:t>
      </w:r>
      <w:r w:rsidRPr="000B1C7D">
        <w:rPr>
          <w:rFonts w:ascii="Garamond" w:hAnsi="Garamond"/>
          <w:lang w:val="en-AU"/>
        </w:rPr>
        <w:t xml:space="preserve">(GYLA) </w:t>
      </w:r>
      <w:r w:rsidRPr="000B1C7D">
        <w:rPr>
          <w:rFonts w:ascii="Garamond" w:hAnsi="Garamond"/>
          <w:lang w:val="ka-GE"/>
        </w:rPr>
        <w:t>of</w:t>
      </w:r>
      <w:r w:rsidRPr="000B1C7D">
        <w:rPr>
          <w:rFonts w:ascii="Garamond" w:hAnsi="Garamond"/>
        </w:rPr>
        <w:t xml:space="preserve"> July 26, 2011</w:t>
      </w:r>
      <w:r w:rsidRPr="000B1C7D">
        <w:rPr>
          <w:rFonts w:ascii="Garamond" w:hAnsi="Garamond"/>
          <w:lang w:val="ka-GE"/>
        </w:rPr>
        <w:t xml:space="preserve"> #</w:t>
      </w:r>
      <w:r w:rsidRPr="000B1C7D">
        <w:rPr>
          <w:rFonts w:ascii="Garamond" w:hAnsi="Garamond"/>
        </w:rPr>
        <w:t>G</w:t>
      </w:r>
      <w:r w:rsidRPr="000B1C7D">
        <w:rPr>
          <w:rFonts w:ascii="Garamond" w:hAnsi="Garamond"/>
          <w:lang w:val="ka-GE"/>
        </w:rPr>
        <w:t>-01/120-11</w:t>
      </w:r>
      <w:r w:rsidRPr="000B1C7D">
        <w:rPr>
          <w:rFonts w:ascii="Garamond" w:hAnsi="Garamond"/>
        </w:rPr>
        <w:t>;</w:t>
      </w:r>
      <w:r w:rsidRPr="000B1C7D">
        <w:rPr>
          <w:rFonts w:ascii="Garamond" w:hAnsi="Garamond"/>
          <w:lang w:val="ka-GE"/>
        </w:rPr>
        <w:t xml:space="preserve"> </w:t>
      </w:r>
    </w:p>
    <w:p w:rsidR="00B56F0B" w:rsidRPr="000B1C7D" w:rsidRDefault="00B56F0B" w:rsidP="00786812">
      <w:pPr>
        <w:pStyle w:val="Funotentext"/>
        <w:rPr>
          <w:rFonts w:ascii="Garamond" w:hAnsi="Garamond"/>
        </w:rPr>
      </w:pPr>
      <w:r w:rsidRPr="000B1C7D">
        <w:rPr>
          <w:rFonts w:ascii="Garamond" w:hAnsi="Garamond"/>
          <w:lang w:val="ka-GE"/>
        </w:rPr>
        <w:t xml:space="preserve">Letter of </w:t>
      </w:r>
      <w:r w:rsidRPr="000B1C7D">
        <w:rPr>
          <w:rFonts w:ascii="Garamond" w:hAnsi="Garamond"/>
        </w:rPr>
        <w:t xml:space="preserve">the </w:t>
      </w:r>
      <w:r w:rsidRPr="000B1C7D">
        <w:rPr>
          <w:rFonts w:ascii="Garamond" w:hAnsi="Garamond"/>
          <w:lang w:val="ka-GE"/>
        </w:rPr>
        <w:t>Georgian Young Lawyers’ Association</w:t>
      </w:r>
      <w:r w:rsidRPr="000B1C7D">
        <w:rPr>
          <w:rFonts w:ascii="Garamond" w:hAnsi="Garamond"/>
        </w:rPr>
        <w:t xml:space="preserve"> </w:t>
      </w:r>
      <w:r w:rsidRPr="000B1C7D">
        <w:rPr>
          <w:rFonts w:ascii="Garamond" w:hAnsi="Garamond"/>
          <w:lang w:val="en-AU"/>
        </w:rPr>
        <w:t xml:space="preserve">(GYLA) </w:t>
      </w:r>
      <w:r w:rsidRPr="000B1C7D">
        <w:rPr>
          <w:rFonts w:ascii="Garamond" w:hAnsi="Garamond"/>
          <w:lang w:val="ka-GE"/>
        </w:rPr>
        <w:t>of</w:t>
      </w:r>
      <w:r w:rsidRPr="000B1C7D">
        <w:rPr>
          <w:rFonts w:ascii="Garamond" w:hAnsi="Garamond"/>
        </w:rPr>
        <w:t xml:space="preserve"> November 28, 2011</w:t>
      </w:r>
      <w:r w:rsidRPr="000B1C7D">
        <w:rPr>
          <w:rFonts w:ascii="Garamond" w:hAnsi="Garamond"/>
          <w:lang w:val="ka-GE"/>
        </w:rPr>
        <w:t xml:space="preserve"> #</w:t>
      </w:r>
      <w:r w:rsidRPr="000B1C7D">
        <w:rPr>
          <w:rFonts w:ascii="Garamond" w:hAnsi="Garamond"/>
        </w:rPr>
        <w:t>G</w:t>
      </w:r>
      <w:r w:rsidRPr="000B1C7D">
        <w:rPr>
          <w:rFonts w:ascii="Garamond" w:hAnsi="Garamond"/>
          <w:lang w:val="ka-GE"/>
        </w:rPr>
        <w:t>-01/190-11</w:t>
      </w:r>
      <w:r w:rsidRPr="000B1C7D">
        <w:rPr>
          <w:rFonts w:ascii="Garamond" w:hAnsi="Garamond"/>
        </w:rPr>
        <w:t>;</w:t>
      </w:r>
      <w:r w:rsidRPr="000B1C7D">
        <w:rPr>
          <w:rFonts w:ascii="Garamond" w:hAnsi="Garamond"/>
          <w:lang w:val="ka-GE"/>
        </w:rPr>
        <w:t xml:space="preserve"> </w:t>
      </w:r>
    </w:p>
  </w:footnote>
  <w:footnote w:id="20">
    <w:p w:rsidR="00B56F0B" w:rsidRPr="000B1C7D" w:rsidRDefault="00B56F0B" w:rsidP="00A1294F">
      <w:pPr>
        <w:pStyle w:val="Funotentext"/>
        <w:ind w:left="0" w:firstLine="0"/>
        <w:rPr>
          <w:rFonts w:ascii="Garamond" w:hAnsi="Garamond"/>
        </w:rPr>
      </w:pPr>
      <w:r w:rsidRPr="000B1C7D">
        <w:rPr>
          <w:rStyle w:val="Funotenzeichen"/>
          <w:rFonts w:ascii="Garamond" w:hAnsi="Garamond"/>
        </w:rPr>
        <w:footnoteRef/>
      </w:r>
      <w:r>
        <w:rPr>
          <w:rFonts w:ascii="Garamond" w:hAnsi="Garamond"/>
        </w:rPr>
        <w:t xml:space="preserve"> Public Defender</w:t>
      </w:r>
      <w:r w:rsidRPr="000B1C7D">
        <w:rPr>
          <w:rFonts w:ascii="Garamond" w:hAnsi="Garamond"/>
        </w:rPr>
        <w:t xml:space="preserve"> of Georgia</w:t>
      </w:r>
      <w:r w:rsidRPr="000B1C7D">
        <w:rPr>
          <w:rFonts w:ascii="Garamond" w:hAnsi="Garamond"/>
          <w:lang w:val="ka-GE"/>
        </w:rPr>
        <w:t xml:space="preserve">, </w:t>
      </w:r>
      <w:r w:rsidRPr="000B1C7D">
        <w:rPr>
          <w:rFonts w:ascii="Garamond" w:hAnsi="Garamond"/>
        </w:rPr>
        <w:t>Georgian Young Lawyers’ Association (GYLA) (2012), “</w:t>
      </w:r>
      <w:r w:rsidRPr="000B1C7D">
        <w:rPr>
          <w:rFonts w:ascii="Garamond" w:hAnsi="Garamond"/>
          <w:lang w:val="ka-GE"/>
        </w:rPr>
        <w:t>Ill-treatment in Penitentiary Establishments and Temporary Detention Isolators in Eastern Georgia</w:t>
      </w:r>
      <w:r w:rsidRPr="000B1C7D">
        <w:rPr>
          <w:rFonts w:ascii="Garamond" w:hAnsi="Garamond"/>
        </w:rPr>
        <w:t>”</w:t>
      </w:r>
      <w:r w:rsidRPr="000B1C7D">
        <w:rPr>
          <w:rFonts w:ascii="Garamond" w:hAnsi="Garamond"/>
          <w:lang w:val="ka-GE"/>
        </w:rPr>
        <w:t>,</w:t>
      </w:r>
      <w:r w:rsidRPr="000B1C7D">
        <w:rPr>
          <w:rFonts w:ascii="Garamond" w:hAnsi="Garamond"/>
        </w:rPr>
        <w:t xml:space="preserve"> Tbilisi,</w:t>
      </w:r>
    </w:p>
    <w:p w:rsidR="00B56F0B" w:rsidRPr="000B1C7D" w:rsidRDefault="001F2E06" w:rsidP="00A1294F">
      <w:pPr>
        <w:pStyle w:val="Funotentext"/>
        <w:ind w:left="0" w:firstLine="0"/>
        <w:rPr>
          <w:rFonts w:ascii="Garamond" w:hAnsi="Garamond"/>
        </w:rPr>
      </w:pPr>
      <w:hyperlink r:id="rId8" w:history="1">
        <w:r w:rsidR="00B56F0B" w:rsidRPr="000B1C7D">
          <w:rPr>
            <w:rStyle w:val="Hyperlink"/>
            <w:rFonts w:ascii="Garamond" w:hAnsi="Garamond"/>
          </w:rPr>
          <w:t>http://gyla.ge/uploads/publications/2012/prevenciis_erovnuli_meqanizmi_eng.pdf</w:t>
        </w:r>
      </w:hyperlink>
      <w:r w:rsidR="00B56F0B" w:rsidRPr="000B1C7D">
        <w:rPr>
          <w:rFonts w:ascii="Garamond" w:hAnsi="Garamond"/>
        </w:rPr>
        <w:t xml:space="preserve">. </w:t>
      </w:r>
    </w:p>
  </w:footnote>
  <w:footnote w:id="21">
    <w:p w:rsidR="00B56F0B" w:rsidRPr="000B1C7D" w:rsidRDefault="00B56F0B" w:rsidP="00A14B6C">
      <w:pPr>
        <w:pStyle w:val="Funotentext"/>
        <w:ind w:left="0" w:firstLine="0"/>
        <w:rPr>
          <w:rFonts w:ascii="Garamond" w:hAnsi="Garamond"/>
        </w:rPr>
      </w:pPr>
      <w:r w:rsidRPr="000B1C7D">
        <w:rPr>
          <w:rStyle w:val="Funotenzeichen"/>
          <w:rFonts w:ascii="Garamond" w:hAnsi="Garamond"/>
        </w:rPr>
        <w:footnoteRef/>
      </w:r>
      <w:r w:rsidRPr="000B1C7D">
        <w:rPr>
          <w:rFonts w:ascii="Garamond" w:hAnsi="Garamond"/>
        </w:rPr>
        <w:t xml:space="preserve"> </w:t>
      </w:r>
      <w:r w:rsidRPr="000B1C7D">
        <w:rPr>
          <w:rFonts w:ascii="Garamond" w:hAnsi="Garamond"/>
          <w:lang w:val="en-AU"/>
        </w:rPr>
        <w:t xml:space="preserve">Public </w:t>
      </w:r>
      <w:proofErr w:type="spellStart"/>
      <w:r w:rsidRPr="000B1C7D">
        <w:rPr>
          <w:rFonts w:ascii="Garamond" w:hAnsi="Garamond"/>
          <w:lang w:val="en-AU"/>
        </w:rPr>
        <w:t>Defender’s</w:t>
      </w:r>
      <w:proofErr w:type="spellEnd"/>
      <w:r w:rsidRPr="000B1C7D">
        <w:rPr>
          <w:rFonts w:ascii="Garamond" w:hAnsi="Garamond"/>
          <w:lang w:val="en-AU"/>
        </w:rPr>
        <w:t xml:space="preserve"> of Georgia (2011), “</w:t>
      </w:r>
      <w:r w:rsidRPr="000B1C7D">
        <w:rPr>
          <w:rFonts w:ascii="Garamond" w:hAnsi="Garamond"/>
        </w:rPr>
        <w:t>Special Report on the Monitoring of the Penitentiary Establishments and Temporary Detention Isolators of Georgia, First half of 2011”,</w:t>
      </w:r>
    </w:p>
    <w:p w:rsidR="00B56F0B" w:rsidRPr="000B1C7D" w:rsidRDefault="001F2E06" w:rsidP="00A05297">
      <w:pPr>
        <w:pStyle w:val="Funotentext"/>
        <w:ind w:left="0" w:firstLine="0"/>
        <w:rPr>
          <w:rFonts w:ascii="Garamond" w:hAnsi="Garamond"/>
        </w:rPr>
      </w:pPr>
      <w:hyperlink r:id="rId9" w:history="1">
        <w:r w:rsidR="00B56F0B" w:rsidRPr="000B1C7D">
          <w:rPr>
            <w:rStyle w:val="Hyperlink"/>
            <w:rFonts w:ascii="Garamond" w:hAnsi="Garamond"/>
            <w:lang w:val="ka-GE"/>
          </w:rPr>
          <w:t>http://www.ombudsman.ge/files/downloads/en/wlkxwtamrxzqzvysxoyk.pdf</w:t>
        </w:r>
      </w:hyperlink>
      <w:r w:rsidR="00B56F0B" w:rsidRPr="000B1C7D">
        <w:rPr>
          <w:rStyle w:val="Hyperlink"/>
          <w:rFonts w:ascii="Garamond" w:hAnsi="Garamond"/>
          <w:color w:val="auto"/>
          <w:u w:val="none"/>
        </w:rPr>
        <w:t>.</w:t>
      </w:r>
    </w:p>
  </w:footnote>
  <w:footnote w:id="22">
    <w:p w:rsidR="00B56F0B" w:rsidRPr="000B1C7D" w:rsidRDefault="00B56F0B" w:rsidP="00430034">
      <w:pPr>
        <w:pStyle w:val="Funotentext"/>
        <w:rPr>
          <w:rFonts w:ascii="Garamond" w:hAnsi="Garamond"/>
        </w:rPr>
      </w:pPr>
      <w:r w:rsidRPr="000B1C7D">
        <w:rPr>
          <w:rStyle w:val="Funotenzeichen"/>
          <w:rFonts w:ascii="Garamond" w:hAnsi="Garamond"/>
        </w:rPr>
        <w:footnoteRef/>
      </w:r>
      <w:proofErr w:type="gramStart"/>
      <w:r>
        <w:rPr>
          <w:rFonts w:ascii="Garamond" w:hAnsi="Garamond"/>
        </w:rPr>
        <w:t xml:space="preserve">Criminal Procedure Code, </w:t>
      </w:r>
      <w:r w:rsidRPr="000B1C7D">
        <w:rPr>
          <w:rFonts w:ascii="Garamond" w:hAnsi="Garamond"/>
        </w:rPr>
        <w:t>Art.</w:t>
      </w:r>
      <w:proofErr w:type="gramEnd"/>
      <w:r w:rsidRPr="000B1C7D">
        <w:rPr>
          <w:rFonts w:ascii="Garamond" w:hAnsi="Garamond"/>
        </w:rPr>
        <w:t xml:space="preserve"> 197.</w:t>
      </w:r>
    </w:p>
  </w:footnote>
  <w:footnote w:id="23">
    <w:p w:rsidR="00B56F0B" w:rsidRPr="000B1C7D" w:rsidRDefault="00B56F0B" w:rsidP="00830E26">
      <w:pPr>
        <w:pStyle w:val="Funotentext"/>
        <w:ind w:left="0" w:firstLine="0"/>
        <w:rPr>
          <w:rFonts w:ascii="Garamond" w:hAnsi="Garamond"/>
        </w:rPr>
      </w:pPr>
      <w:r w:rsidRPr="000B1C7D">
        <w:rPr>
          <w:rStyle w:val="Funotenzeichen"/>
          <w:rFonts w:ascii="Garamond" w:hAnsi="Garamond"/>
        </w:rPr>
        <w:footnoteRef/>
      </w:r>
      <w:proofErr w:type="gramStart"/>
      <w:r w:rsidRPr="000B1C7D">
        <w:rPr>
          <w:rFonts w:ascii="Garamond" w:hAnsi="Garamond"/>
        </w:rPr>
        <w:t>Georgian Young Lawyers’ Association (GYLA) (2013), “</w:t>
      </w:r>
      <w:r w:rsidRPr="000B1C7D">
        <w:rPr>
          <w:rFonts w:ascii="Garamond" w:hAnsi="Garamond"/>
          <w:lang w:val="ka-GE"/>
        </w:rPr>
        <w:t xml:space="preserve">Monitoring Report of Criminal Cases of Tbilisi and Kutaisi </w:t>
      </w:r>
      <w:r w:rsidRPr="000B1C7D">
        <w:rPr>
          <w:rFonts w:ascii="Garamond" w:hAnsi="Garamond"/>
        </w:rPr>
        <w:t xml:space="preserve">City </w:t>
      </w:r>
      <w:r w:rsidRPr="000B1C7D">
        <w:rPr>
          <w:rFonts w:ascii="Garamond" w:hAnsi="Garamond"/>
          <w:lang w:val="ka-GE"/>
        </w:rPr>
        <w:t>Courts</w:t>
      </w:r>
      <w:r w:rsidRPr="000B1C7D">
        <w:rPr>
          <w:rFonts w:ascii="Garamond" w:hAnsi="Garamond"/>
        </w:rPr>
        <w:t>”</w:t>
      </w:r>
      <w:r w:rsidRPr="000B1C7D">
        <w:rPr>
          <w:rFonts w:ascii="Garamond" w:hAnsi="Garamond"/>
          <w:lang w:val="ka-GE"/>
        </w:rPr>
        <w:t>,</w:t>
      </w:r>
      <w:r>
        <w:rPr>
          <w:rFonts w:ascii="Garamond" w:hAnsi="Garamond"/>
        </w:rPr>
        <w:t xml:space="preserve"> </w:t>
      </w:r>
      <w:r w:rsidRPr="000B1C7D">
        <w:rPr>
          <w:rFonts w:ascii="Garamond" w:hAnsi="Garamond"/>
        </w:rPr>
        <w:t xml:space="preserve">Tbilisi, </w:t>
      </w:r>
      <w:hyperlink r:id="rId10" w:history="1">
        <w:r w:rsidRPr="000B1C7D">
          <w:rPr>
            <w:rStyle w:val="Hyperlink"/>
            <w:rFonts w:ascii="Garamond" w:hAnsi="Garamond"/>
            <w:lang w:val="ka-GE"/>
          </w:rPr>
          <w:t>http://gyla.ge/uploads/tbilisidakutaisi_ge.pdf</w:t>
        </w:r>
      </w:hyperlink>
      <w:r w:rsidRPr="000B1C7D">
        <w:rPr>
          <w:rStyle w:val="Hyperlink"/>
          <w:rFonts w:ascii="Garamond" w:hAnsi="Garamond"/>
          <w:color w:val="auto"/>
          <w:u w:val="none"/>
        </w:rPr>
        <w:t>.</w:t>
      </w:r>
      <w:proofErr w:type="gramEnd"/>
    </w:p>
  </w:footnote>
  <w:footnote w:id="24">
    <w:p w:rsidR="00B56F0B" w:rsidRPr="000B1C7D" w:rsidRDefault="00B56F0B" w:rsidP="00430034">
      <w:pPr>
        <w:rPr>
          <w:sz w:val="20"/>
        </w:rPr>
      </w:pPr>
      <w:r w:rsidRPr="000B1C7D">
        <w:rPr>
          <w:rStyle w:val="Funotenzeichen"/>
          <w:sz w:val="20"/>
        </w:rPr>
        <w:footnoteRef/>
      </w:r>
      <w:r w:rsidRPr="000B1C7D">
        <w:rPr>
          <w:sz w:val="20"/>
          <w:lang w:val="ka-GE"/>
        </w:rPr>
        <w:t xml:space="preserve">Sentenced as well as </w:t>
      </w:r>
      <w:r w:rsidRPr="000B1C7D">
        <w:rPr>
          <w:sz w:val="20"/>
        </w:rPr>
        <w:t>remand</w:t>
      </w:r>
      <w:r>
        <w:rPr>
          <w:sz w:val="20"/>
        </w:rPr>
        <w:t>ed</w:t>
      </w:r>
      <w:r w:rsidRPr="000B1C7D">
        <w:rPr>
          <w:sz w:val="20"/>
          <w:lang w:val="ka-GE"/>
        </w:rPr>
        <w:t xml:space="preserve"> pris</w:t>
      </w:r>
      <w:r w:rsidRPr="000B1C7D">
        <w:rPr>
          <w:sz w:val="20"/>
          <w:lang w:val="en-US"/>
        </w:rPr>
        <w:t>o</w:t>
      </w:r>
      <w:r w:rsidRPr="000B1C7D">
        <w:rPr>
          <w:sz w:val="20"/>
          <w:lang w:val="ka-GE"/>
        </w:rPr>
        <w:t xml:space="preserve">ners are placed in the Penitentiary Establishment </w:t>
      </w:r>
      <w:r w:rsidRPr="000B1C7D">
        <w:rPr>
          <w:sz w:val="20"/>
        </w:rPr>
        <w:t>No 8 in</w:t>
      </w:r>
      <w:r w:rsidRPr="000B1C7D">
        <w:rPr>
          <w:sz w:val="20"/>
          <w:lang w:val="ka-GE"/>
        </w:rPr>
        <w:t xml:space="preserve"> Gldani. </w:t>
      </w:r>
      <w:r w:rsidRPr="000B1C7D">
        <w:rPr>
          <w:sz w:val="20"/>
          <w:lang w:val="ka-GE"/>
        </w:rPr>
        <w:t xml:space="preserve">The </w:t>
      </w:r>
      <w:proofErr w:type="spellStart"/>
      <w:r w:rsidRPr="000B1C7D">
        <w:rPr>
          <w:sz w:val="20"/>
        </w:rPr>
        <w:t>Gldani</w:t>
      </w:r>
      <w:proofErr w:type="spellEnd"/>
      <w:r>
        <w:rPr>
          <w:sz w:val="20"/>
        </w:rPr>
        <w:t xml:space="preserve"> </w:t>
      </w:r>
      <w:r w:rsidRPr="000B1C7D">
        <w:rPr>
          <w:sz w:val="20"/>
          <w:lang w:val="ka-GE"/>
        </w:rPr>
        <w:t>prison</w:t>
      </w:r>
      <w:r>
        <w:rPr>
          <w:sz w:val="20"/>
          <w:lang w:val="en-US"/>
        </w:rPr>
        <w:t xml:space="preserve"> </w:t>
      </w:r>
      <w:r w:rsidRPr="000B1C7D">
        <w:rPr>
          <w:sz w:val="20"/>
          <w:lang w:val="ka-GE"/>
        </w:rPr>
        <w:t xml:space="preserve">was known for its strict regime, illegal </w:t>
      </w:r>
      <w:r w:rsidRPr="000B1C7D">
        <w:rPr>
          <w:sz w:val="20"/>
        </w:rPr>
        <w:t>punishment measures</w:t>
      </w:r>
      <w:r w:rsidRPr="000B1C7D">
        <w:rPr>
          <w:sz w:val="20"/>
          <w:lang w:val="ka-GE"/>
        </w:rPr>
        <w:t xml:space="preserve"> and the prevailing syndrome </w:t>
      </w:r>
      <w:r w:rsidRPr="000B1C7D">
        <w:rPr>
          <w:sz w:val="20"/>
        </w:rPr>
        <w:t xml:space="preserve">of fear </w:t>
      </w:r>
      <w:r w:rsidRPr="000B1C7D">
        <w:rPr>
          <w:sz w:val="20"/>
          <w:lang w:val="ka-GE"/>
        </w:rPr>
        <w:t>among prisoners.</w:t>
      </w:r>
    </w:p>
  </w:footnote>
  <w:footnote w:id="25">
    <w:p w:rsidR="00B56F0B" w:rsidRPr="00C91688" w:rsidRDefault="00B56F0B" w:rsidP="00D64043">
      <w:pPr>
        <w:pStyle w:val="Funotentext"/>
        <w:ind w:left="0" w:firstLine="0"/>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lang w:val="ka-GE"/>
        </w:rPr>
        <w:t>Public Defender of Georgia</w:t>
      </w:r>
      <w:r w:rsidRPr="000B1C7D">
        <w:rPr>
          <w:rFonts w:ascii="Garamond" w:hAnsi="Garamond" w:cs="Times New Roman"/>
        </w:rPr>
        <w:t xml:space="preserve"> (2011), “</w:t>
      </w:r>
      <w:r w:rsidRPr="000B1C7D">
        <w:rPr>
          <w:rFonts w:ascii="Garamond" w:hAnsi="Garamond" w:cs="Times New Roman"/>
          <w:lang w:val="ka-GE"/>
        </w:rPr>
        <w:t>The Situation of Human Rights and Freedoms in Georgia</w:t>
      </w:r>
      <w:r w:rsidRPr="000B1C7D">
        <w:rPr>
          <w:rFonts w:ascii="Garamond" w:hAnsi="Garamond" w:cs="Times New Roman"/>
        </w:rPr>
        <w:t xml:space="preserve">”, </w:t>
      </w:r>
      <w:hyperlink r:id="rId11" w:history="1">
        <w:r w:rsidRPr="000B1C7D">
          <w:rPr>
            <w:rStyle w:val="Hyperlink"/>
            <w:rFonts w:ascii="Garamond" w:hAnsi="Garamond" w:cs="Times New Roman"/>
          </w:rPr>
          <w:t>http://ombudsman.ge/files/downloads/en/hcqkqyhblwldxcayqiwg.pdf</w:t>
        </w:r>
      </w:hyperlink>
      <w:r w:rsidRPr="000B1C7D">
        <w:rPr>
          <w:rFonts w:ascii="Garamond" w:hAnsi="Garamond" w:cs="Times New Roman"/>
        </w:rPr>
        <w:t>; Public Defender of Georgia, Georgian Young Lawyers’ Association (GYLA), (2012) “</w:t>
      </w:r>
      <w:r w:rsidRPr="000B1C7D">
        <w:rPr>
          <w:rFonts w:ascii="Garamond" w:hAnsi="Garamond" w:cs="Times New Roman"/>
          <w:lang w:val="ka-GE"/>
        </w:rPr>
        <w:t>Ill-treatment in Penitentiary</w:t>
      </w:r>
      <w:r>
        <w:rPr>
          <w:rFonts w:ascii="Garamond" w:hAnsi="Garamond" w:cs="Times New Roman"/>
        </w:rPr>
        <w:t xml:space="preserve"> </w:t>
      </w:r>
      <w:r w:rsidRPr="000B1C7D">
        <w:rPr>
          <w:rFonts w:ascii="Garamond" w:hAnsi="Garamond" w:cs="Times New Roman"/>
          <w:lang w:val="ka-GE"/>
        </w:rPr>
        <w:t xml:space="preserve">Establishments and Temporary Detention Isolators </w:t>
      </w:r>
      <w:r w:rsidRPr="000B1C7D">
        <w:rPr>
          <w:rFonts w:ascii="Garamond" w:hAnsi="Garamond" w:cs="Times New Roman"/>
        </w:rPr>
        <w:t>in Eastern Georgia”, Tbilisi,</w:t>
      </w:r>
      <w:r w:rsidRPr="000B1C7D">
        <w:rPr>
          <w:rFonts w:ascii="Garamond" w:hAnsi="Garamond" w:cs="Times New Roman"/>
          <w:lang w:val="ka-GE"/>
        </w:rPr>
        <w:t xml:space="preserve">  </w:t>
      </w:r>
      <w:hyperlink r:id="rId12" w:history="1">
        <w:r w:rsidRPr="000B1C7D">
          <w:rPr>
            <w:rStyle w:val="Hyperlink"/>
            <w:rFonts w:ascii="Garamond" w:hAnsi="Garamond"/>
            <w:lang w:val="ka-GE"/>
          </w:rPr>
          <w:t>http://gyla.ge/uploads/publications/2012/prevenciis_erovnuli_meqanizmi_eng.pdf</w:t>
        </w:r>
      </w:hyperlink>
      <w:r w:rsidRPr="000B1C7D">
        <w:rPr>
          <w:rFonts w:ascii="Garamond" w:hAnsi="Garamond"/>
          <w:lang w:val="ka-GE"/>
        </w:rPr>
        <w:t xml:space="preserve">. </w:t>
      </w:r>
    </w:p>
  </w:footnote>
  <w:footnote w:id="26">
    <w:p w:rsidR="00B56F0B" w:rsidRPr="000B1C7D" w:rsidRDefault="00B56F0B" w:rsidP="00430034">
      <w:pPr>
        <w:pStyle w:val="Funotentext"/>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rPr>
        <w:t xml:space="preserve">Georgian Young </w:t>
      </w:r>
      <w:r>
        <w:rPr>
          <w:rFonts w:ascii="Garamond" w:hAnsi="Garamond" w:cs="Times New Roman"/>
        </w:rPr>
        <w:t>Lawyers’ Association (GYLA) Cond</w:t>
      </w:r>
      <w:r w:rsidRPr="000B1C7D">
        <w:rPr>
          <w:rFonts w:ascii="Garamond" w:hAnsi="Garamond" w:cs="Times New Roman"/>
        </w:rPr>
        <w:t>emns Repeated Fact of Pressure Exerted against Convicted K.</w:t>
      </w:r>
    </w:p>
    <w:p w:rsidR="00B56F0B" w:rsidRPr="000B1C7D" w:rsidRDefault="00B56F0B" w:rsidP="00430034">
      <w:pPr>
        <w:pStyle w:val="Funotentext"/>
        <w:rPr>
          <w:rFonts w:ascii="Garamond" w:hAnsi="Garamond" w:cs="Times New Roman"/>
        </w:rPr>
      </w:pPr>
      <w:proofErr w:type="spellStart"/>
      <w:proofErr w:type="gramStart"/>
      <w:r w:rsidRPr="000B1C7D">
        <w:rPr>
          <w:rFonts w:ascii="Garamond" w:hAnsi="Garamond" w:cs="Times New Roman"/>
        </w:rPr>
        <w:t>Baratashvili</w:t>
      </w:r>
      <w:proofErr w:type="spellEnd"/>
      <w:r w:rsidRPr="000B1C7D">
        <w:rPr>
          <w:rFonts w:ascii="Garamond" w:hAnsi="Garamond" w:cs="Times New Roman"/>
        </w:rPr>
        <w:t>.</w:t>
      </w:r>
      <w:proofErr w:type="gramEnd"/>
      <w:r w:rsidRPr="000B1C7D">
        <w:rPr>
          <w:rStyle w:val="Hyperlink"/>
          <w:rFonts w:ascii="Garamond" w:hAnsi="Garamond" w:cs="Times New Roman"/>
          <w:lang w:val="ka-GE"/>
        </w:rPr>
        <w:fldChar w:fldCharType="begin"/>
      </w:r>
      <w:r w:rsidRPr="000B1C7D">
        <w:rPr>
          <w:rStyle w:val="Hyperlink"/>
          <w:rFonts w:ascii="Garamond" w:hAnsi="Garamond" w:cs="Times New Roman"/>
          <w:lang w:val="ka-GE"/>
        </w:rPr>
        <w:instrText>"http://gyla.ge/eng/news?info=1498"</w:instrText>
      </w:r>
      <w:r w:rsidRPr="000B1C7D">
        <w:rPr>
          <w:rStyle w:val="Hyperlink"/>
          <w:rFonts w:ascii="Garamond" w:hAnsi="Garamond" w:cs="Times New Roman"/>
          <w:lang w:val="ka-GE"/>
        </w:rPr>
        <w:fldChar w:fldCharType="separate"/>
      </w:r>
      <w:r w:rsidRPr="000B1C7D">
        <w:rPr>
          <w:rStyle w:val="Hyperlink"/>
          <w:rFonts w:ascii="Garamond" w:hAnsi="Garamond" w:cs="Times New Roman"/>
          <w:lang w:val="ka-GE"/>
        </w:rPr>
        <w:t>http://gyla.ge/eng/news?info=1498</w:t>
      </w:r>
      <w:r w:rsidRPr="000B1C7D">
        <w:rPr>
          <w:rStyle w:val="Hyperlink"/>
          <w:rFonts w:ascii="Garamond" w:hAnsi="Garamond" w:cs="Times New Roman"/>
          <w:lang w:val="ka-GE"/>
        </w:rPr>
        <w:fldChar w:fldCharType="end"/>
      </w:r>
    </w:p>
  </w:footnote>
  <w:footnote w:id="27">
    <w:p w:rsidR="00B56F0B" w:rsidRPr="000B1C7D" w:rsidRDefault="00B56F0B" w:rsidP="000D1561">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rPr>
        <w:t xml:space="preserve"> Georgian Department of Statistics (</w:t>
      </w:r>
      <w:proofErr w:type="spellStart"/>
      <w:r>
        <w:rPr>
          <w:rFonts w:ascii="Garamond" w:hAnsi="Garamond"/>
        </w:rPr>
        <w:t>GeoStat</w:t>
      </w:r>
      <w:proofErr w:type="spellEnd"/>
      <w:r>
        <w:rPr>
          <w:rFonts w:ascii="Garamond" w:hAnsi="Garamond"/>
        </w:rPr>
        <w:t xml:space="preserve">), Criminal Justice Statistics, </w:t>
      </w:r>
      <w:hyperlink r:id="rId13" w:history="1">
        <w:r w:rsidRPr="000B1C7D">
          <w:rPr>
            <w:rStyle w:val="Hyperlink"/>
            <w:rFonts w:ascii="Garamond" w:hAnsi="Garamond" w:cs="Times New Roman"/>
            <w:lang w:val="ka-GE"/>
          </w:rPr>
          <w:t>http://www.geostat.ge/index.php?action=page&amp;p_id=602&amp;lang=eng</w:t>
        </w:r>
      </w:hyperlink>
      <w:r w:rsidRPr="000B1C7D">
        <w:rPr>
          <w:rStyle w:val="Hyperlink"/>
          <w:rFonts w:ascii="Garamond" w:hAnsi="Garamond" w:cs="Times New Roman"/>
          <w:color w:val="auto"/>
          <w:u w:val="none"/>
        </w:rPr>
        <w:t>.</w:t>
      </w:r>
    </w:p>
  </w:footnote>
  <w:footnote w:id="28">
    <w:p w:rsidR="00B56F0B" w:rsidRPr="000B1C7D" w:rsidRDefault="00B56F0B" w:rsidP="001E40CA">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lang w:val="ka-GE"/>
        </w:rPr>
        <w:t>Public Defender</w:t>
      </w:r>
      <w:r w:rsidRPr="000B1C7D">
        <w:rPr>
          <w:rFonts w:ascii="Garamond" w:hAnsi="Garamond" w:cs="Times New Roman"/>
        </w:rPr>
        <w:t xml:space="preserve"> of Georgia (2004-2011),</w:t>
      </w:r>
      <w:r w:rsidRPr="000B1C7D">
        <w:rPr>
          <w:rFonts w:ascii="Garamond" w:hAnsi="Garamond" w:cs="Times New Roman"/>
          <w:lang w:val="ka-GE"/>
        </w:rPr>
        <w:t xml:space="preserve"> </w:t>
      </w:r>
      <w:r w:rsidRPr="000B1C7D">
        <w:rPr>
          <w:rFonts w:ascii="Garamond" w:hAnsi="Garamond" w:cs="Times New Roman"/>
        </w:rPr>
        <w:t>“</w:t>
      </w:r>
      <w:r w:rsidRPr="000B1C7D">
        <w:rPr>
          <w:rFonts w:ascii="Garamond" w:hAnsi="Garamond" w:cs="Times New Roman"/>
          <w:lang w:val="ka-GE"/>
        </w:rPr>
        <w:t>State of Human Rights in Georgia</w:t>
      </w:r>
      <w:r w:rsidRPr="000B1C7D">
        <w:rPr>
          <w:rFonts w:ascii="Garamond" w:hAnsi="Garamond" w:cs="Times New Roman"/>
        </w:rPr>
        <w:t>”</w:t>
      </w:r>
      <w:r w:rsidRPr="000B1C7D">
        <w:rPr>
          <w:rFonts w:ascii="Garamond" w:hAnsi="Garamond" w:cs="Times New Roman"/>
          <w:lang w:val="ka-GE"/>
        </w:rPr>
        <w:t>,</w:t>
      </w:r>
    </w:p>
    <w:p w:rsidR="00B56F0B" w:rsidRDefault="001F2E06" w:rsidP="001E40CA">
      <w:pPr>
        <w:pStyle w:val="Funotentext"/>
        <w:ind w:left="0" w:firstLine="0"/>
        <w:rPr>
          <w:rStyle w:val="Hyperlink"/>
          <w:rFonts w:ascii="Garamond" w:hAnsi="Garamond" w:cs="Times New Roman"/>
        </w:rPr>
      </w:pPr>
      <w:hyperlink r:id="rId14" w:history="1">
        <w:r w:rsidR="00B56F0B" w:rsidRPr="000B1C7D">
          <w:rPr>
            <w:rStyle w:val="Hyperlink"/>
            <w:rFonts w:ascii="Garamond" w:hAnsi="Garamond" w:cs="Times New Roman"/>
            <w:lang w:val="ka-GE"/>
          </w:rPr>
          <w:t>http://www.ombudsman.ge/index.php?page=21&amp;lang=1</w:t>
        </w:r>
      </w:hyperlink>
      <w:r w:rsidR="00B56F0B" w:rsidRPr="000B1C7D">
        <w:rPr>
          <w:rStyle w:val="Hyperlink"/>
          <w:rFonts w:ascii="Garamond" w:hAnsi="Garamond" w:cs="Times New Roman"/>
        </w:rPr>
        <w:t xml:space="preserve">; </w:t>
      </w:r>
    </w:p>
    <w:p w:rsidR="00B56F0B" w:rsidRPr="000B1C7D" w:rsidRDefault="00B56F0B" w:rsidP="001E40CA">
      <w:pPr>
        <w:pStyle w:val="Funotentext"/>
        <w:ind w:left="0" w:firstLine="0"/>
        <w:rPr>
          <w:rFonts w:ascii="Garamond" w:hAnsi="Garamond" w:cs="Times New Roman"/>
        </w:rPr>
      </w:pPr>
      <w:r>
        <w:rPr>
          <w:rFonts w:ascii="Garamond" w:hAnsi="Garamond" w:cs="Times New Roman"/>
        </w:rPr>
        <w:t>Public Defender of Georgia and</w:t>
      </w:r>
      <w:r w:rsidRPr="000B1C7D">
        <w:rPr>
          <w:rFonts w:ascii="Garamond" w:hAnsi="Garamond" w:cs="Times New Roman"/>
        </w:rPr>
        <w:t xml:space="preserve"> Georgian Young Lawyers’ Association (GYLA), (2012) “</w:t>
      </w:r>
      <w:r w:rsidRPr="000B1C7D">
        <w:rPr>
          <w:rFonts w:ascii="Garamond" w:hAnsi="Garamond" w:cs="Times New Roman"/>
          <w:lang w:val="ka-GE"/>
        </w:rPr>
        <w:t>Ill-treatment in Penitentiary</w:t>
      </w:r>
    </w:p>
    <w:p w:rsidR="00B56F0B" w:rsidRPr="000B1C7D" w:rsidRDefault="00B56F0B" w:rsidP="001E40CA">
      <w:pPr>
        <w:pStyle w:val="Funotentext"/>
        <w:ind w:left="0" w:firstLine="0"/>
        <w:rPr>
          <w:rFonts w:ascii="Garamond" w:hAnsi="Garamond" w:cs="Times New Roman"/>
        </w:rPr>
      </w:pPr>
      <w:r w:rsidRPr="000B1C7D">
        <w:rPr>
          <w:rFonts w:ascii="Garamond" w:hAnsi="Garamond" w:cs="Times New Roman"/>
          <w:lang w:val="ka-GE"/>
        </w:rPr>
        <w:t xml:space="preserve">Establishments and Temporary Detention Isolators </w:t>
      </w:r>
      <w:r w:rsidRPr="000B1C7D">
        <w:rPr>
          <w:rFonts w:ascii="Garamond" w:hAnsi="Garamond" w:cs="Times New Roman"/>
          <w:lang w:val="en-AU"/>
        </w:rPr>
        <w:t>in Eastern Georgia”, Tbilisi,</w:t>
      </w:r>
      <w:r w:rsidRPr="000B1C7D">
        <w:rPr>
          <w:rFonts w:ascii="Garamond" w:hAnsi="Garamond" w:cs="Times New Roman"/>
          <w:lang w:val="ka-GE"/>
        </w:rPr>
        <w:t xml:space="preserve">  </w:t>
      </w:r>
      <w:hyperlink r:id="rId15" w:history="1">
        <w:r w:rsidRPr="000B1C7D">
          <w:rPr>
            <w:rStyle w:val="Hyperlink"/>
            <w:rFonts w:ascii="Garamond" w:hAnsi="Garamond" w:cs="Times New Roman"/>
            <w:lang w:val="ka-GE"/>
          </w:rPr>
          <w:t>http://gyla.ge/uploads/publications/2012/prevenciis_erovnuli_meqanizmi_eng.pdf</w:t>
        </w:r>
      </w:hyperlink>
      <w:r w:rsidRPr="000B1C7D">
        <w:rPr>
          <w:rStyle w:val="Hyperlink"/>
          <w:rFonts w:ascii="Garamond" w:hAnsi="Garamond" w:cs="Times New Roman"/>
          <w:color w:val="auto"/>
          <w:u w:val="none"/>
        </w:rPr>
        <w:t>.</w:t>
      </w:r>
    </w:p>
  </w:footnote>
  <w:footnote w:id="29">
    <w:p w:rsidR="00B56F0B" w:rsidRPr="000B1C7D" w:rsidRDefault="00B56F0B" w:rsidP="009073BB">
      <w:pPr>
        <w:pStyle w:val="tarig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ind w:firstLine="0"/>
        <w:jc w:val="both"/>
        <w:rPr>
          <w:rFonts w:ascii="Garamond" w:hAnsi="Garamond" w:cs="Times New Roman"/>
          <w:sz w:val="20"/>
          <w:szCs w:val="20"/>
        </w:rPr>
      </w:pPr>
      <w:r w:rsidRPr="000B1C7D">
        <w:rPr>
          <w:rStyle w:val="Funotenzeichen"/>
          <w:rFonts w:ascii="Garamond" w:hAnsi="Garamond" w:cs="Times New Roman"/>
          <w:sz w:val="20"/>
          <w:szCs w:val="20"/>
        </w:rPr>
        <w:footnoteRef/>
      </w:r>
      <w:r w:rsidRPr="000B1C7D">
        <w:rPr>
          <w:rFonts w:ascii="Garamond" w:hAnsi="Garamond" w:cs="Times New Roman"/>
          <w:b w:val="0"/>
          <w:sz w:val="20"/>
          <w:szCs w:val="20"/>
        </w:rPr>
        <w:t>“</w:t>
      </w:r>
      <w:r w:rsidRPr="000B1C7D">
        <w:rPr>
          <w:rFonts w:ascii="Garamond" w:hAnsi="Garamond" w:cs="Times New Roman"/>
          <w:b w:val="0"/>
          <w:sz w:val="20"/>
          <w:szCs w:val="20"/>
          <w:lang w:val="ka-GE"/>
        </w:rPr>
        <w:t xml:space="preserve">Order N184 of </w:t>
      </w:r>
      <w:r w:rsidRPr="000B1C7D">
        <w:rPr>
          <w:rFonts w:ascii="Garamond" w:hAnsi="Garamond" w:cs="Times New Roman"/>
          <w:b w:val="0"/>
          <w:sz w:val="20"/>
          <w:szCs w:val="20"/>
          <w:lang w:val="ka-GE"/>
        </w:rPr>
        <w:t>the Minister of Corre</w:t>
      </w:r>
      <w:proofErr w:type="spellStart"/>
      <w:r w:rsidRPr="000B1C7D">
        <w:rPr>
          <w:rFonts w:ascii="Garamond" w:hAnsi="Garamond" w:cs="Times New Roman"/>
          <w:b w:val="0"/>
          <w:sz w:val="20"/>
          <w:szCs w:val="20"/>
        </w:rPr>
        <w:t>ctions</w:t>
      </w:r>
      <w:proofErr w:type="spellEnd"/>
      <w:r w:rsidRPr="000B1C7D">
        <w:rPr>
          <w:rFonts w:ascii="Garamond" w:hAnsi="Garamond" w:cs="Times New Roman"/>
          <w:b w:val="0"/>
          <w:sz w:val="20"/>
          <w:szCs w:val="20"/>
          <w:lang w:val="ka-GE"/>
        </w:rPr>
        <w:t xml:space="preserve"> and Legal Assistance of Georgia</w:t>
      </w:r>
      <w:r w:rsidRPr="000B1C7D">
        <w:rPr>
          <w:rFonts w:ascii="Garamond" w:hAnsi="Garamond" w:cs="Times New Roman"/>
          <w:b w:val="0"/>
          <w:sz w:val="20"/>
          <w:szCs w:val="20"/>
        </w:rPr>
        <w:t xml:space="preserve">”, </w:t>
      </w:r>
      <w:r w:rsidRPr="000B1C7D">
        <w:rPr>
          <w:rFonts w:ascii="Garamond" w:hAnsi="Garamond" w:cs="Times New Roman"/>
          <w:b w:val="0"/>
          <w:sz w:val="20"/>
          <w:szCs w:val="20"/>
          <w:lang w:val="ka-GE"/>
        </w:rPr>
        <w:t>27 December, 2010</w:t>
      </w:r>
      <w:r w:rsidRPr="000B1C7D">
        <w:rPr>
          <w:rFonts w:ascii="Garamond" w:hAnsi="Garamond" w:cs="Times New Roman"/>
          <w:b w:val="0"/>
          <w:sz w:val="20"/>
          <w:szCs w:val="20"/>
        </w:rPr>
        <w:t>.</w:t>
      </w:r>
    </w:p>
  </w:footnote>
  <w:footnote w:id="30">
    <w:p w:rsidR="00B56F0B" w:rsidRPr="000B1C7D" w:rsidRDefault="00B56F0B" w:rsidP="009073BB">
      <w:pPr>
        <w:pStyle w:val="Funotentext"/>
        <w:rPr>
          <w:rFonts w:ascii="Garamond" w:hAnsi="Garamond"/>
        </w:rPr>
      </w:pPr>
      <w:r w:rsidRPr="000B1C7D">
        <w:rPr>
          <w:rStyle w:val="Funotenzeichen"/>
          <w:rFonts w:ascii="Garamond" w:hAnsi="Garamond"/>
        </w:rPr>
        <w:footnoteRef/>
      </w:r>
      <w:r w:rsidRPr="000B1C7D">
        <w:rPr>
          <w:rFonts w:ascii="Garamond" w:hAnsi="Garamond"/>
        </w:rPr>
        <w:t xml:space="preserve">Georgian Young Lawyers’ Association (GYLA) (2011 and 2012), </w:t>
      </w:r>
      <w:r w:rsidRPr="000B1C7D">
        <w:rPr>
          <w:rFonts w:ascii="Garamond" w:hAnsi="Garamond"/>
          <w:lang w:val="en-AU"/>
        </w:rPr>
        <w:t>Annual Reports,</w:t>
      </w:r>
      <w:r w:rsidRPr="000B1C7D">
        <w:rPr>
          <w:rFonts w:ascii="Garamond" w:hAnsi="Garamond"/>
        </w:rPr>
        <w:t xml:space="preserve"> Tbilisi</w:t>
      </w:r>
    </w:p>
    <w:p w:rsidR="00B56F0B" w:rsidRPr="000B1C7D" w:rsidRDefault="001F2E06" w:rsidP="009073BB">
      <w:pPr>
        <w:pStyle w:val="Funotentext"/>
        <w:rPr>
          <w:rFonts w:ascii="Garamond" w:hAnsi="Garamond"/>
        </w:rPr>
      </w:pPr>
      <w:hyperlink r:id="rId16" w:history="1">
        <w:r w:rsidR="00B56F0B" w:rsidRPr="000B1C7D">
          <w:rPr>
            <w:rStyle w:val="Hyperlink"/>
            <w:rFonts w:ascii="Garamond" w:hAnsi="Garamond"/>
          </w:rPr>
          <w:t>http://gyla.ge/eng/publications?category=14</w:t>
        </w:r>
      </w:hyperlink>
      <w:r w:rsidR="00B56F0B" w:rsidRPr="000B1C7D">
        <w:rPr>
          <w:rStyle w:val="Hyperlink"/>
          <w:rFonts w:ascii="Garamond" w:hAnsi="Garamond"/>
          <w:u w:val="none"/>
        </w:rPr>
        <w:t>.</w:t>
      </w:r>
    </w:p>
  </w:footnote>
  <w:footnote w:id="31">
    <w:p w:rsidR="00B56F0B" w:rsidRPr="000B1C7D" w:rsidRDefault="00B56F0B" w:rsidP="00B626CB">
      <w:pPr>
        <w:pStyle w:val="Funotentext"/>
        <w:ind w:left="0" w:firstLine="0"/>
        <w:rPr>
          <w:rFonts w:ascii="Garamond" w:hAnsi="Garamond"/>
        </w:rPr>
      </w:pPr>
      <w:r w:rsidRPr="000B1C7D">
        <w:rPr>
          <w:rStyle w:val="Funotenzeichen"/>
          <w:rFonts w:ascii="Garamond" w:hAnsi="Garamond"/>
        </w:rPr>
        <w:footnoteRef/>
      </w:r>
      <w:r w:rsidRPr="000B1C7D">
        <w:rPr>
          <w:rFonts w:ascii="Garamond" w:hAnsi="Garamond"/>
        </w:rPr>
        <w:t xml:space="preserve"> </w:t>
      </w:r>
      <w:proofErr w:type="gramStart"/>
      <w:r w:rsidRPr="000B1C7D">
        <w:rPr>
          <w:rFonts w:ascii="Garamond" w:hAnsi="Garamond"/>
        </w:rPr>
        <w:t>According to Art.</w:t>
      </w:r>
      <w:proofErr w:type="gramEnd"/>
      <w:r w:rsidRPr="000B1C7D">
        <w:rPr>
          <w:rFonts w:ascii="Garamond" w:hAnsi="Garamond"/>
        </w:rPr>
        <w:t xml:space="preserve"> 207 of the C</w:t>
      </w:r>
      <w:r>
        <w:rPr>
          <w:rFonts w:ascii="Garamond" w:hAnsi="Garamond"/>
        </w:rPr>
        <w:t xml:space="preserve">riminal </w:t>
      </w:r>
      <w:r w:rsidRPr="000B1C7D">
        <w:rPr>
          <w:rFonts w:ascii="Garamond" w:hAnsi="Garamond"/>
        </w:rPr>
        <w:t>P</w:t>
      </w:r>
      <w:r>
        <w:rPr>
          <w:rFonts w:ascii="Garamond" w:hAnsi="Garamond"/>
        </w:rPr>
        <w:t xml:space="preserve">rocedural </w:t>
      </w:r>
      <w:r w:rsidRPr="000B1C7D">
        <w:rPr>
          <w:rFonts w:ascii="Garamond" w:hAnsi="Garamond"/>
        </w:rPr>
        <w:t>C</w:t>
      </w:r>
      <w:r>
        <w:rPr>
          <w:rFonts w:ascii="Garamond" w:hAnsi="Garamond"/>
        </w:rPr>
        <w:t>ode</w:t>
      </w:r>
      <w:r w:rsidRPr="000B1C7D">
        <w:rPr>
          <w:rFonts w:ascii="Garamond" w:hAnsi="Garamond"/>
        </w:rPr>
        <w:t xml:space="preserve">, the appeal against the court ruling on application of a coercive measure shall be submitted within 48 hours after the ruling is made.  </w:t>
      </w:r>
    </w:p>
  </w:footnote>
  <w:footnote w:id="32">
    <w:p w:rsidR="00B56F0B" w:rsidRPr="000B1C7D" w:rsidRDefault="00B56F0B" w:rsidP="00343776">
      <w:pPr>
        <w:pStyle w:val="Funotentext"/>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See C</w:t>
      </w:r>
      <w:r>
        <w:rPr>
          <w:rFonts w:ascii="Garamond" w:hAnsi="Garamond" w:cs="Times New Roman"/>
        </w:rPr>
        <w:t xml:space="preserve">riminal </w:t>
      </w:r>
      <w:r w:rsidRPr="000B1C7D">
        <w:rPr>
          <w:rFonts w:ascii="Garamond" w:hAnsi="Garamond" w:cs="Times New Roman"/>
        </w:rPr>
        <w:t>P</w:t>
      </w:r>
      <w:r>
        <w:rPr>
          <w:rFonts w:ascii="Garamond" w:hAnsi="Garamond" w:cs="Times New Roman"/>
        </w:rPr>
        <w:t xml:space="preserve">rocedural </w:t>
      </w:r>
      <w:r w:rsidRPr="000B1C7D">
        <w:rPr>
          <w:rFonts w:ascii="Garamond" w:hAnsi="Garamond" w:cs="Times New Roman"/>
        </w:rPr>
        <w:t>C</w:t>
      </w:r>
      <w:r>
        <w:rPr>
          <w:rFonts w:ascii="Garamond" w:hAnsi="Garamond" w:cs="Times New Roman"/>
        </w:rPr>
        <w:t>ode (CPC)</w:t>
      </w:r>
      <w:r w:rsidRPr="000B1C7D">
        <w:rPr>
          <w:rFonts w:ascii="Garamond" w:hAnsi="Garamond" w:cs="Times New Roman"/>
        </w:rPr>
        <w:t xml:space="preserve"> 1998, Art. </w:t>
      </w:r>
      <w:proofErr w:type="gramStart"/>
      <w:r w:rsidRPr="000B1C7D">
        <w:rPr>
          <w:rFonts w:ascii="Garamond" w:hAnsi="Garamond" w:cs="Times New Roman"/>
        </w:rPr>
        <w:t>316-</w:t>
      </w:r>
      <w:r>
        <w:rPr>
          <w:rFonts w:ascii="Garamond" w:hAnsi="Garamond" w:cs="Times New Roman"/>
        </w:rPr>
        <w:t>317, C</w:t>
      </w:r>
      <w:r w:rsidRPr="000B1C7D">
        <w:rPr>
          <w:rFonts w:ascii="Garamond" w:hAnsi="Garamond" w:cs="Times New Roman"/>
        </w:rPr>
        <w:t>PC current edition Art.</w:t>
      </w:r>
      <w:proofErr w:type="gramEnd"/>
      <w:r w:rsidRPr="000B1C7D">
        <w:rPr>
          <w:rFonts w:ascii="Garamond" w:hAnsi="Garamond" w:cs="Times New Roman"/>
        </w:rPr>
        <w:t xml:space="preserve"> 119.</w:t>
      </w:r>
    </w:p>
  </w:footnote>
  <w:footnote w:id="33">
    <w:p w:rsidR="00B56F0B" w:rsidRPr="000B1C7D" w:rsidRDefault="00B56F0B">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AU"/>
        </w:rPr>
        <w:t xml:space="preserve"> </w:t>
      </w:r>
      <w:r w:rsidRPr="000B1C7D">
        <w:rPr>
          <w:rFonts w:ascii="Garamond" w:hAnsi="Garamond" w:cs="Times New Roman"/>
          <w:lang w:val="en-AU"/>
        </w:rPr>
        <w:t>Georgian Young Lawyers’ Association (</w:t>
      </w:r>
      <w:r w:rsidRPr="000B1C7D">
        <w:rPr>
          <w:rFonts w:ascii="Garamond" w:hAnsi="Garamond" w:cs="Times New Roman"/>
          <w:lang w:val="en-GB"/>
        </w:rPr>
        <w:t xml:space="preserve">GYLA) (2011), “Analysis of Criminal and Administrative Cases with Alleged Political Motive, Part 1”, Tbilisi, p. 7; </w:t>
      </w:r>
      <w:r w:rsidRPr="000B1C7D">
        <w:rPr>
          <w:rFonts w:ascii="Garamond" w:hAnsi="Garamond" w:cs="Times New Roman"/>
          <w:lang w:val="en-AU"/>
        </w:rPr>
        <w:t>Georgian Young Lawyers’ Association (</w:t>
      </w:r>
      <w:r w:rsidRPr="000B1C7D">
        <w:rPr>
          <w:rFonts w:ascii="Garamond" w:hAnsi="Garamond" w:cs="Times New Roman"/>
          <w:lang w:val="en-GB"/>
        </w:rPr>
        <w:t>GYLA) (2012), “Analysis of Criminal and Administrative Cases with Alleged Political Motive, Part 2”, Tbilisi, p. 77.</w:t>
      </w:r>
    </w:p>
  </w:footnote>
  <w:footnote w:id="34">
    <w:p w:rsidR="00B56F0B" w:rsidRPr="000B1C7D" w:rsidRDefault="00B56F0B" w:rsidP="00343776">
      <w:pPr>
        <w:pStyle w:val="Funotentext"/>
        <w:jc w:val="both"/>
        <w:rPr>
          <w:rFonts w:ascii="Garamond" w:hAnsi="Garamond" w:cs="Times New Roman"/>
          <w:lang w:val="en-GB"/>
        </w:rPr>
      </w:pPr>
      <w:r w:rsidRPr="000B1C7D">
        <w:rPr>
          <w:rStyle w:val="Funotenzeichen"/>
          <w:rFonts w:ascii="Garamond" w:hAnsi="Garamond" w:cs="Times New Roman"/>
          <w:lang w:val="en-GB"/>
        </w:rPr>
        <w:footnoteRef/>
      </w:r>
      <w:r w:rsidRPr="000B1C7D">
        <w:rPr>
          <w:rFonts w:ascii="Garamond" w:hAnsi="Garamond" w:cs="Times New Roman"/>
          <w:lang w:val="en-GB"/>
        </w:rPr>
        <w:t xml:space="preserve"> Criminal Procedure Code, 1998: Art. </w:t>
      </w:r>
      <w:proofErr w:type="gramStart"/>
      <w:r w:rsidRPr="000B1C7D">
        <w:rPr>
          <w:rFonts w:ascii="Garamond" w:hAnsi="Garamond" w:cs="Times New Roman"/>
          <w:lang w:val="en-GB"/>
        </w:rPr>
        <w:t>151.1; Criminal Procedure Code, Art.</w:t>
      </w:r>
      <w:proofErr w:type="gramEnd"/>
      <w:r w:rsidRPr="000B1C7D">
        <w:rPr>
          <w:rFonts w:ascii="Garamond" w:hAnsi="Garamond" w:cs="Times New Roman"/>
          <w:lang w:val="en-GB"/>
        </w:rPr>
        <w:t xml:space="preserve"> 198.1.</w:t>
      </w:r>
    </w:p>
  </w:footnote>
  <w:footnote w:id="35">
    <w:p w:rsidR="00B56F0B" w:rsidRPr="000B1C7D" w:rsidRDefault="00B56F0B" w:rsidP="009A3C99">
      <w:pPr>
        <w:pStyle w:val="Funotentext"/>
        <w:ind w:left="0" w:firstLine="0"/>
        <w:jc w:val="both"/>
        <w:rPr>
          <w:rFonts w:ascii="Garamond" w:hAnsi="Garamond"/>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proofErr w:type="gramStart"/>
      <w:r w:rsidRPr="000B1C7D">
        <w:rPr>
          <w:rFonts w:ascii="Garamond" w:hAnsi="Garamond" w:cs="Times New Roman"/>
          <w:lang w:val="en-GB"/>
        </w:rPr>
        <w:t xml:space="preserve">Nino </w:t>
      </w:r>
      <w:proofErr w:type="spellStart"/>
      <w:r w:rsidRPr="000B1C7D">
        <w:rPr>
          <w:rFonts w:ascii="Garamond" w:hAnsi="Garamond" w:cs="Times New Roman"/>
          <w:lang w:val="en-GB"/>
        </w:rPr>
        <w:t>Khaindrava</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Besarion</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Bokhashvili</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Tinatin</w:t>
      </w:r>
      <w:proofErr w:type="spellEnd"/>
      <w:r w:rsidRPr="000B1C7D">
        <w:rPr>
          <w:rFonts w:ascii="Garamond" w:hAnsi="Garamond" w:cs="Times New Roman"/>
          <w:lang w:val="en-GB"/>
        </w:rPr>
        <w:t xml:space="preserve"> Khidasheli (2010), “The Analysis of Human Rights Law concerning the application of pre-trial detention”, p. 96.</w:t>
      </w:r>
      <w:proofErr w:type="gramEnd"/>
    </w:p>
  </w:footnote>
  <w:footnote w:id="36">
    <w:p w:rsidR="00B56F0B" w:rsidRDefault="00B56F0B" w:rsidP="009A3C99">
      <w:pPr>
        <w:pStyle w:val="Funotentext"/>
        <w:ind w:left="0" w:firstLine="1"/>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AU"/>
        </w:rPr>
        <w:t xml:space="preserve"> </w:t>
      </w:r>
      <w:r w:rsidRPr="000B1C7D">
        <w:rPr>
          <w:rFonts w:ascii="Garamond" w:hAnsi="Garamond" w:cs="Times New Roman"/>
          <w:lang w:val="en-AU"/>
        </w:rPr>
        <w:t>Georgian Young Lawyers’ Association (</w:t>
      </w:r>
      <w:r w:rsidRPr="000B1C7D">
        <w:rPr>
          <w:rFonts w:ascii="Garamond" w:hAnsi="Garamond" w:cs="Times New Roman"/>
          <w:lang w:val="en-GB"/>
        </w:rPr>
        <w:t xml:space="preserve">GYLA) (2011), “Analysis of Criminal and Administrative Cases with Alleged Political Motive: Part I”, Tbilisi; </w:t>
      </w:r>
    </w:p>
    <w:p w:rsidR="00B56F0B" w:rsidRPr="000B1C7D" w:rsidRDefault="00B56F0B" w:rsidP="009A3C99">
      <w:pPr>
        <w:pStyle w:val="Funotentext"/>
        <w:ind w:left="0" w:firstLine="1"/>
        <w:jc w:val="both"/>
        <w:rPr>
          <w:rFonts w:ascii="Garamond" w:hAnsi="Garamond" w:cs="Times New Roman"/>
          <w:lang w:val="en-GB"/>
        </w:rPr>
      </w:pPr>
      <w:r w:rsidRPr="000B1C7D">
        <w:rPr>
          <w:rFonts w:ascii="Garamond" w:hAnsi="Garamond" w:cs="Times New Roman"/>
          <w:lang w:val="en-AU"/>
        </w:rPr>
        <w:t>Georgian Young Lawyers’ Association (</w:t>
      </w:r>
      <w:r w:rsidRPr="000B1C7D">
        <w:rPr>
          <w:rFonts w:ascii="Garamond" w:hAnsi="Garamond" w:cs="Times New Roman"/>
          <w:lang w:val="en-GB"/>
        </w:rPr>
        <w:t>GYLA) (2012), “Part II: Analysis of Individual Cases”, Tbilisi.</w:t>
      </w:r>
    </w:p>
  </w:footnote>
  <w:footnote w:id="37">
    <w:p w:rsidR="00B56F0B" w:rsidRDefault="00B56F0B" w:rsidP="00530DE6">
      <w:pPr>
        <w:pStyle w:val="Funotentext"/>
        <w:ind w:left="0" w:hanging="13"/>
        <w:jc w:val="both"/>
        <w:rPr>
          <w:rFonts w:ascii="Garamond" w:hAnsi="Garamond" w:cs="Times New Roman"/>
          <w:lang w:val="en-GB"/>
        </w:rPr>
      </w:pPr>
      <w:r w:rsidRPr="000B1C7D">
        <w:rPr>
          <w:rStyle w:val="Funotenzeichen"/>
          <w:rFonts w:ascii="Garamond" w:hAnsi="Garamond" w:cs="Times New Roman"/>
          <w:lang w:val="en-GB"/>
        </w:rPr>
        <w:footnoteRef/>
      </w:r>
      <w:r w:rsidRPr="000B1C7D">
        <w:rPr>
          <w:rFonts w:ascii="Garamond" w:hAnsi="Garamond" w:cs="Times New Roman"/>
          <w:lang w:val="en-AU"/>
        </w:rPr>
        <w:t>Georgian Young Lawyers’ Association (</w:t>
      </w:r>
      <w:r w:rsidRPr="000B1C7D">
        <w:rPr>
          <w:rFonts w:ascii="Garamond" w:hAnsi="Garamond" w:cs="Times New Roman"/>
          <w:lang w:val="en-GB"/>
        </w:rPr>
        <w:t xml:space="preserve">GYLA) (2012), “The Monitoring Report on Criminal Cases at the Tbilisi and Kutaisi City Courts”, Tbilisi;  </w:t>
      </w:r>
    </w:p>
    <w:p w:rsidR="00B56F0B" w:rsidRPr="000B1C7D" w:rsidRDefault="00B56F0B" w:rsidP="000D1561">
      <w:pPr>
        <w:pStyle w:val="Funotentext"/>
        <w:ind w:left="0" w:hanging="13"/>
        <w:jc w:val="both"/>
        <w:rPr>
          <w:rFonts w:ascii="Garamond" w:hAnsi="Garamond" w:cs="Times New Roman"/>
          <w:lang w:val="en-GB"/>
        </w:rPr>
      </w:pPr>
      <w:proofErr w:type="spellStart"/>
      <w:r w:rsidRPr="000B1C7D">
        <w:rPr>
          <w:rFonts w:ascii="Garamond" w:hAnsi="Garamond" w:cs="Times New Roman"/>
          <w:lang w:val="en-GB"/>
        </w:rPr>
        <w:t>Eka</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Khutsishvili</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Tinatin</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Aval</w:t>
      </w:r>
      <w:r>
        <w:rPr>
          <w:rFonts w:ascii="Garamond" w:hAnsi="Garamond" w:cs="Times New Roman"/>
          <w:lang w:val="en-GB"/>
        </w:rPr>
        <w:t>iani</w:t>
      </w:r>
      <w:proofErr w:type="spellEnd"/>
      <w:r>
        <w:rPr>
          <w:rFonts w:ascii="Garamond" w:hAnsi="Garamond" w:cs="Times New Roman"/>
          <w:lang w:val="en-GB"/>
        </w:rPr>
        <w:t xml:space="preserve"> (2012), “Monitoring Report </w:t>
      </w:r>
      <w:r w:rsidRPr="000B1C7D">
        <w:rPr>
          <w:rFonts w:ascii="Garamond" w:hAnsi="Garamond" w:cs="Times New Roman"/>
          <w:lang w:val="en-GB"/>
        </w:rPr>
        <w:t>№1”, Tbilisi, p. 10.</w:t>
      </w:r>
    </w:p>
  </w:footnote>
  <w:footnote w:id="38">
    <w:p w:rsidR="00B56F0B" w:rsidRDefault="00B56F0B" w:rsidP="00FF6C75">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sidRPr="000B1C7D">
        <w:rPr>
          <w:rFonts w:ascii="Garamond" w:hAnsi="Garamond" w:cs="Times New Roman"/>
          <w:lang w:val="en-AU"/>
        </w:rPr>
        <w:t>Georgian Young Lawyers’ Association (</w:t>
      </w:r>
      <w:r w:rsidRPr="000B1C7D">
        <w:rPr>
          <w:rFonts w:ascii="Garamond" w:hAnsi="Garamond" w:cs="Times New Roman"/>
          <w:lang w:val="en-GB"/>
        </w:rPr>
        <w:t xml:space="preserve">GYLA) (2012) “The Monitoring Report on Criminal Cases at the Tbilisi and Kutaisi City Courts”, Tbilisi; </w:t>
      </w:r>
    </w:p>
    <w:p w:rsidR="00B56F0B" w:rsidRPr="000B1C7D" w:rsidRDefault="00B56F0B" w:rsidP="00FF6C75">
      <w:pPr>
        <w:pStyle w:val="Funotentext"/>
        <w:ind w:left="0" w:firstLine="0"/>
        <w:jc w:val="both"/>
        <w:rPr>
          <w:rFonts w:ascii="Garamond" w:hAnsi="Garamond" w:cs="Times New Roman"/>
          <w:lang w:val="en-GB"/>
        </w:rPr>
      </w:pPr>
      <w:proofErr w:type="spellStart"/>
      <w:r w:rsidRPr="000B1C7D">
        <w:rPr>
          <w:rFonts w:ascii="Garamond" w:hAnsi="Garamond" w:cs="Times New Roman"/>
          <w:lang w:val="en-GB"/>
        </w:rPr>
        <w:t>Eka</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Khutsishvili</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Tinatin</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Aval</w:t>
      </w:r>
      <w:r>
        <w:rPr>
          <w:rFonts w:ascii="Garamond" w:hAnsi="Garamond" w:cs="Times New Roman"/>
          <w:lang w:val="en-GB"/>
        </w:rPr>
        <w:t>iani</w:t>
      </w:r>
      <w:proofErr w:type="spellEnd"/>
      <w:r>
        <w:rPr>
          <w:rFonts w:ascii="Garamond" w:hAnsi="Garamond" w:cs="Times New Roman"/>
          <w:lang w:val="en-GB"/>
        </w:rPr>
        <w:t xml:space="preserve"> (2012), “Monitoring Report </w:t>
      </w:r>
      <w:r w:rsidRPr="000B1C7D">
        <w:rPr>
          <w:rFonts w:ascii="Garamond" w:hAnsi="Garamond" w:cs="Times New Roman"/>
          <w:lang w:val="en-GB"/>
        </w:rPr>
        <w:t>№2”, Tbilisi, p. 16.</w:t>
      </w:r>
    </w:p>
  </w:footnote>
  <w:footnote w:id="39">
    <w:p w:rsidR="00B56F0B" w:rsidRDefault="00B56F0B" w:rsidP="00FF6C75">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sidRPr="000B1C7D">
        <w:rPr>
          <w:rFonts w:ascii="Garamond" w:hAnsi="Garamond" w:cs="Times New Roman"/>
          <w:lang w:val="en-AU"/>
        </w:rPr>
        <w:t>Georgian Young Lawyers’ Association (</w:t>
      </w:r>
      <w:r w:rsidRPr="000B1C7D">
        <w:rPr>
          <w:rFonts w:ascii="Garamond" w:hAnsi="Garamond" w:cs="Times New Roman"/>
          <w:lang w:val="en-GB"/>
        </w:rPr>
        <w:t>GYLA) (2012) “The Monitoring Report on Criminal Cases at the Tbilisi an</w:t>
      </w:r>
      <w:r>
        <w:rPr>
          <w:rFonts w:ascii="Garamond" w:hAnsi="Garamond" w:cs="Times New Roman"/>
          <w:lang w:val="en-GB"/>
        </w:rPr>
        <w:t>d Kutaisi City Courts”, Tbilisi</w:t>
      </w:r>
      <w:r w:rsidRPr="000B1C7D">
        <w:rPr>
          <w:rFonts w:ascii="Garamond" w:hAnsi="Garamond" w:cs="Times New Roman"/>
          <w:lang w:val="en-GB"/>
        </w:rPr>
        <w:t xml:space="preserve"> </w:t>
      </w:r>
    </w:p>
    <w:p w:rsidR="00B56F0B" w:rsidRPr="000D1561" w:rsidRDefault="00B56F0B" w:rsidP="00FF6C75">
      <w:pPr>
        <w:pStyle w:val="Funotentext"/>
        <w:ind w:left="0" w:firstLine="0"/>
        <w:jc w:val="both"/>
        <w:rPr>
          <w:rFonts w:ascii="Garamond" w:hAnsi="Garamond" w:cs="Times New Roman"/>
          <w:lang w:val="en-GB"/>
        </w:rPr>
      </w:pPr>
      <w:proofErr w:type="spellStart"/>
      <w:r w:rsidRPr="000B1C7D">
        <w:rPr>
          <w:rFonts w:ascii="Garamond" w:hAnsi="Garamond" w:cs="Times New Roman"/>
          <w:lang w:val="en-GB"/>
        </w:rPr>
        <w:t>Eka</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Khutsishvili</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Tinatin</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Aval</w:t>
      </w:r>
      <w:r>
        <w:rPr>
          <w:rFonts w:ascii="Garamond" w:hAnsi="Garamond" w:cs="Times New Roman"/>
          <w:lang w:val="en-GB"/>
        </w:rPr>
        <w:t>iani</w:t>
      </w:r>
      <w:proofErr w:type="spellEnd"/>
      <w:r>
        <w:rPr>
          <w:rFonts w:ascii="Garamond" w:hAnsi="Garamond" w:cs="Times New Roman"/>
          <w:lang w:val="en-GB"/>
        </w:rPr>
        <w:t xml:space="preserve"> (2012), “Monitoring Report </w:t>
      </w:r>
      <w:r w:rsidRPr="000B1C7D">
        <w:rPr>
          <w:rFonts w:ascii="Garamond" w:hAnsi="Garamond" w:cs="Times New Roman"/>
          <w:lang w:val="en-GB"/>
        </w:rPr>
        <w:t>№2”, Tbilisi, p. 14.</w:t>
      </w:r>
    </w:p>
  </w:footnote>
  <w:footnote w:id="40">
    <w:p w:rsidR="00B56F0B" w:rsidRPr="000B1C7D" w:rsidRDefault="00B56F0B" w:rsidP="000D1561">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proofErr w:type="gramStart"/>
      <w:r w:rsidRPr="000B1C7D">
        <w:rPr>
          <w:rFonts w:ascii="Garamond" w:hAnsi="Garamond" w:cs="Times New Roman"/>
          <w:lang w:val="en-GB"/>
        </w:rPr>
        <w:t>According to Art.</w:t>
      </w:r>
      <w:proofErr w:type="gramEnd"/>
      <w:r w:rsidRPr="000B1C7D">
        <w:rPr>
          <w:rFonts w:ascii="Garamond" w:hAnsi="Garamond" w:cs="Times New Roman"/>
          <w:lang w:val="en-GB"/>
        </w:rPr>
        <w:t xml:space="preserve"> 47 of the organic law on General Courts (</w:t>
      </w:r>
      <w:r>
        <w:rPr>
          <w:rFonts w:ascii="Garamond" w:hAnsi="Garamond" w:cs="Times New Roman"/>
          <w:lang w:val="en-GB"/>
        </w:rPr>
        <w:t xml:space="preserve">version in force at the time of </w:t>
      </w:r>
      <w:r w:rsidRPr="000B1C7D">
        <w:rPr>
          <w:rFonts w:ascii="Garamond" w:hAnsi="Garamond" w:cs="Times New Roman"/>
          <w:lang w:val="en-GB"/>
        </w:rPr>
        <w:t>drafting the report), the Council consisted of 15 members of whom 9 wer</w:t>
      </w:r>
      <w:r>
        <w:rPr>
          <w:rFonts w:ascii="Garamond" w:hAnsi="Garamond" w:cs="Times New Roman"/>
          <w:lang w:val="en-GB"/>
        </w:rPr>
        <w:t xml:space="preserve">e judges, 4 were the members of </w:t>
      </w:r>
      <w:r w:rsidRPr="000B1C7D">
        <w:rPr>
          <w:rFonts w:ascii="Garamond" w:hAnsi="Garamond" w:cs="Times New Roman"/>
          <w:lang w:val="en-GB"/>
        </w:rPr>
        <w:t xml:space="preserve">Parliament and 2 were appointed by the President. </w:t>
      </w:r>
    </w:p>
  </w:footnote>
  <w:footnote w:id="41">
    <w:p w:rsidR="00B56F0B" w:rsidRPr="000B1C7D" w:rsidRDefault="00B56F0B" w:rsidP="002560C2">
      <w:pPr>
        <w:pStyle w:val="Funotentext"/>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5.</w:t>
      </w:r>
    </w:p>
  </w:footnote>
  <w:footnote w:id="42">
    <w:p w:rsidR="00B56F0B" w:rsidRPr="000B1C7D" w:rsidRDefault="00B56F0B" w:rsidP="009D719D">
      <w:pPr>
        <w:pStyle w:val="Funotentext"/>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8-10.</w:t>
      </w:r>
    </w:p>
  </w:footnote>
  <w:footnote w:id="43">
    <w:p w:rsidR="00B56F0B" w:rsidRPr="000B1C7D" w:rsidRDefault="00B56F0B" w:rsidP="009D719D">
      <w:pPr>
        <w:pStyle w:val="Funotentext"/>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10.</w:t>
      </w:r>
    </w:p>
  </w:footnote>
  <w:footnote w:id="44">
    <w:p w:rsidR="00B56F0B" w:rsidRPr="000B1C7D" w:rsidRDefault="00B56F0B" w:rsidP="009D719D">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12-20.</w:t>
      </w:r>
    </w:p>
  </w:footnote>
  <w:footnote w:id="45">
    <w:p w:rsidR="00B56F0B" w:rsidRPr="000B1C7D" w:rsidRDefault="00B56F0B" w:rsidP="00D06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0"/>
          <w:lang w:val="en-GB"/>
        </w:rPr>
      </w:pPr>
      <w:r w:rsidRPr="000B1C7D">
        <w:rPr>
          <w:rStyle w:val="Funotenzeichen"/>
          <w:sz w:val="20"/>
          <w:lang w:val="en-GB"/>
        </w:rPr>
        <w:footnoteRef/>
      </w:r>
      <w:r w:rsidRPr="000B1C7D">
        <w:rPr>
          <w:sz w:val="20"/>
          <w:lang w:val="en-GB"/>
        </w:rPr>
        <w:t xml:space="preserve"> See the Art. 1.3</w:t>
      </w:r>
      <w:proofErr w:type="gramStart"/>
      <w:r w:rsidRPr="000B1C7D">
        <w:rPr>
          <w:sz w:val="20"/>
          <w:lang w:val="en-GB"/>
        </w:rPr>
        <w:t>.d</w:t>
      </w:r>
      <w:proofErr w:type="gramEnd"/>
      <w:r w:rsidRPr="000B1C7D">
        <w:rPr>
          <w:sz w:val="20"/>
          <w:lang w:val="en-GB"/>
        </w:rPr>
        <w:t xml:space="preserve"> of the Law on Changes and Amendments to the Organic Law of Georgia on the </w:t>
      </w:r>
      <w:r w:rsidRPr="000B1C7D">
        <w:rPr>
          <w:bCs/>
          <w:sz w:val="20"/>
          <w:lang w:val="en-GB"/>
        </w:rPr>
        <w:t>Courts of General Jurisdiction.</w:t>
      </w:r>
    </w:p>
  </w:footnote>
  <w:footnote w:id="46">
    <w:p w:rsidR="00B56F0B" w:rsidRPr="000B1C7D" w:rsidRDefault="00B56F0B" w:rsidP="00505C59">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European Commission for Democracy </w:t>
      </w:r>
      <w:proofErr w:type="gramStart"/>
      <w:r>
        <w:rPr>
          <w:rFonts w:ascii="Garamond" w:hAnsi="Garamond" w:cs="Times New Roman"/>
        </w:rPr>
        <w:t>Through</w:t>
      </w:r>
      <w:proofErr w:type="gramEnd"/>
      <w:r>
        <w:rPr>
          <w:rFonts w:ascii="Garamond" w:hAnsi="Garamond" w:cs="Times New Roman"/>
        </w:rPr>
        <w:t xml:space="preserve"> Law (Venice Commission), (March 2013), “Opinion on the Draft Amendments to the Organic Law on Courts of General Jurisdiction of Georgia”, Strasbourg</w:t>
      </w:r>
      <w:r w:rsidRPr="000B1C7D">
        <w:rPr>
          <w:rFonts w:ascii="Garamond" w:hAnsi="Garamond" w:cs="Times New Roman"/>
        </w:rPr>
        <w:t xml:space="preserve"> </w:t>
      </w:r>
      <w:r>
        <w:rPr>
          <w:rFonts w:ascii="Garamond" w:hAnsi="Garamond" w:cs="Times New Roman"/>
        </w:rPr>
        <w:t>(</w:t>
      </w:r>
      <w:hyperlink r:id="rId17" w:history="1">
        <w:r w:rsidRPr="000B1C7D">
          <w:rPr>
            <w:rStyle w:val="Hyperlink"/>
            <w:rFonts w:ascii="Garamond" w:hAnsi="Garamond" w:cs="Times New Roman"/>
            <w:lang w:val="ka-GE"/>
          </w:rPr>
          <w:t>http://www.venice.coe.int/webforms/documents/?pdf=CDL-AD(2013)007-e</w:t>
        </w:r>
      </w:hyperlink>
      <w:r>
        <w:rPr>
          <w:rFonts w:ascii="Garamond" w:hAnsi="Garamond"/>
        </w:rPr>
        <w:t>)</w:t>
      </w:r>
      <w:r w:rsidRPr="000B1C7D">
        <w:rPr>
          <w:rFonts w:ascii="Garamond" w:hAnsi="Garamond" w:cs="Times New Roman"/>
        </w:rPr>
        <w:t>.</w:t>
      </w:r>
    </w:p>
  </w:footnote>
  <w:footnote w:id="47">
    <w:p w:rsidR="00B56F0B" w:rsidRPr="000B1C7D" w:rsidRDefault="00B56F0B" w:rsidP="00D06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0"/>
          <w:lang w:val="en-GB"/>
        </w:rPr>
      </w:pPr>
      <w:r w:rsidRPr="000B1C7D">
        <w:rPr>
          <w:rStyle w:val="Funotenzeichen"/>
          <w:b/>
          <w:sz w:val="20"/>
          <w:lang w:val="en-GB"/>
        </w:rPr>
        <w:footnoteRef/>
      </w:r>
      <w:r w:rsidRPr="000B1C7D">
        <w:rPr>
          <w:sz w:val="20"/>
          <w:lang w:val="en-GB"/>
        </w:rPr>
        <w:t xml:space="preserve"> Draft Law on Changes and Amendments to the Organic Law of Georgia on the </w:t>
      </w:r>
      <w:r w:rsidRPr="000B1C7D">
        <w:rPr>
          <w:bCs/>
          <w:sz w:val="20"/>
          <w:lang w:val="en-GB"/>
        </w:rPr>
        <w:t>Courts of General Jurisdiction</w:t>
      </w:r>
      <w:r w:rsidRPr="000B1C7D">
        <w:rPr>
          <w:noProof/>
          <w:sz w:val="20"/>
          <w:lang w:val="en-GB"/>
        </w:rPr>
        <w:t>, the version of April 5, 2013.</w:t>
      </w:r>
    </w:p>
  </w:footnote>
  <w:footnote w:id="48">
    <w:p w:rsidR="00B56F0B" w:rsidRPr="000B1C7D" w:rsidRDefault="00B56F0B" w:rsidP="00D0612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Garamond" w:eastAsia="Calibri" w:hAnsi="Garamond" w:cs="Times New Roman"/>
          <w:bCs/>
          <w:sz w:val="20"/>
          <w:szCs w:val="20"/>
          <w:lang w:val="en-GB"/>
        </w:rPr>
      </w:pPr>
      <w:r w:rsidRPr="000B1C7D">
        <w:rPr>
          <w:rStyle w:val="Funotenzeichen"/>
          <w:rFonts w:ascii="Garamond" w:hAnsi="Garamond" w:cs="Times New Roman"/>
          <w:sz w:val="20"/>
          <w:szCs w:val="20"/>
          <w:lang w:val="en-GB"/>
        </w:rPr>
        <w:footnoteRef/>
      </w:r>
      <w:r w:rsidRPr="000B1C7D">
        <w:rPr>
          <w:rFonts w:ascii="Garamond" w:hAnsi="Garamond" w:cs="Times New Roman"/>
          <w:sz w:val="20"/>
          <w:szCs w:val="20"/>
          <w:lang w:val="en-GB"/>
        </w:rPr>
        <w:t xml:space="preserve"> See paragraph 6 of Art.</w:t>
      </w:r>
      <w:r>
        <w:rPr>
          <w:rFonts w:ascii="Garamond" w:hAnsi="Garamond" w:cs="Times New Roman"/>
          <w:sz w:val="20"/>
          <w:szCs w:val="20"/>
          <w:lang w:val="en-GB"/>
        </w:rPr>
        <w:t xml:space="preserve"> </w:t>
      </w:r>
      <w:proofErr w:type="gramStart"/>
      <w:r>
        <w:rPr>
          <w:rFonts w:ascii="Garamond" w:hAnsi="Garamond" w:cs="Times New Roman"/>
          <w:sz w:val="20"/>
          <w:szCs w:val="20"/>
          <w:lang w:val="en-GB"/>
        </w:rPr>
        <w:t>19 of the Organic L</w:t>
      </w:r>
      <w:r w:rsidRPr="000B1C7D">
        <w:rPr>
          <w:rFonts w:ascii="Garamond" w:hAnsi="Garamond" w:cs="Times New Roman"/>
          <w:sz w:val="20"/>
          <w:szCs w:val="20"/>
          <w:lang w:val="en-GB"/>
        </w:rPr>
        <w:t xml:space="preserve">aw of Georgia </w:t>
      </w:r>
      <w:r w:rsidRPr="000B1C7D">
        <w:rPr>
          <w:rFonts w:ascii="Garamond" w:hAnsi="Garamond" w:cs="Times New Roman"/>
          <w:bCs/>
          <w:sz w:val="20"/>
          <w:szCs w:val="20"/>
          <w:lang w:val="en-GB"/>
        </w:rPr>
        <w:t>on General Courts</w:t>
      </w:r>
      <w:r w:rsidRPr="000B1C7D">
        <w:rPr>
          <w:rFonts w:ascii="Garamond" w:hAnsi="Garamond" w:cs="Times New Roman"/>
          <w:sz w:val="20"/>
          <w:szCs w:val="20"/>
          <w:lang w:val="en-GB"/>
        </w:rPr>
        <w:t>; also, Art.</w:t>
      </w:r>
      <w:proofErr w:type="gramEnd"/>
      <w:r w:rsidRPr="000B1C7D">
        <w:rPr>
          <w:rFonts w:ascii="Garamond" w:hAnsi="Garamond" w:cs="Times New Roman"/>
          <w:sz w:val="20"/>
          <w:szCs w:val="20"/>
          <w:lang w:val="en-GB"/>
        </w:rPr>
        <w:t xml:space="preserve"> </w:t>
      </w:r>
      <w:proofErr w:type="gramStart"/>
      <w:r w:rsidRPr="000B1C7D">
        <w:rPr>
          <w:rFonts w:ascii="Garamond" w:hAnsi="Garamond" w:cs="Times New Roman"/>
          <w:sz w:val="20"/>
          <w:szCs w:val="20"/>
          <w:lang w:val="en-GB"/>
        </w:rPr>
        <w:t xml:space="preserve">24 of the Law on Disciplinary Responsibility of Judges of </w:t>
      </w:r>
      <w:r w:rsidRPr="000B1C7D">
        <w:rPr>
          <w:rFonts w:ascii="Garamond" w:hAnsi="Garamond" w:cs="Times New Roman"/>
          <w:bCs/>
          <w:sz w:val="20"/>
          <w:szCs w:val="20"/>
          <w:lang w:val="en-GB"/>
        </w:rPr>
        <w:t>General Courts and Disciplinary Proceedings</w:t>
      </w:r>
      <w:r w:rsidRPr="000B1C7D">
        <w:rPr>
          <w:rFonts w:ascii="Garamond" w:hAnsi="Garamond" w:cs="Times New Roman"/>
          <w:sz w:val="20"/>
          <w:szCs w:val="20"/>
          <w:lang w:val="en-GB"/>
        </w:rPr>
        <w:t>, the edition of April 4, 2013.</w:t>
      </w:r>
      <w:proofErr w:type="gramEnd"/>
    </w:p>
  </w:footnote>
  <w:footnote w:id="49">
    <w:p w:rsidR="00B56F0B" w:rsidRPr="00505C59" w:rsidRDefault="00B56F0B" w:rsidP="00505C59">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12-15; Georgian Young Lawyers As</w:t>
      </w:r>
      <w:r>
        <w:rPr>
          <w:rFonts w:ascii="Garamond" w:hAnsi="Garamond" w:cs="Times New Roman"/>
          <w:lang w:val="en-GB"/>
        </w:rPr>
        <w:t>sociation (GYLA)</w:t>
      </w:r>
      <w:proofErr w:type="gramStart"/>
      <w:r>
        <w:rPr>
          <w:rFonts w:ascii="Garamond" w:hAnsi="Garamond" w:cs="Times New Roman"/>
          <w:lang w:val="en-GB"/>
        </w:rPr>
        <w:t>,  Transparency</w:t>
      </w:r>
      <w:proofErr w:type="gramEnd"/>
      <w:r>
        <w:rPr>
          <w:rFonts w:ascii="Garamond" w:hAnsi="Garamond" w:cs="Times New Roman"/>
          <w:lang w:val="en-GB"/>
        </w:rPr>
        <w:t xml:space="preserve"> </w:t>
      </w:r>
      <w:r w:rsidRPr="000B1C7D">
        <w:rPr>
          <w:rFonts w:ascii="Garamond" w:hAnsi="Garamond" w:cs="Times New Roman"/>
          <w:lang w:val="en-GB"/>
        </w:rPr>
        <w:t>International Georgia (2012), “</w:t>
      </w:r>
      <w:r w:rsidRPr="000B1C7D">
        <w:rPr>
          <w:rFonts w:ascii="Garamond" w:hAnsi="Garamond"/>
        </w:rPr>
        <w:t xml:space="preserve">The High Council of Justice Monitoring Report”, </w:t>
      </w:r>
      <w:r>
        <w:rPr>
          <w:rFonts w:ascii="Garamond" w:hAnsi="Garamond" w:cs="Times New Roman"/>
          <w:lang w:val="en-GB"/>
        </w:rPr>
        <w:t>Tbilisi, p. 15-21</w:t>
      </w:r>
      <w:r w:rsidRPr="000B1C7D">
        <w:rPr>
          <w:rFonts w:ascii="Garamond" w:hAnsi="Garamond" w:cs="Times New Roman"/>
          <w:lang w:val="en-GB"/>
        </w:rPr>
        <w:t xml:space="preserve">. </w:t>
      </w:r>
    </w:p>
  </w:footnote>
  <w:footnote w:id="50">
    <w:p w:rsidR="00B56F0B" w:rsidRPr="000B1C7D" w:rsidRDefault="00B56F0B" w:rsidP="00D0612C">
      <w:pPr>
        <w:pStyle w:val="Funotentext"/>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The Law on Changes and Amendments to the Law on Disciplinary Responsibility and Disciplinary Proceedings</w:t>
      </w:r>
    </w:p>
    <w:p w:rsidR="00B56F0B" w:rsidRPr="000B1C7D" w:rsidRDefault="00B56F0B" w:rsidP="00D0612C">
      <w:pPr>
        <w:pStyle w:val="Funotentext"/>
        <w:rPr>
          <w:rFonts w:ascii="Garamond" w:hAnsi="Garamond" w:cs="Times New Roman"/>
        </w:rPr>
      </w:pPr>
      <w:proofErr w:type="gramStart"/>
      <w:r w:rsidRPr="000B1C7D">
        <w:rPr>
          <w:rFonts w:ascii="Garamond" w:hAnsi="Garamond" w:cs="Times New Roman"/>
        </w:rPr>
        <w:t>against</w:t>
      </w:r>
      <w:proofErr w:type="gramEnd"/>
      <w:r w:rsidRPr="000B1C7D">
        <w:rPr>
          <w:rFonts w:ascii="Garamond" w:hAnsi="Garamond" w:cs="Times New Roman"/>
        </w:rPr>
        <w:t xml:space="preserve"> the Judges of the Courts of General Jurisdiction of Georgia, Art. </w:t>
      </w:r>
      <w:proofErr w:type="gramStart"/>
      <w:r w:rsidRPr="000B1C7D">
        <w:rPr>
          <w:rFonts w:ascii="Garamond" w:hAnsi="Garamond" w:cs="Times New Roman"/>
        </w:rPr>
        <w:t>1, Para.</w:t>
      </w:r>
      <w:proofErr w:type="gramEnd"/>
      <w:r w:rsidRPr="000B1C7D">
        <w:rPr>
          <w:rFonts w:ascii="Garamond" w:hAnsi="Garamond" w:cs="Times New Roman"/>
        </w:rPr>
        <w:t xml:space="preserve"> </w:t>
      </w:r>
      <w:proofErr w:type="gramStart"/>
      <w:r w:rsidRPr="000B1C7D">
        <w:rPr>
          <w:rFonts w:ascii="Garamond" w:hAnsi="Garamond" w:cs="Times New Roman"/>
        </w:rPr>
        <w:t>3 and 30.</w:t>
      </w:r>
      <w:proofErr w:type="gramEnd"/>
    </w:p>
  </w:footnote>
  <w:footnote w:id="51">
    <w:p w:rsidR="00B56F0B" w:rsidRPr="000B1C7D" w:rsidRDefault="00B56F0B" w:rsidP="00D0612C">
      <w:pPr>
        <w:pStyle w:val="Funotentext"/>
        <w:rPr>
          <w:rFonts w:ascii="Garamond" w:hAnsi="Garamond" w:cs="Times New Roman"/>
        </w:rPr>
      </w:pPr>
      <w:r w:rsidRPr="000B1C7D">
        <w:rPr>
          <w:rStyle w:val="Funotenzeichen"/>
          <w:rFonts w:ascii="Garamond" w:hAnsi="Garamond" w:cs="Times New Roman"/>
          <w:lang w:val="en-GB"/>
        </w:rPr>
        <w:footnoteRef/>
      </w:r>
      <w:r>
        <w:rPr>
          <w:rFonts w:ascii="Garamond" w:hAnsi="Garamond" w:cs="Times New Roman"/>
        </w:rPr>
        <w:t xml:space="preserve"> </w:t>
      </w:r>
      <w:r w:rsidRPr="000B1C7D">
        <w:rPr>
          <w:rFonts w:ascii="Garamond" w:hAnsi="Garamond" w:cs="Times New Roman"/>
        </w:rPr>
        <w:t>The Law on Disciplinary Responsibility and Disciplinary Proceedings against the Judges of the Courts of General</w:t>
      </w:r>
    </w:p>
    <w:p w:rsidR="00B56F0B" w:rsidRPr="000B1C7D" w:rsidRDefault="00B56F0B" w:rsidP="00D0612C">
      <w:pPr>
        <w:pStyle w:val="Funotentext"/>
        <w:rPr>
          <w:rFonts w:ascii="Garamond" w:hAnsi="Garamond"/>
          <w:lang w:val="en-GB"/>
        </w:rPr>
      </w:pPr>
      <w:proofErr w:type="gramStart"/>
      <w:r w:rsidRPr="000B1C7D">
        <w:rPr>
          <w:rFonts w:ascii="Garamond" w:hAnsi="Garamond" w:cs="Times New Roman"/>
        </w:rPr>
        <w:t>Jurisdiction of Georgia, Art.</w:t>
      </w:r>
      <w:proofErr w:type="gramEnd"/>
      <w:r w:rsidRPr="000B1C7D">
        <w:rPr>
          <w:rFonts w:ascii="Garamond" w:hAnsi="Garamond" w:cs="Times New Roman"/>
        </w:rPr>
        <w:t xml:space="preserve"> 15.</w:t>
      </w:r>
      <w:r w:rsidRPr="000B1C7D">
        <w:rPr>
          <w:rFonts w:ascii="Garamond" w:hAnsi="Garamond" w:cs="Times New Roman"/>
          <w:lang w:val="en-GB"/>
        </w:rPr>
        <w:t>2; 17 and 24; as of April 4, 2013.</w:t>
      </w:r>
    </w:p>
  </w:footnote>
  <w:footnote w:id="52">
    <w:p w:rsidR="00B56F0B" w:rsidRPr="000B1C7D" w:rsidRDefault="00B56F0B" w:rsidP="00D0612C">
      <w:pPr>
        <w:pStyle w:val="sataurixml"/>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rPr>
        <w:t xml:space="preserve"> </w:t>
      </w:r>
      <w:proofErr w:type="gramStart"/>
      <w:r w:rsidRPr="000B1C7D">
        <w:rPr>
          <w:rFonts w:ascii="Garamond" w:hAnsi="Garamond" w:cs="Times New Roman"/>
        </w:rPr>
        <w:t>The draft law on changes and amendments to the Law on Disciplinary Responsibility and Disciplinary Proceedings against the Judges of the Courts of General Jurisdiction of Georgia, Para.</w:t>
      </w:r>
      <w:proofErr w:type="gramEnd"/>
      <w:r w:rsidRPr="000B1C7D">
        <w:rPr>
          <w:rFonts w:ascii="Garamond" w:hAnsi="Garamond" w:cs="Times New Roman"/>
        </w:rPr>
        <w:t xml:space="preserve"> 5, as of </w:t>
      </w:r>
      <w:r w:rsidRPr="000B1C7D">
        <w:rPr>
          <w:rFonts w:ascii="Garamond" w:hAnsi="Garamond" w:cs="Times New Roman"/>
          <w:lang w:val="en-GB"/>
        </w:rPr>
        <w:t>April 5, 2013;</w:t>
      </w:r>
    </w:p>
  </w:footnote>
  <w:footnote w:id="53">
    <w:p w:rsidR="00B56F0B" w:rsidRPr="000B1C7D" w:rsidRDefault="00B56F0B" w:rsidP="00D0612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Garamond" w:eastAsia="Calibri" w:hAnsi="Garamond" w:cs="Times New Roman"/>
          <w:bCs/>
          <w:sz w:val="20"/>
          <w:szCs w:val="20"/>
          <w:lang w:val="en-GB"/>
        </w:rPr>
      </w:pPr>
      <w:r w:rsidRPr="000B1C7D">
        <w:rPr>
          <w:rStyle w:val="Funotenzeichen"/>
          <w:rFonts w:ascii="Garamond" w:hAnsi="Garamond" w:cs="Times New Roman"/>
          <w:sz w:val="20"/>
          <w:szCs w:val="20"/>
          <w:lang w:val="en-GB"/>
        </w:rPr>
        <w:footnoteRef/>
      </w:r>
      <w:r>
        <w:rPr>
          <w:rFonts w:ascii="Garamond" w:hAnsi="Garamond" w:cs="Times New Roman"/>
          <w:sz w:val="20"/>
          <w:szCs w:val="20"/>
          <w:lang w:val="en-GB"/>
        </w:rPr>
        <w:t xml:space="preserve"> </w:t>
      </w:r>
      <w:proofErr w:type="gramStart"/>
      <w:r w:rsidRPr="000B1C7D">
        <w:rPr>
          <w:rFonts w:ascii="Garamond" w:hAnsi="Garamond" w:cs="Times New Roman"/>
          <w:sz w:val="20"/>
          <w:szCs w:val="20"/>
          <w:lang w:val="en-GB"/>
        </w:rPr>
        <w:t>The law of Georgia on the High School of Justice, Art.</w:t>
      </w:r>
      <w:proofErr w:type="gramEnd"/>
      <w:r w:rsidRPr="000B1C7D">
        <w:rPr>
          <w:rFonts w:ascii="Garamond" w:hAnsi="Garamond" w:cs="Times New Roman"/>
          <w:sz w:val="20"/>
          <w:szCs w:val="20"/>
          <w:lang w:val="en-GB"/>
        </w:rPr>
        <w:t xml:space="preserve"> 1</w:t>
      </w:r>
      <w:r w:rsidRPr="000B1C7D">
        <w:rPr>
          <w:rFonts w:ascii="Garamond" w:eastAsia="Calibri" w:hAnsi="Garamond" w:cs="Times New Roman"/>
          <w:bCs/>
          <w:sz w:val="20"/>
          <w:szCs w:val="20"/>
          <w:lang w:val="en-GB"/>
        </w:rPr>
        <w:t>.</w:t>
      </w:r>
    </w:p>
  </w:footnote>
  <w:footnote w:id="54">
    <w:p w:rsidR="00B56F0B" w:rsidRPr="000B1C7D" w:rsidRDefault="00B56F0B" w:rsidP="00D110B1">
      <w:pPr>
        <w:pStyle w:val="Funotentext"/>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proofErr w:type="gramStart"/>
      <w:r w:rsidRPr="000B1C7D">
        <w:rPr>
          <w:rFonts w:ascii="Garamond" w:hAnsi="Garamond" w:cs="Times New Roman"/>
          <w:lang w:val="en-GB"/>
        </w:rPr>
        <w:t xml:space="preserve">Georgian Young Lawyers Association </w:t>
      </w:r>
      <w:r>
        <w:rPr>
          <w:rFonts w:ascii="Garamond" w:hAnsi="Garamond" w:cs="Times New Roman"/>
          <w:lang w:val="en-GB"/>
        </w:rPr>
        <w:t xml:space="preserve">(GYLA), </w:t>
      </w:r>
      <w:r w:rsidRPr="000B1C7D">
        <w:rPr>
          <w:rFonts w:ascii="Garamond" w:hAnsi="Garamond" w:cs="Times New Roman"/>
          <w:lang w:val="en-GB"/>
        </w:rPr>
        <w:t>Transpar</w:t>
      </w:r>
      <w:r>
        <w:rPr>
          <w:rFonts w:ascii="Garamond" w:hAnsi="Garamond" w:cs="Times New Roman"/>
          <w:lang w:val="en-GB"/>
        </w:rPr>
        <w:t xml:space="preserve">ency </w:t>
      </w:r>
      <w:r w:rsidRPr="000B1C7D">
        <w:rPr>
          <w:rFonts w:ascii="Garamond" w:hAnsi="Garamond" w:cs="Times New Roman"/>
          <w:lang w:val="en-GB"/>
        </w:rPr>
        <w:t>International Georgia (2013), “</w:t>
      </w:r>
      <w:r w:rsidRPr="000B1C7D">
        <w:rPr>
          <w:rFonts w:ascii="Garamond" w:hAnsi="Garamond" w:cs="Times New Roman"/>
        </w:rPr>
        <w:t>The High Council of Justice Monitoring Report</w:t>
      </w:r>
      <w:r w:rsidRPr="000B1C7D">
        <w:rPr>
          <w:rFonts w:ascii="Garamond" w:hAnsi="Garamond" w:cs="Times New Roman"/>
          <w:lang w:val="en-AU"/>
        </w:rPr>
        <w:t xml:space="preserve">”, </w:t>
      </w:r>
      <w:r w:rsidRPr="000B1C7D">
        <w:rPr>
          <w:rFonts w:ascii="Garamond" w:hAnsi="Garamond" w:cs="Times New Roman"/>
          <w:lang w:val="en-GB"/>
        </w:rPr>
        <w:t>Tbilisi, p. 5-11.</w:t>
      </w:r>
      <w:proofErr w:type="gramEnd"/>
    </w:p>
  </w:footnote>
  <w:footnote w:id="55">
    <w:p w:rsidR="00B56F0B" w:rsidRPr="000B1C7D" w:rsidRDefault="00B56F0B" w:rsidP="00261571">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r w:rsidRPr="000B1C7D">
        <w:rPr>
          <w:rFonts w:ascii="Garamond" w:hAnsi="Garamond" w:cs="Times New Roman"/>
          <w:lang w:val="en-GB"/>
        </w:rPr>
        <w:t>Coalition for an Independent and Transparent Judiciary, (2012), “</w:t>
      </w:r>
      <w:r w:rsidRPr="000B1C7D">
        <w:rPr>
          <w:rFonts w:ascii="Garamond" w:hAnsi="Garamond" w:cs="Times New Roman"/>
          <w:lang w:val="en-AU"/>
        </w:rPr>
        <w:t>The Judicial System in Georgia</w:t>
      </w:r>
      <w:r w:rsidRPr="000B1C7D">
        <w:rPr>
          <w:rFonts w:ascii="Garamond" w:hAnsi="Garamond" w:cs="Times New Roman"/>
          <w:lang w:val="en-GB"/>
        </w:rPr>
        <w:t>”, Tbilisi, p. 24-26.</w:t>
      </w:r>
    </w:p>
  </w:footnote>
  <w:footnote w:id="56">
    <w:p w:rsidR="00B56F0B" w:rsidRPr="000B1C7D" w:rsidRDefault="00B56F0B" w:rsidP="00D0612C">
      <w:pPr>
        <w:pStyle w:val="Funotentext"/>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proofErr w:type="gramStart"/>
      <w:r>
        <w:rPr>
          <w:rFonts w:ascii="Garamond" w:hAnsi="Garamond" w:cs="Times New Roman"/>
          <w:lang w:val="en-GB"/>
        </w:rPr>
        <w:t xml:space="preserve">Constitution of Georgia, </w:t>
      </w:r>
      <w:r w:rsidRPr="000B1C7D">
        <w:rPr>
          <w:rFonts w:ascii="Garamond" w:hAnsi="Garamond" w:cs="Times New Roman"/>
          <w:lang w:val="en-GB"/>
        </w:rPr>
        <w:t>Art.</w:t>
      </w:r>
      <w:proofErr w:type="gramEnd"/>
      <w:r w:rsidRPr="000B1C7D">
        <w:rPr>
          <w:rFonts w:ascii="Garamond" w:hAnsi="Garamond" w:cs="Times New Roman"/>
          <w:lang w:val="en-GB"/>
        </w:rPr>
        <w:t xml:space="preserve"> 86.2.</w:t>
      </w:r>
    </w:p>
  </w:footnote>
  <w:footnote w:id="57">
    <w:p w:rsidR="00B56F0B" w:rsidRPr="000B1C7D" w:rsidRDefault="00B56F0B" w:rsidP="006C4CC4">
      <w:pPr>
        <w:pStyle w:val="Funotentext"/>
        <w:ind w:left="0" w:firstLine="0"/>
        <w:rPr>
          <w:rFonts w:ascii="Garamond" w:hAnsi="Garamond" w:cs="Times New Roman"/>
        </w:rPr>
      </w:pPr>
      <w:r w:rsidRPr="000B1C7D">
        <w:rPr>
          <w:rStyle w:val="Funotenzeichen"/>
          <w:rFonts w:ascii="Garamond" w:hAnsi="Garamond" w:cs="Times New Roman"/>
          <w:lang w:val="en-GB"/>
        </w:rPr>
        <w:footnoteRef/>
      </w:r>
      <w:r w:rsidRPr="000B1C7D">
        <w:rPr>
          <w:rFonts w:ascii="Garamond" w:hAnsi="Garamond" w:cs="Times New Roman"/>
          <w:lang w:val="en-GB"/>
        </w:rPr>
        <w:t xml:space="preserve"> </w:t>
      </w:r>
      <w:r w:rsidRPr="000B1C7D">
        <w:rPr>
          <w:rFonts w:ascii="Garamond" w:hAnsi="Garamond" w:cs="Times New Roman"/>
          <w:lang w:val="ka-GE"/>
        </w:rPr>
        <w:t xml:space="preserve">Letter of </w:t>
      </w:r>
      <w:r w:rsidRPr="000B1C7D">
        <w:rPr>
          <w:rFonts w:ascii="Garamond" w:hAnsi="Garamond" w:cs="Times New Roman"/>
        </w:rPr>
        <w:t xml:space="preserve">the </w:t>
      </w:r>
      <w:r w:rsidRPr="000B1C7D">
        <w:rPr>
          <w:rFonts w:ascii="Garamond" w:hAnsi="Garamond" w:cs="Times New Roman"/>
          <w:lang w:val="ka-GE"/>
        </w:rPr>
        <w:t>Georgian Young Lawyers’ Association</w:t>
      </w:r>
      <w:r w:rsidRPr="000B1C7D">
        <w:rPr>
          <w:rFonts w:ascii="Garamond" w:hAnsi="Garamond" w:cs="Times New Roman"/>
        </w:rPr>
        <w:t xml:space="preserve"> </w:t>
      </w:r>
      <w:r w:rsidRPr="000B1C7D">
        <w:rPr>
          <w:rFonts w:ascii="Garamond" w:hAnsi="Garamond" w:cs="Times New Roman"/>
          <w:lang w:val="en-AU"/>
        </w:rPr>
        <w:t xml:space="preserve">(GYLA) </w:t>
      </w:r>
      <w:r w:rsidRPr="000B1C7D">
        <w:rPr>
          <w:rFonts w:ascii="Garamond" w:hAnsi="Garamond" w:cs="Times New Roman"/>
          <w:lang w:val="ka-GE"/>
        </w:rPr>
        <w:t>of</w:t>
      </w:r>
      <w:r w:rsidRPr="000B1C7D">
        <w:rPr>
          <w:rFonts w:ascii="Garamond" w:hAnsi="Garamond" w:cs="Times New Roman"/>
        </w:rPr>
        <w:t xml:space="preserve"> October 7</w:t>
      </w:r>
      <w:r w:rsidRPr="000B1C7D">
        <w:rPr>
          <w:rFonts w:ascii="Garamond" w:hAnsi="Garamond" w:cs="Times New Roman"/>
          <w:lang w:val="ka-GE"/>
        </w:rPr>
        <w:t>, 20</w:t>
      </w:r>
      <w:r w:rsidRPr="000B1C7D">
        <w:rPr>
          <w:rFonts w:ascii="Garamond" w:hAnsi="Garamond" w:cs="Times New Roman"/>
        </w:rPr>
        <w:t>10</w:t>
      </w:r>
      <w:r w:rsidRPr="000B1C7D">
        <w:rPr>
          <w:rFonts w:ascii="Garamond" w:hAnsi="Garamond" w:cs="Times New Roman"/>
          <w:lang w:val="ka-GE"/>
        </w:rPr>
        <w:t xml:space="preserve"> #</w:t>
      </w:r>
      <w:r w:rsidRPr="000B1C7D">
        <w:rPr>
          <w:rFonts w:ascii="Garamond" w:hAnsi="Garamond" w:cs="Times New Roman"/>
        </w:rPr>
        <w:t>G</w:t>
      </w:r>
      <w:r w:rsidRPr="000B1C7D">
        <w:rPr>
          <w:rFonts w:ascii="Garamond" w:hAnsi="Garamond" w:cs="Times New Roman"/>
          <w:lang w:val="ka-GE"/>
        </w:rPr>
        <w:t>-01/</w:t>
      </w:r>
      <w:r w:rsidRPr="000B1C7D">
        <w:rPr>
          <w:rFonts w:ascii="Garamond" w:hAnsi="Garamond" w:cs="Times New Roman"/>
        </w:rPr>
        <w:t xml:space="preserve">20-10, </w:t>
      </w:r>
      <w:r w:rsidRPr="000B1C7D">
        <w:rPr>
          <w:rFonts w:ascii="Garamond" w:hAnsi="Garamond" w:cs="Times New Roman"/>
          <w:lang w:val="en-GB"/>
        </w:rPr>
        <w:t>The analysis  on the amendments to the Constitution:</w:t>
      </w:r>
    </w:p>
    <w:p w:rsidR="00B56F0B" w:rsidRPr="000B1C7D" w:rsidRDefault="001F2E06" w:rsidP="006C4CC4">
      <w:pPr>
        <w:pStyle w:val="Funotentext"/>
        <w:ind w:left="0" w:firstLine="0"/>
        <w:rPr>
          <w:rFonts w:ascii="Garamond" w:hAnsi="Garamond" w:cs="Times New Roman"/>
          <w:lang w:val="en-GB"/>
        </w:rPr>
      </w:pPr>
      <w:hyperlink r:id="rId18" w:history="1">
        <w:r w:rsidR="00B56F0B" w:rsidRPr="000B1C7D">
          <w:rPr>
            <w:rStyle w:val="Hyperlink"/>
            <w:rFonts w:ascii="Garamond" w:hAnsi="Garamond" w:cs="Times New Roman"/>
            <w:lang w:val="en-GB"/>
          </w:rPr>
          <w:t>http://qartuli.net/gyla.ge/legislature/upload/docs/daskvna%20konstituciuri%20kanonis%20proeqtze.pdf</w:t>
        </w:r>
      </w:hyperlink>
      <w:r w:rsidR="00B56F0B" w:rsidRPr="000B1C7D">
        <w:rPr>
          <w:rFonts w:ascii="Garamond" w:hAnsi="Garamond" w:cs="Times New Roman"/>
          <w:lang w:val="en-GB"/>
        </w:rPr>
        <w:t>.</w:t>
      </w:r>
    </w:p>
  </w:footnote>
  <w:footnote w:id="58">
    <w:p w:rsidR="00B56F0B" w:rsidRPr="000B1C7D" w:rsidRDefault="00B56F0B" w:rsidP="00D110B1">
      <w:pPr>
        <w:pStyle w:val="Funotentext"/>
        <w:ind w:left="0" w:firstLine="0"/>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European Commission for Democracy </w:t>
      </w:r>
      <w:proofErr w:type="gramStart"/>
      <w:r>
        <w:rPr>
          <w:rFonts w:ascii="Garamond" w:hAnsi="Garamond" w:cs="Times New Roman"/>
          <w:lang w:val="en-GB"/>
        </w:rPr>
        <w:t>Through</w:t>
      </w:r>
      <w:proofErr w:type="gramEnd"/>
      <w:r>
        <w:rPr>
          <w:rFonts w:ascii="Garamond" w:hAnsi="Garamond" w:cs="Times New Roman"/>
          <w:lang w:val="en-GB"/>
        </w:rPr>
        <w:t xml:space="preserve"> Law (Venice Commission) (2010), “Draft Opinion on the Draft Constitutional Law on Amendments and Changes to the Constitution of Georgia”, Strasbourg</w:t>
      </w:r>
      <w:r w:rsidRPr="000B1C7D">
        <w:rPr>
          <w:rFonts w:ascii="Garamond" w:hAnsi="Garamond" w:cs="Times New Roman"/>
          <w:lang w:val="en-GB"/>
        </w:rPr>
        <w:t xml:space="preserve"> </w:t>
      </w:r>
      <w:hyperlink r:id="rId19" w:history="1">
        <w:r w:rsidRPr="000B1C7D">
          <w:rPr>
            <w:rStyle w:val="Hyperlink"/>
            <w:rFonts w:ascii="Garamond" w:hAnsi="Garamond" w:cs="Times New Roman"/>
            <w:lang w:val="en-GB"/>
          </w:rPr>
          <w:t>http://www.venice.coe.int/webforms/documents/?pdf=CDL(2010)062-e</w:t>
        </w:r>
      </w:hyperlink>
      <w:r w:rsidRPr="000B1C7D">
        <w:rPr>
          <w:rFonts w:ascii="Garamond" w:hAnsi="Garamond" w:cs="Times New Roman"/>
          <w:lang w:val="en-GB"/>
        </w:rPr>
        <w:t>.</w:t>
      </w:r>
    </w:p>
  </w:footnote>
  <w:footnote w:id="59">
    <w:p w:rsidR="00B56F0B" w:rsidRPr="000B1C7D" w:rsidRDefault="00B56F0B" w:rsidP="00D0612C">
      <w:pPr>
        <w:pStyle w:val="Funotentext"/>
        <w:rPr>
          <w:rFonts w:ascii="Garamond" w:hAnsi="Garamond"/>
          <w:lang w:val="en-GB"/>
        </w:rPr>
      </w:pPr>
      <w:r w:rsidRPr="000B1C7D">
        <w:rPr>
          <w:rStyle w:val="Funotenzeichen"/>
          <w:rFonts w:ascii="Garamond" w:hAnsi="Garamond"/>
          <w:lang w:val="en-GB"/>
        </w:rPr>
        <w:footnoteRef/>
      </w:r>
      <w:r w:rsidRPr="000B1C7D">
        <w:rPr>
          <w:rFonts w:ascii="Garamond" w:hAnsi="Garamond"/>
          <w:lang w:val="en-GB"/>
        </w:rPr>
        <w:t xml:space="preserve"> Ministry of Justice of Georgia has drafted a package of legislative amendments to the Criminal Procedure Code.</w:t>
      </w:r>
    </w:p>
    <w:p w:rsidR="00B56F0B" w:rsidRPr="000B1C7D" w:rsidRDefault="00B56F0B" w:rsidP="00D0612C">
      <w:pPr>
        <w:pStyle w:val="Funotentext"/>
        <w:rPr>
          <w:rFonts w:ascii="Garamond" w:hAnsi="Garamond"/>
          <w:lang w:val="en-GB"/>
        </w:rPr>
      </w:pPr>
      <w:r w:rsidRPr="000B1C7D">
        <w:rPr>
          <w:rFonts w:ascii="Garamond" w:hAnsi="Garamond"/>
          <w:lang w:val="en-GB"/>
        </w:rPr>
        <w:t>The amendment aims to address this sh</w:t>
      </w:r>
      <w:r>
        <w:rPr>
          <w:rFonts w:ascii="Garamond" w:hAnsi="Garamond"/>
          <w:lang w:val="en-GB"/>
        </w:rPr>
        <w:t xml:space="preserve">ortcoming, but the draft is </w:t>
      </w:r>
      <w:r w:rsidRPr="000B1C7D">
        <w:rPr>
          <w:rFonts w:ascii="Garamond" w:hAnsi="Garamond"/>
          <w:lang w:val="en-GB"/>
        </w:rPr>
        <w:t>under revision.</w:t>
      </w:r>
    </w:p>
  </w:footnote>
  <w:footnote w:id="60">
    <w:p w:rsidR="00B56F0B" w:rsidRPr="000B1C7D" w:rsidRDefault="00B56F0B" w:rsidP="00D0612C">
      <w:pPr>
        <w:pStyle w:val="Funotentext"/>
        <w:rPr>
          <w:rFonts w:ascii="Garamond" w:hAnsi="Garamond"/>
          <w:lang w:val="en-GB"/>
        </w:rPr>
      </w:pPr>
      <w:r w:rsidRPr="000B1C7D">
        <w:rPr>
          <w:rStyle w:val="Funotenzeichen"/>
          <w:rFonts w:ascii="Garamond" w:hAnsi="Garamond"/>
          <w:lang w:val="en-GB"/>
        </w:rPr>
        <w:footnoteRef/>
      </w:r>
      <w:r>
        <w:rPr>
          <w:rFonts w:ascii="Garamond" w:hAnsi="Garamond"/>
          <w:lang w:val="en-GB"/>
        </w:rPr>
        <w:t xml:space="preserve"> See Criminal Procedure</w:t>
      </w:r>
      <w:r w:rsidRPr="000B1C7D">
        <w:rPr>
          <w:rFonts w:ascii="Garamond" w:hAnsi="Garamond"/>
          <w:lang w:val="en-GB"/>
        </w:rPr>
        <w:t xml:space="preserve"> Code, Art. </w:t>
      </w:r>
      <w:proofErr w:type="gramStart"/>
      <w:r w:rsidRPr="000B1C7D">
        <w:rPr>
          <w:rFonts w:ascii="Garamond" w:hAnsi="Garamond"/>
          <w:lang w:val="en-GB"/>
        </w:rPr>
        <w:t>94.1, edition of 1998.</w:t>
      </w:r>
      <w:proofErr w:type="gramEnd"/>
    </w:p>
  </w:footnote>
  <w:footnote w:id="61">
    <w:p w:rsidR="00B56F0B" w:rsidRPr="000B1C7D" w:rsidRDefault="00B56F0B" w:rsidP="003C36CB">
      <w:pPr>
        <w:pStyle w:val="Funotentext"/>
        <w:ind w:left="0" w:firstLine="0"/>
        <w:jc w:val="both"/>
        <w:rPr>
          <w:rFonts w:ascii="Garamond" w:hAnsi="Garamond"/>
          <w:lang w:val="en-GB"/>
        </w:rPr>
      </w:pPr>
      <w:r w:rsidRPr="000B1C7D">
        <w:rPr>
          <w:rStyle w:val="Funotenzeichen"/>
          <w:rFonts w:ascii="Garamond" w:hAnsi="Garamond"/>
          <w:lang w:val="en-GB"/>
        </w:rPr>
        <w:footnoteRef/>
      </w:r>
      <w:r>
        <w:rPr>
          <w:rFonts w:ascii="Garamond" w:hAnsi="Garamond"/>
          <w:lang w:val="en-AU"/>
        </w:rPr>
        <w:t xml:space="preserve"> </w:t>
      </w:r>
      <w:r w:rsidRPr="000B1C7D">
        <w:rPr>
          <w:rFonts w:ascii="Garamond" w:hAnsi="Garamond"/>
          <w:lang w:val="en-AU"/>
        </w:rPr>
        <w:t>Georgian Young Lawyers’ Association (GYLA) (2012),</w:t>
      </w:r>
      <w:r w:rsidRPr="000B1C7D">
        <w:rPr>
          <w:rFonts w:ascii="Garamond" w:hAnsi="Garamond"/>
          <w:lang w:val="ka-GE"/>
        </w:rPr>
        <w:t xml:space="preserve"> </w:t>
      </w:r>
      <w:r w:rsidRPr="000B1C7D">
        <w:rPr>
          <w:rFonts w:ascii="Garamond" w:hAnsi="Garamond"/>
          <w:lang w:val="en-AU"/>
        </w:rPr>
        <w:t>“</w:t>
      </w:r>
      <w:r w:rsidRPr="000B1C7D">
        <w:rPr>
          <w:rFonts w:ascii="Garamond" w:hAnsi="Garamond"/>
          <w:lang w:val="ka-GE"/>
        </w:rPr>
        <w:t>Legal Analysis of Cases of Criminal</w:t>
      </w:r>
      <w:r w:rsidRPr="000B1C7D">
        <w:rPr>
          <w:rFonts w:ascii="Garamond" w:hAnsi="Garamond"/>
          <w:lang w:val="en-AU"/>
        </w:rPr>
        <w:t xml:space="preserve"> and Administrative Offences with Alleged Political Motive,</w:t>
      </w:r>
      <w:r w:rsidRPr="000B1C7D">
        <w:rPr>
          <w:rFonts w:ascii="Garamond" w:hAnsi="Garamond"/>
          <w:lang w:val="en-GB"/>
        </w:rPr>
        <w:t xml:space="preserve"> Part II</w:t>
      </w:r>
      <w:r w:rsidRPr="000B1C7D">
        <w:rPr>
          <w:rFonts w:ascii="Garamond" w:hAnsi="Garamond"/>
          <w:lang w:val="en-AU"/>
        </w:rPr>
        <w:t>”</w:t>
      </w:r>
      <w:r w:rsidRPr="000B1C7D">
        <w:rPr>
          <w:rFonts w:ascii="Garamond" w:hAnsi="Garamond"/>
          <w:lang w:val="ka-GE"/>
        </w:rPr>
        <w:t>,</w:t>
      </w:r>
      <w:r w:rsidRPr="000B1C7D">
        <w:rPr>
          <w:rFonts w:ascii="Garamond" w:hAnsi="Garamond"/>
          <w:lang w:val="en-AU"/>
        </w:rPr>
        <w:t xml:space="preserve"> Tbilisi</w:t>
      </w:r>
      <w:r w:rsidRPr="000B1C7D">
        <w:rPr>
          <w:rFonts w:ascii="Garamond" w:hAnsi="Garamond"/>
          <w:lang w:val="en-GB"/>
        </w:rPr>
        <w:t xml:space="preserve">, </w:t>
      </w:r>
      <w:r>
        <w:rPr>
          <w:rFonts w:ascii="Garamond" w:hAnsi="Garamond"/>
          <w:lang w:val="en-AU"/>
        </w:rPr>
        <w:t>p. 22</w:t>
      </w:r>
    </w:p>
  </w:footnote>
  <w:footnote w:id="62">
    <w:p w:rsidR="00B56F0B" w:rsidRPr="000B1C7D" w:rsidRDefault="00B56F0B" w:rsidP="003C36CB">
      <w:pPr>
        <w:pStyle w:val="Funotentext"/>
        <w:ind w:left="0" w:firstLine="0"/>
        <w:rPr>
          <w:rFonts w:ascii="Garamond" w:hAnsi="Garamond"/>
          <w:lang w:val="en-GB"/>
        </w:rPr>
      </w:pPr>
      <w:r w:rsidRPr="000B1C7D">
        <w:rPr>
          <w:rStyle w:val="Funotenzeichen"/>
          <w:rFonts w:ascii="Garamond" w:hAnsi="Garamond"/>
          <w:lang w:val="en-GB"/>
        </w:rPr>
        <w:footnoteRef/>
      </w:r>
      <w:r>
        <w:rPr>
          <w:rFonts w:ascii="Garamond" w:hAnsi="Garamond"/>
          <w:lang w:val="en-AU"/>
        </w:rPr>
        <w:t xml:space="preserve"> </w:t>
      </w:r>
      <w:r w:rsidRPr="000B1C7D">
        <w:rPr>
          <w:rFonts w:ascii="Garamond" w:hAnsi="Garamond"/>
          <w:lang w:val="en-AU"/>
        </w:rPr>
        <w:t>Georgian Young Lawyers’ Association (GYLA) (2012),</w:t>
      </w:r>
      <w:r w:rsidRPr="000B1C7D">
        <w:rPr>
          <w:rFonts w:ascii="Garamond" w:hAnsi="Garamond"/>
          <w:lang w:val="ka-GE"/>
        </w:rPr>
        <w:t xml:space="preserve"> </w:t>
      </w:r>
      <w:r w:rsidRPr="000B1C7D">
        <w:rPr>
          <w:rFonts w:ascii="Garamond" w:hAnsi="Garamond"/>
          <w:lang w:val="en-AU"/>
        </w:rPr>
        <w:t>“</w:t>
      </w:r>
      <w:r w:rsidRPr="000B1C7D">
        <w:rPr>
          <w:rFonts w:ascii="Garamond" w:hAnsi="Garamond"/>
          <w:lang w:val="ka-GE"/>
        </w:rPr>
        <w:t>Legal Analysis of Cases of Criminal</w:t>
      </w:r>
      <w:r w:rsidRPr="000B1C7D">
        <w:rPr>
          <w:rFonts w:ascii="Garamond" w:hAnsi="Garamond"/>
          <w:lang w:val="en-AU"/>
        </w:rPr>
        <w:t xml:space="preserve"> and Administrative Offences with Alleged Political Motive,</w:t>
      </w:r>
      <w:r w:rsidRPr="000B1C7D">
        <w:rPr>
          <w:rFonts w:ascii="Garamond" w:hAnsi="Garamond"/>
          <w:lang w:val="en-GB"/>
        </w:rPr>
        <w:t xml:space="preserve"> Part II</w:t>
      </w:r>
      <w:r w:rsidRPr="000B1C7D">
        <w:rPr>
          <w:rFonts w:ascii="Garamond" w:hAnsi="Garamond"/>
          <w:lang w:val="en-AU"/>
        </w:rPr>
        <w:t>”</w:t>
      </w:r>
      <w:r w:rsidRPr="000B1C7D">
        <w:rPr>
          <w:rFonts w:ascii="Garamond" w:hAnsi="Garamond"/>
          <w:lang w:val="ka-GE"/>
        </w:rPr>
        <w:t>,</w:t>
      </w:r>
      <w:r w:rsidRPr="000B1C7D">
        <w:rPr>
          <w:rFonts w:ascii="Garamond" w:hAnsi="Garamond"/>
          <w:lang w:val="en-AU"/>
        </w:rPr>
        <w:t xml:space="preserve"> Tbilisi, </w:t>
      </w:r>
      <w:r w:rsidRPr="000B1C7D">
        <w:rPr>
          <w:rFonts w:ascii="Garamond" w:hAnsi="Garamond"/>
          <w:lang w:val="en-GB"/>
        </w:rPr>
        <w:t>p. 98-99.</w:t>
      </w:r>
    </w:p>
  </w:footnote>
  <w:footnote w:id="63">
    <w:p w:rsidR="00B56F0B" w:rsidRPr="000B1C7D" w:rsidRDefault="00B56F0B" w:rsidP="00D0612C">
      <w:pPr>
        <w:pStyle w:val="Funotentext"/>
        <w:rPr>
          <w:rFonts w:ascii="Garamond" w:hAnsi="Garamond"/>
          <w:lang w:val="en-GB"/>
        </w:rPr>
      </w:pPr>
      <w:r w:rsidRPr="000B1C7D">
        <w:rPr>
          <w:rStyle w:val="Funotenzeichen"/>
          <w:rFonts w:ascii="Garamond" w:hAnsi="Garamond"/>
          <w:lang w:val="en-GB"/>
        </w:rPr>
        <w:footnoteRef/>
      </w:r>
      <w:r>
        <w:rPr>
          <w:rFonts w:ascii="Garamond" w:hAnsi="Garamond"/>
          <w:lang w:val="en-GB"/>
        </w:rPr>
        <w:t xml:space="preserve"> </w:t>
      </w:r>
      <w:r w:rsidRPr="000B1C7D">
        <w:rPr>
          <w:rFonts w:ascii="Garamond" w:hAnsi="Garamond"/>
          <w:lang w:val="en-GB"/>
        </w:rPr>
        <w:t>See the Criminal Procedure Code, Art. 333.3.</w:t>
      </w:r>
    </w:p>
  </w:footnote>
  <w:footnote w:id="64">
    <w:p w:rsidR="00B56F0B" w:rsidRPr="000B1C7D" w:rsidRDefault="00B56F0B" w:rsidP="00B82C4A">
      <w:pPr>
        <w:pStyle w:val="Funotentext"/>
        <w:ind w:left="0" w:firstLine="1"/>
        <w:jc w:val="both"/>
        <w:rPr>
          <w:rFonts w:ascii="Garamond" w:hAnsi="Garamond"/>
          <w:lang w:val="en-GB"/>
        </w:rPr>
      </w:pPr>
      <w:r w:rsidRPr="000B1C7D">
        <w:rPr>
          <w:rStyle w:val="Funotenzeichen"/>
          <w:rFonts w:ascii="Garamond" w:hAnsi="Garamond"/>
          <w:lang w:val="en-GB"/>
        </w:rPr>
        <w:footnoteRef/>
      </w:r>
      <w:r w:rsidRPr="000B1C7D">
        <w:rPr>
          <w:rFonts w:ascii="Garamond" w:hAnsi="Garamond"/>
          <w:lang w:val="en-GB"/>
        </w:rPr>
        <w:t xml:space="preserve"> </w:t>
      </w:r>
      <w:proofErr w:type="spellStart"/>
      <w:r w:rsidRPr="000B1C7D">
        <w:rPr>
          <w:rFonts w:ascii="Garamond" w:hAnsi="Garamond"/>
          <w:lang w:val="en-GB"/>
        </w:rPr>
        <w:t>Eka</w:t>
      </w:r>
      <w:proofErr w:type="spellEnd"/>
      <w:r w:rsidRPr="000B1C7D">
        <w:rPr>
          <w:rFonts w:ascii="Garamond" w:hAnsi="Garamond"/>
          <w:lang w:val="en-GB"/>
        </w:rPr>
        <w:t xml:space="preserve"> </w:t>
      </w:r>
      <w:proofErr w:type="spellStart"/>
      <w:r w:rsidRPr="000B1C7D">
        <w:rPr>
          <w:rFonts w:ascii="Garamond" w:hAnsi="Garamond"/>
          <w:lang w:val="en-GB"/>
        </w:rPr>
        <w:t>Khutsishvili</w:t>
      </w:r>
      <w:proofErr w:type="spellEnd"/>
      <w:r w:rsidRPr="000B1C7D">
        <w:rPr>
          <w:rFonts w:ascii="Garamond" w:hAnsi="Garamond"/>
          <w:lang w:val="en-GB"/>
        </w:rPr>
        <w:t xml:space="preserve">, </w:t>
      </w:r>
      <w:proofErr w:type="spellStart"/>
      <w:r w:rsidRPr="000B1C7D">
        <w:rPr>
          <w:rFonts w:ascii="Garamond" w:hAnsi="Garamond"/>
          <w:lang w:val="en-GB"/>
        </w:rPr>
        <w:t>SophoVerdzeuli</w:t>
      </w:r>
      <w:proofErr w:type="spellEnd"/>
      <w:r w:rsidRPr="000B1C7D">
        <w:rPr>
          <w:rFonts w:ascii="Garamond" w:hAnsi="Garamond"/>
          <w:lang w:val="en-GB"/>
        </w:rPr>
        <w:t xml:space="preserve"> (2012), “Deficiencies and Recommendations in the Criminal Justice”, </w:t>
      </w:r>
      <w:r w:rsidRPr="000B1C7D">
        <w:rPr>
          <w:rFonts w:ascii="Garamond" w:hAnsi="Garamond" w:cs="Times New Roman"/>
          <w:lang w:val="en-AU"/>
        </w:rPr>
        <w:t>Georgian Young Lawyers’ Association (GYLA)</w:t>
      </w:r>
      <w:r w:rsidRPr="000B1C7D">
        <w:rPr>
          <w:rFonts w:ascii="Garamond" w:hAnsi="Garamond"/>
          <w:lang w:val="en-GB"/>
        </w:rPr>
        <w:t xml:space="preserve">, Tbilisi, p. 62-70. </w:t>
      </w:r>
    </w:p>
  </w:footnote>
  <w:footnote w:id="65">
    <w:p w:rsidR="00B56F0B" w:rsidRPr="000B1C7D" w:rsidRDefault="00B56F0B" w:rsidP="00B82C4A">
      <w:pPr>
        <w:pStyle w:val="Funotentext"/>
        <w:ind w:left="0" w:firstLine="0"/>
        <w:jc w:val="both"/>
        <w:rPr>
          <w:rFonts w:ascii="Garamond" w:hAnsi="Garamond" w:cs="Times New Roman"/>
          <w:lang w:val="en-GB"/>
        </w:rPr>
      </w:pPr>
      <w:r w:rsidRPr="000B1C7D">
        <w:rPr>
          <w:rStyle w:val="Funotenzeichen"/>
          <w:rFonts w:ascii="Garamond" w:hAnsi="Garamond" w:cs="Times New Roman"/>
          <w:lang w:val="en-GB"/>
        </w:rPr>
        <w:footnoteRef/>
      </w:r>
      <w:r>
        <w:rPr>
          <w:rFonts w:ascii="Garamond" w:hAnsi="Garamond" w:cs="Times New Roman"/>
          <w:lang w:val="en-GB"/>
        </w:rPr>
        <w:t xml:space="preserve"> </w:t>
      </w:r>
      <w:proofErr w:type="spellStart"/>
      <w:r w:rsidRPr="000B1C7D">
        <w:rPr>
          <w:rFonts w:ascii="Garamond" w:hAnsi="Garamond" w:cs="Times New Roman"/>
          <w:lang w:val="en-GB"/>
        </w:rPr>
        <w:t>Eka</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Khutsishvili</w:t>
      </w:r>
      <w:proofErr w:type="spellEnd"/>
      <w:r w:rsidRPr="000B1C7D">
        <w:rPr>
          <w:rFonts w:ascii="Garamond" w:hAnsi="Garamond" w:cs="Times New Roman"/>
          <w:lang w:val="en-GB"/>
        </w:rPr>
        <w:t xml:space="preserve">, </w:t>
      </w:r>
      <w:proofErr w:type="spellStart"/>
      <w:r w:rsidRPr="000B1C7D">
        <w:rPr>
          <w:rFonts w:ascii="Garamond" w:hAnsi="Garamond" w:cs="Times New Roman"/>
          <w:lang w:val="en-GB"/>
        </w:rPr>
        <w:t>SophoVerdzeuli</w:t>
      </w:r>
      <w:proofErr w:type="spellEnd"/>
      <w:r w:rsidRPr="000B1C7D">
        <w:rPr>
          <w:rFonts w:ascii="Garamond" w:hAnsi="Garamond" w:cs="Times New Roman"/>
          <w:lang w:val="en-GB"/>
        </w:rPr>
        <w:t xml:space="preserve"> (2012), “Deficiencies and Recommendations in the Criminal Justice”, </w:t>
      </w:r>
      <w:r w:rsidRPr="000B1C7D">
        <w:rPr>
          <w:rFonts w:ascii="Garamond" w:hAnsi="Garamond" w:cs="Times New Roman"/>
          <w:lang w:val="en-AU"/>
        </w:rPr>
        <w:t>Georgian Young Lawyers’ Association (GYLA)</w:t>
      </w:r>
      <w:r w:rsidRPr="000B1C7D">
        <w:rPr>
          <w:rFonts w:ascii="Garamond" w:hAnsi="Garamond" w:cs="Times New Roman"/>
          <w:lang w:val="en-GB"/>
        </w:rPr>
        <w:t>, Tbilisi, p. 70-72.</w:t>
      </w:r>
    </w:p>
  </w:footnote>
  <w:footnote w:id="66">
    <w:p w:rsidR="00B56F0B" w:rsidRPr="000B1C7D" w:rsidRDefault="00B56F0B" w:rsidP="00D51A98">
      <w:pPr>
        <w:pStyle w:val="Funotentext"/>
        <w:ind w:left="0" w:firstLine="0"/>
        <w:rPr>
          <w:rFonts w:ascii="Garamond" w:hAnsi="Garamond"/>
        </w:rPr>
      </w:pPr>
      <w:r w:rsidRPr="000B1C7D">
        <w:rPr>
          <w:rStyle w:val="Funotenzeichen"/>
          <w:rFonts w:ascii="Garamond" w:hAnsi="Garamond"/>
        </w:rPr>
        <w:footnoteRef/>
      </w:r>
      <w:r>
        <w:rPr>
          <w:rFonts w:ascii="Garamond" w:hAnsi="Garamond" w:cs="Times New Roman"/>
        </w:rPr>
        <w:t xml:space="preserve"> </w:t>
      </w:r>
      <w:r w:rsidRPr="000B1C7D">
        <w:rPr>
          <w:rFonts w:ascii="Garamond" w:hAnsi="Garamond" w:cs="Times New Roman"/>
        </w:rPr>
        <w:t xml:space="preserve">Strategy of the Criminal Justice </w:t>
      </w:r>
      <w:r>
        <w:rPr>
          <w:rFonts w:ascii="Garamond" w:hAnsi="Garamond" w:cs="Times New Roman"/>
        </w:rPr>
        <w:t xml:space="preserve">Reform; </w:t>
      </w:r>
      <w:r w:rsidRPr="000B1C7D">
        <w:rPr>
          <w:rFonts w:ascii="Garamond" w:hAnsi="Garamond" w:cs="Times New Roman"/>
        </w:rPr>
        <w:t xml:space="preserve">Law on the Amendment of the Criminal Code of Georgia, p. 16 (Feb. 23, 2010).  </w:t>
      </w:r>
    </w:p>
  </w:footnote>
  <w:footnote w:id="67">
    <w:p w:rsidR="00B56F0B" w:rsidRPr="000B1C7D" w:rsidRDefault="00B56F0B" w:rsidP="00450D32">
      <w:pPr>
        <w:pStyle w:val="Funotentext"/>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rPr>
        <w:t>Strategy of the Criminal Justice Reform; Adopted by the Presidential Decree #591, 2009.</w:t>
      </w:r>
    </w:p>
  </w:footnote>
  <w:footnote w:id="68">
    <w:p w:rsidR="00B56F0B" w:rsidRPr="000B1C7D" w:rsidRDefault="00B56F0B" w:rsidP="00D51A98">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proofErr w:type="gramStart"/>
      <w:r w:rsidRPr="000B1C7D">
        <w:rPr>
          <w:rFonts w:ascii="Garamond" w:hAnsi="Garamond" w:cs="Times New Roman"/>
        </w:rPr>
        <w:t>The Law o</w:t>
      </w:r>
      <w:r w:rsidRPr="000B1C7D">
        <w:rPr>
          <w:rFonts w:ascii="Garamond" w:hAnsi="Garamond" w:cs="Times New Roman"/>
          <w:lang w:val="ka-GE"/>
        </w:rPr>
        <w:t>n Making Amendments and Supplements to the Administrative Procedure Code of Georgia</w:t>
      </w:r>
      <w:r w:rsidRPr="000B1C7D">
        <w:rPr>
          <w:rFonts w:ascii="Garamond" w:hAnsi="Garamond" w:cs="Times New Roman"/>
        </w:rPr>
        <w:t>, adopted on September 24, 2010.</w:t>
      </w:r>
      <w:proofErr w:type="gramEnd"/>
      <w:r w:rsidRPr="000B1C7D">
        <w:rPr>
          <w:rFonts w:ascii="Garamond" w:hAnsi="Garamond" w:cs="Times New Roman"/>
        </w:rPr>
        <w:t xml:space="preserve"> </w:t>
      </w:r>
      <w:proofErr w:type="gramStart"/>
      <w:r w:rsidRPr="000B1C7D">
        <w:rPr>
          <w:rFonts w:ascii="Garamond" w:hAnsi="Garamond" w:cs="Times New Roman"/>
        </w:rPr>
        <w:t>Provision of Art.</w:t>
      </w:r>
      <w:proofErr w:type="gramEnd"/>
      <w:r w:rsidRPr="000B1C7D">
        <w:rPr>
          <w:rFonts w:ascii="Garamond" w:hAnsi="Garamond" w:cs="Times New Roman"/>
        </w:rPr>
        <w:t xml:space="preserve"> </w:t>
      </w:r>
      <w:proofErr w:type="gramStart"/>
      <w:r w:rsidRPr="000B1C7D">
        <w:rPr>
          <w:rFonts w:ascii="Garamond" w:hAnsi="Garamond" w:cs="Times New Roman"/>
        </w:rPr>
        <w:t>89 on exemption of the juvenile from criminal liability through the reconciliation with the victim.</w:t>
      </w:r>
      <w:proofErr w:type="gramEnd"/>
    </w:p>
  </w:footnote>
  <w:footnote w:id="69">
    <w:p w:rsidR="00B56F0B" w:rsidRPr="000B1C7D" w:rsidRDefault="00B56F0B" w:rsidP="00450D32">
      <w:pPr>
        <w:pStyle w:val="Funotentext"/>
        <w:rPr>
          <w:rFonts w:ascii="Garamond" w:hAnsi="Garamond"/>
          <w:lang w:val="ka-GE"/>
        </w:rPr>
      </w:pPr>
      <w:r w:rsidRPr="000B1C7D">
        <w:rPr>
          <w:rStyle w:val="Funotenzeichen"/>
          <w:rFonts w:ascii="Garamond" w:hAnsi="Garamond" w:cs="Times New Roman"/>
        </w:rPr>
        <w:footnoteRef/>
      </w:r>
      <w:r>
        <w:rPr>
          <w:rFonts w:ascii="Garamond" w:hAnsi="Garamond" w:cs="Times New Roman"/>
        </w:rPr>
        <w:t xml:space="preserve"> </w:t>
      </w:r>
      <w:proofErr w:type="gramStart"/>
      <w:r w:rsidRPr="000B1C7D">
        <w:rPr>
          <w:rFonts w:ascii="Garamond" w:hAnsi="Garamond" w:cs="Times New Roman"/>
        </w:rPr>
        <w:t>Interagency Coordination Council (2012), “Juvenile Justice Reform Strategy”, Tbilisi.</w:t>
      </w:r>
      <w:proofErr w:type="gramEnd"/>
    </w:p>
  </w:footnote>
  <w:footnote w:id="70">
    <w:p w:rsidR="00B56F0B" w:rsidRPr="000B1C7D" w:rsidRDefault="00B56F0B" w:rsidP="00D0612C">
      <w:pPr>
        <w:pStyle w:val="Funotentext"/>
        <w:jc w:val="both"/>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The Centre of Protection of the Rights of Media of the Georgian Young Lawyers’ Association (GYLA) submitted</w:t>
      </w:r>
    </w:p>
    <w:p w:rsidR="00B56F0B" w:rsidRPr="000B1C7D" w:rsidRDefault="00B56F0B" w:rsidP="00D0612C">
      <w:pPr>
        <w:pStyle w:val="Funotentext"/>
        <w:jc w:val="both"/>
        <w:rPr>
          <w:rFonts w:ascii="Garamond" w:hAnsi="Garamond" w:cs="Times New Roman"/>
        </w:rPr>
      </w:pPr>
      <w:proofErr w:type="gramStart"/>
      <w:r w:rsidRPr="000B1C7D">
        <w:rPr>
          <w:rFonts w:ascii="Garamond" w:hAnsi="Garamond" w:cs="Times New Roman"/>
        </w:rPr>
        <w:t>information</w:t>
      </w:r>
      <w:proofErr w:type="gramEnd"/>
      <w:r w:rsidRPr="000B1C7D">
        <w:rPr>
          <w:rFonts w:ascii="Garamond" w:hAnsi="Garamond" w:cs="Times New Roman"/>
        </w:rPr>
        <w:t xml:space="preserve"> concerning 38 cases to the Chief Prosecutor’s office of Georgia on 6 December 2012.  The cases</w:t>
      </w:r>
    </w:p>
    <w:p w:rsidR="00B56F0B" w:rsidRPr="000B1C7D" w:rsidRDefault="00B56F0B">
      <w:pPr>
        <w:pStyle w:val="Funotentext"/>
        <w:ind w:left="0" w:firstLine="0"/>
        <w:jc w:val="both"/>
        <w:rPr>
          <w:rFonts w:ascii="Garamond" w:hAnsi="Garamond"/>
        </w:rPr>
      </w:pPr>
      <w:proofErr w:type="gramStart"/>
      <w:r w:rsidRPr="000B1C7D">
        <w:rPr>
          <w:rFonts w:ascii="Garamond" w:hAnsi="Garamond" w:cs="Times New Roman"/>
        </w:rPr>
        <w:t>concerned</w:t>
      </w:r>
      <w:proofErr w:type="gramEnd"/>
      <w:r w:rsidRPr="000B1C7D">
        <w:rPr>
          <w:rFonts w:ascii="Garamond" w:hAnsi="Garamond" w:cs="Times New Roman"/>
        </w:rPr>
        <w:t xml:space="preserve"> illegal acts against representatives of media carried out during 2010-2012. The results of investigation on any of the above cases are not yet made public.</w:t>
      </w:r>
    </w:p>
  </w:footnote>
  <w:footnote w:id="71">
    <w:p w:rsidR="00B56F0B" w:rsidRPr="000B1C7D" w:rsidRDefault="00B56F0B" w:rsidP="00140257">
      <w:pPr>
        <w:pStyle w:val="Funotentext"/>
        <w:ind w:left="0" w:firstLine="0"/>
        <w:rPr>
          <w:rFonts w:ascii="Garamond" w:hAnsi="Garamond" w:cs="Times New Roman"/>
        </w:rPr>
      </w:pPr>
      <w:r w:rsidRPr="000B1C7D">
        <w:rPr>
          <w:rStyle w:val="Funotenzeichen"/>
          <w:rFonts w:ascii="Garamond" w:hAnsi="Garamond"/>
        </w:rPr>
        <w:footnoteRef/>
      </w:r>
      <w:r>
        <w:rPr>
          <w:rFonts w:ascii="Garamond" w:hAnsi="Garamond" w:cs="Times New Roman"/>
        </w:rPr>
        <w:t xml:space="preserve"> </w:t>
      </w:r>
      <w:r w:rsidRPr="000B1C7D">
        <w:rPr>
          <w:rFonts w:ascii="Garamond" w:hAnsi="Garamond" w:cs="Times New Roman"/>
        </w:rPr>
        <w:t>According to the letter of the National Communication Commission issued in 2012, 45 complaints were filed with</w:t>
      </w:r>
    </w:p>
    <w:p w:rsidR="00B56F0B" w:rsidRPr="000B1C7D" w:rsidRDefault="00B56F0B" w:rsidP="00140257">
      <w:pPr>
        <w:pStyle w:val="Funotentext"/>
        <w:ind w:left="0" w:firstLine="0"/>
        <w:rPr>
          <w:rFonts w:ascii="Garamond" w:hAnsi="Garamond" w:cs="Times New Roman"/>
        </w:rPr>
      </w:pPr>
      <w:proofErr w:type="gramStart"/>
      <w:r w:rsidRPr="000B1C7D">
        <w:rPr>
          <w:rFonts w:ascii="Garamond" w:hAnsi="Garamond" w:cs="Times New Roman"/>
        </w:rPr>
        <w:t>self-regulating</w:t>
      </w:r>
      <w:proofErr w:type="gramEnd"/>
      <w:r w:rsidRPr="000B1C7D">
        <w:rPr>
          <w:rFonts w:ascii="Garamond" w:hAnsi="Garamond" w:cs="Times New Roman"/>
        </w:rPr>
        <w:t xml:space="preserve"> mechanisms of 5 broadcasters during 2010-2011. From these compla</w:t>
      </w:r>
      <w:r>
        <w:rPr>
          <w:rFonts w:ascii="Garamond" w:hAnsi="Garamond" w:cs="Times New Roman"/>
        </w:rPr>
        <w:t xml:space="preserve">ints 4 were fully granted, 5 were </w:t>
      </w:r>
      <w:r w:rsidRPr="000B1C7D">
        <w:rPr>
          <w:rFonts w:ascii="Garamond" w:hAnsi="Garamond" w:cs="Times New Roman"/>
        </w:rPr>
        <w:t>partially granted, 2 were settled, 15 complainants were refused to review their complaints, 17 were rejected and one</w:t>
      </w:r>
    </w:p>
    <w:p w:rsidR="00B56F0B" w:rsidRPr="000B1C7D" w:rsidRDefault="00B56F0B" w:rsidP="00140257">
      <w:pPr>
        <w:pStyle w:val="Funotentext"/>
        <w:ind w:left="0" w:firstLine="0"/>
        <w:rPr>
          <w:rFonts w:ascii="Garamond" w:hAnsi="Garamond" w:cs="Times New Roman"/>
        </w:rPr>
      </w:pPr>
      <w:proofErr w:type="gramStart"/>
      <w:r w:rsidRPr="000B1C7D">
        <w:rPr>
          <w:rFonts w:ascii="Garamond" w:hAnsi="Garamond" w:cs="Times New Roman"/>
        </w:rPr>
        <w:t>complaint</w:t>
      </w:r>
      <w:proofErr w:type="gramEnd"/>
      <w:r w:rsidRPr="000B1C7D">
        <w:rPr>
          <w:rFonts w:ascii="Garamond" w:hAnsi="Garamond" w:cs="Times New Roman"/>
        </w:rPr>
        <w:t xml:space="preserve"> was being considered at the time of issuing this letter. </w:t>
      </w:r>
      <w:r w:rsidRPr="000B1C7D">
        <w:rPr>
          <w:rFonts w:ascii="Garamond" w:eastAsia="Times New Roman" w:hAnsi="Garamond" w:cs="Times New Roman"/>
          <w:bCs/>
          <w:color w:val="222222"/>
        </w:rPr>
        <w:t>See draft amendments to the Law on Broadcasting:</w:t>
      </w:r>
      <w:r>
        <w:rPr>
          <w:rFonts w:ascii="Garamond" w:eastAsia="Times New Roman" w:hAnsi="Garamond" w:cs="Times New Roman"/>
          <w:bCs/>
          <w:color w:val="222222"/>
        </w:rPr>
        <w:t xml:space="preserve"> </w:t>
      </w:r>
      <w:hyperlink r:id="rId20" w:history="1">
        <w:r w:rsidRPr="000B1C7D">
          <w:rPr>
            <w:rStyle w:val="Hyperlink"/>
            <w:rFonts w:ascii="Garamond" w:hAnsi="Garamond" w:cs="Times New Roman"/>
          </w:rPr>
          <w:t>http://parliament.ge/files/Draft_Bills/13.03.13/mauckebllob3.69.pdf</w:t>
        </w:r>
      </w:hyperlink>
    </w:p>
  </w:footnote>
  <w:footnote w:id="72">
    <w:p w:rsidR="00B56F0B" w:rsidRPr="000B1C7D" w:rsidRDefault="00B56F0B" w:rsidP="00F839BB">
      <w:pPr>
        <w:pStyle w:val="Funotentext"/>
        <w:ind w:left="0" w:firstLine="0"/>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Channel one of LEPL Public Broadcaster failed to implement the decision of the Supervisory Council about</w:t>
      </w:r>
    </w:p>
    <w:p w:rsidR="00B56F0B" w:rsidRPr="000B1C7D" w:rsidRDefault="00B56F0B" w:rsidP="00F839BB">
      <w:pPr>
        <w:pStyle w:val="Funotentext"/>
        <w:ind w:left="0" w:firstLine="0"/>
        <w:rPr>
          <w:rFonts w:ascii="Garamond" w:hAnsi="Garamond" w:cs="Times New Roman"/>
        </w:rPr>
      </w:pPr>
      <w:proofErr w:type="gramStart"/>
      <w:r w:rsidRPr="000B1C7D">
        <w:rPr>
          <w:rFonts w:ascii="Garamond" w:hAnsi="Garamond" w:cs="Times New Roman"/>
        </w:rPr>
        <w:t>granting</w:t>
      </w:r>
      <w:proofErr w:type="gramEnd"/>
      <w:r w:rsidRPr="000B1C7D">
        <w:rPr>
          <w:rFonts w:ascii="Garamond" w:hAnsi="Garamond" w:cs="Times New Roman"/>
        </w:rPr>
        <w:t xml:space="preserve"> the complaint of </w:t>
      </w:r>
      <w:proofErr w:type="spellStart"/>
      <w:r w:rsidRPr="000B1C7D">
        <w:rPr>
          <w:rFonts w:ascii="Garamond" w:hAnsi="Garamond" w:cs="Times New Roman"/>
        </w:rPr>
        <w:t>Iuri</w:t>
      </w:r>
      <w:proofErr w:type="spellEnd"/>
      <w:r w:rsidRPr="000B1C7D">
        <w:rPr>
          <w:rFonts w:ascii="Garamond" w:hAnsi="Garamond" w:cs="Times New Roman"/>
        </w:rPr>
        <w:t xml:space="preserve"> </w:t>
      </w:r>
      <w:proofErr w:type="spellStart"/>
      <w:r w:rsidRPr="000B1C7D">
        <w:rPr>
          <w:rFonts w:ascii="Garamond" w:hAnsi="Garamond" w:cs="Times New Roman"/>
        </w:rPr>
        <w:t>Vazagashvili</w:t>
      </w:r>
      <w:proofErr w:type="spellEnd"/>
      <w:r w:rsidRPr="000B1C7D">
        <w:rPr>
          <w:rFonts w:ascii="Garamond" w:hAnsi="Garamond" w:cs="Times New Roman"/>
        </w:rPr>
        <w:t xml:space="preserve"> and </w:t>
      </w:r>
      <w:proofErr w:type="spellStart"/>
      <w:r w:rsidRPr="000B1C7D">
        <w:rPr>
          <w:rFonts w:ascii="Garamond" w:hAnsi="Garamond" w:cs="Times New Roman"/>
        </w:rPr>
        <w:t>Tsiala</w:t>
      </w:r>
      <w:proofErr w:type="spellEnd"/>
      <w:r w:rsidRPr="000B1C7D">
        <w:rPr>
          <w:rFonts w:ascii="Garamond" w:hAnsi="Garamond" w:cs="Times New Roman"/>
        </w:rPr>
        <w:t xml:space="preserve"> </w:t>
      </w:r>
      <w:proofErr w:type="spellStart"/>
      <w:r w:rsidRPr="000B1C7D">
        <w:rPr>
          <w:rFonts w:ascii="Garamond" w:hAnsi="Garamond" w:cs="Times New Roman"/>
        </w:rPr>
        <w:t>Shanava</w:t>
      </w:r>
      <w:proofErr w:type="spellEnd"/>
      <w:r w:rsidRPr="000B1C7D">
        <w:rPr>
          <w:rFonts w:ascii="Garamond" w:hAnsi="Garamond" w:cs="Times New Roman"/>
        </w:rPr>
        <w:t xml:space="preserve">; see Statement of </w:t>
      </w:r>
      <w:r w:rsidRPr="000B1C7D">
        <w:rPr>
          <w:rFonts w:ascii="Garamond" w:hAnsi="Garamond" w:cs="Times New Roman"/>
          <w:lang w:val="en-AU"/>
        </w:rPr>
        <w:t>the Georgian Young Lawyers’ Association (GYLA)</w:t>
      </w:r>
      <w:r w:rsidRPr="000B1C7D">
        <w:rPr>
          <w:rFonts w:ascii="Garamond" w:hAnsi="Garamond" w:cs="Times New Roman"/>
        </w:rPr>
        <w:t xml:space="preserve"> at: </w:t>
      </w:r>
      <w:hyperlink r:id="rId21" w:history="1">
        <w:r w:rsidRPr="000B1C7D">
          <w:rPr>
            <w:rStyle w:val="Hyperlink"/>
            <w:rFonts w:ascii="Garamond" w:hAnsi="Garamond" w:cs="Times New Roman"/>
            <w:lang w:val="ka-GE"/>
          </w:rPr>
          <w:t>http://gyla.ge/geo/news?info=715</w:t>
        </w:r>
      </w:hyperlink>
      <w:r w:rsidRPr="000B1C7D">
        <w:rPr>
          <w:rStyle w:val="Hyperlink"/>
          <w:rFonts w:ascii="Garamond" w:hAnsi="Garamond" w:cs="Times New Roman"/>
          <w:color w:val="auto"/>
          <w:u w:val="none"/>
        </w:rPr>
        <w:t>.</w:t>
      </w:r>
    </w:p>
    <w:p w:rsidR="00B56F0B" w:rsidRPr="000B1C7D" w:rsidRDefault="00B56F0B" w:rsidP="00F839BB">
      <w:pPr>
        <w:pStyle w:val="Funotentext"/>
        <w:ind w:left="0" w:firstLine="0"/>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Channel one of LEPL Public Broadcaster failed to implement the decision of the Supervisory Council about</w:t>
      </w:r>
    </w:p>
    <w:p w:rsidR="00B56F0B" w:rsidRPr="000B1C7D" w:rsidRDefault="00B56F0B" w:rsidP="00F839BB">
      <w:pPr>
        <w:pStyle w:val="Funotentext"/>
        <w:ind w:left="0" w:firstLine="0"/>
        <w:rPr>
          <w:rFonts w:ascii="Garamond" w:hAnsi="Garamond" w:cs="Times New Roman"/>
        </w:rPr>
      </w:pPr>
      <w:proofErr w:type="gramStart"/>
      <w:r w:rsidRPr="000B1C7D">
        <w:rPr>
          <w:rFonts w:ascii="Garamond" w:hAnsi="Garamond" w:cs="Times New Roman"/>
        </w:rPr>
        <w:t>granting</w:t>
      </w:r>
      <w:proofErr w:type="gramEnd"/>
      <w:r w:rsidRPr="000B1C7D">
        <w:rPr>
          <w:rFonts w:ascii="Garamond" w:hAnsi="Garamond" w:cs="Times New Roman"/>
        </w:rPr>
        <w:t xml:space="preserve"> the complaint of </w:t>
      </w:r>
      <w:proofErr w:type="spellStart"/>
      <w:r w:rsidRPr="000B1C7D">
        <w:rPr>
          <w:rFonts w:ascii="Garamond" w:hAnsi="Garamond" w:cs="Times New Roman"/>
        </w:rPr>
        <w:t>Iuri</w:t>
      </w:r>
      <w:proofErr w:type="spellEnd"/>
      <w:r w:rsidRPr="000B1C7D">
        <w:rPr>
          <w:rFonts w:ascii="Garamond" w:hAnsi="Garamond" w:cs="Times New Roman"/>
        </w:rPr>
        <w:t xml:space="preserve"> </w:t>
      </w:r>
      <w:proofErr w:type="spellStart"/>
      <w:r w:rsidRPr="000B1C7D">
        <w:rPr>
          <w:rFonts w:ascii="Garamond" w:hAnsi="Garamond" w:cs="Times New Roman"/>
        </w:rPr>
        <w:t>Vazagashvili</w:t>
      </w:r>
      <w:proofErr w:type="spellEnd"/>
      <w:r w:rsidRPr="000B1C7D">
        <w:rPr>
          <w:rFonts w:ascii="Garamond" w:hAnsi="Garamond" w:cs="Times New Roman"/>
        </w:rPr>
        <w:t xml:space="preserve"> and </w:t>
      </w:r>
      <w:proofErr w:type="spellStart"/>
      <w:r w:rsidRPr="000B1C7D">
        <w:rPr>
          <w:rFonts w:ascii="Garamond" w:hAnsi="Garamond" w:cs="Times New Roman"/>
        </w:rPr>
        <w:t>Tsiala</w:t>
      </w:r>
      <w:proofErr w:type="spellEnd"/>
      <w:r w:rsidRPr="000B1C7D">
        <w:rPr>
          <w:rFonts w:ascii="Garamond" w:hAnsi="Garamond" w:cs="Times New Roman"/>
        </w:rPr>
        <w:t xml:space="preserve"> </w:t>
      </w:r>
      <w:proofErr w:type="spellStart"/>
      <w:r w:rsidRPr="000B1C7D">
        <w:rPr>
          <w:rFonts w:ascii="Garamond" w:hAnsi="Garamond" w:cs="Times New Roman"/>
        </w:rPr>
        <w:t>Shanava</w:t>
      </w:r>
      <w:proofErr w:type="spellEnd"/>
      <w:r w:rsidRPr="000B1C7D">
        <w:rPr>
          <w:rFonts w:ascii="Garamond" w:hAnsi="Garamond" w:cs="Times New Roman"/>
        </w:rPr>
        <w:t xml:space="preserve">; see Statement of </w:t>
      </w:r>
      <w:r w:rsidRPr="000B1C7D">
        <w:rPr>
          <w:rFonts w:ascii="Garamond" w:hAnsi="Garamond" w:cs="Times New Roman"/>
          <w:lang w:val="en-AU"/>
        </w:rPr>
        <w:t>the Georgian Young Lawyers’ Association (GYLA)</w:t>
      </w:r>
      <w:r w:rsidRPr="000B1C7D">
        <w:rPr>
          <w:rFonts w:ascii="Garamond" w:hAnsi="Garamond" w:cs="Times New Roman"/>
        </w:rPr>
        <w:t xml:space="preserve"> at: </w:t>
      </w:r>
      <w:hyperlink r:id="rId22" w:history="1">
        <w:r w:rsidRPr="000B1C7D">
          <w:rPr>
            <w:rStyle w:val="Hyperlink"/>
            <w:rFonts w:ascii="Garamond" w:hAnsi="Garamond" w:cs="Times New Roman"/>
            <w:lang w:val="ka-GE"/>
          </w:rPr>
          <w:t>http://gyla.ge/geo/news?info=715</w:t>
        </w:r>
      </w:hyperlink>
      <w:r w:rsidRPr="000B1C7D">
        <w:rPr>
          <w:rStyle w:val="Hyperlink"/>
          <w:rFonts w:ascii="Garamond" w:hAnsi="Garamond" w:cs="Times New Roman"/>
          <w:color w:val="auto"/>
          <w:u w:val="none"/>
        </w:rPr>
        <w:t>.</w:t>
      </w:r>
    </w:p>
  </w:footnote>
  <w:footnote w:id="73">
    <w:p w:rsidR="00B56F0B" w:rsidRPr="000B1C7D" w:rsidRDefault="00B56F0B" w:rsidP="00B76B6D">
      <w:pPr>
        <w:pStyle w:val="Funotentext"/>
        <w:ind w:left="0" w:firstLine="0"/>
        <w:rPr>
          <w:rFonts w:ascii="Garamond" w:hAnsi="Garamond" w:cs="Times New Roman"/>
        </w:rPr>
      </w:pPr>
      <w:r w:rsidRPr="000B1C7D">
        <w:rPr>
          <w:rStyle w:val="Funotenzeichen"/>
          <w:rFonts w:ascii="Garamond" w:hAnsi="Garamond" w:cs="Times New Roman"/>
        </w:rPr>
        <w:footnoteRef/>
      </w:r>
      <w:r w:rsidRPr="000B1C7D">
        <w:rPr>
          <w:rFonts w:ascii="Garamond" w:hAnsi="Garamond" w:cs="Times New Roman"/>
        </w:rPr>
        <w:t xml:space="preserve"> Since November 7, 2007 the TV Company ‘</w:t>
      </w:r>
      <w:proofErr w:type="spellStart"/>
      <w:r w:rsidRPr="000B1C7D">
        <w:rPr>
          <w:rFonts w:ascii="Garamond" w:hAnsi="Garamond" w:cs="Times New Roman"/>
        </w:rPr>
        <w:t>Imedi</w:t>
      </w:r>
      <w:proofErr w:type="spellEnd"/>
      <w:r w:rsidRPr="000B1C7D">
        <w:rPr>
          <w:rFonts w:ascii="Garamond" w:hAnsi="Garamond" w:cs="Times New Roman"/>
        </w:rPr>
        <w:t xml:space="preserve">’ did not belong to its owner – </w:t>
      </w:r>
      <w:proofErr w:type="spellStart"/>
      <w:r w:rsidRPr="000B1C7D">
        <w:rPr>
          <w:rFonts w:ascii="Garamond" w:hAnsi="Garamond" w:cs="Times New Roman"/>
        </w:rPr>
        <w:t>Badri</w:t>
      </w:r>
      <w:proofErr w:type="spellEnd"/>
      <w:r w:rsidRPr="000B1C7D">
        <w:rPr>
          <w:rFonts w:ascii="Garamond" w:hAnsi="Garamond" w:cs="Times New Roman"/>
        </w:rPr>
        <w:t xml:space="preserve"> </w:t>
      </w:r>
      <w:proofErr w:type="spellStart"/>
      <w:r w:rsidRPr="000B1C7D">
        <w:rPr>
          <w:rFonts w:ascii="Garamond" w:hAnsi="Garamond" w:cs="Times New Roman"/>
        </w:rPr>
        <w:t>Patarkatsishvili’s</w:t>
      </w:r>
      <w:proofErr w:type="spellEnd"/>
      <w:r w:rsidRPr="000B1C7D">
        <w:rPr>
          <w:rFonts w:ascii="Garamond" w:hAnsi="Garamond" w:cs="Times New Roman"/>
        </w:rPr>
        <w:t xml:space="preserve"> family and the issue was a subject to various judicial disputes. Following the elections of October 1, 2012, the television</w:t>
      </w:r>
    </w:p>
    <w:p w:rsidR="00B56F0B" w:rsidRPr="000B1C7D" w:rsidRDefault="00B56F0B" w:rsidP="00D93622">
      <w:pPr>
        <w:pStyle w:val="Funotentext"/>
        <w:rPr>
          <w:rFonts w:ascii="Garamond" w:hAnsi="Garamond" w:cs="Times New Roman"/>
        </w:rPr>
      </w:pPr>
      <w:r w:rsidRPr="000B1C7D">
        <w:rPr>
          <w:rFonts w:ascii="Garamond" w:hAnsi="Garamond" w:cs="Times New Roman"/>
        </w:rPr>
        <w:t>company was returned to the family of its owner for a symbolic price of 3 GEL These proceedings have never been</w:t>
      </w:r>
    </w:p>
    <w:p w:rsidR="00B56F0B" w:rsidRPr="000B1C7D" w:rsidRDefault="00B56F0B" w:rsidP="00D93622">
      <w:pPr>
        <w:pStyle w:val="Funotentext"/>
        <w:rPr>
          <w:rFonts w:ascii="Garamond" w:hAnsi="Garamond" w:cs="Times New Roman"/>
        </w:rPr>
      </w:pPr>
      <w:proofErr w:type="gramStart"/>
      <w:r w:rsidRPr="000B1C7D">
        <w:rPr>
          <w:rFonts w:ascii="Garamond" w:hAnsi="Garamond" w:cs="Times New Roman"/>
        </w:rPr>
        <w:t>transparent</w:t>
      </w:r>
      <w:proofErr w:type="gramEnd"/>
      <w:r w:rsidRPr="000B1C7D">
        <w:rPr>
          <w:rFonts w:ascii="Garamond" w:hAnsi="Garamond" w:cs="Times New Roman"/>
        </w:rPr>
        <w:t xml:space="preserve"> for public.   </w:t>
      </w:r>
    </w:p>
  </w:footnote>
  <w:footnote w:id="74">
    <w:p w:rsidR="00B56F0B" w:rsidRPr="000B1C7D" w:rsidRDefault="00B56F0B" w:rsidP="00D93622">
      <w:pPr>
        <w:pStyle w:val="Funotentext"/>
        <w:rPr>
          <w:rStyle w:val="Hyperlink"/>
          <w:rFonts w:ascii="Garamond" w:hAnsi="Garamond" w:cs="Times New Roman"/>
        </w:rPr>
      </w:pPr>
      <w:r w:rsidRPr="000B1C7D">
        <w:rPr>
          <w:rStyle w:val="Funotenzeichen"/>
          <w:rFonts w:ascii="Garamond" w:hAnsi="Garamond" w:cs="Times New Roman"/>
        </w:rPr>
        <w:footnoteRef/>
      </w:r>
      <w:r>
        <w:rPr>
          <w:rFonts w:ascii="Garamond" w:eastAsia="Times New Roman" w:hAnsi="Garamond" w:cs="Times New Roman"/>
          <w:bCs/>
          <w:color w:val="222222"/>
        </w:rPr>
        <w:t xml:space="preserve"> </w:t>
      </w:r>
      <w:r w:rsidRPr="000B1C7D">
        <w:rPr>
          <w:rFonts w:ascii="Garamond" w:eastAsia="Times New Roman" w:hAnsi="Garamond" w:cs="Times New Roman"/>
          <w:bCs/>
          <w:color w:val="222222"/>
        </w:rPr>
        <w:t xml:space="preserve">See draft amendments to the Law on Broadcasting </w:t>
      </w:r>
      <w:hyperlink r:id="rId23" w:history="1">
        <w:r w:rsidRPr="000B1C7D">
          <w:rPr>
            <w:rStyle w:val="Hyperlink"/>
            <w:rFonts w:ascii="Garamond" w:hAnsi="Garamond" w:cs="Times New Roman"/>
          </w:rPr>
          <w:t>http://parliament.ge/files/Draft_Bills/13.03.13/mauckebllob</w:t>
        </w:r>
      </w:hyperlink>
    </w:p>
    <w:p w:rsidR="00B56F0B" w:rsidRPr="000B1C7D" w:rsidRDefault="00B56F0B">
      <w:pPr>
        <w:pStyle w:val="Funotentext"/>
        <w:ind w:left="0" w:firstLine="0"/>
        <w:rPr>
          <w:rFonts w:ascii="Garamond" w:hAnsi="Garamond"/>
        </w:rPr>
      </w:pPr>
      <w:r w:rsidRPr="000B1C7D">
        <w:rPr>
          <w:rStyle w:val="Hyperlink"/>
          <w:rFonts w:ascii="Garamond" w:hAnsi="Garamond" w:cs="Times New Roman"/>
        </w:rPr>
        <w:t>3.69</w:t>
      </w:r>
      <w:proofErr w:type="gramStart"/>
      <w:r w:rsidRPr="000B1C7D">
        <w:rPr>
          <w:rStyle w:val="Hyperlink"/>
          <w:rFonts w:ascii="Garamond" w:hAnsi="Garamond" w:cs="Times New Roman"/>
        </w:rPr>
        <w:t>.pdf</w:t>
      </w:r>
      <w:proofErr w:type="gramEnd"/>
      <w:r w:rsidRPr="000B1C7D">
        <w:rPr>
          <w:rStyle w:val="Hyperlink"/>
          <w:rFonts w:ascii="Garamond" w:hAnsi="Garamond" w:cs="Times New Roman"/>
          <w:color w:val="auto"/>
          <w:u w:val="none"/>
        </w:rPr>
        <w:t>.</w:t>
      </w:r>
    </w:p>
  </w:footnote>
  <w:footnote w:id="75">
    <w:p w:rsidR="00B56F0B" w:rsidRPr="00C94122" w:rsidRDefault="00B56F0B" w:rsidP="00D0612C">
      <w:pPr>
        <w:pStyle w:val="Funotentext"/>
        <w:jc w:val="both"/>
        <w:rPr>
          <w:rFonts w:ascii="Garamond" w:eastAsia="Times New Roman" w:hAnsi="Garamond" w:cs="Times New Roman"/>
          <w:bCs/>
        </w:rPr>
      </w:pPr>
      <w:r w:rsidRPr="000B1C7D">
        <w:rPr>
          <w:rStyle w:val="Funotenzeichen"/>
          <w:rFonts w:ascii="Garamond" w:hAnsi="Garamond" w:cs="Times New Roman"/>
        </w:rPr>
        <w:footnoteRef/>
      </w:r>
      <w:r>
        <w:rPr>
          <w:rFonts w:ascii="Garamond" w:eastAsia="Times New Roman" w:hAnsi="Garamond" w:cs="Times New Roman"/>
          <w:bCs/>
          <w:color w:val="222222"/>
        </w:rPr>
        <w:t xml:space="preserve"> </w:t>
      </w:r>
      <w:r w:rsidRPr="00C94122">
        <w:rPr>
          <w:rFonts w:ascii="Garamond" w:eastAsia="Times New Roman" w:hAnsi="Garamond" w:cs="Times New Roman"/>
          <w:bCs/>
          <w:color w:val="222222"/>
        </w:rPr>
        <w:t xml:space="preserve">See statement by </w:t>
      </w:r>
      <w:r w:rsidRPr="00C94122">
        <w:rPr>
          <w:rFonts w:ascii="Garamond" w:eastAsia="Times New Roman" w:hAnsi="Garamond" w:cs="Times New Roman"/>
          <w:bCs/>
          <w:color w:val="222222"/>
          <w:lang w:val="en-AU"/>
        </w:rPr>
        <w:t xml:space="preserve">the Georgian Young Lawyers’ Association (GYLA): </w:t>
      </w:r>
      <w:hyperlink r:id="rId24" w:history="1">
        <w:r w:rsidRPr="00C94122">
          <w:rPr>
            <w:rStyle w:val="Hyperlink"/>
            <w:rFonts w:ascii="Garamond" w:hAnsi="Garamond" w:cs="Times New Roman"/>
          </w:rPr>
          <w:t>http://gyla.ge/uploads/1547_-.pdf</w:t>
        </w:r>
      </w:hyperlink>
      <w:r w:rsidRPr="00C94122">
        <w:rPr>
          <w:rStyle w:val="Hyperlink"/>
          <w:rFonts w:ascii="Garamond" w:hAnsi="Garamond" w:cs="Times New Roman"/>
          <w:color w:val="auto"/>
          <w:u w:val="none"/>
        </w:rPr>
        <w:t>.</w:t>
      </w:r>
    </w:p>
  </w:footnote>
  <w:footnote w:id="76">
    <w:p w:rsidR="00B56F0B" w:rsidRPr="00C94122" w:rsidRDefault="00B56F0B" w:rsidP="00D0612C">
      <w:pPr>
        <w:pStyle w:val="Funotentext"/>
        <w:rPr>
          <w:rFonts w:ascii="Garamond" w:hAnsi="Garamond" w:cs="Times New Roman"/>
        </w:rPr>
      </w:pPr>
      <w:r w:rsidRPr="00C94122">
        <w:rPr>
          <w:rStyle w:val="Funotenzeichen"/>
          <w:rFonts w:ascii="Garamond" w:hAnsi="Garamond" w:cs="Times New Roman"/>
        </w:rPr>
        <w:footnoteRef/>
      </w:r>
      <w:r w:rsidRPr="00C94122">
        <w:rPr>
          <w:rFonts w:ascii="Garamond" w:hAnsi="Garamond" w:cs="Times New Roman"/>
        </w:rPr>
        <w:t xml:space="preserve"> Broadcasting of television and radio programs with two or more themes, including news and public-political</w:t>
      </w:r>
    </w:p>
    <w:p w:rsidR="00B56F0B" w:rsidRPr="00C94122" w:rsidRDefault="00B56F0B" w:rsidP="00D0612C">
      <w:pPr>
        <w:pStyle w:val="Funotentext"/>
        <w:rPr>
          <w:rFonts w:ascii="Garamond" w:hAnsi="Garamond" w:cs="Times New Roman"/>
        </w:rPr>
      </w:pPr>
      <w:proofErr w:type="gramStart"/>
      <w:r w:rsidRPr="00C94122">
        <w:rPr>
          <w:rFonts w:ascii="Garamond" w:hAnsi="Garamond" w:cs="Times New Roman"/>
        </w:rPr>
        <w:t>programs</w:t>
      </w:r>
      <w:proofErr w:type="gramEnd"/>
      <w:r w:rsidRPr="00C94122">
        <w:rPr>
          <w:rFonts w:ascii="Garamond" w:hAnsi="Garamond" w:cs="Times New Roman"/>
        </w:rPr>
        <w:t xml:space="preserve">, Law of Georgia on Broadcasting, Art. 2(s). </w:t>
      </w:r>
      <w:r w:rsidRPr="00C94122">
        <w:rPr>
          <w:rStyle w:val="apple-converted-space"/>
          <w:rFonts w:ascii="Garamond" w:hAnsi="Garamond" w:cs="Times New Roman"/>
          <w:color w:val="5C5C5C"/>
          <w:shd w:val="clear" w:color="auto" w:fill="FFFFFF"/>
        </w:rPr>
        <w:t> </w:t>
      </w:r>
    </w:p>
  </w:footnote>
  <w:footnote w:id="77">
    <w:p w:rsidR="00B56F0B" w:rsidRPr="00C94122" w:rsidRDefault="00B56F0B" w:rsidP="00D0612C">
      <w:pPr>
        <w:pStyle w:val="Funotentext"/>
        <w:rPr>
          <w:rFonts w:ascii="Garamond" w:hAnsi="Garamond" w:cs="Times New Roman"/>
        </w:rPr>
      </w:pPr>
      <w:r w:rsidRPr="00C94122">
        <w:rPr>
          <w:rStyle w:val="Funotenzeichen"/>
          <w:rFonts w:ascii="Garamond" w:hAnsi="Garamond" w:cs="Times New Roman"/>
        </w:rPr>
        <w:footnoteRef/>
      </w:r>
      <w:r w:rsidRPr="00C94122">
        <w:rPr>
          <w:rFonts w:ascii="Garamond" w:hAnsi="Garamond" w:cs="Times New Roman"/>
        </w:rPr>
        <w:t xml:space="preserve"> </w:t>
      </w:r>
      <w:proofErr w:type="gramStart"/>
      <w:r w:rsidRPr="00C94122">
        <w:rPr>
          <w:rFonts w:ascii="Garamond" w:hAnsi="Garamond" w:cs="Times New Roman"/>
        </w:rPr>
        <w:t>Election Code of Georgia, Art.</w:t>
      </w:r>
      <w:proofErr w:type="gramEnd"/>
      <w:r w:rsidRPr="00C94122">
        <w:rPr>
          <w:rFonts w:ascii="Garamond" w:hAnsi="Garamond" w:cs="Times New Roman"/>
        </w:rPr>
        <w:t xml:space="preserve"> </w:t>
      </w:r>
      <w:proofErr w:type="gramStart"/>
      <w:r w:rsidRPr="00C94122">
        <w:rPr>
          <w:rFonts w:ascii="Garamond" w:hAnsi="Garamond" w:cs="Times New Roman"/>
        </w:rPr>
        <w:t>51, para.</w:t>
      </w:r>
      <w:proofErr w:type="gramEnd"/>
      <w:r w:rsidRPr="00C94122">
        <w:rPr>
          <w:rFonts w:ascii="Garamond" w:hAnsi="Garamond" w:cs="Times New Roman"/>
        </w:rPr>
        <w:t xml:space="preserve"> 17-21 enforced since July 16, 2012:</w:t>
      </w:r>
    </w:p>
    <w:p w:rsidR="00B56F0B" w:rsidRPr="00C94122" w:rsidRDefault="001F2E06" w:rsidP="00D0612C">
      <w:pPr>
        <w:pStyle w:val="Funotentext"/>
        <w:rPr>
          <w:rFonts w:ascii="Garamond" w:hAnsi="Garamond" w:cs="Times New Roman"/>
        </w:rPr>
      </w:pPr>
      <w:hyperlink r:id="rId25" w:history="1">
        <w:r w:rsidR="00B56F0B" w:rsidRPr="00C94122">
          <w:rPr>
            <w:rStyle w:val="Hyperlink"/>
            <w:rFonts w:ascii="Garamond" w:hAnsi="Garamond" w:cs="Times New Roman"/>
            <w:lang w:val="ka-GE"/>
          </w:rPr>
          <w:t>https://matsne.gov.ge/index.php?option=com_ldmssearch&amp;view=docView&amp;id=1700719&amp;lang=ge</w:t>
        </w:r>
      </w:hyperlink>
      <w:r w:rsidR="00B56F0B" w:rsidRPr="00C94122">
        <w:rPr>
          <w:rStyle w:val="Hyperlink"/>
          <w:rFonts w:ascii="Garamond" w:hAnsi="Garamond" w:cs="Times New Roman"/>
          <w:color w:val="auto"/>
          <w:u w:val="none"/>
        </w:rPr>
        <w:t>.</w:t>
      </w:r>
    </w:p>
  </w:footnote>
  <w:footnote w:id="78">
    <w:p w:rsidR="00B56F0B" w:rsidRPr="00C94122" w:rsidRDefault="00B56F0B" w:rsidP="00D0612C">
      <w:pPr>
        <w:pStyle w:val="Funotentext"/>
        <w:rPr>
          <w:rFonts w:ascii="Garamond" w:hAnsi="Garamond" w:cs="Times New Roman"/>
        </w:rPr>
      </w:pPr>
      <w:r w:rsidRPr="00C94122">
        <w:rPr>
          <w:rStyle w:val="Funotenzeichen"/>
          <w:rFonts w:ascii="Garamond" w:hAnsi="Garamond" w:cs="Times New Roman"/>
        </w:rPr>
        <w:footnoteRef/>
      </w:r>
      <w:r w:rsidRPr="00C94122">
        <w:rPr>
          <w:rFonts w:ascii="Garamond" w:hAnsi="Garamond" w:cs="Times New Roman"/>
        </w:rPr>
        <w:t xml:space="preserve"> </w:t>
      </w:r>
      <w:proofErr w:type="gramStart"/>
      <w:r w:rsidRPr="00C94122">
        <w:rPr>
          <w:rFonts w:ascii="Garamond" w:hAnsi="Garamond" w:cs="Times New Roman"/>
        </w:rPr>
        <w:t>Adopted on 12 June 1997.</w:t>
      </w:r>
      <w:proofErr w:type="gramEnd"/>
    </w:p>
  </w:footnote>
  <w:footnote w:id="79">
    <w:p w:rsidR="00B56F0B" w:rsidRPr="00C94122" w:rsidRDefault="00B56F0B" w:rsidP="00D0612C">
      <w:pPr>
        <w:pStyle w:val="Funotentext"/>
        <w:rPr>
          <w:rFonts w:ascii="Garamond" w:hAnsi="Garamond" w:cs="Times New Roman"/>
        </w:rPr>
      </w:pPr>
      <w:r w:rsidRPr="00C94122">
        <w:rPr>
          <w:rStyle w:val="Funotenzeichen"/>
          <w:rFonts w:ascii="Garamond" w:hAnsi="Garamond" w:cs="Times New Roman"/>
        </w:rPr>
        <w:footnoteRef/>
      </w:r>
      <w:r w:rsidRPr="00C94122">
        <w:rPr>
          <w:rFonts w:ascii="Garamond" w:hAnsi="Garamond" w:cs="Times New Roman"/>
        </w:rPr>
        <w:t xml:space="preserve"> Amendments were made on </w:t>
      </w:r>
      <w:r w:rsidRPr="00C94122">
        <w:rPr>
          <w:rFonts w:ascii="Garamond" w:hAnsi="Garamond" w:cs="Times New Roman"/>
          <w:lang w:val="ka-GE"/>
        </w:rPr>
        <w:t>05/15/98 N1392; 02/24/2004 N3401; 12/29/2006 N4266; 07/17/2009 N1502;</w:t>
      </w:r>
    </w:p>
    <w:p w:rsidR="00B56F0B" w:rsidRPr="00C94122" w:rsidRDefault="00B56F0B" w:rsidP="00D0612C">
      <w:pPr>
        <w:pStyle w:val="Funotentext"/>
        <w:rPr>
          <w:rFonts w:ascii="Garamond" w:hAnsi="Garamond"/>
        </w:rPr>
      </w:pPr>
      <w:r w:rsidRPr="00C94122">
        <w:rPr>
          <w:rFonts w:ascii="Garamond" w:hAnsi="Garamond" w:cs="Times New Roman"/>
          <w:lang w:val="ka-GE"/>
        </w:rPr>
        <w:t xml:space="preserve">03/09/2010 N2724 </w:t>
      </w:r>
      <w:r w:rsidRPr="00C94122">
        <w:rPr>
          <w:rFonts w:ascii="Garamond" w:hAnsi="Garamond" w:cs="Sylfaen"/>
        </w:rPr>
        <w:t>and</w:t>
      </w:r>
      <w:r w:rsidRPr="00C94122">
        <w:rPr>
          <w:rFonts w:ascii="Garamond" w:hAnsi="Garamond" w:cs="Times New Roman"/>
          <w:lang w:val="ka-GE"/>
        </w:rPr>
        <w:t xml:space="preserve"> 14/07/2011 N110714026</w:t>
      </w:r>
      <w:r w:rsidRPr="00C94122">
        <w:rPr>
          <w:rFonts w:ascii="Garamond" w:hAnsi="Garamond"/>
        </w:rPr>
        <w:t>.</w:t>
      </w:r>
    </w:p>
  </w:footnote>
  <w:footnote w:id="80">
    <w:p w:rsidR="00B56F0B" w:rsidRPr="000B1C7D" w:rsidRDefault="00B56F0B" w:rsidP="001B48FD">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lang w:val="ka-GE"/>
        </w:rPr>
        <w:t>Venice Commission</w:t>
      </w:r>
      <w:r w:rsidRPr="000B1C7D">
        <w:rPr>
          <w:rFonts w:ascii="Garamond" w:hAnsi="Garamond" w:cs="Times New Roman"/>
        </w:rPr>
        <w:t xml:space="preserve"> (14-15 October 2011),</w:t>
      </w:r>
      <w:r w:rsidRPr="000B1C7D">
        <w:rPr>
          <w:rFonts w:ascii="Garamond" w:hAnsi="Garamond" w:cs="Times New Roman"/>
          <w:lang w:val="ka-GE"/>
        </w:rPr>
        <w:t xml:space="preserve"> </w:t>
      </w:r>
      <w:r w:rsidRPr="000B1C7D">
        <w:rPr>
          <w:rFonts w:ascii="Garamond" w:hAnsi="Garamond" w:cs="Times New Roman"/>
        </w:rPr>
        <w:t>“</w:t>
      </w:r>
      <w:r w:rsidRPr="000B1C7D">
        <w:rPr>
          <w:rFonts w:ascii="Garamond" w:hAnsi="Garamond" w:cs="Times New Roman"/>
          <w:lang w:val="ka-GE"/>
        </w:rPr>
        <w:t xml:space="preserve">Final Opinion On The Amendments To The Law </w:t>
      </w:r>
      <w:r w:rsidRPr="000B1C7D">
        <w:rPr>
          <w:rFonts w:ascii="Garamond" w:hAnsi="Garamond" w:cs="Times New Roman"/>
          <w:lang w:val="ka-GE"/>
        </w:rPr>
        <w:t>On Assembly And Manifesta</w:t>
      </w:r>
      <w:proofErr w:type="spellStart"/>
      <w:r w:rsidRPr="000B1C7D">
        <w:rPr>
          <w:rFonts w:ascii="Garamond" w:hAnsi="Garamond" w:cs="Times New Roman"/>
        </w:rPr>
        <w:t>ti</w:t>
      </w:r>
      <w:proofErr w:type="spellEnd"/>
      <w:r w:rsidRPr="000B1C7D">
        <w:rPr>
          <w:rFonts w:ascii="Garamond" w:hAnsi="Garamond" w:cs="Times New Roman"/>
          <w:lang w:val="ka-GE"/>
        </w:rPr>
        <w:t>ons Of Georgia</w:t>
      </w:r>
      <w:r w:rsidRPr="000B1C7D">
        <w:rPr>
          <w:rFonts w:ascii="Garamond" w:hAnsi="Garamond" w:cs="Times New Roman"/>
        </w:rPr>
        <w:t>”,</w:t>
      </w:r>
      <w:r w:rsidRPr="000B1C7D">
        <w:rPr>
          <w:rFonts w:ascii="Garamond" w:hAnsi="Garamond" w:cs="Times New Roman"/>
          <w:lang w:val="ka-GE"/>
        </w:rPr>
        <w:t xml:space="preserve"> Adoped at 88th Plenary Session</w:t>
      </w:r>
      <w:r w:rsidRPr="000B1C7D">
        <w:rPr>
          <w:rFonts w:ascii="Garamond" w:hAnsi="Garamond" w:cs="Times New Roman"/>
        </w:rPr>
        <w:t xml:space="preserve">, </w:t>
      </w:r>
      <w:r w:rsidRPr="000B1C7D">
        <w:rPr>
          <w:rFonts w:ascii="Garamond" w:hAnsi="Garamond" w:cs="Times New Roman"/>
          <w:lang w:val="ka-GE"/>
        </w:rPr>
        <w:t>Venice</w:t>
      </w:r>
      <w:r w:rsidRPr="000B1C7D">
        <w:rPr>
          <w:rFonts w:ascii="Garamond" w:hAnsi="Garamond" w:cs="Times New Roman"/>
        </w:rPr>
        <w:t xml:space="preserve"> </w:t>
      </w:r>
      <w:r w:rsidRPr="000B1C7D">
        <w:rPr>
          <w:rFonts w:ascii="Garamond" w:hAnsi="Garamond" w:cs="Times New Roman"/>
          <w:lang w:val="ka-GE"/>
        </w:rPr>
        <w:t>– Opinion no.547/2009, CDL</w:t>
      </w:r>
    </w:p>
    <w:p w:rsidR="00B56F0B" w:rsidRPr="000B1C7D" w:rsidRDefault="00B56F0B" w:rsidP="001B48FD">
      <w:pPr>
        <w:pStyle w:val="Funotentext"/>
        <w:ind w:left="0" w:firstLine="0"/>
        <w:rPr>
          <w:rFonts w:ascii="Garamond" w:hAnsi="Garamond" w:cs="Times New Roman"/>
        </w:rPr>
      </w:pPr>
      <w:r w:rsidRPr="000B1C7D">
        <w:rPr>
          <w:rFonts w:ascii="Garamond" w:hAnsi="Garamond" w:cs="Times New Roman"/>
          <w:lang w:val="ka-GE"/>
        </w:rPr>
        <w:t>AD(2011)029 – 17October, 2011</w:t>
      </w:r>
      <w:r w:rsidRPr="000B1C7D">
        <w:rPr>
          <w:rFonts w:ascii="Garamond" w:hAnsi="Garamond" w:cs="Times New Roman"/>
        </w:rPr>
        <w:t xml:space="preserve">, </w:t>
      </w:r>
      <w:r w:rsidRPr="000B1C7D">
        <w:rPr>
          <w:rFonts w:ascii="Garamond" w:hAnsi="Garamond" w:cs="Times New Roman"/>
          <w:lang w:val="ka-GE"/>
        </w:rPr>
        <w:t>Strasbourg</w:t>
      </w:r>
      <w:r w:rsidRPr="000B1C7D">
        <w:rPr>
          <w:rFonts w:ascii="Garamond" w:hAnsi="Garamond" w:cs="Times New Roman"/>
        </w:rPr>
        <w:t>; Public Defender of Georgia (2011), “Human Rights Report”,</w:t>
      </w:r>
      <w:r>
        <w:rPr>
          <w:rFonts w:ascii="Garamond" w:hAnsi="Garamond" w:cs="Times New Roman"/>
        </w:rPr>
        <w:t xml:space="preserve"> Tbilisi, p.</w:t>
      </w:r>
      <w:r w:rsidRPr="000B1C7D">
        <w:rPr>
          <w:rFonts w:ascii="Garamond" w:hAnsi="Garamond" w:cs="Times New Roman"/>
        </w:rPr>
        <w:t xml:space="preserve">68; </w:t>
      </w:r>
      <w:r w:rsidRPr="000B1C7D">
        <w:rPr>
          <w:rFonts w:ascii="Garamond" w:hAnsi="Garamond" w:cs="Times New Roman"/>
          <w:lang w:val="en-AU"/>
        </w:rPr>
        <w:t xml:space="preserve">the Georgian Young Lawyers’ Association (GYLA) (2011), </w:t>
      </w:r>
      <w:r w:rsidRPr="000B1C7D">
        <w:rPr>
          <w:rFonts w:ascii="Garamond" w:hAnsi="Garamond" w:cs="Times New Roman"/>
        </w:rPr>
        <w:t xml:space="preserve">“Opinion of the Georgian Young Lawyers Association Concerning the Amendments to the Law of Georgia on Assembly and Manifestation”, </w:t>
      </w:r>
      <w:r w:rsidRPr="000B1C7D">
        <w:rPr>
          <w:rFonts w:ascii="Garamond" w:hAnsi="Garamond" w:cs="Times New Roman"/>
          <w:lang w:val="ka-GE"/>
        </w:rPr>
        <w:t>07/18-11, 20.06.2011</w:t>
      </w:r>
      <w:r w:rsidRPr="000B1C7D">
        <w:rPr>
          <w:rFonts w:ascii="Garamond" w:hAnsi="Garamond" w:cs="Times New Roman"/>
        </w:rPr>
        <w:t>.</w:t>
      </w:r>
    </w:p>
  </w:footnote>
  <w:footnote w:id="81">
    <w:p w:rsidR="00B56F0B" w:rsidRPr="000B1C7D" w:rsidRDefault="00B56F0B" w:rsidP="00140257">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rPr>
        <w:t xml:space="preserve">Nino </w:t>
      </w:r>
      <w:proofErr w:type="spellStart"/>
      <w:r w:rsidRPr="000B1C7D">
        <w:rPr>
          <w:rFonts w:ascii="Garamond" w:hAnsi="Garamond" w:cs="Times New Roman"/>
          <w:lang w:val="en-AU"/>
        </w:rPr>
        <w:t>Tsagareishvi</w:t>
      </w:r>
      <w:proofErr w:type="spellEnd"/>
      <w:r w:rsidRPr="000B1C7D">
        <w:rPr>
          <w:rFonts w:ascii="Garamond" w:hAnsi="Garamond" w:cs="Times New Roman"/>
          <w:lang w:val="en-AU"/>
        </w:rPr>
        <w:t xml:space="preserve"> (2012),</w:t>
      </w:r>
      <w:r w:rsidRPr="000B1C7D">
        <w:rPr>
          <w:rFonts w:ascii="Garamond" w:hAnsi="Garamond" w:cs="Times New Roman"/>
        </w:rPr>
        <w:t xml:space="preserve"> “Taking Liberties, Misusing Power”, </w:t>
      </w:r>
      <w:r w:rsidRPr="000B1C7D">
        <w:rPr>
          <w:rFonts w:ascii="Garamond" w:hAnsi="Garamond" w:cs="Times New Roman"/>
          <w:lang w:val="en-AU"/>
        </w:rPr>
        <w:t xml:space="preserve">Human Rights </w:t>
      </w:r>
      <w:proofErr w:type="spellStart"/>
      <w:r w:rsidRPr="000B1C7D">
        <w:rPr>
          <w:rFonts w:ascii="Garamond" w:hAnsi="Garamond" w:cs="Times New Roman"/>
          <w:lang w:val="en-AU"/>
        </w:rPr>
        <w:t>Center</w:t>
      </w:r>
      <w:proofErr w:type="spellEnd"/>
      <w:r w:rsidRPr="000B1C7D">
        <w:rPr>
          <w:rFonts w:ascii="Garamond" w:hAnsi="Garamond" w:cs="Times New Roman"/>
          <w:lang w:val="en-AU"/>
        </w:rPr>
        <w:t xml:space="preserve"> (HRIDC), Tbilisi,</w:t>
      </w:r>
      <w:r w:rsidRPr="000B1C7D">
        <w:rPr>
          <w:rFonts w:ascii="Garamond" w:hAnsi="Garamond" w:cs="Times New Roman"/>
        </w:rPr>
        <w:t xml:space="preserve"> p. 24, </w:t>
      </w:r>
      <w:hyperlink r:id="rId26" w:history="1">
        <w:r w:rsidRPr="000B1C7D">
          <w:rPr>
            <w:rStyle w:val="Hyperlink"/>
            <w:rFonts w:ascii="Garamond" w:hAnsi="Garamond" w:cs="Times New Roman"/>
          </w:rPr>
          <w:t>http://www.csogeorgia.org/uploads/Annual/42.pdf</w:t>
        </w:r>
      </w:hyperlink>
      <w:r w:rsidRPr="000B1C7D">
        <w:rPr>
          <w:rFonts w:ascii="Garamond" w:hAnsi="Garamond" w:cs="Times New Roman"/>
          <w:lang w:val="ka-GE"/>
        </w:rPr>
        <w:t xml:space="preserve">; </w:t>
      </w:r>
      <w:r w:rsidRPr="000B1C7D">
        <w:rPr>
          <w:rFonts w:ascii="Garamond" w:hAnsi="Garamond" w:cs="Times New Roman"/>
        </w:rPr>
        <w:t>see also</w:t>
      </w:r>
      <w:r w:rsidRPr="000B1C7D">
        <w:rPr>
          <w:rFonts w:ascii="Garamond" w:hAnsi="Garamond" w:cs="Times New Roman"/>
          <w:lang w:val="ka-GE"/>
        </w:rPr>
        <w:t xml:space="preserve">, </w:t>
      </w:r>
      <w:r>
        <w:rPr>
          <w:rFonts w:ascii="Garamond" w:hAnsi="Garamond" w:cs="Times New Roman"/>
        </w:rPr>
        <w:t xml:space="preserve">statement </w:t>
      </w:r>
      <w:r w:rsidRPr="000B1C7D">
        <w:rPr>
          <w:rFonts w:ascii="Garamond" w:hAnsi="Garamond" w:cs="Times New Roman"/>
        </w:rPr>
        <w:t xml:space="preserve">of the Public defender </w:t>
      </w:r>
      <w:hyperlink r:id="rId27" w:history="1">
        <w:r w:rsidRPr="000B1C7D">
          <w:rPr>
            <w:rStyle w:val="Hyperlink"/>
            <w:rFonts w:ascii="Garamond" w:eastAsia="Times New Roman" w:hAnsi="Garamond" w:cs="Times New Roman"/>
          </w:rPr>
          <w:t>http://ombudsman.ge/index.php?page=1001&amp;lang=1&amp;n=0&amp;id=1355</w:t>
        </w:r>
      </w:hyperlink>
      <w:r w:rsidRPr="000B1C7D">
        <w:rPr>
          <w:rStyle w:val="Hyperlink"/>
          <w:rFonts w:ascii="Garamond" w:eastAsia="Times New Roman" w:hAnsi="Garamond" w:cs="Times New Roman"/>
          <w:color w:val="auto"/>
          <w:u w:val="none"/>
        </w:rPr>
        <w:t>.</w:t>
      </w:r>
    </w:p>
  </w:footnote>
  <w:footnote w:id="82">
    <w:p w:rsidR="00B56F0B" w:rsidRPr="000B1C7D" w:rsidRDefault="00B56F0B" w:rsidP="000D1F34">
      <w:pPr>
        <w:pStyle w:val="Funotentext"/>
        <w:ind w:left="0" w:hanging="13"/>
        <w:jc w:val="both"/>
        <w:rPr>
          <w:rFonts w:ascii="Garamond" w:eastAsia="Times New Roman" w:hAnsi="Garamond" w:cs="Times New Roman"/>
        </w:rPr>
      </w:pPr>
      <w:r w:rsidRPr="000B1C7D">
        <w:rPr>
          <w:rStyle w:val="Funotenzeichen"/>
          <w:rFonts w:ascii="Garamond" w:hAnsi="Garamond" w:cs="Times New Roman"/>
        </w:rPr>
        <w:footnoteRef/>
      </w:r>
      <w:r>
        <w:rPr>
          <w:rFonts w:ascii="Garamond" w:eastAsia="Times New Roman" w:hAnsi="Garamond" w:cs="Times New Roman"/>
        </w:rPr>
        <w:t xml:space="preserve"> </w:t>
      </w:r>
      <w:r w:rsidRPr="000B1C7D">
        <w:rPr>
          <w:rFonts w:ascii="Garamond" w:eastAsia="Times New Roman" w:hAnsi="Garamond" w:cs="Times New Roman"/>
        </w:rPr>
        <w:t>On May 7</w:t>
      </w:r>
      <w:r w:rsidRPr="000B1C7D">
        <w:rPr>
          <w:rFonts w:ascii="Garamond" w:eastAsia="Times New Roman" w:hAnsi="Garamond" w:cs="Times New Roman"/>
          <w:vertAlign w:val="superscript"/>
        </w:rPr>
        <w:t>th</w:t>
      </w:r>
      <w:r w:rsidRPr="000B1C7D">
        <w:rPr>
          <w:rFonts w:ascii="Garamond" w:eastAsia="Times New Roman" w:hAnsi="Garamond" w:cs="Times New Roman"/>
        </w:rPr>
        <w:t xml:space="preserve"> of 2011 t</w:t>
      </w:r>
      <w:r>
        <w:rPr>
          <w:rFonts w:ascii="Garamond" w:eastAsia="Times New Roman" w:hAnsi="Garamond" w:cs="Times New Roman"/>
        </w:rPr>
        <w:t>he youth activist group “</w:t>
      </w:r>
      <w:proofErr w:type="spellStart"/>
      <w:r>
        <w:rPr>
          <w:rFonts w:ascii="Garamond" w:eastAsia="Times New Roman" w:hAnsi="Garamond" w:cs="Times New Roman"/>
        </w:rPr>
        <w:t>Ara</w:t>
      </w:r>
      <w:proofErr w:type="spellEnd"/>
      <w:r>
        <w:rPr>
          <w:rFonts w:ascii="Garamond" w:eastAsia="Times New Roman" w:hAnsi="Garamond" w:cs="Times New Roman"/>
        </w:rPr>
        <w:t>” (“N</w:t>
      </w:r>
      <w:r w:rsidRPr="000B1C7D">
        <w:rPr>
          <w:rFonts w:ascii="Garamond" w:eastAsia="Times New Roman" w:hAnsi="Garamond" w:cs="Times New Roman"/>
        </w:rPr>
        <w:t>o</w:t>
      </w:r>
      <w:r>
        <w:rPr>
          <w:rFonts w:ascii="Garamond" w:eastAsia="Times New Roman" w:hAnsi="Garamond" w:cs="Times New Roman"/>
        </w:rPr>
        <w:t>”</w:t>
      </w:r>
      <w:r w:rsidRPr="000B1C7D">
        <w:rPr>
          <w:rFonts w:ascii="Garamond" w:eastAsia="Times New Roman" w:hAnsi="Garamond" w:cs="Times New Roman"/>
        </w:rPr>
        <w:t>) associated with the opposition group Public Assembly</w:t>
      </w:r>
    </w:p>
    <w:p w:rsidR="00B56F0B" w:rsidRPr="000B1C7D" w:rsidRDefault="00B56F0B" w:rsidP="000D1F34">
      <w:pPr>
        <w:pStyle w:val="Funotentext"/>
        <w:ind w:left="0" w:hanging="13"/>
        <w:jc w:val="both"/>
        <w:rPr>
          <w:rFonts w:ascii="Garamond" w:eastAsia="Times New Roman" w:hAnsi="Garamond" w:cs="Times New Roman"/>
        </w:rPr>
      </w:pPr>
      <w:proofErr w:type="gramStart"/>
      <w:r w:rsidRPr="000B1C7D">
        <w:rPr>
          <w:rFonts w:ascii="Garamond" w:eastAsia="Times New Roman" w:hAnsi="Garamond" w:cs="Times New Roman"/>
        </w:rPr>
        <w:t>was</w:t>
      </w:r>
      <w:proofErr w:type="gramEnd"/>
      <w:r w:rsidRPr="000B1C7D">
        <w:rPr>
          <w:rFonts w:ascii="Garamond" w:eastAsia="Times New Roman" w:hAnsi="Garamond" w:cs="Times New Roman"/>
        </w:rPr>
        <w:t xml:space="preserve"> protesting in front of the house of the head of Rustavi police department.  According to the monitors from</w:t>
      </w:r>
    </w:p>
    <w:p w:rsidR="00B56F0B" w:rsidRPr="000B1C7D" w:rsidRDefault="00B56F0B" w:rsidP="000D1F34">
      <w:pPr>
        <w:pStyle w:val="Funotentext"/>
        <w:ind w:left="0" w:hanging="13"/>
        <w:jc w:val="both"/>
        <w:rPr>
          <w:rFonts w:ascii="Garamond" w:eastAsia="Times New Roman" w:hAnsi="Garamond" w:cs="Times New Roman"/>
        </w:rPr>
      </w:pPr>
      <w:r w:rsidRPr="000B1C7D">
        <w:rPr>
          <w:rFonts w:ascii="Garamond" w:eastAsia="Times New Roman" w:hAnsi="Garamond" w:cs="Times New Roman"/>
        </w:rPr>
        <w:t>Human Rights Center who witnessed the action, at one moment an unidentified person physically assaulted a female</w:t>
      </w:r>
    </w:p>
    <w:p w:rsidR="00B56F0B" w:rsidRPr="000B1C7D" w:rsidRDefault="00B56F0B" w:rsidP="000D1F34">
      <w:pPr>
        <w:pStyle w:val="Funotentext"/>
        <w:ind w:left="0" w:hanging="13"/>
        <w:jc w:val="both"/>
        <w:rPr>
          <w:rFonts w:ascii="Garamond" w:eastAsia="Times New Roman" w:hAnsi="Garamond" w:cs="Times New Roman"/>
        </w:rPr>
      </w:pPr>
      <w:proofErr w:type="gramStart"/>
      <w:r w:rsidRPr="000B1C7D">
        <w:rPr>
          <w:rFonts w:ascii="Garamond" w:eastAsia="Times New Roman" w:hAnsi="Garamond" w:cs="Times New Roman"/>
        </w:rPr>
        <w:t>police</w:t>
      </w:r>
      <w:proofErr w:type="gramEnd"/>
      <w:r w:rsidRPr="000B1C7D">
        <w:rPr>
          <w:rFonts w:ascii="Garamond" w:eastAsia="Times New Roman" w:hAnsi="Garamond" w:cs="Times New Roman"/>
        </w:rPr>
        <w:t xml:space="preserve"> officer and ran away. In response the policemen arrested twelve demonstrators while suspiciously letting the</w:t>
      </w:r>
    </w:p>
    <w:p w:rsidR="00B56F0B" w:rsidRPr="000B1C7D" w:rsidRDefault="00B56F0B" w:rsidP="000D1F34">
      <w:pPr>
        <w:pStyle w:val="Funotentext"/>
        <w:ind w:left="0" w:hanging="13"/>
        <w:jc w:val="both"/>
        <w:rPr>
          <w:rFonts w:ascii="Garamond" w:eastAsia="Times New Roman" w:hAnsi="Garamond" w:cs="Times New Roman"/>
        </w:rPr>
      </w:pPr>
      <w:proofErr w:type="gramStart"/>
      <w:r w:rsidRPr="000B1C7D">
        <w:rPr>
          <w:rFonts w:ascii="Garamond" w:eastAsia="Times New Roman" w:hAnsi="Garamond" w:cs="Times New Roman"/>
        </w:rPr>
        <w:t>initial</w:t>
      </w:r>
      <w:proofErr w:type="gramEnd"/>
      <w:r w:rsidRPr="000B1C7D">
        <w:rPr>
          <w:rFonts w:ascii="Garamond" w:eastAsia="Times New Roman" w:hAnsi="Garamond" w:cs="Times New Roman"/>
        </w:rPr>
        <w:t xml:space="preserve"> offender get away. Three activists, including the organizers, </w:t>
      </w:r>
      <w:proofErr w:type="spellStart"/>
      <w:r w:rsidRPr="000B1C7D">
        <w:rPr>
          <w:rFonts w:ascii="Garamond" w:eastAsia="Times New Roman" w:hAnsi="Garamond" w:cs="Times New Roman"/>
        </w:rPr>
        <w:t>Levan</w:t>
      </w:r>
      <w:proofErr w:type="spellEnd"/>
      <w:r w:rsidRPr="000B1C7D">
        <w:rPr>
          <w:rFonts w:ascii="Garamond" w:eastAsia="Times New Roman" w:hAnsi="Garamond" w:cs="Times New Roman"/>
        </w:rPr>
        <w:t xml:space="preserve"> </w:t>
      </w:r>
      <w:proofErr w:type="spellStart"/>
      <w:r w:rsidRPr="000B1C7D">
        <w:rPr>
          <w:rFonts w:ascii="Garamond" w:eastAsia="Times New Roman" w:hAnsi="Garamond" w:cs="Times New Roman"/>
        </w:rPr>
        <w:t>Chitadze</w:t>
      </w:r>
      <w:proofErr w:type="spellEnd"/>
      <w:r w:rsidRPr="000B1C7D">
        <w:rPr>
          <w:rFonts w:ascii="Garamond" w:eastAsia="Times New Roman" w:hAnsi="Garamond" w:cs="Times New Roman"/>
        </w:rPr>
        <w:t xml:space="preserve"> and </w:t>
      </w:r>
      <w:proofErr w:type="spellStart"/>
      <w:r w:rsidRPr="000B1C7D">
        <w:rPr>
          <w:rFonts w:ascii="Garamond" w:eastAsia="Times New Roman" w:hAnsi="Garamond" w:cs="Times New Roman"/>
        </w:rPr>
        <w:t>Vasil</w:t>
      </w:r>
      <w:proofErr w:type="spellEnd"/>
      <w:r w:rsidRPr="000B1C7D">
        <w:rPr>
          <w:rFonts w:ascii="Garamond" w:eastAsia="Times New Roman" w:hAnsi="Garamond" w:cs="Times New Roman"/>
        </w:rPr>
        <w:t xml:space="preserve"> </w:t>
      </w:r>
      <w:proofErr w:type="spellStart"/>
      <w:r w:rsidRPr="000B1C7D">
        <w:rPr>
          <w:rFonts w:ascii="Garamond" w:eastAsia="Times New Roman" w:hAnsi="Garamond" w:cs="Times New Roman"/>
        </w:rPr>
        <w:t>Balakhadze</w:t>
      </w:r>
      <w:proofErr w:type="spellEnd"/>
      <w:r w:rsidRPr="000B1C7D">
        <w:rPr>
          <w:rFonts w:ascii="Garamond" w:eastAsia="Times New Roman" w:hAnsi="Garamond" w:cs="Times New Roman"/>
        </w:rPr>
        <w:t>, were</w:t>
      </w:r>
    </w:p>
    <w:p w:rsidR="00B56F0B" w:rsidRPr="000B1C7D" w:rsidRDefault="00B56F0B" w:rsidP="000D1F34">
      <w:pPr>
        <w:pStyle w:val="Funotentext"/>
        <w:ind w:left="0" w:hanging="13"/>
        <w:jc w:val="both"/>
        <w:rPr>
          <w:rFonts w:ascii="Garamond" w:hAnsi="Garamond" w:cs="Times New Roman"/>
          <w:lang w:val="ka-GE"/>
        </w:rPr>
      </w:pPr>
      <w:r w:rsidRPr="000B1C7D">
        <w:rPr>
          <w:rFonts w:ascii="Garamond" w:eastAsia="Times New Roman" w:hAnsi="Garamond" w:cs="Times New Roman"/>
        </w:rPr>
        <w:t xml:space="preserve">sentenced to administrative detention for thirty days; see: </w:t>
      </w:r>
      <w:r w:rsidRPr="000B1C7D">
        <w:rPr>
          <w:rFonts w:ascii="Garamond" w:eastAsia="Times New Roman" w:hAnsi="Garamond" w:cs="Times New Roman"/>
          <w:lang w:val="en-AU"/>
        </w:rPr>
        <w:t xml:space="preserve">Nino </w:t>
      </w:r>
      <w:proofErr w:type="spellStart"/>
      <w:r w:rsidRPr="000B1C7D">
        <w:rPr>
          <w:rFonts w:ascii="Garamond" w:eastAsia="Times New Roman" w:hAnsi="Garamond" w:cs="Times New Roman"/>
          <w:lang w:val="en-AU"/>
        </w:rPr>
        <w:t>Tsagareishvi</w:t>
      </w:r>
      <w:proofErr w:type="spellEnd"/>
      <w:r w:rsidRPr="000B1C7D">
        <w:rPr>
          <w:rFonts w:ascii="Garamond" w:eastAsia="Times New Roman" w:hAnsi="Garamond" w:cs="Times New Roman"/>
          <w:lang w:val="en-AU"/>
        </w:rPr>
        <w:t xml:space="preserve"> (2012), “Taking Liberties, Misusing Power”, Human Rights </w:t>
      </w:r>
      <w:proofErr w:type="spellStart"/>
      <w:r w:rsidRPr="000B1C7D">
        <w:rPr>
          <w:rFonts w:ascii="Garamond" w:eastAsia="Times New Roman" w:hAnsi="Garamond" w:cs="Times New Roman"/>
          <w:lang w:val="en-AU"/>
        </w:rPr>
        <w:t>Center</w:t>
      </w:r>
      <w:proofErr w:type="spellEnd"/>
      <w:r w:rsidRPr="000B1C7D">
        <w:rPr>
          <w:rFonts w:ascii="Garamond" w:eastAsia="Times New Roman" w:hAnsi="Garamond" w:cs="Times New Roman"/>
          <w:lang w:val="en-AU"/>
        </w:rPr>
        <w:t xml:space="preserve"> (HRIDC), Tbilisi,</w:t>
      </w:r>
      <w:r w:rsidRPr="000B1C7D">
        <w:rPr>
          <w:rFonts w:ascii="Garamond" w:eastAsia="Times New Roman" w:hAnsi="Garamond" w:cs="Times New Roman"/>
        </w:rPr>
        <w:t xml:space="preserve"> </w:t>
      </w:r>
      <w:r w:rsidRPr="000B1C7D">
        <w:rPr>
          <w:rFonts w:ascii="Garamond" w:hAnsi="Garamond" w:cs="Times New Roman"/>
        </w:rPr>
        <w:t>p</w:t>
      </w:r>
      <w:r w:rsidRPr="000B1C7D">
        <w:rPr>
          <w:rFonts w:ascii="Garamond" w:hAnsi="Garamond" w:cs="Times New Roman"/>
          <w:lang w:val="ka-GE"/>
        </w:rPr>
        <w:t xml:space="preserve">. 27 </w:t>
      </w:r>
      <w:r>
        <w:fldChar w:fldCharType="begin"/>
      </w:r>
      <w:r>
        <w:instrText xml:space="preserve"> HYPERLINK "http://www.csogeorgia.org/uploads/Annual/42.pdf" </w:instrText>
      </w:r>
      <w:r>
        <w:fldChar w:fldCharType="separate"/>
      </w:r>
      <w:r w:rsidRPr="000B1C7D">
        <w:rPr>
          <w:rStyle w:val="Hyperlink"/>
          <w:rFonts w:ascii="Garamond" w:hAnsi="Garamond" w:cs="Times New Roman"/>
          <w:lang w:val="ka-GE"/>
        </w:rPr>
        <w:t>http://www.csogeorgia.org/uploads/Annual/42.pdf</w:t>
      </w:r>
      <w:r>
        <w:rPr>
          <w:rStyle w:val="Hyperlink"/>
          <w:rFonts w:ascii="Garamond" w:hAnsi="Garamond" w:cs="Times New Roman"/>
          <w:lang w:val="ka-GE"/>
        </w:rPr>
        <w:fldChar w:fldCharType="end"/>
      </w:r>
    </w:p>
  </w:footnote>
  <w:footnote w:id="83">
    <w:p w:rsidR="00B56F0B" w:rsidRPr="000B1C7D" w:rsidRDefault="00B56F0B" w:rsidP="00A97716">
      <w:pPr>
        <w:pStyle w:val="Funotentext"/>
        <w:ind w:left="0" w:firstLine="0"/>
        <w:rPr>
          <w:rFonts w:ascii="Garamond" w:eastAsia="Times New Roman" w:hAnsi="Garamond" w:cs="Times New Roman"/>
        </w:rPr>
      </w:pPr>
      <w:r w:rsidRPr="000B1C7D">
        <w:rPr>
          <w:rStyle w:val="Funotenzeichen"/>
          <w:rFonts w:ascii="Garamond" w:hAnsi="Garamond" w:cs="Times New Roman"/>
        </w:rPr>
        <w:footnoteRef/>
      </w:r>
      <w:proofErr w:type="gramStart"/>
      <w:r w:rsidRPr="000B1C7D">
        <w:rPr>
          <w:rFonts w:ascii="Garamond" w:eastAsia="Times New Roman" w:hAnsi="Garamond" w:cs="Times New Roman"/>
        </w:rPr>
        <w:t>On June 5</w:t>
      </w:r>
      <w:r w:rsidRPr="000B1C7D">
        <w:rPr>
          <w:rFonts w:ascii="Garamond" w:eastAsia="Times New Roman" w:hAnsi="Garamond" w:cs="Times New Roman"/>
          <w:vertAlign w:val="superscript"/>
        </w:rPr>
        <w:t>th</w:t>
      </w:r>
      <w:r w:rsidRPr="000B1C7D">
        <w:rPr>
          <w:rFonts w:ascii="Garamond" w:eastAsia="Times New Roman" w:hAnsi="Garamond" w:cs="Times New Roman"/>
        </w:rPr>
        <w:t xml:space="preserve"> of 2011 the Hollywood movie “Five Days of August” about the Russia-Georgia 2008 August war.</w:t>
      </w:r>
      <w:proofErr w:type="gramEnd"/>
    </w:p>
    <w:p w:rsidR="00B56F0B" w:rsidRPr="000B1C7D" w:rsidRDefault="00B56F0B" w:rsidP="00A97716">
      <w:pPr>
        <w:pStyle w:val="Funotentext"/>
        <w:ind w:left="0" w:firstLine="0"/>
        <w:rPr>
          <w:rFonts w:ascii="Garamond" w:eastAsia="Times New Roman" w:hAnsi="Garamond" w:cs="Times New Roman"/>
        </w:rPr>
      </w:pPr>
      <w:proofErr w:type="gramStart"/>
      <w:r w:rsidRPr="000B1C7D">
        <w:rPr>
          <w:rFonts w:ascii="Garamond" w:eastAsia="Times New Roman" w:hAnsi="Garamond" w:cs="Times New Roman"/>
        </w:rPr>
        <w:t>premiered</w:t>
      </w:r>
      <w:proofErr w:type="gramEnd"/>
      <w:r w:rsidRPr="000B1C7D">
        <w:rPr>
          <w:rFonts w:ascii="Garamond" w:eastAsia="Times New Roman" w:hAnsi="Garamond" w:cs="Times New Roman"/>
        </w:rPr>
        <w:t xml:space="preserve"> in </w:t>
      </w:r>
      <w:proofErr w:type="spellStart"/>
      <w:r w:rsidRPr="000B1C7D">
        <w:rPr>
          <w:rFonts w:ascii="Garamond" w:eastAsia="Times New Roman" w:hAnsi="Garamond" w:cs="Times New Roman"/>
        </w:rPr>
        <w:t>Rustaveli</w:t>
      </w:r>
      <w:proofErr w:type="spellEnd"/>
      <w:r w:rsidRPr="000B1C7D">
        <w:rPr>
          <w:rFonts w:ascii="Garamond" w:eastAsia="Times New Roman" w:hAnsi="Garamond" w:cs="Times New Roman"/>
        </w:rPr>
        <w:t xml:space="preserve"> cinema in Tbilisi. Georgian opposition activist Lasha Chkhartishvili  together with family</w:t>
      </w:r>
    </w:p>
    <w:p w:rsidR="00B56F0B" w:rsidRPr="000B1C7D" w:rsidRDefault="00B56F0B" w:rsidP="00A97716">
      <w:pPr>
        <w:pStyle w:val="Funotentext"/>
        <w:ind w:left="0" w:firstLine="0"/>
        <w:rPr>
          <w:rFonts w:ascii="Garamond" w:eastAsia="Times New Roman" w:hAnsi="Garamond" w:cs="Times New Roman"/>
        </w:rPr>
      </w:pPr>
      <w:r w:rsidRPr="000B1C7D">
        <w:rPr>
          <w:rFonts w:ascii="Garamond" w:eastAsia="Times New Roman" w:hAnsi="Garamond" w:cs="Times New Roman"/>
        </w:rPr>
        <w:t>members of opposition leader Irakli Batiashvili, who at the time was missing following the May 26 protests, decided</w:t>
      </w:r>
    </w:p>
    <w:p w:rsidR="00B56F0B" w:rsidRPr="000B1C7D" w:rsidRDefault="00B56F0B" w:rsidP="00A97716">
      <w:pPr>
        <w:pStyle w:val="Funotentext"/>
        <w:ind w:left="0" w:firstLine="0"/>
        <w:rPr>
          <w:rFonts w:ascii="Garamond" w:eastAsia="Times New Roman" w:hAnsi="Garamond" w:cs="Times New Roman"/>
        </w:rPr>
      </w:pPr>
      <w:proofErr w:type="gramStart"/>
      <w:r w:rsidRPr="000B1C7D">
        <w:rPr>
          <w:rFonts w:ascii="Garamond" w:eastAsia="Times New Roman" w:hAnsi="Garamond" w:cs="Times New Roman"/>
        </w:rPr>
        <w:t>to</w:t>
      </w:r>
      <w:proofErr w:type="gramEnd"/>
      <w:r w:rsidRPr="000B1C7D">
        <w:rPr>
          <w:rFonts w:ascii="Garamond" w:eastAsia="Times New Roman" w:hAnsi="Garamond" w:cs="Times New Roman"/>
        </w:rPr>
        <w:t xml:space="preserve"> hold a protest action and deliver a message on the lack of democracy in Georgia to arriving guests. All four</w:t>
      </w:r>
    </w:p>
    <w:p w:rsidR="00B56F0B" w:rsidRPr="000B1C7D" w:rsidRDefault="00B56F0B" w:rsidP="00A97716">
      <w:pPr>
        <w:pStyle w:val="Funotentext"/>
        <w:ind w:left="0" w:firstLine="0"/>
        <w:rPr>
          <w:rFonts w:ascii="Garamond" w:eastAsia="Times New Roman" w:hAnsi="Garamond" w:cs="Times New Roman"/>
        </w:rPr>
      </w:pPr>
      <w:r w:rsidRPr="000B1C7D">
        <w:rPr>
          <w:rFonts w:ascii="Garamond" w:eastAsia="Times New Roman" w:hAnsi="Garamond" w:cs="Times New Roman"/>
        </w:rPr>
        <w:t xml:space="preserve">demonstrators – </w:t>
      </w:r>
      <w:proofErr w:type="spellStart"/>
      <w:r w:rsidRPr="000B1C7D">
        <w:rPr>
          <w:rFonts w:ascii="Garamond" w:eastAsia="Times New Roman" w:hAnsi="Garamond" w:cs="Times New Roman"/>
        </w:rPr>
        <w:t>Lasha</w:t>
      </w:r>
      <w:proofErr w:type="spellEnd"/>
      <w:r w:rsidRPr="000B1C7D">
        <w:rPr>
          <w:rFonts w:ascii="Garamond" w:eastAsia="Times New Roman" w:hAnsi="Garamond" w:cs="Times New Roman"/>
        </w:rPr>
        <w:t xml:space="preserve">  </w:t>
      </w:r>
      <w:proofErr w:type="spellStart"/>
      <w:r w:rsidRPr="000B1C7D">
        <w:rPr>
          <w:rFonts w:ascii="Garamond" w:eastAsia="Times New Roman" w:hAnsi="Garamond" w:cs="Times New Roman"/>
        </w:rPr>
        <w:t>Chkhartishvili</w:t>
      </w:r>
      <w:proofErr w:type="spellEnd"/>
      <w:r w:rsidRPr="000B1C7D">
        <w:rPr>
          <w:rFonts w:ascii="Garamond" w:eastAsia="Times New Roman" w:hAnsi="Garamond" w:cs="Times New Roman"/>
        </w:rPr>
        <w:t xml:space="preserve">, </w:t>
      </w:r>
      <w:proofErr w:type="spellStart"/>
      <w:r w:rsidRPr="000B1C7D">
        <w:rPr>
          <w:rFonts w:ascii="Garamond" w:eastAsia="Times New Roman" w:hAnsi="Garamond" w:cs="Times New Roman"/>
        </w:rPr>
        <w:t>Teona</w:t>
      </w:r>
      <w:proofErr w:type="spellEnd"/>
      <w:r w:rsidRPr="000B1C7D">
        <w:rPr>
          <w:rFonts w:ascii="Garamond" w:eastAsia="Times New Roman" w:hAnsi="Garamond" w:cs="Times New Roman"/>
        </w:rPr>
        <w:t xml:space="preserve"> </w:t>
      </w:r>
      <w:proofErr w:type="spellStart"/>
      <w:r w:rsidRPr="000B1C7D">
        <w:rPr>
          <w:rFonts w:ascii="Garamond" w:eastAsia="Times New Roman" w:hAnsi="Garamond" w:cs="Times New Roman"/>
        </w:rPr>
        <w:t>Kardava</w:t>
      </w:r>
      <w:proofErr w:type="spellEnd"/>
      <w:r w:rsidRPr="000B1C7D">
        <w:rPr>
          <w:rFonts w:ascii="Garamond" w:eastAsia="Times New Roman" w:hAnsi="Garamond" w:cs="Times New Roman"/>
        </w:rPr>
        <w:t>, Irina Batiashvili and Maia Batiashvili were arrested by</w:t>
      </w:r>
    </w:p>
    <w:p w:rsidR="00B56F0B" w:rsidRPr="000B1C7D" w:rsidRDefault="00B56F0B" w:rsidP="00A97716">
      <w:pPr>
        <w:pStyle w:val="Funotentext"/>
        <w:ind w:left="0" w:firstLine="0"/>
        <w:rPr>
          <w:rFonts w:ascii="Garamond" w:eastAsia="Times New Roman" w:hAnsi="Garamond" w:cs="Times New Roman"/>
        </w:rPr>
      </w:pPr>
      <w:proofErr w:type="gramStart"/>
      <w:r w:rsidRPr="000B1C7D">
        <w:rPr>
          <w:rFonts w:ascii="Garamond" w:eastAsia="Times New Roman" w:hAnsi="Garamond" w:cs="Times New Roman"/>
        </w:rPr>
        <w:t>police</w:t>
      </w:r>
      <w:proofErr w:type="gramEnd"/>
      <w:r w:rsidRPr="000B1C7D">
        <w:rPr>
          <w:rFonts w:ascii="Garamond" w:eastAsia="Times New Roman" w:hAnsi="Garamond" w:cs="Times New Roman"/>
        </w:rPr>
        <w:t>. According to monitors from Human Rights Center, the demonstrators were not violent, did not hinder traffic</w:t>
      </w:r>
    </w:p>
    <w:p w:rsidR="00B56F0B" w:rsidRPr="000B1C7D" w:rsidRDefault="00B56F0B" w:rsidP="00A97716">
      <w:pPr>
        <w:pStyle w:val="Funotentext"/>
        <w:ind w:left="0" w:firstLine="0"/>
        <w:rPr>
          <w:rFonts w:ascii="Garamond" w:hAnsi="Garamond" w:cs="Times New Roman"/>
        </w:rPr>
      </w:pPr>
      <w:proofErr w:type="gramStart"/>
      <w:r w:rsidRPr="000B1C7D">
        <w:rPr>
          <w:rFonts w:ascii="Garamond" w:eastAsia="Times New Roman" w:hAnsi="Garamond" w:cs="Times New Roman"/>
        </w:rPr>
        <w:t>movement</w:t>
      </w:r>
      <w:proofErr w:type="gramEnd"/>
      <w:r w:rsidRPr="000B1C7D">
        <w:rPr>
          <w:rFonts w:ascii="Garamond" w:eastAsia="Times New Roman" w:hAnsi="Garamond" w:cs="Times New Roman"/>
        </w:rPr>
        <w:t xml:space="preserve"> or violate other norms of the Law on Assemblies and Manifestations; </w:t>
      </w:r>
      <w:r w:rsidRPr="000B1C7D">
        <w:rPr>
          <w:rFonts w:ascii="Garamond" w:eastAsia="Times New Roman" w:hAnsi="Garamond" w:cs="Times New Roman"/>
          <w:lang w:val="en-AU"/>
        </w:rPr>
        <w:t xml:space="preserve">see: Nino </w:t>
      </w:r>
      <w:proofErr w:type="spellStart"/>
      <w:r w:rsidRPr="000B1C7D">
        <w:rPr>
          <w:rFonts w:ascii="Garamond" w:eastAsia="Times New Roman" w:hAnsi="Garamond" w:cs="Times New Roman"/>
          <w:lang w:val="en-AU"/>
        </w:rPr>
        <w:t>Tsagareishvi</w:t>
      </w:r>
      <w:proofErr w:type="spellEnd"/>
      <w:r w:rsidRPr="000B1C7D">
        <w:rPr>
          <w:rFonts w:ascii="Garamond" w:eastAsia="Times New Roman" w:hAnsi="Garamond" w:cs="Times New Roman"/>
          <w:lang w:val="en-AU"/>
        </w:rPr>
        <w:t xml:space="preserve"> (2012), “Taking Liberties, Misusing Power”, Human Rights </w:t>
      </w:r>
      <w:proofErr w:type="spellStart"/>
      <w:r w:rsidRPr="000B1C7D">
        <w:rPr>
          <w:rFonts w:ascii="Garamond" w:eastAsia="Times New Roman" w:hAnsi="Garamond" w:cs="Times New Roman"/>
          <w:lang w:val="en-AU"/>
        </w:rPr>
        <w:t>Center</w:t>
      </w:r>
      <w:proofErr w:type="spellEnd"/>
      <w:r w:rsidRPr="000B1C7D">
        <w:rPr>
          <w:rFonts w:ascii="Garamond" w:eastAsia="Times New Roman" w:hAnsi="Garamond" w:cs="Times New Roman"/>
          <w:lang w:val="en-AU"/>
        </w:rPr>
        <w:t xml:space="preserve"> (HRIDC), Tbilisi, p</w:t>
      </w:r>
      <w:r w:rsidRPr="000B1C7D">
        <w:rPr>
          <w:rFonts w:ascii="Garamond" w:hAnsi="Garamond" w:cs="Times New Roman"/>
          <w:lang w:val="ka-GE"/>
        </w:rPr>
        <w:t>.</w:t>
      </w:r>
      <w:r w:rsidRPr="000B1C7D">
        <w:rPr>
          <w:rFonts w:ascii="Garamond" w:hAnsi="Garamond" w:cs="Times New Roman"/>
        </w:rPr>
        <w:t xml:space="preserve"> 26,</w:t>
      </w:r>
      <w:r>
        <w:rPr>
          <w:rFonts w:ascii="Garamond" w:hAnsi="Garamond" w:cs="Times New Roman"/>
        </w:rPr>
        <w:t xml:space="preserve"> </w:t>
      </w:r>
      <w:hyperlink r:id="rId28" w:history="1">
        <w:r w:rsidRPr="000B1C7D">
          <w:rPr>
            <w:rStyle w:val="Hyperlink"/>
            <w:rFonts w:ascii="Garamond" w:hAnsi="Garamond" w:cs="Times New Roman"/>
          </w:rPr>
          <w:t>http://www.csogeorgia.org/uploads/Annual/42.pdf</w:t>
        </w:r>
      </w:hyperlink>
      <w:r w:rsidRPr="000B1C7D">
        <w:rPr>
          <w:rStyle w:val="Hyperlink"/>
          <w:rFonts w:ascii="Garamond" w:hAnsi="Garamond" w:cs="Times New Roman"/>
          <w:color w:val="auto"/>
          <w:u w:val="none"/>
        </w:rPr>
        <w:t>.</w:t>
      </w:r>
    </w:p>
  </w:footnote>
  <w:footnote w:id="84">
    <w:p w:rsidR="00B56F0B" w:rsidRPr="000B1C7D" w:rsidRDefault="00B56F0B" w:rsidP="00D0612C">
      <w:pPr>
        <w:pStyle w:val="Funotentext"/>
        <w:rPr>
          <w:rFonts w:ascii="Garamond" w:eastAsia="Times New Roman" w:hAnsi="Garamond" w:cs="Times New Roman"/>
        </w:rPr>
      </w:pPr>
      <w:r w:rsidRPr="000B1C7D">
        <w:rPr>
          <w:rStyle w:val="Funotenzeichen"/>
          <w:rFonts w:ascii="Garamond" w:hAnsi="Garamond" w:cs="Times New Roman"/>
        </w:rPr>
        <w:footnoteRef/>
      </w:r>
      <w:r w:rsidRPr="000B1C7D">
        <w:rPr>
          <w:rFonts w:ascii="Garamond" w:eastAsia="Times New Roman" w:hAnsi="Garamond" w:cs="Times New Roman"/>
        </w:rPr>
        <w:t>Another case when the police exceeded its authority was strike of factory workers in the city of Kutaisi on</w:t>
      </w:r>
    </w:p>
    <w:p w:rsidR="00B56F0B" w:rsidRPr="000B1C7D" w:rsidRDefault="00B56F0B" w:rsidP="00D0612C">
      <w:pPr>
        <w:pStyle w:val="Funotentext"/>
        <w:rPr>
          <w:rFonts w:ascii="Garamond" w:eastAsia="Times New Roman" w:hAnsi="Garamond" w:cs="Times New Roman"/>
        </w:rPr>
      </w:pPr>
      <w:r w:rsidRPr="000B1C7D">
        <w:rPr>
          <w:rFonts w:ascii="Garamond" w:eastAsia="Times New Roman" w:hAnsi="Garamond" w:cs="Times New Roman"/>
        </w:rPr>
        <w:t>September 15</w:t>
      </w:r>
      <w:r w:rsidRPr="000B1C7D">
        <w:rPr>
          <w:rFonts w:ascii="Garamond" w:eastAsia="Times New Roman" w:hAnsi="Garamond" w:cs="Times New Roman"/>
          <w:vertAlign w:val="superscript"/>
        </w:rPr>
        <w:t>th</w:t>
      </w:r>
      <w:r w:rsidRPr="000B1C7D">
        <w:rPr>
          <w:rFonts w:ascii="Garamond" w:eastAsia="Times New Roman" w:hAnsi="Garamond" w:cs="Times New Roman"/>
        </w:rPr>
        <w:t xml:space="preserve"> of 2011 where four metallurgists had been on hunger strike for several days requesting improvement</w:t>
      </w:r>
    </w:p>
    <w:p w:rsidR="00B56F0B" w:rsidRPr="000B1C7D" w:rsidRDefault="00B56F0B" w:rsidP="00D0612C">
      <w:pPr>
        <w:pStyle w:val="Funotentext"/>
        <w:rPr>
          <w:rFonts w:ascii="Garamond" w:eastAsia="Times New Roman" w:hAnsi="Garamond" w:cs="Times New Roman"/>
        </w:rPr>
      </w:pPr>
      <w:proofErr w:type="gramStart"/>
      <w:r w:rsidRPr="000B1C7D">
        <w:rPr>
          <w:rFonts w:ascii="Garamond" w:eastAsia="Times New Roman" w:hAnsi="Garamond" w:cs="Times New Roman"/>
        </w:rPr>
        <w:t>of</w:t>
      </w:r>
      <w:proofErr w:type="gramEnd"/>
      <w:r w:rsidRPr="000B1C7D">
        <w:rPr>
          <w:rFonts w:ascii="Garamond" w:eastAsia="Times New Roman" w:hAnsi="Garamond" w:cs="Times New Roman"/>
        </w:rPr>
        <w:t xml:space="preserve"> working conditions and the restoration of 17 dismissed workers to their jobs. Even though protesters acted in</w:t>
      </w:r>
    </w:p>
    <w:p w:rsidR="00B56F0B" w:rsidRPr="000B1C7D" w:rsidRDefault="00B56F0B" w:rsidP="00D0612C">
      <w:pPr>
        <w:pStyle w:val="Funotentext"/>
        <w:rPr>
          <w:rFonts w:ascii="Garamond" w:eastAsia="Times New Roman" w:hAnsi="Garamond" w:cs="Times New Roman"/>
        </w:rPr>
      </w:pPr>
      <w:proofErr w:type="gramStart"/>
      <w:r w:rsidRPr="000B1C7D">
        <w:rPr>
          <w:rFonts w:ascii="Garamond" w:eastAsia="Times New Roman" w:hAnsi="Garamond" w:cs="Times New Roman"/>
        </w:rPr>
        <w:t>accordance</w:t>
      </w:r>
      <w:proofErr w:type="gramEnd"/>
      <w:r w:rsidRPr="000B1C7D">
        <w:rPr>
          <w:rFonts w:ascii="Garamond" w:eastAsia="Times New Roman" w:hAnsi="Garamond" w:cs="Times New Roman"/>
        </w:rPr>
        <w:t xml:space="preserve"> with Georgian law, the police broke up the demonstration detaining several strikers. Upon release,</w:t>
      </w:r>
    </w:p>
    <w:p w:rsidR="00B56F0B" w:rsidRPr="000B1C7D" w:rsidRDefault="00B56F0B" w:rsidP="00D0612C">
      <w:pPr>
        <w:pStyle w:val="Funotentext"/>
        <w:rPr>
          <w:rFonts w:ascii="Garamond" w:hAnsi="Garamond" w:cs="Times New Roman"/>
        </w:rPr>
      </w:pPr>
      <w:proofErr w:type="gramStart"/>
      <w:r w:rsidRPr="000B1C7D">
        <w:rPr>
          <w:rFonts w:ascii="Garamond" w:eastAsia="Times New Roman" w:hAnsi="Garamond" w:cs="Times New Roman"/>
        </w:rPr>
        <w:t>some</w:t>
      </w:r>
      <w:proofErr w:type="gramEnd"/>
      <w:r w:rsidRPr="000B1C7D">
        <w:rPr>
          <w:rFonts w:ascii="Garamond" w:eastAsia="Times New Roman" w:hAnsi="Garamond" w:cs="Times New Roman"/>
        </w:rPr>
        <w:t xml:space="preserve"> strikers alleged that police had made them sign agreements not to protest again.</w:t>
      </w:r>
      <w:r w:rsidRPr="000B1C7D">
        <w:rPr>
          <w:rFonts w:ascii="Garamond" w:hAnsi="Garamond" w:cs="Times New Roman"/>
        </w:rPr>
        <w:t xml:space="preserve"> Overall, 40 protestors were</w:t>
      </w:r>
    </w:p>
    <w:p w:rsidR="00B56F0B" w:rsidRPr="000B1C7D" w:rsidRDefault="00B56F0B" w:rsidP="00D0612C">
      <w:pPr>
        <w:pStyle w:val="Funotentext"/>
        <w:rPr>
          <w:rFonts w:ascii="Garamond" w:eastAsia="Times New Roman" w:hAnsi="Garamond" w:cs="Times New Roman"/>
        </w:rPr>
      </w:pPr>
      <w:proofErr w:type="gramStart"/>
      <w:r w:rsidRPr="000B1C7D">
        <w:rPr>
          <w:rFonts w:ascii="Garamond" w:hAnsi="Garamond" w:cs="Times New Roman"/>
        </w:rPr>
        <w:t>detained</w:t>
      </w:r>
      <w:proofErr w:type="gramEnd"/>
      <w:r w:rsidRPr="000B1C7D">
        <w:rPr>
          <w:rFonts w:ascii="Garamond" w:hAnsi="Garamond" w:cs="Times New Roman"/>
        </w:rPr>
        <w:t xml:space="preserve">. </w:t>
      </w:r>
      <w:r w:rsidRPr="000B1C7D">
        <w:rPr>
          <w:rFonts w:ascii="Garamond" w:eastAsia="Times New Roman" w:hAnsi="Garamond" w:cs="Times New Roman"/>
        </w:rPr>
        <w:t>Lawyers and family members were not informed on where the detainees were taken and had to search for</w:t>
      </w:r>
    </w:p>
    <w:p w:rsidR="00B56F0B" w:rsidRPr="000B1C7D" w:rsidRDefault="00B56F0B" w:rsidP="005A3A04">
      <w:pPr>
        <w:pStyle w:val="Funotentext"/>
        <w:ind w:left="0" w:firstLine="0"/>
        <w:rPr>
          <w:rFonts w:ascii="Garamond" w:hAnsi="Garamond" w:cs="Times New Roman"/>
        </w:rPr>
      </w:pPr>
      <w:r w:rsidRPr="000B1C7D">
        <w:rPr>
          <w:rFonts w:ascii="Garamond" w:eastAsia="Times New Roman" w:hAnsi="Garamond" w:cs="Times New Roman"/>
        </w:rPr>
        <w:t xml:space="preserve">them in various police departments and detention cells throughout the night following their arrest; </w:t>
      </w:r>
      <w:r w:rsidRPr="000B1C7D">
        <w:rPr>
          <w:rFonts w:ascii="Garamond" w:eastAsia="Times New Roman" w:hAnsi="Garamond" w:cs="Times New Roman"/>
          <w:lang w:val="en-AU"/>
        </w:rPr>
        <w:t xml:space="preserve">see: Nino </w:t>
      </w:r>
      <w:proofErr w:type="spellStart"/>
      <w:r w:rsidRPr="000B1C7D">
        <w:rPr>
          <w:rFonts w:ascii="Garamond" w:eastAsia="Times New Roman" w:hAnsi="Garamond" w:cs="Times New Roman"/>
          <w:lang w:val="en-AU"/>
        </w:rPr>
        <w:t>Tsagareishvi</w:t>
      </w:r>
      <w:proofErr w:type="spellEnd"/>
      <w:r w:rsidRPr="000B1C7D">
        <w:rPr>
          <w:rFonts w:ascii="Garamond" w:eastAsia="Times New Roman" w:hAnsi="Garamond" w:cs="Times New Roman"/>
          <w:lang w:val="en-AU"/>
        </w:rPr>
        <w:t xml:space="preserve"> (2012), “Taking Liberties, Misusing Power”, Human Rights </w:t>
      </w:r>
      <w:proofErr w:type="spellStart"/>
      <w:r w:rsidRPr="000B1C7D">
        <w:rPr>
          <w:rFonts w:ascii="Garamond" w:eastAsia="Times New Roman" w:hAnsi="Garamond" w:cs="Times New Roman"/>
          <w:lang w:val="en-AU"/>
        </w:rPr>
        <w:t>Center</w:t>
      </w:r>
      <w:proofErr w:type="spellEnd"/>
      <w:r w:rsidRPr="000B1C7D">
        <w:rPr>
          <w:rFonts w:ascii="Garamond" w:eastAsia="Times New Roman" w:hAnsi="Garamond" w:cs="Times New Roman"/>
          <w:lang w:val="en-AU"/>
        </w:rPr>
        <w:t xml:space="preserve"> (HRIDC), Tbilisi, p</w:t>
      </w:r>
      <w:r w:rsidRPr="000B1C7D">
        <w:rPr>
          <w:rFonts w:ascii="Garamond" w:hAnsi="Garamond" w:cs="Times New Roman"/>
          <w:lang w:val="ka-GE"/>
        </w:rPr>
        <w:t>.</w:t>
      </w:r>
      <w:r w:rsidRPr="000B1C7D">
        <w:rPr>
          <w:rFonts w:ascii="Garamond" w:hAnsi="Garamond" w:cs="Times New Roman"/>
        </w:rPr>
        <w:t xml:space="preserve"> 26,</w:t>
      </w:r>
    </w:p>
    <w:p w:rsidR="00B56F0B" w:rsidRPr="000B1C7D" w:rsidRDefault="001F2E06" w:rsidP="005A3A04">
      <w:pPr>
        <w:pStyle w:val="Funotentext"/>
        <w:ind w:left="0" w:firstLine="0"/>
        <w:rPr>
          <w:rFonts w:ascii="Garamond" w:hAnsi="Garamond" w:cs="Times New Roman"/>
        </w:rPr>
      </w:pPr>
      <w:hyperlink r:id="rId29" w:history="1">
        <w:r w:rsidR="00B56F0B" w:rsidRPr="000B1C7D">
          <w:rPr>
            <w:rStyle w:val="Hyperlink"/>
            <w:rFonts w:ascii="Garamond" w:hAnsi="Garamond" w:cs="Times New Roman"/>
          </w:rPr>
          <w:t>http://www.csogeorgia.org/uploads/Annual/42.pdf</w:t>
        </w:r>
      </w:hyperlink>
      <w:r w:rsidR="00B56F0B" w:rsidRPr="000B1C7D">
        <w:rPr>
          <w:rStyle w:val="Hyperlink"/>
          <w:rFonts w:ascii="Garamond" w:hAnsi="Garamond" w:cs="Times New Roman"/>
          <w:color w:val="auto"/>
          <w:u w:val="none"/>
        </w:rPr>
        <w:t>.</w:t>
      </w:r>
    </w:p>
  </w:footnote>
  <w:footnote w:id="85">
    <w:p w:rsidR="00B56F0B" w:rsidRPr="000B1C7D" w:rsidRDefault="00B56F0B" w:rsidP="0074462C">
      <w:pPr>
        <w:pStyle w:val="Funotentext"/>
        <w:ind w:left="0" w:firstLine="0"/>
        <w:rPr>
          <w:rFonts w:ascii="Garamond" w:hAnsi="Garamond" w:cs="Times New Roman"/>
        </w:rPr>
      </w:pPr>
      <w:r w:rsidRPr="000B1C7D">
        <w:rPr>
          <w:rStyle w:val="Funotenzeichen"/>
          <w:rFonts w:ascii="Garamond" w:hAnsi="Garamond" w:cs="Times New Roman"/>
        </w:rPr>
        <w:footnoteRef/>
      </w:r>
      <w:r>
        <w:rPr>
          <w:rFonts w:ascii="Garamond" w:hAnsi="Garamond" w:cs="Times New Roman"/>
        </w:rPr>
        <w:t xml:space="preserve"> </w:t>
      </w:r>
      <w:r w:rsidRPr="000B1C7D">
        <w:rPr>
          <w:rFonts w:ascii="Garamond" w:hAnsi="Garamond" w:cs="Times New Roman"/>
        </w:rPr>
        <w:t xml:space="preserve">Georgian Young Lawyers Association (GYLA) (2011), “Analysis of Human Rights Violations During and Related to the Dispersal of the May 26 Assembly”, </w:t>
      </w:r>
      <w:hyperlink r:id="rId30" w:history="1">
        <w:r w:rsidRPr="000B1C7D">
          <w:rPr>
            <w:rStyle w:val="Hyperlink"/>
            <w:rFonts w:ascii="Garamond" w:hAnsi="Garamond" w:cs="Times New Roman"/>
            <w:lang w:val="ka-GE"/>
          </w:rPr>
          <w:t>http://gyla.ge/uploads/publications/2011/26_maisi_eng.pdf</w:t>
        </w:r>
      </w:hyperlink>
      <w:r w:rsidRPr="000B1C7D">
        <w:rPr>
          <w:rFonts w:ascii="Garamond" w:hAnsi="Garamond"/>
        </w:rPr>
        <w:t xml:space="preserve"> </w:t>
      </w:r>
      <w:r w:rsidRPr="000B1C7D">
        <w:rPr>
          <w:rFonts w:ascii="Garamond" w:hAnsi="Garamond" w:cs="Times New Roman"/>
          <w:highlight w:val="lightGray"/>
        </w:rPr>
        <w:t>or</w:t>
      </w:r>
    </w:p>
    <w:p w:rsidR="00B56F0B" w:rsidRPr="000B1C7D" w:rsidRDefault="00B56F0B" w:rsidP="0074462C">
      <w:pPr>
        <w:pStyle w:val="Funotentext"/>
        <w:ind w:left="0" w:firstLine="0"/>
        <w:rPr>
          <w:rStyle w:val="Hyperlink"/>
          <w:rFonts w:ascii="Garamond" w:hAnsi="Garamond" w:cs="Times New Roman"/>
        </w:rPr>
      </w:pPr>
      <w:r w:rsidRPr="000B1C7D">
        <w:rPr>
          <w:rStyle w:val="Hyperlink"/>
          <w:rFonts w:ascii="Garamond" w:hAnsi="Garamond" w:cs="Times New Roman"/>
          <w:lang w:val="ka-GE"/>
        </w:rPr>
        <w:t>www.nplg.gov.ge/dlibrary/collect/0001/001047/full_en.pdf</w:t>
      </w:r>
      <w:r w:rsidRPr="000B1C7D">
        <w:rPr>
          <w:rStyle w:val="Hyperlink"/>
          <w:rFonts w:cs="Times New Roman"/>
          <w:lang w:val="ka-GE"/>
        </w:rPr>
        <w:t>‎</w:t>
      </w:r>
      <w:r w:rsidRPr="000B1C7D">
        <w:rPr>
          <w:rStyle w:val="Hyperlink"/>
          <w:rFonts w:ascii="Garamond" w:hAnsi="Garamond" w:cs="Times New Roman"/>
          <w:color w:val="auto"/>
          <w:u w:val="none"/>
        </w:rPr>
        <w:t>.</w:t>
      </w:r>
    </w:p>
  </w:footnote>
  <w:footnote w:id="86">
    <w:p w:rsidR="00B56F0B" w:rsidRPr="000B1C7D" w:rsidRDefault="00B56F0B" w:rsidP="00E226E2">
      <w:pPr>
        <w:pStyle w:val="Funotentext"/>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 xml:space="preserve">Please see an article at: </w:t>
      </w:r>
      <w:hyperlink r:id="rId31" w:history="1">
        <w:r w:rsidRPr="000B1C7D">
          <w:rPr>
            <w:rStyle w:val="Hyperlink"/>
            <w:rFonts w:ascii="Garamond" w:hAnsi="Garamond"/>
            <w:lang w:val="ka-GE"/>
          </w:rPr>
          <w:t>http://civil.ge/geo/article.php?id=22233</w:t>
        </w:r>
      </w:hyperlink>
      <w:r w:rsidRPr="000B1C7D">
        <w:rPr>
          <w:rStyle w:val="Hyperlink"/>
          <w:rFonts w:ascii="Garamond" w:hAnsi="Garamond"/>
          <w:color w:val="auto"/>
          <w:u w:val="none"/>
        </w:rPr>
        <w:t>.</w:t>
      </w:r>
    </w:p>
  </w:footnote>
  <w:footnote w:id="87">
    <w:p w:rsidR="00B56F0B" w:rsidRPr="000B1C7D" w:rsidRDefault="00B56F0B" w:rsidP="00E226E2">
      <w:pPr>
        <w:pStyle w:val="Funotentext"/>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International Society for Fair Elections and Democracy (ISFED), “Review of Legislative Framework”, p. 12-16,</w:t>
      </w:r>
    </w:p>
    <w:p w:rsidR="00B56F0B" w:rsidRPr="000B1C7D" w:rsidRDefault="001F2E06">
      <w:pPr>
        <w:pStyle w:val="Funotentext"/>
        <w:ind w:left="0" w:firstLine="0"/>
        <w:rPr>
          <w:rFonts w:ascii="Garamond" w:hAnsi="Garamond"/>
        </w:rPr>
      </w:pPr>
      <w:hyperlink r:id="rId32" w:history="1">
        <w:r w:rsidR="00B56F0B" w:rsidRPr="000B1C7D">
          <w:rPr>
            <w:rStyle w:val="Hyperlink"/>
            <w:rFonts w:ascii="Garamond" w:hAnsi="Garamond"/>
            <w:lang w:val="ka-GE"/>
          </w:rPr>
          <w:t>http://isfed.ge/pdf/isfed_monitoring_report_on_local_self_government_elections_geo.pdf</w:t>
        </w:r>
      </w:hyperlink>
      <w:r w:rsidR="00B56F0B" w:rsidRPr="000B1C7D">
        <w:rPr>
          <w:rFonts w:ascii="Garamond" w:hAnsi="Garamond"/>
        </w:rPr>
        <w:t xml:space="preserve"> (dead link)</w:t>
      </w:r>
      <w:r w:rsidR="00B56F0B" w:rsidRPr="000B1C7D">
        <w:rPr>
          <w:rStyle w:val="Hyperlink"/>
          <w:rFonts w:ascii="Garamond" w:hAnsi="Garamond"/>
          <w:color w:val="auto"/>
          <w:u w:val="none"/>
        </w:rPr>
        <w:t>.</w:t>
      </w:r>
    </w:p>
  </w:footnote>
  <w:footnote w:id="88">
    <w:p w:rsidR="00B56F0B" w:rsidRPr="000B1C7D" w:rsidRDefault="00B56F0B" w:rsidP="0074462C">
      <w:pPr>
        <w:pStyle w:val="Funotentext"/>
        <w:ind w:left="0" w:firstLine="0"/>
        <w:jc w:val="both"/>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In spite of this provision in the Election Code, during the by-term elections after 2012 Parliamentary elections the</w:t>
      </w:r>
    </w:p>
    <w:p w:rsidR="00B56F0B" w:rsidRPr="000B1C7D" w:rsidRDefault="00B56F0B" w:rsidP="0074462C">
      <w:pPr>
        <w:pStyle w:val="Funotentext"/>
        <w:ind w:left="0" w:firstLine="0"/>
        <w:jc w:val="both"/>
        <w:rPr>
          <w:rFonts w:ascii="Garamond" w:hAnsi="Garamond"/>
        </w:rPr>
      </w:pPr>
      <w:r w:rsidRPr="000B1C7D">
        <w:rPr>
          <w:rFonts w:ascii="Garamond" w:hAnsi="Garamond"/>
        </w:rPr>
        <w:t>CEC interpreted the rule of appointment of a secretary to a precinct electoral administration in such a way that the</w:t>
      </w:r>
    </w:p>
    <w:p w:rsidR="00B56F0B" w:rsidRPr="000B1C7D" w:rsidRDefault="00B56F0B" w:rsidP="0074462C">
      <w:pPr>
        <w:pStyle w:val="Funotentext"/>
        <w:ind w:left="0" w:firstLine="0"/>
        <w:jc w:val="both"/>
        <w:rPr>
          <w:rFonts w:ascii="Garamond" w:hAnsi="Garamond"/>
        </w:rPr>
      </w:pPr>
      <w:r w:rsidRPr="000B1C7D">
        <w:rPr>
          <w:rFonts w:ascii="Garamond" w:hAnsi="Garamond"/>
        </w:rPr>
        <w:t>representatives of the United National Movement were not given opportunity to be appointed as secretaries of</w:t>
      </w:r>
    </w:p>
    <w:p w:rsidR="00B56F0B" w:rsidRPr="000B1C7D" w:rsidRDefault="00B56F0B" w:rsidP="0074462C">
      <w:pPr>
        <w:pStyle w:val="Funotentext"/>
        <w:ind w:left="0" w:firstLine="0"/>
        <w:jc w:val="both"/>
        <w:rPr>
          <w:rFonts w:ascii="Garamond" w:hAnsi="Garamond"/>
        </w:rPr>
      </w:pPr>
      <w:proofErr w:type="gramStart"/>
      <w:r w:rsidRPr="000B1C7D">
        <w:rPr>
          <w:rFonts w:ascii="Garamond" w:hAnsi="Garamond"/>
        </w:rPr>
        <w:t>precinct</w:t>
      </w:r>
      <w:proofErr w:type="gramEnd"/>
      <w:r w:rsidRPr="000B1C7D">
        <w:rPr>
          <w:rFonts w:ascii="Garamond" w:hAnsi="Garamond"/>
        </w:rPr>
        <w:t xml:space="preserve"> election commission. Despite the fact that the United National Movement did not obtain best results in the</w:t>
      </w:r>
    </w:p>
    <w:p w:rsidR="00B56F0B" w:rsidRPr="000B1C7D" w:rsidRDefault="00B56F0B" w:rsidP="0074462C">
      <w:pPr>
        <w:pStyle w:val="Funotentext"/>
        <w:ind w:left="0" w:firstLine="0"/>
        <w:jc w:val="both"/>
        <w:rPr>
          <w:rFonts w:ascii="Garamond" w:hAnsi="Garamond"/>
        </w:rPr>
      </w:pPr>
      <w:proofErr w:type="gramStart"/>
      <w:r w:rsidRPr="000B1C7D">
        <w:rPr>
          <w:rFonts w:ascii="Garamond" w:hAnsi="Garamond"/>
        </w:rPr>
        <w:t>elections</w:t>
      </w:r>
      <w:proofErr w:type="gramEnd"/>
      <w:r w:rsidRPr="000B1C7D">
        <w:rPr>
          <w:rFonts w:ascii="Garamond" w:hAnsi="Garamond"/>
        </w:rPr>
        <w:t xml:space="preserve"> and represents </w:t>
      </w:r>
      <w:r>
        <w:rPr>
          <w:rFonts w:ascii="Garamond" w:hAnsi="Garamond"/>
        </w:rPr>
        <w:t>a parliamentary opposition. This</w:t>
      </w:r>
      <w:r w:rsidRPr="000B1C7D">
        <w:rPr>
          <w:rFonts w:ascii="Garamond" w:hAnsi="Garamond"/>
        </w:rPr>
        <w:t xml:space="preserve"> interpretation of </w:t>
      </w:r>
      <w:r>
        <w:rPr>
          <w:rFonts w:ascii="Garamond" w:hAnsi="Garamond"/>
        </w:rPr>
        <w:t xml:space="preserve">the Election Code by the </w:t>
      </w:r>
      <w:r w:rsidRPr="000B1C7D">
        <w:rPr>
          <w:rFonts w:ascii="Garamond" w:hAnsi="Garamond"/>
        </w:rPr>
        <w:t>CEC contradicts with the spirits and aims of the law.</w:t>
      </w:r>
    </w:p>
  </w:footnote>
  <w:footnote w:id="89">
    <w:p w:rsidR="00B56F0B" w:rsidRPr="000B1C7D" w:rsidRDefault="00B56F0B" w:rsidP="001A7C4B">
      <w:pPr>
        <w:pStyle w:val="Funotentext"/>
        <w:ind w:left="0" w:firstLine="0"/>
        <w:rPr>
          <w:rFonts w:ascii="Garamond" w:hAnsi="Garamond"/>
        </w:rPr>
      </w:pPr>
      <w:r w:rsidRPr="000B1C7D">
        <w:rPr>
          <w:rStyle w:val="Funotenzeichen"/>
          <w:rFonts w:ascii="Garamond" w:hAnsi="Garamond"/>
        </w:rPr>
        <w:footnoteRef/>
      </w:r>
      <w:r>
        <w:rPr>
          <w:rFonts w:ascii="Garamond" w:hAnsi="Garamond"/>
          <w:lang w:val="en-AU"/>
        </w:rPr>
        <w:t xml:space="preserve"> </w:t>
      </w:r>
      <w:r w:rsidRPr="000B1C7D">
        <w:rPr>
          <w:rFonts w:ascii="Garamond" w:hAnsi="Garamond"/>
          <w:lang w:val="en-AU"/>
        </w:rPr>
        <w:t>International Society for Fair Elections and Democracy (ISFED)</w:t>
      </w:r>
      <w:r w:rsidRPr="000B1C7D">
        <w:rPr>
          <w:rFonts w:ascii="Garamond" w:hAnsi="Garamond"/>
        </w:rPr>
        <w:t xml:space="preserve"> (2008), “Report on Pre-term Presidential Elections”, Tbilisi, </w:t>
      </w:r>
      <w:hyperlink r:id="rId33" w:history="1">
        <w:r w:rsidRPr="000B1C7D">
          <w:rPr>
            <w:rStyle w:val="Hyperlink"/>
            <w:rFonts w:ascii="Garamond" w:hAnsi="Garamond"/>
            <w:lang w:val="ka-GE"/>
          </w:rPr>
          <w:t>http://isfed.ge/elections/reports/isfed_electionreport_2008_geo.pdf</w:t>
        </w:r>
      </w:hyperlink>
      <w:r w:rsidRPr="000B1C7D">
        <w:rPr>
          <w:rFonts w:ascii="Garamond" w:hAnsi="Garamond"/>
        </w:rPr>
        <w:t xml:space="preserve"> (dead link)</w:t>
      </w:r>
      <w:r w:rsidRPr="000B1C7D">
        <w:rPr>
          <w:rStyle w:val="Hyperlink"/>
          <w:rFonts w:ascii="Garamond" w:hAnsi="Garamond"/>
          <w:color w:val="auto"/>
          <w:u w:val="none"/>
        </w:rPr>
        <w:t>.</w:t>
      </w:r>
    </w:p>
  </w:footnote>
  <w:footnote w:id="90">
    <w:p w:rsidR="00B56F0B" w:rsidRPr="000B1C7D" w:rsidRDefault="00B56F0B" w:rsidP="001A7C4B">
      <w:pPr>
        <w:pStyle w:val="Funotentext"/>
        <w:ind w:left="0" w:firstLine="0"/>
        <w:rPr>
          <w:rFonts w:ascii="Garamond" w:hAnsi="Garamond"/>
        </w:rPr>
      </w:pPr>
      <w:r w:rsidRPr="000B1C7D">
        <w:rPr>
          <w:rStyle w:val="Funotenzeichen"/>
          <w:rFonts w:ascii="Garamond" w:hAnsi="Garamond"/>
        </w:rPr>
        <w:footnoteRef/>
      </w:r>
      <w:r>
        <w:rPr>
          <w:rFonts w:ascii="Garamond" w:hAnsi="Garamond"/>
          <w:lang w:val="en-AU"/>
        </w:rPr>
        <w:t xml:space="preserve"> </w:t>
      </w:r>
      <w:r w:rsidRPr="000B1C7D">
        <w:rPr>
          <w:rFonts w:ascii="Garamond" w:hAnsi="Garamond"/>
          <w:lang w:val="en-AU"/>
        </w:rPr>
        <w:t>Society for Fair Elections and Democracy (ISFED) (2008), “Report on Pre-term Presidential Elections”, Tbilisi,</w:t>
      </w:r>
      <w:r w:rsidRPr="000B1C7D">
        <w:rPr>
          <w:rFonts w:ascii="Garamond" w:hAnsi="Garamond"/>
        </w:rPr>
        <w:t xml:space="preserve"> p. 15:</w:t>
      </w:r>
      <w:hyperlink r:id="rId34" w:history="1">
        <w:r w:rsidRPr="000B1C7D">
          <w:rPr>
            <w:rStyle w:val="Hyperlink"/>
            <w:rFonts w:ascii="Garamond" w:hAnsi="Garamond"/>
            <w:lang w:val="ka-GE"/>
          </w:rPr>
          <w:t>http://isfed.ge/elections/reports/isfed_electionreport_2008_geo.pdf</w:t>
        </w:r>
      </w:hyperlink>
      <w:r w:rsidRPr="000B1C7D">
        <w:rPr>
          <w:rFonts w:ascii="Garamond" w:hAnsi="Garamond"/>
        </w:rPr>
        <w:t xml:space="preserve"> (dead link)</w:t>
      </w:r>
      <w:r w:rsidRPr="000B1C7D">
        <w:rPr>
          <w:rStyle w:val="Hyperlink"/>
          <w:rFonts w:ascii="Garamond" w:hAnsi="Garamond"/>
          <w:color w:val="auto"/>
          <w:u w:val="none"/>
        </w:rPr>
        <w:t>.</w:t>
      </w:r>
    </w:p>
  </w:footnote>
  <w:footnote w:id="91">
    <w:p w:rsidR="00B56F0B" w:rsidRPr="000B1C7D" w:rsidRDefault="00B56F0B" w:rsidP="00CD506D">
      <w:pPr>
        <w:pStyle w:val="Funotentext"/>
        <w:ind w:left="0" w:firstLine="0"/>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Organization for Security and Co-operation in Europe (OSCE) (2008), “OSCE/ODIHR Election Observation Mission Final Report”, Warsaw</w:t>
      </w:r>
      <w:proofErr w:type="gramStart"/>
      <w:r w:rsidRPr="000B1C7D">
        <w:rPr>
          <w:rFonts w:ascii="Garamond" w:hAnsi="Garamond"/>
        </w:rPr>
        <w:t xml:space="preserve">,  </w:t>
      </w:r>
      <w:proofErr w:type="gramEnd"/>
      <w:r>
        <w:fldChar w:fldCharType="begin"/>
      </w:r>
      <w:r>
        <w:instrText xml:space="preserve"> HYPERLINK "http://www.osce.org/odihr/elections/georgia/33301" </w:instrText>
      </w:r>
      <w:r>
        <w:fldChar w:fldCharType="separate"/>
      </w:r>
      <w:r w:rsidRPr="000B1C7D">
        <w:rPr>
          <w:rStyle w:val="Hyperlink"/>
          <w:rFonts w:ascii="Garamond" w:hAnsi="Garamond"/>
        </w:rPr>
        <w:t>http://www.osce.org/odihr/elections/georgia/33301</w:t>
      </w:r>
      <w:r>
        <w:rPr>
          <w:rStyle w:val="Hyperlink"/>
          <w:rFonts w:ascii="Garamond" w:hAnsi="Garamond"/>
        </w:rPr>
        <w:fldChar w:fldCharType="end"/>
      </w:r>
      <w:r w:rsidRPr="000B1C7D">
        <w:rPr>
          <w:rStyle w:val="Hyperlink"/>
          <w:rFonts w:ascii="Garamond" w:hAnsi="Garamond"/>
          <w:color w:val="auto"/>
          <w:u w:val="none"/>
        </w:rPr>
        <w:t>.</w:t>
      </w:r>
    </w:p>
  </w:footnote>
  <w:footnote w:id="92">
    <w:p w:rsidR="00B56F0B" w:rsidRPr="000B1C7D" w:rsidRDefault="00B56F0B" w:rsidP="00CD506D">
      <w:pPr>
        <w:pStyle w:val="Funotentext"/>
        <w:ind w:left="0" w:firstLine="0"/>
        <w:rPr>
          <w:rFonts w:ascii="Garamond" w:hAnsi="Garamond"/>
        </w:rPr>
      </w:pPr>
      <w:r w:rsidRPr="000B1C7D">
        <w:rPr>
          <w:rStyle w:val="Funotenzeichen"/>
          <w:rFonts w:ascii="Garamond" w:hAnsi="Garamond"/>
        </w:rPr>
        <w:footnoteRef/>
      </w:r>
      <w:r>
        <w:rPr>
          <w:rFonts w:ascii="Garamond" w:hAnsi="Garamond"/>
        </w:rPr>
        <w:t xml:space="preserve"> </w:t>
      </w:r>
      <w:r w:rsidRPr="000B1C7D">
        <w:rPr>
          <w:rFonts w:ascii="Garamond" w:hAnsi="Garamond"/>
        </w:rPr>
        <w:t xml:space="preserve">Organization for Security and Co-operation in </w:t>
      </w:r>
      <w:proofErr w:type="spellStart"/>
      <w:r w:rsidRPr="000B1C7D">
        <w:rPr>
          <w:rFonts w:ascii="Garamond" w:hAnsi="Garamond"/>
        </w:rPr>
        <w:t>Europ</w:t>
      </w:r>
      <w:proofErr w:type="spellEnd"/>
      <w:r w:rsidRPr="000B1C7D">
        <w:rPr>
          <w:rFonts w:ascii="Garamond" w:hAnsi="Garamond"/>
          <w:lang w:val="en-AU"/>
        </w:rPr>
        <w:t>e (OSCE) (2008), “OSCE/ODIHR Election Observation Mission Final Report”, Warsaw</w:t>
      </w:r>
      <w:proofErr w:type="gramStart"/>
      <w:r w:rsidRPr="000B1C7D">
        <w:rPr>
          <w:rFonts w:ascii="Garamond" w:hAnsi="Garamond"/>
          <w:lang w:val="en-AU"/>
        </w:rPr>
        <w:t xml:space="preserve">,  </w:t>
      </w:r>
      <w:r w:rsidRPr="000B1C7D">
        <w:rPr>
          <w:rFonts w:ascii="Garamond" w:hAnsi="Garamond"/>
        </w:rPr>
        <w:t>p</w:t>
      </w:r>
      <w:proofErr w:type="gramEnd"/>
      <w:r w:rsidRPr="000B1C7D">
        <w:rPr>
          <w:rFonts w:ascii="Garamond" w:hAnsi="Garamond"/>
        </w:rPr>
        <w:t>. 8:</w:t>
      </w:r>
      <w:hyperlink r:id="rId35" w:history="1">
        <w:r w:rsidRPr="000B1C7D">
          <w:rPr>
            <w:rStyle w:val="Hyperlink"/>
            <w:rFonts w:ascii="Garamond" w:hAnsi="Garamond"/>
          </w:rPr>
          <w:t>http://www.osce.org/odihr/elections/georgia/33301</w:t>
        </w:r>
      </w:hyperlink>
      <w:r w:rsidRPr="000B1C7D">
        <w:rPr>
          <w:rStyle w:val="Hyperlink"/>
          <w:rFonts w:ascii="Garamond" w:hAnsi="Garamond"/>
          <w:color w:val="auto"/>
          <w:u w:val="none"/>
        </w:rPr>
        <w:t>.</w:t>
      </w:r>
    </w:p>
  </w:footnote>
  <w:footnote w:id="93">
    <w:p w:rsidR="00B56F0B" w:rsidRPr="000B1C7D" w:rsidRDefault="00B56F0B" w:rsidP="006C7092">
      <w:pPr>
        <w:pStyle w:val="Funotentext"/>
        <w:ind w:left="0" w:firstLine="0"/>
        <w:rPr>
          <w:rFonts w:ascii="Garamond" w:hAnsi="Garamond"/>
        </w:rPr>
      </w:pPr>
      <w:r w:rsidRPr="000B1C7D">
        <w:rPr>
          <w:rStyle w:val="Funotenzeichen"/>
          <w:rFonts w:ascii="Garamond" w:hAnsi="Garamond"/>
        </w:rPr>
        <w:footnoteRef/>
      </w:r>
      <w:r>
        <w:rPr>
          <w:rFonts w:ascii="Garamond" w:hAnsi="Garamond"/>
        </w:rPr>
        <w:t xml:space="preserve"> </w:t>
      </w:r>
      <w:proofErr w:type="gramStart"/>
      <w:r w:rsidRPr="000B1C7D">
        <w:rPr>
          <w:rFonts w:ascii="Garamond" w:hAnsi="Garamond"/>
        </w:rPr>
        <w:t xml:space="preserve">Organization for Security and Co-operation in </w:t>
      </w:r>
      <w:proofErr w:type="spellStart"/>
      <w:r w:rsidRPr="000B1C7D">
        <w:rPr>
          <w:rFonts w:ascii="Garamond" w:hAnsi="Garamond"/>
        </w:rPr>
        <w:t>Europ</w:t>
      </w:r>
      <w:proofErr w:type="spellEnd"/>
      <w:r w:rsidRPr="000B1C7D">
        <w:rPr>
          <w:rFonts w:ascii="Garamond" w:hAnsi="Garamond"/>
          <w:lang w:val="en-AU"/>
        </w:rPr>
        <w:t xml:space="preserve">e (OSCE) (2010), </w:t>
      </w:r>
      <w:r w:rsidRPr="000B1C7D">
        <w:rPr>
          <w:rFonts w:ascii="Garamond" w:hAnsi="Garamond"/>
        </w:rPr>
        <w:t xml:space="preserve">“OSCE/ODIHR Election Observation Mission Final Report, Municipal Elections”, p. 2, </w:t>
      </w:r>
      <w:hyperlink r:id="rId36" w:history="1">
        <w:r w:rsidRPr="000B1C7D">
          <w:rPr>
            <w:rStyle w:val="Hyperlink"/>
            <w:rFonts w:ascii="Garamond" w:hAnsi="Garamond"/>
          </w:rPr>
          <w:t>http://www.osce.org/odihr/elections/71280</w:t>
        </w:r>
      </w:hyperlink>
      <w:r w:rsidRPr="000B1C7D">
        <w:rPr>
          <w:rStyle w:val="Hyperlink"/>
          <w:rFonts w:ascii="Garamond" w:hAnsi="Garamond"/>
          <w:color w:val="auto"/>
          <w:u w:val="none"/>
        </w:rPr>
        <w:t>.</w:t>
      </w:r>
      <w:proofErr w:type="gramEnd"/>
    </w:p>
  </w:footnote>
  <w:footnote w:id="94">
    <w:p w:rsidR="00B56F0B" w:rsidRPr="000B1C7D" w:rsidRDefault="00B56F0B" w:rsidP="006C7092">
      <w:pPr>
        <w:pStyle w:val="Funotentext"/>
        <w:ind w:left="0" w:firstLine="0"/>
        <w:rPr>
          <w:rFonts w:ascii="Garamond" w:hAnsi="Garamond"/>
        </w:rPr>
      </w:pPr>
      <w:r w:rsidRPr="000B1C7D">
        <w:rPr>
          <w:rStyle w:val="Funotenzeichen"/>
          <w:rFonts w:ascii="Garamond" w:hAnsi="Garamond"/>
        </w:rPr>
        <w:footnoteRef/>
      </w:r>
      <w:r>
        <w:rPr>
          <w:rFonts w:ascii="Garamond" w:hAnsi="Garamond"/>
          <w:lang w:val="en-AU"/>
        </w:rPr>
        <w:t xml:space="preserve"> </w:t>
      </w:r>
      <w:r w:rsidRPr="000B1C7D">
        <w:rPr>
          <w:rFonts w:ascii="Garamond" w:hAnsi="Garamond"/>
          <w:lang w:val="en-AU"/>
        </w:rPr>
        <w:t xml:space="preserve">International Society for Fair Elections and Democracy (ISFED) (2012), </w:t>
      </w:r>
      <w:r w:rsidRPr="000B1C7D">
        <w:rPr>
          <w:rFonts w:ascii="Garamond" w:hAnsi="Garamond"/>
        </w:rPr>
        <w:t xml:space="preserve">“Final Report”, p. 42-43, </w:t>
      </w:r>
      <w:hyperlink r:id="rId37" w:history="1">
        <w:r w:rsidRPr="000B1C7D">
          <w:rPr>
            <w:rStyle w:val="Hyperlink"/>
            <w:rFonts w:ascii="Garamond" w:hAnsi="Garamond"/>
            <w:lang w:val="ka-GE"/>
          </w:rPr>
          <w:t>http://www.isfed.ge/pdf/2012_Final_Rep.pdf</w:t>
        </w:r>
      </w:hyperlink>
      <w:r w:rsidRPr="000B1C7D">
        <w:rPr>
          <w:rStyle w:val="Hyperlink"/>
          <w:rFonts w:ascii="Garamond" w:hAnsi="Garamond"/>
          <w:color w:val="auto"/>
          <w:u w:val="none"/>
        </w:rPr>
        <w:t>.</w:t>
      </w:r>
    </w:p>
    <w:p w:rsidR="00B56F0B" w:rsidRPr="000B1C7D" w:rsidRDefault="00B56F0B" w:rsidP="00E226E2">
      <w:pPr>
        <w:pStyle w:val="Funotentext"/>
        <w:rPr>
          <w:rFonts w:ascii="Garamond" w:hAnsi="Garamon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lfaen" w:hAnsi="Sylfaen" w:cs="Mangal"/>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nsid w:val="0AB567D9"/>
    <w:multiLevelType w:val="multilevel"/>
    <w:tmpl w:val="99CA8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795084"/>
    <w:multiLevelType w:val="hybridMultilevel"/>
    <w:tmpl w:val="1B94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D227F"/>
    <w:multiLevelType w:val="hybridMultilevel"/>
    <w:tmpl w:val="B50AD0E6"/>
    <w:lvl w:ilvl="0" w:tplc="ECD078E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0E866A64"/>
    <w:multiLevelType w:val="hybridMultilevel"/>
    <w:tmpl w:val="D50E0AF2"/>
    <w:lvl w:ilvl="0" w:tplc="74B47C44">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A2B6D"/>
    <w:multiLevelType w:val="hybridMultilevel"/>
    <w:tmpl w:val="C1FA48F0"/>
    <w:lvl w:ilvl="0" w:tplc="A894C2B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80F32"/>
    <w:multiLevelType w:val="hybridMultilevel"/>
    <w:tmpl w:val="5820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6158F"/>
    <w:multiLevelType w:val="hybridMultilevel"/>
    <w:tmpl w:val="48789450"/>
    <w:lvl w:ilvl="0" w:tplc="04090001">
      <w:start w:val="1"/>
      <w:numFmt w:val="bullet"/>
      <w:lvlText w:val=""/>
      <w:lvlJc w:val="left"/>
      <w:pPr>
        <w:ind w:left="883" w:hanging="360"/>
      </w:pPr>
      <w:rPr>
        <w:rFonts w:ascii="Symbol" w:hAnsi="Symbol" w:hint="default"/>
      </w:rPr>
    </w:lvl>
    <w:lvl w:ilvl="1" w:tplc="04090019">
      <w:start w:val="1"/>
      <w:numFmt w:val="lowerLetter"/>
      <w:lvlText w:val="%2."/>
      <w:lvlJc w:val="left"/>
      <w:pPr>
        <w:ind w:left="1603" w:hanging="360"/>
      </w:pPr>
      <w:rPr>
        <w:rFonts w:hint="default"/>
      </w:rPr>
    </w:lvl>
    <w:lvl w:ilvl="2" w:tplc="3B745876">
      <w:start w:val="1"/>
      <w:numFmt w:val="decimal"/>
      <w:lvlText w:val="%3."/>
      <w:lvlJc w:val="left"/>
      <w:pPr>
        <w:ind w:left="2323" w:hanging="360"/>
      </w:pPr>
      <w:rPr>
        <w:rFonts w:hint="default"/>
      </w:rPr>
    </w:lvl>
    <w:lvl w:ilvl="3" w:tplc="0409000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nsid w:val="16863AB7"/>
    <w:multiLevelType w:val="multilevel"/>
    <w:tmpl w:val="7BA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D71ACF"/>
    <w:multiLevelType w:val="hybridMultilevel"/>
    <w:tmpl w:val="0EF2AEC0"/>
    <w:lvl w:ilvl="0" w:tplc="425C3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32929"/>
    <w:multiLevelType w:val="hybridMultilevel"/>
    <w:tmpl w:val="FECA53B2"/>
    <w:lvl w:ilvl="0" w:tplc="F05EFE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E91D46"/>
    <w:multiLevelType w:val="hybridMultilevel"/>
    <w:tmpl w:val="9A5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E0D08"/>
    <w:multiLevelType w:val="hybridMultilevel"/>
    <w:tmpl w:val="2708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17C87"/>
    <w:multiLevelType w:val="hybridMultilevel"/>
    <w:tmpl w:val="A038ED88"/>
    <w:lvl w:ilvl="0" w:tplc="07D61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B1E8A"/>
    <w:multiLevelType w:val="hybridMultilevel"/>
    <w:tmpl w:val="73F29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C4212"/>
    <w:multiLevelType w:val="hybridMultilevel"/>
    <w:tmpl w:val="1BF86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13532"/>
    <w:multiLevelType w:val="hybridMultilevel"/>
    <w:tmpl w:val="9506A72E"/>
    <w:lvl w:ilvl="0" w:tplc="327AFB04">
      <w:start w:val="4"/>
      <w:numFmt w:val="bullet"/>
      <w:lvlText w:val="-"/>
      <w:lvlJc w:val="left"/>
      <w:pPr>
        <w:ind w:left="720" w:hanging="360"/>
      </w:pPr>
      <w:rPr>
        <w:rFonts w:ascii="Sylfaen" w:eastAsiaTheme="minorEastAsia" w:hAnsi="Sylfaen" w:cs="Sylfae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360BB"/>
    <w:multiLevelType w:val="hybridMultilevel"/>
    <w:tmpl w:val="79845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686BF3"/>
    <w:multiLevelType w:val="multilevel"/>
    <w:tmpl w:val="50FEA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934708"/>
    <w:multiLevelType w:val="hybridMultilevel"/>
    <w:tmpl w:val="60E8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3A27D3"/>
    <w:multiLevelType w:val="multilevel"/>
    <w:tmpl w:val="E30CC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B24E2F"/>
    <w:multiLevelType w:val="hybridMultilevel"/>
    <w:tmpl w:val="D0D2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5948"/>
    <w:multiLevelType w:val="multilevel"/>
    <w:tmpl w:val="5B8ED3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rFonts w:ascii="Times New Roman" w:hAnsi="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nsid w:val="3AA34658"/>
    <w:multiLevelType w:val="multilevel"/>
    <w:tmpl w:val="AF7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8B05B68"/>
    <w:multiLevelType w:val="hybridMultilevel"/>
    <w:tmpl w:val="505AE5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1E394A"/>
    <w:multiLevelType w:val="hybridMultilevel"/>
    <w:tmpl w:val="0B3A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A87463"/>
    <w:multiLevelType w:val="hybridMultilevel"/>
    <w:tmpl w:val="2E96795A"/>
    <w:lvl w:ilvl="0" w:tplc="31FAA52C">
      <w:start w:val="3"/>
      <w:numFmt w:val="bullet"/>
      <w:lvlText w:val="-"/>
      <w:lvlJc w:val="left"/>
      <w:pPr>
        <w:ind w:left="720" w:hanging="360"/>
      </w:pPr>
      <w:rPr>
        <w:rFonts w:ascii="Sylfaen" w:eastAsiaTheme="minorEastAsia" w:hAnsi="Sylfaen" w:cstheme="minorBidi" w:hint="default"/>
        <w:b w:val="0"/>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246589"/>
    <w:multiLevelType w:val="hybridMultilevel"/>
    <w:tmpl w:val="45B6A386"/>
    <w:lvl w:ilvl="0" w:tplc="B6960E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8210A"/>
    <w:multiLevelType w:val="multilevel"/>
    <w:tmpl w:val="8C6ED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E92E27"/>
    <w:multiLevelType w:val="hybridMultilevel"/>
    <w:tmpl w:val="93BA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690A24"/>
    <w:multiLevelType w:val="multilevel"/>
    <w:tmpl w:val="573E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D3A6508"/>
    <w:multiLevelType w:val="multilevel"/>
    <w:tmpl w:val="85A6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2"/>
  </w:num>
  <w:num w:numId="12">
    <w:abstractNumId w:val="32"/>
  </w:num>
  <w:num w:numId="13">
    <w:abstractNumId w:val="33"/>
  </w:num>
  <w:num w:numId="14">
    <w:abstractNumId w:val="30"/>
  </w:num>
  <w:num w:numId="15">
    <w:abstractNumId w:val="3"/>
  </w:num>
  <w:num w:numId="16">
    <w:abstractNumId w:val="25"/>
  </w:num>
  <w:num w:numId="17">
    <w:abstractNumId w:val="20"/>
  </w:num>
  <w:num w:numId="18">
    <w:abstractNumId w:val="10"/>
  </w:num>
  <w:num w:numId="19">
    <w:abstractNumId w:val="2"/>
  </w:num>
  <w:num w:numId="20">
    <w:abstractNumId w:val="0"/>
  </w:num>
  <w:num w:numId="21">
    <w:abstractNumId w:val="1"/>
  </w:num>
  <w:num w:numId="22">
    <w:abstractNumId w:val="26"/>
  </w:num>
  <w:num w:numId="23">
    <w:abstractNumId w:val="16"/>
  </w:num>
  <w:num w:numId="24">
    <w:abstractNumId w:val="7"/>
  </w:num>
  <w:num w:numId="25">
    <w:abstractNumId w:val="6"/>
  </w:num>
  <w:num w:numId="26">
    <w:abstractNumId w:val="11"/>
  </w:num>
  <w:num w:numId="27">
    <w:abstractNumId w:val="12"/>
  </w:num>
  <w:num w:numId="28">
    <w:abstractNumId w:val="18"/>
  </w:num>
  <w:num w:numId="29">
    <w:abstractNumId w:val="15"/>
  </w:num>
  <w:num w:numId="30">
    <w:abstractNumId w:val="21"/>
  </w:num>
  <w:num w:numId="31">
    <w:abstractNumId w:val="9"/>
  </w:num>
  <w:num w:numId="32">
    <w:abstractNumId w:val="13"/>
  </w:num>
  <w:num w:numId="33">
    <w:abstractNumId w:val="28"/>
  </w:num>
  <w:num w:numId="34">
    <w:abstractNumId w:val="19"/>
  </w:num>
  <w:num w:numId="35">
    <w:abstractNumId w:val="17"/>
  </w:num>
  <w:num w:numId="36">
    <w:abstractNumId w:val="14"/>
  </w:num>
  <w:num w:numId="37">
    <w:abstractNumId w:val="29"/>
  </w:num>
  <w:num w:numId="38">
    <w:abstractNumId w:val="5"/>
  </w:num>
  <w:num w:numId="39">
    <w:abstractNumId w:val="31"/>
  </w:num>
  <w:num w:numId="40">
    <w:abstractNumId w:val="23"/>
  </w:num>
  <w:num w:numId="41">
    <w:abstractNumId w:val="4"/>
  </w:num>
  <w:num w:numId="42">
    <w:abstractNumId w:val="2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1C"/>
    <w:rsid w:val="00000850"/>
    <w:rsid w:val="0000358E"/>
    <w:rsid w:val="00004835"/>
    <w:rsid w:val="0000713E"/>
    <w:rsid w:val="00012D3A"/>
    <w:rsid w:val="000149ED"/>
    <w:rsid w:val="00017A25"/>
    <w:rsid w:val="00023FCA"/>
    <w:rsid w:val="00023FE8"/>
    <w:rsid w:val="000250B6"/>
    <w:rsid w:val="000325D6"/>
    <w:rsid w:val="000331AF"/>
    <w:rsid w:val="0003694A"/>
    <w:rsid w:val="00046FD0"/>
    <w:rsid w:val="000509F2"/>
    <w:rsid w:val="0005142B"/>
    <w:rsid w:val="00054914"/>
    <w:rsid w:val="00056317"/>
    <w:rsid w:val="00056B37"/>
    <w:rsid w:val="000739D4"/>
    <w:rsid w:val="000749E2"/>
    <w:rsid w:val="0007715A"/>
    <w:rsid w:val="00077BDC"/>
    <w:rsid w:val="00082030"/>
    <w:rsid w:val="00084789"/>
    <w:rsid w:val="000852C0"/>
    <w:rsid w:val="00092C1B"/>
    <w:rsid w:val="000930E8"/>
    <w:rsid w:val="0009319F"/>
    <w:rsid w:val="000962C0"/>
    <w:rsid w:val="000A4051"/>
    <w:rsid w:val="000A5AAB"/>
    <w:rsid w:val="000B0612"/>
    <w:rsid w:val="000B0C29"/>
    <w:rsid w:val="000B1C7D"/>
    <w:rsid w:val="000B6DE1"/>
    <w:rsid w:val="000C2994"/>
    <w:rsid w:val="000C367B"/>
    <w:rsid w:val="000C4E27"/>
    <w:rsid w:val="000C5E35"/>
    <w:rsid w:val="000C5FB2"/>
    <w:rsid w:val="000C60A9"/>
    <w:rsid w:val="000D1561"/>
    <w:rsid w:val="000D1F34"/>
    <w:rsid w:val="000D232C"/>
    <w:rsid w:val="000E2297"/>
    <w:rsid w:val="000E7DF9"/>
    <w:rsid w:val="0010093B"/>
    <w:rsid w:val="00102E89"/>
    <w:rsid w:val="00105767"/>
    <w:rsid w:val="00123658"/>
    <w:rsid w:val="00124AE6"/>
    <w:rsid w:val="00125B38"/>
    <w:rsid w:val="001305CD"/>
    <w:rsid w:val="00131008"/>
    <w:rsid w:val="0013164B"/>
    <w:rsid w:val="00140257"/>
    <w:rsid w:val="001567AA"/>
    <w:rsid w:val="001612B7"/>
    <w:rsid w:val="00161649"/>
    <w:rsid w:val="00166AAC"/>
    <w:rsid w:val="001706C4"/>
    <w:rsid w:val="001740E4"/>
    <w:rsid w:val="00180D1E"/>
    <w:rsid w:val="0018199F"/>
    <w:rsid w:val="00182C1C"/>
    <w:rsid w:val="00183374"/>
    <w:rsid w:val="001833F0"/>
    <w:rsid w:val="00184C42"/>
    <w:rsid w:val="00195896"/>
    <w:rsid w:val="00197329"/>
    <w:rsid w:val="001A22D3"/>
    <w:rsid w:val="001A71DC"/>
    <w:rsid w:val="001A7C4B"/>
    <w:rsid w:val="001B0D06"/>
    <w:rsid w:val="001B48FD"/>
    <w:rsid w:val="001B5BD7"/>
    <w:rsid w:val="001B7D8F"/>
    <w:rsid w:val="001D6DF3"/>
    <w:rsid w:val="001E2C3D"/>
    <w:rsid w:val="001E40CA"/>
    <w:rsid w:val="001E72D8"/>
    <w:rsid w:val="001F2E06"/>
    <w:rsid w:val="001F48E6"/>
    <w:rsid w:val="00202D03"/>
    <w:rsid w:val="00203B01"/>
    <w:rsid w:val="002040A8"/>
    <w:rsid w:val="00205CA2"/>
    <w:rsid w:val="00210F13"/>
    <w:rsid w:val="00211EC6"/>
    <w:rsid w:val="00212DF8"/>
    <w:rsid w:val="0021674F"/>
    <w:rsid w:val="00223D0A"/>
    <w:rsid w:val="002272F7"/>
    <w:rsid w:val="002274C5"/>
    <w:rsid w:val="00243093"/>
    <w:rsid w:val="0024636C"/>
    <w:rsid w:val="00253995"/>
    <w:rsid w:val="00254861"/>
    <w:rsid w:val="002555FE"/>
    <w:rsid w:val="002560C2"/>
    <w:rsid w:val="0025769A"/>
    <w:rsid w:val="0026043F"/>
    <w:rsid w:val="00261571"/>
    <w:rsid w:val="0026367A"/>
    <w:rsid w:val="00264D43"/>
    <w:rsid w:val="002664C8"/>
    <w:rsid w:val="0026760D"/>
    <w:rsid w:val="00267921"/>
    <w:rsid w:val="00270407"/>
    <w:rsid w:val="00273306"/>
    <w:rsid w:val="00273368"/>
    <w:rsid w:val="00273F48"/>
    <w:rsid w:val="00275E8A"/>
    <w:rsid w:val="002778B0"/>
    <w:rsid w:val="002A3207"/>
    <w:rsid w:val="002A505F"/>
    <w:rsid w:val="002B132C"/>
    <w:rsid w:val="002B3700"/>
    <w:rsid w:val="002C2E88"/>
    <w:rsid w:val="002C4FB6"/>
    <w:rsid w:val="002D175B"/>
    <w:rsid w:val="002D1DC1"/>
    <w:rsid w:val="002D2A2A"/>
    <w:rsid w:val="002E1F90"/>
    <w:rsid w:val="002E219C"/>
    <w:rsid w:val="002E3950"/>
    <w:rsid w:val="002E3980"/>
    <w:rsid w:val="002F09B5"/>
    <w:rsid w:val="002F218D"/>
    <w:rsid w:val="002F361F"/>
    <w:rsid w:val="003008F9"/>
    <w:rsid w:val="00303372"/>
    <w:rsid w:val="00303DCD"/>
    <w:rsid w:val="00303DD1"/>
    <w:rsid w:val="00304AAB"/>
    <w:rsid w:val="00310537"/>
    <w:rsid w:val="00310CF0"/>
    <w:rsid w:val="00317DC3"/>
    <w:rsid w:val="00327F94"/>
    <w:rsid w:val="003348CA"/>
    <w:rsid w:val="00337C16"/>
    <w:rsid w:val="00340018"/>
    <w:rsid w:val="0034056F"/>
    <w:rsid w:val="00343776"/>
    <w:rsid w:val="003440B2"/>
    <w:rsid w:val="003457FE"/>
    <w:rsid w:val="00355516"/>
    <w:rsid w:val="00360EAE"/>
    <w:rsid w:val="00367D8B"/>
    <w:rsid w:val="00373DFB"/>
    <w:rsid w:val="0037480D"/>
    <w:rsid w:val="00394772"/>
    <w:rsid w:val="003A0278"/>
    <w:rsid w:val="003B0087"/>
    <w:rsid w:val="003B3966"/>
    <w:rsid w:val="003B497A"/>
    <w:rsid w:val="003B6CFB"/>
    <w:rsid w:val="003C36CB"/>
    <w:rsid w:val="003C4525"/>
    <w:rsid w:val="003D2B5F"/>
    <w:rsid w:val="003D32F4"/>
    <w:rsid w:val="003D334A"/>
    <w:rsid w:val="003D6928"/>
    <w:rsid w:val="00404A42"/>
    <w:rsid w:val="00423F25"/>
    <w:rsid w:val="004243FC"/>
    <w:rsid w:val="00425E76"/>
    <w:rsid w:val="00425EA8"/>
    <w:rsid w:val="00426086"/>
    <w:rsid w:val="00430034"/>
    <w:rsid w:val="0043552A"/>
    <w:rsid w:val="00440567"/>
    <w:rsid w:val="00440B8B"/>
    <w:rsid w:val="00441324"/>
    <w:rsid w:val="004445C9"/>
    <w:rsid w:val="00444616"/>
    <w:rsid w:val="00444F25"/>
    <w:rsid w:val="00450D32"/>
    <w:rsid w:val="0045377A"/>
    <w:rsid w:val="004537AA"/>
    <w:rsid w:val="004537DB"/>
    <w:rsid w:val="00453D88"/>
    <w:rsid w:val="004701A3"/>
    <w:rsid w:val="0047050E"/>
    <w:rsid w:val="00476008"/>
    <w:rsid w:val="004810D3"/>
    <w:rsid w:val="00481B29"/>
    <w:rsid w:val="00482499"/>
    <w:rsid w:val="004960D1"/>
    <w:rsid w:val="004A0ACC"/>
    <w:rsid w:val="004A2F19"/>
    <w:rsid w:val="004B1474"/>
    <w:rsid w:val="004B5E4B"/>
    <w:rsid w:val="004B72AB"/>
    <w:rsid w:val="004D0722"/>
    <w:rsid w:val="004D2D40"/>
    <w:rsid w:val="004D3E05"/>
    <w:rsid w:val="004D529E"/>
    <w:rsid w:val="004E3493"/>
    <w:rsid w:val="004E5D65"/>
    <w:rsid w:val="004F4341"/>
    <w:rsid w:val="004F43CD"/>
    <w:rsid w:val="004F4607"/>
    <w:rsid w:val="00505C59"/>
    <w:rsid w:val="00513FF9"/>
    <w:rsid w:val="0051509B"/>
    <w:rsid w:val="005154F0"/>
    <w:rsid w:val="005169B8"/>
    <w:rsid w:val="005272B9"/>
    <w:rsid w:val="00530DE6"/>
    <w:rsid w:val="00532A38"/>
    <w:rsid w:val="0054195B"/>
    <w:rsid w:val="005452EE"/>
    <w:rsid w:val="005539E9"/>
    <w:rsid w:val="0055499F"/>
    <w:rsid w:val="00555751"/>
    <w:rsid w:val="00565267"/>
    <w:rsid w:val="00565DB9"/>
    <w:rsid w:val="00566473"/>
    <w:rsid w:val="00567524"/>
    <w:rsid w:val="00570905"/>
    <w:rsid w:val="00571580"/>
    <w:rsid w:val="00575540"/>
    <w:rsid w:val="005803CA"/>
    <w:rsid w:val="0058137D"/>
    <w:rsid w:val="00582D3C"/>
    <w:rsid w:val="0058457E"/>
    <w:rsid w:val="0059034C"/>
    <w:rsid w:val="00590A7A"/>
    <w:rsid w:val="005A027A"/>
    <w:rsid w:val="005A07AC"/>
    <w:rsid w:val="005A3A04"/>
    <w:rsid w:val="005A6436"/>
    <w:rsid w:val="005B0697"/>
    <w:rsid w:val="005B7B46"/>
    <w:rsid w:val="005C3AC3"/>
    <w:rsid w:val="005C6B1B"/>
    <w:rsid w:val="005D32E8"/>
    <w:rsid w:val="005F1D9E"/>
    <w:rsid w:val="005F6505"/>
    <w:rsid w:val="00606477"/>
    <w:rsid w:val="00613A94"/>
    <w:rsid w:val="00623C67"/>
    <w:rsid w:val="00624140"/>
    <w:rsid w:val="006245E9"/>
    <w:rsid w:val="00630373"/>
    <w:rsid w:val="00631081"/>
    <w:rsid w:val="00633B19"/>
    <w:rsid w:val="00633ED4"/>
    <w:rsid w:val="00634539"/>
    <w:rsid w:val="00634DB0"/>
    <w:rsid w:val="00640D01"/>
    <w:rsid w:val="00642B0A"/>
    <w:rsid w:val="00642BD3"/>
    <w:rsid w:val="00650BCB"/>
    <w:rsid w:val="006516B3"/>
    <w:rsid w:val="00651DAE"/>
    <w:rsid w:val="00653959"/>
    <w:rsid w:val="00656112"/>
    <w:rsid w:val="006650C8"/>
    <w:rsid w:val="0066750E"/>
    <w:rsid w:val="00671FC9"/>
    <w:rsid w:val="006847B5"/>
    <w:rsid w:val="00692949"/>
    <w:rsid w:val="0069301E"/>
    <w:rsid w:val="00695907"/>
    <w:rsid w:val="00695F8B"/>
    <w:rsid w:val="006A1BDB"/>
    <w:rsid w:val="006A23AD"/>
    <w:rsid w:val="006A3F4D"/>
    <w:rsid w:val="006A65FF"/>
    <w:rsid w:val="006B395A"/>
    <w:rsid w:val="006B4EE3"/>
    <w:rsid w:val="006C0192"/>
    <w:rsid w:val="006C051A"/>
    <w:rsid w:val="006C0B99"/>
    <w:rsid w:val="006C4C10"/>
    <w:rsid w:val="006C4CC4"/>
    <w:rsid w:val="006C7092"/>
    <w:rsid w:val="006C73CD"/>
    <w:rsid w:val="006D2CB8"/>
    <w:rsid w:val="006D3DA4"/>
    <w:rsid w:val="006D747D"/>
    <w:rsid w:val="006E47EF"/>
    <w:rsid w:val="006F3A46"/>
    <w:rsid w:val="00704AFB"/>
    <w:rsid w:val="00706B4F"/>
    <w:rsid w:val="00707822"/>
    <w:rsid w:val="0071080F"/>
    <w:rsid w:val="00711BFC"/>
    <w:rsid w:val="00714D37"/>
    <w:rsid w:val="00715017"/>
    <w:rsid w:val="0072343B"/>
    <w:rsid w:val="0072372C"/>
    <w:rsid w:val="00724212"/>
    <w:rsid w:val="007243D2"/>
    <w:rsid w:val="00736173"/>
    <w:rsid w:val="00743682"/>
    <w:rsid w:val="0074462C"/>
    <w:rsid w:val="00744662"/>
    <w:rsid w:val="00745EBC"/>
    <w:rsid w:val="007515D6"/>
    <w:rsid w:val="007531E1"/>
    <w:rsid w:val="00761E11"/>
    <w:rsid w:val="00762457"/>
    <w:rsid w:val="00765FB8"/>
    <w:rsid w:val="007709F8"/>
    <w:rsid w:val="00770A3C"/>
    <w:rsid w:val="00771A37"/>
    <w:rsid w:val="007742CA"/>
    <w:rsid w:val="007763D5"/>
    <w:rsid w:val="00784055"/>
    <w:rsid w:val="007845DE"/>
    <w:rsid w:val="0078579C"/>
    <w:rsid w:val="00785DF6"/>
    <w:rsid w:val="00786812"/>
    <w:rsid w:val="00787005"/>
    <w:rsid w:val="00787D1B"/>
    <w:rsid w:val="00792EEE"/>
    <w:rsid w:val="007A29E8"/>
    <w:rsid w:val="007A57A6"/>
    <w:rsid w:val="007B3457"/>
    <w:rsid w:val="007B7A3A"/>
    <w:rsid w:val="007C3A20"/>
    <w:rsid w:val="007C47BC"/>
    <w:rsid w:val="007D06BB"/>
    <w:rsid w:val="007D16DD"/>
    <w:rsid w:val="007D50E1"/>
    <w:rsid w:val="007E05FE"/>
    <w:rsid w:val="007E28F2"/>
    <w:rsid w:val="007F0DC6"/>
    <w:rsid w:val="007F4E10"/>
    <w:rsid w:val="007F7E56"/>
    <w:rsid w:val="00801D6E"/>
    <w:rsid w:val="00804AAF"/>
    <w:rsid w:val="00810575"/>
    <w:rsid w:val="00821528"/>
    <w:rsid w:val="0082330A"/>
    <w:rsid w:val="008251DB"/>
    <w:rsid w:val="008254B0"/>
    <w:rsid w:val="00826304"/>
    <w:rsid w:val="008303A7"/>
    <w:rsid w:val="00830E26"/>
    <w:rsid w:val="008401F5"/>
    <w:rsid w:val="00842A1C"/>
    <w:rsid w:val="00843795"/>
    <w:rsid w:val="008450F3"/>
    <w:rsid w:val="0084797E"/>
    <w:rsid w:val="00853384"/>
    <w:rsid w:val="00853847"/>
    <w:rsid w:val="00860E29"/>
    <w:rsid w:val="00867196"/>
    <w:rsid w:val="00867B4D"/>
    <w:rsid w:val="00872060"/>
    <w:rsid w:val="00872428"/>
    <w:rsid w:val="00873041"/>
    <w:rsid w:val="00875042"/>
    <w:rsid w:val="008A15A9"/>
    <w:rsid w:val="008A4E83"/>
    <w:rsid w:val="008A5D06"/>
    <w:rsid w:val="008A65D1"/>
    <w:rsid w:val="008B021C"/>
    <w:rsid w:val="008B09B4"/>
    <w:rsid w:val="008B7B75"/>
    <w:rsid w:val="008C59FA"/>
    <w:rsid w:val="008D015A"/>
    <w:rsid w:val="008D2C52"/>
    <w:rsid w:val="008D4514"/>
    <w:rsid w:val="008D4AAE"/>
    <w:rsid w:val="008D7882"/>
    <w:rsid w:val="008F36ED"/>
    <w:rsid w:val="0090206E"/>
    <w:rsid w:val="009073BB"/>
    <w:rsid w:val="009201F1"/>
    <w:rsid w:val="00922B7C"/>
    <w:rsid w:val="009249B7"/>
    <w:rsid w:val="00926AE7"/>
    <w:rsid w:val="00934ED8"/>
    <w:rsid w:val="00937917"/>
    <w:rsid w:val="00953D9A"/>
    <w:rsid w:val="00961D9F"/>
    <w:rsid w:val="009634F0"/>
    <w:rsid w:val="00966A45"/>
    <w:rsid w:val="00967D43"/>
    <w:rsid w:val="00986417"/>
    <w:rsid w:val="0098796E"/>
    <w:rsid w:val="00992509"/>
    <w:rsid w:val="009947BE"/>
    <w:rsid w:val="00996A9D"/>
    <w:rsid w:val="009979CC"/>
    <w:rsid w:val="009A37A1"/>
    <w:rsid w:val="009A3C99"/>
    <w:rsid w:val="009B7E18"/>
    <w:rsid w:val="009D5D34"/>
    <w:rsid w:val="009D719D"/>
    <w:rsid w:val="009E0050"/>
    <w:rsid w:val="009F04AA"/>
    <w:rsid w:val="00A01F28"/>
    <w:rsid w:val="00A04EDE"/>
    <w:rsid w:val="00A05297"/>
    <w:rsid w:val="00A0651E"/>
    <w:rsid w:val="00A1025B"/>
    <w:rsid w:val="00A1294F"/>
    <w:rsid w:val="00A14B6C"/>
    <w:rsid w:val="00A1580F"/>
    <w:rsid w:val="00A16C32"/>
    <w:rsid w:val="00A2078B"/>
    <w:rsid w:val="00A22B76"/>
    <w:rsid w:val="00A23008"/>
    <w:rsid w:val="00A23AEC"/>
    <w:rsid w:val="00A24595"/>
    <w:rsid w:val="00A350F3"/>
    <w:rsid w:val="00A3714F"/>
    <w:rsid w:val="00A37B83"/>
    <w:rsid w:val="00A45A8D"/>
    <w:rsid w:val="00A530E3"/>
    <w:rsid w:val="00A5388C"/>
    <w:rsid w:val="00A53AB4"/>
    <w:rsid w:val="00A55BF7"/>
    <w:rsid w:val="00A5663F"/>
    <w:rsid w:val="00A57A03"/>
    <w:rsid w:val="00A655C3"/>
    <w:rsid w:val="00A70AB5"/>
    <w:rsid w:val="00A73B4A"/>
    <w:rsid w:val="00A825F1"/>
    <w:rsid w:val="00A8611F"/>
    <w:rsid w:val="00A87D36"/>
    <w:rsid w:val="00A96031"/>
    <w:rsid w:val="00A97716"/>
    <w:rsid w:val="00AA4177"/>
    <w:rsid w:val="00AA7326"/>
    <w:rsid w:val="00AC55EE"/>
    <w:rsid w:val="00AD3106"/>
    <w:rsid w:val="00AD3C61"/>
    <w:rsid w:val="00AE11A3"/>
    <w:rsid w:val="00AF2623"/>
    <w:rsid w:val="00B02120"/>
    <w:rsid w:val="00B07C00"/>
    <w:rsid w:val="00B11E12"/>
    <w:rsid w:val="00B23E0F"/>
    <w:rsid w:val="00B24879"/>
    <w:rsid w:val="00B2490C"/>
    <w:rsid w:val="00B24F92"/>
    <w:rsid w:val="00B30006"/>
    <w:rsid w:val="00B36755"/>
    <w:rsid w:val="00B44533"/>
    <w:rsid w:val="00B56F0B"/>
    <w:rsid w:val="00B57D4E"/>
    <w:rsid w:val="00B61E8A"/>
    <w:rsid w:val="00B626CB"/>
    <w:rsid w:val="00B7427F"/>
    <w:rsid w:val="00B76B6D"/>
    <w:rsid w:val="00B82C4A"/>
    <w:rsid w:val="00B866FD"/>
    <w:rsid w:val="00B9372D"/>
    <w:rsid w:val="00BA48F8"/>
    <w:rsid w:val="00BB379B"/>
    <w:rsid w:val="00BB7DA1"/>
    <w:rsid w:val="00BC29CE"/>
    <w:rsid w:val="00BC62FE"/>
    <w:rsid w:val="00BC67F3"/>
    <w:rsid w:val="00BD50E5"/>
    <w:rsid w:val="00BE0649"/>
    <w:rsid w:val="00BE6E5E"/>
    <w:rsid w:val="00BF0145"/>
    <w:rsid w:val="00BF34CA"/>
    <w:rsid w:val="00BF483B"/>
    <w:rsid w:val="00C00B3B"/>
    <w:rsid w:val="00C04720"/>
    <w:rsid w:val="00C06200"/>
    <w:rsid w:val="00C129F1"/>
    <w:rsid w:val="00C154BE"/>
    <w:rsid w:val="00C16700"/>
    <w:rsid w:val="00C23A22"/>
    <w:rsid w:val="00C26A02"/>
    <w:rsid w:val="00C32C9B"/>
    <w:rsid w:val="00C33FAB"/>
    <w:rsid w:val="00C33FAD"/>
    <w:rsid w:val="00C34922"/>
    <w:rsid w:val="00C34BF9"/>
    <w:rsid w:val="00C35265"/>
    <w:rsid w:val="00C4204C"/>
    <w:rsid w:val="00C4411E"/>
    <w:rsid w:val="00C475BB"/>
    <w:rsid w:val="00C505E1"/>
    <w:rsid w:val="00C521A8"/>
    <w:rsid w:val="00C55858"/>
    <w:rsid w:val="00C558A3"/>
    <w:rsid w:val="00C55F06"/>
    <w:rsid w:val="00C6521C"/>
    <w:rsid w:val="00C675C4"/>
    <w:rsid w:val="00C70363"/>
    <w:rsid w:val="00C72858"/>
    <w:rsid w:val="00C8371E"/>
    <w:rsid w:val="00C907C7"/>
    <w:rsid w:val="00C90E71"/>
    <w:rsid w:val="00C912DE"/>
    <w:rsid w:val="00C91688"/>
    <w:rsid w:val="00C91786"/>
    <w:rsid w:val="00C9284A"/>
    <w:rsid w:val="00C94122"/>
    <w:rsid w:val="00CA1326"/>
    <w:rsid w:val="00CA3156"/>
    <w:rsid w:val="00CB2731"/>
    <w:rsid w:val="00CB7867"/>
    <w:rsid w:val="00CC2BD6"/>
    <w:rsid w:val="00CD200F"/>
    <w:rsid w:val="00CD506D"/>
    <w:rsid w:val="00CE43A9"/>
    <w:rsid w:val="00CE5F56"/>
    <w:rsid w:val="00CF2C18"/>
    <w:rsid w:val="00D00382"/>
    <w:rsid w:val="00D0612C"/>
    <w:rsid w:val="00D06C48"/>
    <w:rsid w:val="00D110B1"/>
    <w:rsid w:val="00D117C0"/>
    <w:rsid w:val="00D122D4"/>
    <w:rsid w:val="00D2037A"/>
    <w:rsid w:val="00D20578"/>
    <w:rsid w:val="00D21C52"/>
    <w:rsid w:val="00D30237"/>
    <w:rsid w:val="00D314A1"/>
    <w:rsid w:val="00D319A1"/>
    <w:rsid w:val="00D33236"/>
    <w:rsid w:val="00D36381"/>
    <w:rsid w:val="00D41C8F"/>
    <w:rsid w:val="00D44BDC"/>
    <w:rsid w:val="00D50B59"/>
    <w:rsid w:val="00D51A98"/>
    <w:rsid w:val="00D52DD7"/>
    <w:rsid w:val="00D55F6B"/>
    <w:rsid w:val="00D64043"/>
    <w:rsid w:val="00D65ECA"/>
    <w:rsid w:val="00D6623F"/>
    <w:rsid w:val="00D66942"/>
    <w:rsid w:val="00D67158"/>
    <w:rsid w:val="00D83DFC"/>
    <w:rsid w:val="00D85FDD"/>
    <w:rsid w:val="00D86A2E"/>
    <w:rsid w:val="00D90F84"/>
    <w:rsid w:val="00D91D6B"/>
    <w:rsid w:val="00D92145"/>
    <w:rsid w:val="00D93622"/>
    <w:rsid w:val="00DA1BAC"/>
    <w:rsid w:val="00DA3104"/>
    <w:rsid w:val="00DA7B24"/>
    <w:rsid w:val="00DB5BB7"/>
    <w:rsid w:val="00DC061E"/>
    <w:rsid w:val="00DD70AE"/>
    <w:rsid w:val="00DE08DC"/>
    <w:rsid w:val="00DE1AEE"/>
    <w:rsid w:val="00DE56A8"/>
    <w:rsid w:val="00DE6F38"/>
    <w:rsid w:val="00E02287"/>
    <w:rsid w:val="00E06025"/>
    <w:rsid w:val="00E07399"/>
    <w:rsid w:val="00E07613"/>
    <w:rsid w:val="00E17201"/>
    <w:rsid w:val="00E17447"/>
    <w:rsid w:val="00E20BFC"/>
    <w:rsid w:val="00E21806"/>
    <w:rsid w:val="00E226E2"/>
    <w:rsid w:val="00E327E7"/>
    <w:rsid w:val="00E35496"/>
    <w:rsid w:val="00E37614"/>
    <w:rsid w:val="00E44C93"/>
    <w:rsid w:val="00E45E83"/>
    <w:rsid w:val="00E476A2"/>
    <w:rsid w:val="00E51BBB"/>
    <w:rsid w:val="00E52C04"/>
    <w:rsid w:val="00E6388D"/>
    <w:rsid w:val="00E64B17"/>
    <w:rsid w:val="00E66A86"/>
    <w:rsid w:val="00E77E0C"/>
    <w:rsid w:val="00E8370C"/>
    <w:rsid w:val="00E876BC"/>
    <w:rsid w:val="00E93214"/>
    <w:rsid w:val="00E93DBD"/>
    <w:rsid w:val="00EA1D95"/>
    <w:rsid w:val="00EB0E96"/>
    <w:rsid w:val="00EB46B4"/>
    <w:rsid w:val="00EB5688"/>
    <w:rsid w:val="00EB69F6"/>
    <w:rsid w:val="00EC22FB"/>
    <w:rsid w:val="00EC7BA5"/>
    <w:rsid w:val="00ED1CCD"/>
    <w:rsid w:val="00ED3039"/>
    <w:rsid w:val="00ED6931"/>
    <w:rsid w:val="00ED78EE"/>
    <w:rsid w:val="00EE56BA"/>
    <w:rsid w:val="00EE7B3B"/>
    <w:rsid w:val="00EF0EEC"/>
    <w:rsid w:val="00EF393A"/>
    <w:rsid w:val="00EF52C0"/>
    <w:rsid w:val="00F02738"/>
    <w:rsid w:val="00F043AF"/>
    <w:rsid w:val="00F07378"/>
    <w:rsid w:val="00F21FBD"/>
    <w:rsid w:val="00F2403D"/>
    <w:rsid w:val="00F34052"/>
    <w:rsid w:val="00F3554F"/>
    <w:rsid w:val="00F40195"/>
    <w:rsid w:val="00F41E83"/>
    <w:rsid w:val="00F50BB1"/>
    <w:rsid w:val="00F52279"/>
    <w:rsid w:val="00F53935"/>
    <w:rsid w:val="00F571EF"/>
    <w:rsid w:val="00F57845"/>
    <w:rsid w:val="00F60DEA"/>
    <w:rsid w:val="00F60F9F"/>
    <w:rsid w:val="00F6100E"/>
    <w:rsid w:val="00F6130A"/>
    <w:rsid w:val="00F625E1"/>
    <w:rsid w:val="00F66E06"/>
    <w:rsid w:val="00F67466"/>
    <w:rsid w:val="00F743CF"/>
    <w:rsid w:val="00F80A41"/>
    <w:rsid w:val="00F82EF6"/>
    <w:rsid w:val="00F839BB"/>
    <w:rsid w:val="00F900B5"/>
    <w:rsid w:val="00F91D88"/>
    <w:rsid w:val="00F97113"/>
    <w:rsid w:val="00F973D7"/>
    <w:rsid w:val="00FA307F"/>
    <w:rsid w:val="00FA3C8C"/>
    <w:rsid w:val="00FB0569"/>
    <w:rsid w:val="00FC4442"/>
    <w:rsid w:val="00FC76E9"/>
    <w:rsid w:val="00FE040E"/>
    <w:rsid w:val="00FE22D6"/>
    <w:rsid w:val="00FE4D11"/>
    <w:rsid w:val="00FF02C3"/>
    <w:rsid w:val="00FF5AAD"/>
    <w:rsid w:val="00FF5C86"/>
    <w:rsid w:val="00FF5C8F"/>
    <w:rsid w:val="00FF6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037A"/>
    <w:pPr>
      <w:jc w:val="both"/>
    </w:pPr>
    <w:rPr>
      <w:rFonts w:ascii="Garamond" w:hAnsi="Garamond"/>
      <w:sz w:val="22"/>
      <w:lang w:val="en-AU"/>
    </w:rPr>
  </w:style>
  <w:style w:type="paragraph" w:styleId="berschrift1">
    <w:name w:val="heading 1"/>
    <w:basedOn w:val="Standard"/>
    <w:next w:val="Standard"/>
    <w:link w:val="berschrift1Zchn"/>
    <w:qFormat/>
    <w:rsid w:val="00D2037A"/>
    <w:pPr>
      <w:keepNext/>
      <w:numPr>
        <w:numId w:val="10"/>
      </w:numPr>
      <w:spacing w:before="240" w:after="60"/>
      <w:outlineLvl w:val="0"/>
    </w:pPr>
    <w:rPr>
      <w:rFonts w:ascii="Arial" w:hAnsi="Arial"/>
      <w:b/>
      <w:bCs/>
      <w:kern w:val="32"/>
      <w:sz w:val="40"/>
      <w:szCs w:val="32"/>
    </w:rPr>
  </w:style>
  <w:style w:type="paragraph" w:styleId="berschrift2">
    <w:name w:val="heading 2"/>
    <w:basedOn w:val="Standard"/>
    <w:next w:val="Standard"/>
    <w:link w:val="berschrift2Zchn"/>
    <w:unhideWhenUsed/>
    <w:qFormat/>
    <w:rsid w:val="00D2037A"/>
    <w:pPr>
      <w:keepNext/>
      <w:numPr>
        <w:ilvl w:val="1"/>
        <w:numId w:val="10"/>
      </w:numPr>
      <w:spacing w:before="240" w:after="60"/>
      <w:outlineLvl w:val="1"/>
    </w:pPr>
    <w:rPr>
      <w:rFonts w:ascii="Arial" w:hAnsi="Arial"/>
      <w:b/>
      <w:bCs/>
      <w:iCs/>
      <w:sz w:val="28"/>
      <w:szCs w:val="28"/>
    </w:rPr>
  </w:style>
  <w:style w:type="paragraph" w:styleId="berschrift3">
    <w:name w:val="heading 3"/>
    <w:basedOn w:val="Standard"/>
    <w:next w:val="Standard"/>
    <w:link w:val="berschrift3Zchn"/>
    <w:unhideWhenUsed/>
    <w:qFormat/>
    <w:rsid w:val="00D2037A"/>
    <w:pPr>
      <w:keepNext/>
      <w:numPr>
        <w:ilvl w:val="2"/>
        <w:numId w:val="10"/>
      </w:numPr>
      <w:spacing w:before="240" w:after="60"/>
      <w:outlineLvl w:val="2"/>
    </w:pPr>
    <w:rPr>
      <w:rFonts w:ascii="Arial" w:hAnsi="Arial"/>
      <w:b/>
      <w:bCs/>
      <w:sz w:val="28"/>
      <w:szCs w:val="26"/>
    </w:rPr>
  </w:style>
  <w:style w:type="paragraph" w:styleId="berschrift4">
    <w:name w:val="heading 4"/>
    <w:basedOn w:val="Standard"/>
    <w:next w:val="Standard"/>
    <w:link w:val="berschrift4Zchn"/>
    <w:unhideWhenUsed/>
    <w:qFormat/>
    <w:rsid w:val="00D2037A"/>
    <w:pPr>
      <w:keepNext/>
      <w:numPr>
        <w:ilvl w:val="3"/>
        <w:numId w:val="10"/>
      </w:numPr>
      <w:spacing w:before="240" w:after="60"/>
      <w:outlineLvl w:val="3"/>
    </w:pPr>
    <w:rPr>
      <w:rFonts w:ascii="Arial" w:hAnsi="Arial"/>
      <w:b/>
      <w:bCs/>
      <w:sz w:val="28"/>
      <w:szCs w:val="28"/>
    </w:rPr>
  </w:style>
  <w:style w:type="paragraph" w:styleId="berschrift5">
    <w:name w:val="heading 5"/>
    <w:basedOn w:val="Standard"/>
    <w:next w:val="Standard"/>
    <w:link w:val="berschrift5Zchn"/>
    <w:unhideWhenUsed/>
    <w:qFormat/>
    <w:rsid w:val="00D2037A"/>
    <w:pPr>
      <w:numPr>
        <w:ilvl w:val="4"/>
        <w:numId w:val="10"/>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D2037A"/>
    <w:pPr>
      <w:keepNext/>
      <w:keepLines/>
      <w:numPr>
        <w:ilvl w:val="5"/>
        <w:numId w:val="10"/>
      </w:numPr>
      <w:spacing w:before="200"/>
      <w:outlineLvl w:val="5"/>
    </w:pPr>
    <w:rPr>
      <w:rFonts w:ascii="Cambria" w:hAnsi="Cambria"/>
      <w:i/>
      <w:iCs/>
      <w:color w:val="243F60"/>
    </w:rPr>
  </w:style>
  <w:style w:type="paragraph" w:styleId="berschrift7">
    <w:name w:val="heading 7"/>
    <w:basedOn w:val="Standard"/>
    <w:next w:val="Standard"/>
    <w:link w:val="berschrift7Zchn"/>
    <w:semiHidden/>
    <w:unhideWhenUsed/>
    <w:qFormat/>
    <w:rsid w:val="00D2037A"/>
    <w:pPr>
      <w:keepNext/>
      <w:keepLines/>
      <w:numPr>
        <w:ilvl w:val="6"/>
        <w:numId w:val="10"/>
      </w:numPr>
      <w:spacing w:before="200"/>
      <w:outlineLvl w:val="6"/>
    </w:pPr>
    <w:rPr>
      <w:rFonts w:ascii="Cambria" w:hAnsi="Cambria"/>
      <w:i/>
      <w:iCs/>
      <w:color w:val="404040"/>
    </w:rPr>
  </w:style>
  <w:style w:type="paragraph" w:styleId="berschrift8">
    <w:name w:val="heading 8"/>
    <w:basedOn w:val="Standard"/>
    <w:next w:val="Standard"/>
    <w:link w:val="berschrift8Zchn"/>
    <w:semiHidden/>
    <w:unhideWhenUsed/>
    <w:qFormat/>
    <w:rsid w:val="00D2037A"/>
    <w:pPr>
      <w:keepNext/>
      <w:keepLines/>
      <w:numPr>
        <w:ilvl w:val="7"/>
        <w:numId w:val="10"/>
      </w:numPr>
      <w:spacing w:before="200"/>
      <w:outlineLvl w:val="7"/>
    </w:pPr>
    <w:rPr>
      <w:rFonts w:ascii="Cambria" w:hAnsi="Cambria"/>
      <w:color w:val="404040"/>
      <w:sz w:val="20"/>
    </w:rPr>
  </w:style>
  <w:style w:type="paragraph" w:styleId="berschrift9">
    <w:name w:val="heading 9"/>
    <w:basedOn w:val="Standard"/>
    <w:next w:val="Standard"/>
    <w:link w:val="berschrift9Zchn"/>
    <w:semiHidden/>
    <w:unhideWhenUsed/>
    <w:qFormat/>
    <w:rsid w:val="00D2037A"/>
    <w:pPr>
      <w:keepNext/>
      <w:keepLines/>
      <w:numPr>
        <w:ilvl w:val="8"/>
        <w:numId w:val="10"/>
      </w:numPr>
      <w:spacing w:before="200"/>
      <w:outlineLvl w:val="8"/>
    </w:pPr>
    <w:rPr>
      <w:rFonts w:ascii="Cambria" w:hAnsi="Cambria"/>
      <w:i/>
      <w:iCs/>
      <w:color w:val="40404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037A"/>
    <w:rPr>
      <w:rFonts w:ascii="Arial" w:hAnsi="Arial"/>
      <w:b/>
      <w:bCs/>
      <w:kern w:val="32"/>
      <w:sz w:val="40"/>
      <w:szCs w:val="32"/>
      <w:lang w:val="en-AU"/>
    </w:rPr>
  </w:style>
  <w:style w:type="character" w:customStyle="1" w:styleId="berschrift2Zchn">
    <w:name w:val="Überschrift 2 Zchn"/>
    <w:basedOn w:val="Absatz-Standardschriftart"/>
    <w:link w:val="berschrift2"/>
    <w:rsid w:val="00D2037A"/>
    <w:rPr>
      <w:rFonts w:ascii="Arial" w:hAnsi="Arial"/>
      <w:b/>
      <w:bCs/>
      <w:iCs/>
      <w:sz w:val="28"/>
      <w:szCs w:val="28"/>
      <w:lang w:val="en-AU"/>
    </w:rPr>
  </w:style>
  <w:style w:type="character" w:customStyle="1" w:styleId="berschrift3Zchn">
    <w:name w:val="Überschrift 3 Zchn"/>
    <w:basedOn w:val="Absatz-Standardschriftart"/>
    <w:link w:val="berschrift3"/>
    <w:rsid w:val="00D2037A"/>
    <w:rPr>
      <w:rFonts w:ascii="Arial" w:hAnsi="Arial"/>
      <w:b/>
      <w:bCs/>
      <w:sz w:val="28"/>
      <w:szCs w:val="26"/>
      <w:lang w:val="en-AU"/>
    </w:rPr>
  </w:style>
  <w:style w:type="character" w:customStyle="1" w:styleId="berschrift4Zchn">
    <w:name w:val="Überschrift 4 Zchn"/>
    <w:basedOn w:val="Absatz-Standardschriftart"/>
    <w:link w:val="berschrift4"/>
    <w:rsid w:val="00D2037A"/>
    <w:rPr>
      <w:rFonts w:ascii="Arial" w:hAnsi="Arial"/>
      <w:b/>
      <w:bCs/>
      <w:sz w:val="28"/>
      <w:szCs w:val="28"/>
      <w:lang w:val="en-AU"/>
    </w:rPr>
  </w:style>
  <w:style w:type="character" w:customStyle="1" w:styleId="berschrift5Zchn">
    <w:name w:val="Überschrift 5 Zchn"/>
    <w:basedOn w:val="Absatz-Standardschriftart"/>
    <w:link w:val="berschrift5"/>
    <w:rsid w:val="00D2037A"/>
    <w:rPr>
      <w:rFonts w:ascii="Calibri" w:hAnsi="Calibri"/>
      <w:b/>
      <w:bCs/>
      <w:i/>
      <w:iCs/>
      <w:sz w:val="26"/>
      <w:szCs w:val="26"/>
      <w:lang w:val="en-AU"/>
    </w:rPr>
  </w:style>
  <w:style w:type="character" w:customStyle="1" w:styleId="berschrift6Zchn">
    <w:name w:val="Überschrift 6 Zchn"/>
    <w:basedOn w:val="Absatz-Standardschriftart"/>
    <w:link w:val="berschrift6"/>
    <w:semiHidden/>
    <w:rsid w:val="00D2037A"/>
    <w:rPr>
      <w:rFonts w:ascii="Cambria" w:hAnsi="Cambria"/>
      <w:i/>
      <w:iCs/>
      <w:color w:val="243F60"/>
      <w:sz w:val="22"/>
      <w:lang w:val="en-AU"/>
    </w:rPr>
  </w:style>
  <w:style w:type="character" w:customStyle="1" w:styleId="berschrift7Zchn">
    <w:name w:val="Überschrift 7 Zchn"/>
    <w:basedOn w:val="Absatz-Standardschriftart"/>
    <w:link w:val="berschrift7"/>
    <w:semiHidden/>
    <w:rsid w:val="00D2037A"/>
    <w:rPr>
      <w:rFonts w:ascii="Cambria" w:hAnsi="Cambria"/>
      <w:i/>
      <w:iCs/>
      <w:color w:val="404040"/>
      <w:sz w:val="22"/>
      <w:lang w:val="en-AU"/>
    </w:rPr>
  </w:style>
  <w:style w:type="character" w:customStyle="1" w:styleId="berschrift8Zchn">
    <w:name w:val="Überschrift 8 Zchn"/>
    <w:basedOn w:val="Absatz-Standardschriftart"/>
    <w:link w:val="berschrift8"/>
    <w:semiHidden/>
    <w:rsid w:val="00D2037A"/>
    <w:rPr>
      <w:rFonts w:ascii="Cambria" w:hAnsi="Cambria"/>
      <w:color w:val="404040"/>
      <w:lang w:val="en-AU"/>
    </w:rPr>
  </w:style>
  <w:style w:type="character" w:customStyle="1" w:styleId="berschrift9Zchn">
    <w:name w:val="Überschrift 9 Zchn"/>
    <w:basedOn w:val="Absatz-Standardschriftart"/>
    <w:link w:val="berschrift9"/>
    <w:semiHidden/>
    <w:rsid w:val="00D2037A"/>
    <w:rPr>
      <w:rFonts w:ascii="Cambria" w:hAnsi="Cambria"/>
      <w:i/>
      <w:iCs/>
      <w:color w:val="404040"/>
      <w:lang w:val="en-AU"/>
    </w:rPr>
  </w:style>
  <w:style w:type="paragraph" w:styleId="Beschriftung">
    <w:name w:val="caption"/>
    <w:basedOn w:val="Standard"/>
    <w:next w:val="Standard"/>
    <w:uiPriority w:val="35"/>
    <w:unhideWhenUsed/>
    <w:qFormat/>
    <w:rsid w:val="00D2037A"/>
    <w:rPr>
      <w:b/>
      <w:bCs/>
      <w:sz w:val="20"/>
    </w:rPr>
  </w:style>
  <w:style w:type="character" w:styleId="Fett">
    <w:name w:val="Strong"/>
    <w:basedOn w:val="Absatz-Standardschriftart"/>
    <w:qFormat/>
    <w:rsid w:val="00D2037A"/>
    <w:rPr>
      <w:b/>
      <w:bCs/>
    </w:rPr>
  </w:style>
  <w:style w:type="paragraph" w:styleId="Listenabsatz">
    <w:name w:val="List Paragraph"/>
    <w:basedOn w:val="Standard"/>
    <w:uiPriority w:val="34"/>
    <w:qFormat/>
    <w:rsid w:val="00D2037A"/>
    <w:pPr>
      <w:ind w:left="720"/>
    </w:pPr>
    <w:rPr>
      <w:sz w:val="24"/>
      <w:szCs w:val="24"/>
      <w:lang w:val="en-US"/>
    </w:rPr>
  </w:style>
  <w:style w:type="paragraph" w:styleId="Inhaltsverzeichnisberschrift">
    <w:name w:val="TOC Heading"/>
    <w:basedOn w:val="berschrift1"/>
    <w:next w:val="Standard"/>
    <w:uiPriority w:val="39"/>
    <w:semiHidden/>
    <w:unhideWhenUsed/>
    <w:qFormat/>
    <w:rsid w:val="00D2037A"/>
    <w:pPr>
      <w:keepLines/>
      <w:numPr>
        <w:numId w:val="0"/>
      </w:numPr>
      <w:spacing w:before="480" w:after="0" w:line="276" w:lineRule="auto"/>
      <w:jc w:val="left"/>
      <w:outlineLvl w:val="9"/>
    </w:pPr>
    <w:rPr>
      <w:color w:val="365F91"/>
      <w:kern w:val="0"/>
      <w:sz w:val="28"/>
      <w:szCs w:val="28"/>
      <w:lang w:val="ru-RU"/>
    </w:rPr>
  </w:style>
  <w:style w:type="paragraph" w:styleId="Dokumentstruktur">
    <w:name w:val="Document Map"/>
    <w:basedOn w:val="Standard"/>
    <w:link w:val="DokumentstrukturZchn"/>
    <w:uiPriority w:val="99"/>
    <w:semiHidden/>
    <w:unhideWhenUsed/>
    <w:rsid w:val="00650BC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50BCB"/>
    <w:rPr>
      <w:rFonts w:ascii="Tahoma" w:hAnsi="Tahoma" w:cs="Tahoma"/>
      <w:sz w:val="16"/>
      <w:szCs w:val="16"/>
      <w:lang w:val="en-AU"/>
    </w:rPr>
  </w:style>
  <w:style w:type="character" w:customStyle="1" w:styleId="FootnoteReference1">
    <w:name w:val="Footnote Reference1"/>
    <w:rsid w:val="00FC76E9"/>
  </w:style>
  <w:style w:type="character" w:styleId="Hyperlink">
    <w:name w:val="Hyperlink"/>
    <w:uiPriority w:val="99"/>
    <w:rsid w:val="00FC76E9"/>
    <w:rPr>
      <w:color w:val="000080"/>
      <w:u w:val="single"/>
    </w:rPr>
  </w:style>
  <w:style w:type="character" w:customStyle="1" w:styleId="FootnoteCharacters">
    <w:name w:val="Footnote Characters"/>
    <w:rsid w:val="00FC76E9"/>
  </w:style>
  <w:style w:type="character" w:styleId="Funotenzeichen">
    <w:name w:val="footnote reference"/>
    <w:uiPriority w:val="99"/>
    <w:rsid w:val="00FC76E9"/>
    <w:rPr>
      <w:vertAlign w:val="superscript"/>
    </w:rPr>
  </w:style>
  <w:style w:type="paragraph" w:styleId="Funotentext">
    <w:name w:val="footnote text"/>
    <w:basedOn w:val="Standard"/>
    <w:link w:val="FunotentextZchn"/>
    <w:uiPriority w:val="99"/>
    <w:rsid w:val="00FC76E9"/>
    <w:pPr>
      <w:widowControl w:val="0"/>
      <w:suppressLineNumbers/>
      <w:suppressAutoHyphens/>
      <w:ind w:left="283" w:hanging="283"/>
      <w:jc w:val="left"/>
    </w:pPr>
    <w:rPr>
      <w:rFonts w:ascii="Times New Roman" w:eastAsia="DejaVu Sans" w:hAnsi="Times New Roman" w:cs="Mangal"/>
      <w:kern w:val="1"/>
      <w:sz w:val="20"/>
      <w:lang w:val="en-US" w:eastAsia="hi-IN" w:bidi="hi-IN"/>
    </w:rPr>
  </w:style>
  <w:style w:type="character" w:customStyle="1" w:styleId="FunotentextZchn">
    <w:name w:val="Fußnotentext Zchn"/>
    <w:basedOn w:val="Absatz-Standardschriftart"/>
    <w:link w:val="Funotentext"/>
    <w:uiPriority w:val="99"/>
    <w:rsid w:val="00FC76E9"/>
    <w:rPr>
      <w:rFonts w:eastAsia="DejaVu Sans" w:cs="Mangal"/>
      <w:kern w:val="1"/>
      <w:lang w:eastAsia="hi-IN" w:bidi="hi-IN"/>
    </w:rPr>
  </w:style>
  <w:style w:type="paragraph" w:customStyle="1" w:styleId="FootnoteText1">
    <w:name w:val="Footnote Text1"/>
    <w:basedOn w:val="Standard"/>
    <w:rsid w:val="00FC76E9"/>
    <w:pPr>
      <w:widowControl w:val="0"/>
      <w:suppressAutoHyphens/>
      <w:jc w:val="left"/>
    </w:pPr>
    <w:rPr>
      <w:rFonts w:ascii="Times New Roman" w:eastAsia="DejaVu Sans" w:hAnsi="Times New Roman" w:cs="Mangal"/>
      <w:kern w:val="1"/>
      <w:sz w:val="24"/>
      <w:szCs w:val="24"/>
      <w:lang w:val="en-US" w:eastAsia="hi-IN" w:bidi="hi-IN"/>
    </w:rPr>
  </w:style>
  <w:style w:type="paragraph" w:styleId="Sprechblasentext">
    <w:name w:val="Balloon Text"/>
    <w:basedOn w:val="Standard"/>
    <w:link w:val="SprechblasentextZchn"/>
    <w:uiPriority w:val="99"/>
    <w:semiHidden/>
    <w:unhideWhenUsed/>
    <w:rsid w:val="00FC76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76E9"/>
    <w:rPr>
      <w:rFonts w:ascii="Tahoma" w:hAnsi="Tahoma" w:cs="Tahoma"/>
      <w:sz w:val="16"/>
      <w:szCs w:val="16"/>
      <w:lang w:val="en-AU"/>
    </w:rPr>
  </w:style>
  <w:style w:type="paragraph" w:styleId="Textkrper">
    <w:name w:val="Body Text"/>
    <w:basedOn w:val="Standard"/>
    <w:link w:val="TextkrperZchn"/>
    <w:rsid w:val="00EA1D95"/>
    <w:pPr>
      <w:widowControl w:val="0"/>
      <w:suppressAutoHyphens/>
      <w:spacing w:after="120"/>
      <w:jc w:val="left"/>
    </w:pPr>
    <w:rPr>
      <w:rFonts w:ascii="Times New Roman" w:eastAsia="DejaVu Sans" w:hAnsi="Times New Roman" w:cs="Mangal"/>
      <w:kern w:val="1"/>
      <w:sz w:val="24"/>
      <w:szCs w:val="24"/>
      <w:lang w:val="en-US" w:eastAsia="hi-IN" w:bidi="hi-IN"/>
    </w:rPr>
  </w:style>
  <w:style w:type="character" w:customStyle="1" w:styleId="TextkrperZchn">
    <w:name w:val="Textkörper Zchn"/>
    <w:basedOn w:val="Absatz-Standardschriftart"/>
    <w:link w:val="Textkrper"/>
    <w:rsid w:val="00EA1D95"/>
    <w:rPr>
      <w:rFonts w:eastAsia="DejaVu Sans" w:cs="Mangal"/>
      <w:kern w:val="1"/>
      <w:sz w:val="24"/>
      <w:szCs w:val="24"/>
      <w:lang w:eastAsia="hi-IN" w:bidi="hi-IN"/>
    </w:rPr>
  </w:style>
  <w:style w:type="paragraph" w:customStyle="1" w:styleId="western">
    <w:name w:val="western"/>
    <w:basedOn w:val="Standard"/>
    <w:rsid w:val="00EA1D95"/>
    <w:pPr>
      <w:widowControl w:val="0"/>
      <w:suppressAutoHyphens/>
      <w:spacing w:before="280"/>
    </w:pPr>
    <w:rPr>
      <w:rFonts w:ascii="Times New Roman" w:eastAsia="Calibri" w:hAnsi="Times New Roman" w:cs="Mangal"/>
      <w:kern w:val="1"/>
      <w:sz w:val="20"/>
      <w:lang w:val="en-US" w:eastAsia="hi-IN" w:bidi="hi-IN"/>
    </w:rPr>
  </w:style>
  <w:style w:type="paragraph" w:styleId="StandardWeb">
    <w:name w:val="Normal (Web)"/>
    <w:basedOn w:val="Standard"/>
    <w:uiPriority w:val="99"/>
    <w:rsid w:val="00EF393A"/>
    <w:pPr>
      <w:widowControl w:val="0"/>
      <w:suppressAutoHyphens/>
      <w:jc w:val="left"/>
    </w:pPr>
    <w:rPr>
      <w:rFonts w:ascii="Times New Roman" w:eastAsia="DejaVu Sans" w:hAnsi="Times New Roman" w:cs="Mangal"/>
      <w:kern w:val="1"/>
      <w:sz w:val="24"/>
      <w:szCs w:val="24"/>
      <w:lang w:val="en-US" w:eastAsia="hi-IN" w:bidi="hi-IN"/>
    </w:rPr>
  </w:style>
  <w:style w:type="character" w:styleId="Kommentarzeichen">
    <w:name w:val="annotation reference"/>
    <w:basedOn w:val="Absatz-Standardschriftart"/>
    <w:uiPriority w:val="99"/>
    <w:semiHidden/>
    <w:rsid w:val="00C521A8"/>
    <w:rPr>
      <w:rFonts w:cs="Times New Roman"/>
      <w:sz w:val="16"/>
      <w:szCs w:val="16"/>
    </w:rPr>
  </w:style>
  <w:style w:type="paragraph" w:styleId="Kommentartext">
    <w:name w:val="annotation text"/>
    <w:basedOn w:val="Standard"/>
    <w:link w:val="KommentartextZchn"/>
    <w:uiPriority w:val="99"/>
    <w:semiHidden/>
    <w:rsid w:val="00C521A8"/>
    <w:pPr>
      <w:spacing w:after="200"/>
      <w:jc w:val="left"/>
    </w:pPr>
    <w:rPr>
      <w:rFonts w:ascii="Calibri" w:hAnsi="Calibri"/>
      <w:sz w:val="20"/>
      <w:lang w:val="en-US"/>
    </w:rPr>
  </w:style>
  <w:style w:type="character" w:customStyle="1" w:styleId="KommentartextZchn">
    <w:name w:val="Kommentartext Zchn"/>
    <w:basedOn w:val="Absatz-Standardschriftart"/>
    <w:link w:val="Kommentartext"/>
    <w:uiPriority w:val="99"/>
    <w:semiHidden/>
    <w:rsid w:val="00C521A8"/>
    <w:rPr>
      <w:rFonts w:ascii="Calibri" w:hAnsi="Calibri"/>
    </w:rPr>
  </w:style>
  <w:style w:type="paragraph" w:customStyle="1" w:styleId="tarigixml">
    <w:name w:val="tarigi_xml"/>
    <w:basedOn w:val="Standard"/>
    <w:uiPriority w:val="99"/>
    <w:rsid w:val="00430034"/>
    <w:pPr>
      <w:autoSpaceDE w:val="0"/>
      <w:autoSpaceDN w:val="0"/>
      <w:adjustRightInd w:val="0"/>
      <w:spacing w:before="120" w:after="120"/>
      <w:ind w:firstLine="284"/>
      <w:jc w:val="center"/>
    </w:pPr>
    <w:rPr>
      <w:rFonts w:ascii="Sylfaen" w:hAnsi="Sylfaen" w:cs="Sylfaen"/>
      <w:b/>
      <w:bCs/>
      <w:szCs w:val="22"/>
      <w:lang w:val="en-US"/>
    </w:rPr>
  </w:style>
  <w:style w:type="character" w:customStyle="1" w:styleId="A7">
    <w:name w:val="A7"/>
    <w:uiPriority w:val="99"/>
    <w:rsid w:val="00D0612C"/>
    <w:rPr>
      <w:rFonts w:cs="HKolkhety"/>
      <w:color w:val="221E1F"/>
      <w:sz w:val="21"/>
      <w:szCs w:val="21"/>
    </w:rPr>
  </w:style>
  <w:style w:type="paragraph" w:customStyle="1" w:styleId="Normal">
    <w:name w:val="[Normal]"/>
    <w:uiPriority w:val="99"/>
    <w:rsid w:val="00D0612C"/>
    <w:pPr>
      <w:widowControl w:val="0"/>
      <w:autoSpaceDE w:val="0"/>
      <w:autoSpaceDN w:val="0"/>
      <w:adjustRightInd w:val="0"/>
    </w:pPr>
    <w:rPr>
      <w:rFonts w:ascii="Arial" w:hAnsi="Arial" w:cs="Arial"/>
      <w:sz w:val="24"/>
      <w:szCs w:val="24"/>
    </w:rPr>
  </w:style>
  <w:style w:type="paragraph" w:customStyle="1" w:styleId="sataurixml">
    <w:name w:val="satauri_xml"/>
    <w:basedOn w:val="Standard"/>
    <w:autoRedefine/>
    <w:rsid w:val="00D0612C"/>
    <w:pPr>
      <w:contextualSpacing/>
    </w:pPr>
    <w:rPr>
      <w:rFonts w:ascii="Sylfaen" w:hAnsi="Sylfaen" w:cs="Sylfaen"/>
      <w:sz w:val="20"/>
      <w:lang w:val="en-US"/>
    </w:rPr>
  </w:style>
  <w:style w:type="paragraph" w:styleId="KeinLeerraum">
    <w:name w:val="No Spacing"/>
    <w:uiPriority w:val="1"/>
    <w:qFormat/>
    <w:rsid w:val="00D0612C"/>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D0612C"/>
  </w:style>
  <w:style w:type="paragraph" w:styleId="Kommentarthema">
    <w:name w:val="annotation subject"/>
    <w:basedOn w:val="Kommentartext"/>
    <w:next w:val="Kommentartext"/>
    <w:link w:val="KommentarthemaZchn"/>
    <w:uiPriority w:val="99"/>
    <w:semiHidden/>
    <w:unhideWhenUsed/>
    <w:rsid w:val="00DB5BB7"/>
    <w:pPr>
      <w:spacing w:after="0"/>
      <w:jc w:val="both"/>
    </w:pPr>
    <w:rPr>
      <w:rFonts w:ascii="Garamond" w:hAnsi="Garamond"/>
      <w:b/>
      <w:bCs/>
      <w:lang w:val="en-AU"/>
    </w:rPr>
  </w:style>
  <w:style w:type="character" w:customStyle="1" w:styleId="KommentarthemaZchn">
    <w:name w:val="Kommentarthema Zchn"/>
    <w:basedOn w:val="KommentartextZchn"/>
    <w:link w:val="Kommentarthema"/>
    <w:uiPriority w:val="99"/>
    <w:semiHidden/>
    <w:rsid w:val="00DB5BB7"/>
    <w:rPr>
      <w:rFonts w:ascii="Garamond" w:hAnsi="Garamond"/>
      <w:b/>
      <w:bCs/>
      <w:lang w:val="en-AU"/>
    </w:rPr>
  </w:style>
  <w:style w:type="paragraph" w:styleId="Verzeichnis1">
    <w:name w:val="toc 1"/>
    <w:basedOn w:val="Standard"/>
    <w:next w:val="Standard"/>
    <w:autoRedefine/>
    <w:uiPriority w:val="39"/>
    <w:unhideWhenUsed/>
    <w:rsid w:val="004E5D65"/>
    <w:pPr>
      <w:spacing w:after="100"/>
    </w:pPr>
  </w:style>
  <w:style w:type="paragraph" w:styleId="Verzeichnis2">
    <w:name w:val="toc 2"/>
    <w:basedOn w:val="Standard"/>
    <w:next w:val="Standard"/>
    <w:autoRedefine/>
    <w:uiPriority w:val="39"/>
    <w:unhideWhenUsed/>
    <w:rsid w:val="004E5D65"/>
    <w:pPr>
      <w:spacing w:after="100"/>
      <w:ind w:left="220"/>
    </w:pPr>
  </w:style>
  <w:style w:type="paragraph" w:styleId="Verzeichnis3">
    <w:name w:val="toc 3"/>
    <w:basedOn w:val="Standard"/>
    <w:next w:val="Standard"/>
    <w:autoRedefine/>
    <w:uiPriority w:val="39"/>
    <w:unhideWhenUsed/>
    <w:rsid w:val="004E5D65"/>
    <w:pPr>
      <w:spacing w:after="100"/>
      <w:ind w:left="440"/>
    </w:pPr>
  </w:style>
  <w:style w:type="paragraph" w:styleId="Kopfzeile">
    <w:name w:val="header"/>
    <w:basedOn w:val="Standard"/>
    <w:link w:val="KopfzeileZchn"/>
    <w:uiPriority w:val="99"/>
    <w:unhideWhenUsed/>
    <w:rsid w:val="00FA3C8C"/>
    <w:pPr>
      <w:tabs>
        <w:tab w:val="center" w:pos="4680"/>
        <w:tab w:val="right" w:pos="9360"/>
      </w:tabs>
    </w:pPr>
  </w:style>
  <w:style w:type="character" w:customStyle="1" w:styleId="KopfzeileZchn">
    <w:name w:val="Kopfzeile Zchn"/>
    <w:basedOn w:val="Absatz-Standardschriftart"/>
    <w:link w:val="Kopfzeile"/>
    <w:uiPriority w:val="99"/>
    <w:rsid w:val="00FA3C8C"/>
    <w:rPr>
      <w:rFonts w:ascii="Garamond" w:hAnsi="Garamond"/>
      <w:sz w:val="22"/>
      <w:lang w:val="en-AU"/>
    </w:rPr>
  </w:style>
  <w:style w:type="paragraph" w:styleId="Fuzeile">
    <w:name w:val="footer"/>
    <w:basedOn w:val="Standard"/>
    <w:link w:val="FuzeileZchn"/>
    <w:uiPriority w:val="99"/>
    <w:unhideWhenUsed/>
    <w:rsid w:val="00FA3C8C"/>
    <w:pPr>
      <w:tabs>
        <w:tab w:val="center" w:pos="4680"/>
        <w:tab w:val="right" w:pos="9360"/>
      </w:tabs>
    </w:pPr>
  </w:style>
  <w:style w:type="character" w:customStyle="1" w:styleId="FuzeileZchn">
    <w:name w:val="Fußzeile Zchn"/>
    <w:basedOn w:val="Absatz-Standardschriftart"/>
    <w:link w:val="Fuzeile"/>
    <w:uiPriority w:val="99"/>
    <w:rsid w:val="00FA3C8C"/>
    <w:rPr>
      <w:rFonts w:ascii="Garamond" w:hAnsi="Garamond"/>
      <w:sz w:val="22"/>
      <w:lang w:val="en-AU"/>
    </w:rPr>
  </w:style>
  <w:style w:type="character" w:styleId="BesuchterHyperlink">
    <w:name w:val="FollowedHyperlink"/>
    <w:basedOn w:val="Absatz-Standardschriftart"/>
    <w:uiPriority w:val="99"/>
    <w:semiHidden/>
    <w:unhideWhenUsed/>
    <w:rsid w:val="00F66E06"/>
    <w:rPr>
      <w:color w:val="800080" w:themeColor="followedHyperlink"/>
      <w:u w:val="single"/>
    </w:rPr>
  </w:style>
  <w:style w:type="character" w:customStyle="1" w:styleId="hps">
    <w:name w:val="hps"/>
    <w:basedOn w:val="Absatz-Standardschriftart"/>
    <w:rsid w:val="00450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037A"/>
    <w:pPr>
      <w:jc w:val="both"/>
    </w:pPr>
    <w:rPr>
      <w:rFonts w:ascii="Garamond" w:hAnsi="Garamond"/>
      <w:sz w:val="22"/>
      <w:lang w:val="en-AU"/>
    </w:rPr>
  </w:style>
  <w:style w:type="paragraph" w:styleId="berschrift1">
    <w:name w:val="heading 1"/>
    <w:basedOn w:val="Standard"/>
    <w:next w:val="Standard"/>
    <w:link w:val="berschrift1Zchn"/>
    <w:qFormat/>
    <w:rsid w:val="00D2037A"/>
    <w:pPr>
      <w:keepNext/>
      <w:numPr>
        <w:numId w:val="10"/>
      </w:numPr>
      <w:spacing w:before="240" w:after="60"/>
      <w:outlineLvl w:val="0"/>
    </w:pPr>
    <w:rPr>
      <w:rFonts w:ascii="Arial" w:hAnsi="Arial"/>
      <w:b/>
      <w:bCs/>
      <w:kern w:val="32"/>
      <w:sz w:val="40"/>
      <w:szCs w:val="32"/>
    </w:rPr>
  </w:style>
  <w:style w:type="paragraph" w:styleId="berschrift2">
    <w:name w:val="heading 2"/>
    <w:basedOn w:val="Standard"/>
    <w:next w:val="Standard"/>
    <w:link w:val="berschrift2Zchn"/>
    <w:unhideWhenUsed/>
    <w:qFormat/>
    <w:rsid w:val="00D2037A"/>
    <w:pPr>
      <w:keepNext/>
      <w:numPr>
        <w:ilvl w:val="1"/>
        <w:numId w:val="10"/>
      </w:numPr>
      <w:spacing w:before="240" w:after="60"/>
      <w:outlineLvl w:val="1"/>
    </w:pPr>
    <w:rPr>
      <w:rFonts w:ascii="Arial" w:hAnsi="Arial"/>
      <w:b/>
      <w:bCs/>
      <w:iCs/>
      <w:sz w:val="28"/>
      <w:szCs w:val="28"/>
    </w:rPr>
  </w:style>
  <w:style w:type="paragraph" w:styleId="berschrift3">
    <w:name w:val="heading 3"/>
    <w:basedOn w:val="Standard"/>
    <w:next w:val="Standard"/>
    <w:link w:val="berschrift3Zchn"/>
    <w:unhideWhenUsed/>
    <w:qFormat/>
    <w:rsid w:val="00D2037A"/>
    <w:pPr>
      <w:keepNext/>
      <w:numPr>
        <w:ilvl w:val="2"/>
        <w:numId w:val="10"/>
      </w:numPr>
      <w:spacing w:before="240" w:after="60"/>
      <w:outlineLvl w:val="2"/>
    </w:pPr>
    <w:rPr>
      <w:rFonts w:ascii="Arial" w:hAnsi="Arial"/>
      <w:b/>
      <w:bCs/>
      <w:sz w:val="28"/>
      <w:szCs w:val="26"/>
    </w:rPr>
  </w:style>
  <w:style w:type="paragraph" w:styleId="berschrift4">
    <w:name w:val="heading 4"/>
    <w:basedOn w:val="Standard"/>
    <w:next w:val="Standard"/>
    <w:link w:val="berschrift4Zchn"/>
    <w:unhideWhenUsed/>
    <w:qFormat/>
    <w:rsid w:val="00D2037A"/>
    <w:pPr>
      <w:keepNext/>
      <w:numPr>
        <w:ilvl w:val="3"/>
        <w:numId w:val="10"/>
      </w:numPr>
      <w:spacing w:before="240" w:after="60"/>
      <w:outlineLvl w:val="3"/>
    </w:pPr>
    <w:rPr>
      <w:rFonts w:ascii="Arial" w:hAnsi="Arial"/>
      <w:b/>
      <w:bCs/>
      <w:sz w:val="28"/>
      <w:szCs w:val="28"/>
    </w:rPr>
  </w:style>
  <w:style w:type="paragraph" w:styleId="berschrift5">
    <w:name w:val="heading 5"/>
    <w:basedOn w:val="Standard"/>
    <w:next w:val="Standard"/>
    <w:link w:val="berschrift5Zchn"/>
    <w:unhideWhenUsed/>
    <w:qFormat/>
    <w:rsid w:val="00D2037A"/>
    <w:pPr>
      <w:numPr>
        <w:ilvl w:val="4"/>
        <w:numId w:val="10"/>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D2037A"/>
    <w:pPr>
      <w:keepNext/>
      <w:keepLines/>
      <w:numPr>
        <w:ilvl w:val="5"/>
        <w:numId w:val="10"/>
      </w:numPr>
      <w:spacing w:before="200"/>
      <w:outlineLvl w:val="5"/>
    </w:pPr>
    <w:rPr>
      <w:rFonts w:ascii="Cambria" w:hAnsi="Cambria"/>
      <w:i/>
      <w:iCs/>
      <w:color w:val="243F60"/>
    </w:rPr>
  </w:style>
  <w:style w:type="paragraph" w:styleId="berschrift7">
    <w:name w:val="heading 7"/>
    <w:basedOn w:val="Standard"/>
    <w:next w:val="Standard"/>
    <w:link w:val="berschrift7Zchn"/>
    <w:semiHidden/>
    <w:unhideWhenUsed/>
    <w:qFormat/>
    <w:rsid w:val="00D2037A"/>
    <w:pPr>
      <w:keepNext/>
      <w:keepLines/>
      <w:numPr>
        <w:ilvl w:val="6"/>
        <w:numId w:val="10"/>
      </w:numPr>
      <w:spacing w:before="200"/>
      <w:outlineLvl w:val="6"/>
    </w:pPr>
    <w:rPr>
      <w:rFonts w:ascii="Cambria" w:hAnsi="Cambria"/>
      <w:i/>
      <w:iCs/>
      <w:color w:val="404040"/>
    </w:rPr>
  </w:style>
  <w:style w:type="paragraph" w:styleId="berschrift8">
    <w:name w:val="heading 8"/>
    <w:basedOn w:val="Standard"/>
    <w:next w:val="Standard"/>
    <w:link w:val="berschrift8Zchn"/>
    <w:semiHidden/>
    <w:unhideWhenUsed/>
    <w:qFormat/>
    <w:rsid w:val="00D2037A"/>
    <w:pPr>
      <w:keepNext/>
      <w:keepLines/>
      <w:numPr>
        <w:ilvl w:val="7"/>
        <w:numId w:val="10"/>
      </w:numPr>
      <w:spacing w:before="200"/>
      <w:outlineLvl w:val="7"/>
    </w:pPr>
    <w:rPr>
      <w:rFonts w:ascii="Cambria" w:hAnsi="Cambria"/>
      <w:color w:val="404040"/>
      <w:sz w:val="20"/>
    </w:rPr>
  </w:style>
  <w:style w:type="paragraph" w:styleId="berschrift9">
    <w:name w:val="heading 9"/>
    <w:basedOn w:val="Standard"/>
    <w:next w:val="Standard"/>
    <w:link w:val="berschrift9Zchn"/>
    <w:semiHidden/>
    <w:unhideWhenUsed/>
    <w:qFormat/>
    <w:rsid w:val="00D2037A"/>
    <w:pPr>
      <w:keepNext/>
      <w:keepLines/>
      <w:numPr>
        <w:ilvl w:val="8"/>
        <w:numId w:val="10"/>
      </w:numPr>
      <w:spacing w:before="200"/>
      <w:outlineLvl w:val="8"/>
    </w:pPr>
    <w:rPr>
      <w:rFonts w:ascii="Cambria" w:hAnsi="Cambria"/>
      <w:i/>
      <w:iCs/>
      <w:color w:val="40404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2037A"/>
    <w:rPr>
      <w:rFonts w:ascii="Arial" w:hAnsi="Arial"/>
      <w:b/>
      <w:bCs/>
      <w:kern w:val="32"/>
      <w:sz w:val="40"/>
      <w:szCs w:val="32"/>
      <w:lang w:val="en-AU"/>
    </w:rPr>
  </w:style>
  <w:style w:type="character" w:customStyle="1" w:styleId="berschrift2Zchn">
    <w:name w:val="Überschrift 2 Zchn"/>
    <w:basedOn w:val="Absatz-Standardschriftart"/>
    <w:link w:val="berschrift2"/>
    <w:rsid w:val="00D2037A"/>
    <w:rPr>
      <w:rFonts w:ascii="Arial" w:hAnsi="Arial"/>
      <w:b/>
      <w:bCs/>
      <w:iCs/>
      <w:sz w:val="28"/>
      <w:szCs w:val="28"/>
      <w:lang w:val="en-AU"/>
    </w:rPr>
  </w:style>
  <w:style w:type="character" w:customStyle="1" w:styleId="berschrift3Zchn">
    <w:name w:val="Überschrift 3 Zchn"/>
    <w:basedOn w:val="Absatz-Standardschriftart"/>
    <w:link w:val="berschrift3"/>
    <w:rsid w:val="00D2037A"/>
    <w:rPr>
      <w:rFonts w:ascii="Arial" w:hAnsi="Arial"/>
      <w:b/>
      <w:bCs/>
      <w:sz w:val="28"/>
      <w:szCs w:val="26"/>
      <w:lang w:val="en-AU"/>
    </w:rPr>
  </w:style>
  <w:style w:type="character" w:customStyle="1" w:styleId="berschrift4Zchn">
    <w:name w:val="Überschrift 4 Zchn"/>
    <w:basedOn w:val="Absatz-Standardschriftart"/>
    <w:link w:val="berschrift4"/>
    <w:rsid w:val="00D2037A"/>
    <w:rPr>
      <w:rFonts w:ascii="Arial" w:hAnsi="Arial"/>
      <w:b/>
      <w:bCs/>
      <w:sz w:val="28"/>
      <w:szCs w:val="28"/>
      <w:lang w:val="en-AU"/>
    </w:rPr>
  </w:style>
  <w:style w:type="character" w:customStyle="1" w:styleId="berschrift5Zchn">
    <w:name w:val="Überschrift 5 Zchn"/>
    <w:basedOn w:val="Absatz-Standardschriftart"/>
    <w:link w:val="berschrift5"/>
    <w:rsid w:val="00D2037A"/>
    <w:rPr>
      <w:rFonts w:ascii="Calibri" w:hAnsi="Calibri"/>
      <w:b/>
      <w:bCs/>
      <w:i/>
      <w:iCs/>
      <w:sz w:val="26"/>
      <w:szCs w:val="26"/>
      <w:lang w:val="en-AU"/>
    </w:rPr>
  </w:style>
  <w:style w:type="character" w:customStyle="1" w:styleId="berschrift6Zchn">
    <w:name w:val="Überschrift 6 Zchn"/>
    <w:basedOn w:val="Absatz-Standardschriftart"/>
    <w:link w:val="berschrift6"/>
    <w:semiHidden/>
    <w:rsid w:val="00D2037A"/>
    <w:rPr>
      <w:rFonts w:ascii="Cambria" w:hAnsi="Cambria"/>
      <w:i/>
      <w:iCs/>
      <w:color w:val="243F60"/>
      <w:sz w:val="22"/>
      <w:lang w:val="en-AU"/>
    </w:rPr>
  </w:style>
  <w:style w:type="character" w:customStyle="1" w:styleId="berschrift7Zchn">
    <w:name w:val="Überschrift 7 Zchn"/>
    <w:basedOn w:val="Absatz-Standardschriftart"/>
    <w:link w:val="berschrift7"/>
    <w:semiHidden/>
    <w:rsid w:val="00D2037A"/>
    <w:rPr>
      <w:rFonts w:ascii="Cambria" w:hAnsi="Cambria"/>
      <w:i/>
      <w:iCs/>
      <w:color w:val="404040"/>
      <w:sz w:val="22"/>
      <w:lang w:val="en-AU"/>
    </w:rPr>
  </w:style>
  <w:style w:type="character" w:customStyle="1" w:styleId="berschrift8Zchn">
    <w:name w:val="Überschrift 8 Zchn"/>
    <w:basedOn w:val="Absatz-Standardschriftart"/>
    <w:link w:val="berschrift8"/>
    <w:semiHidden/>
    <w:rsid w:val="00D2037A"/>
    <w:rPr>
      <w:rFonts w:ascii="Cambria" w:hAnsi="Cambria"/>
      <w:color w:val="404040"/>
      <w:lang w:val="en-AU"/>
    </w:rPr>
  </w:style>
  <w:style w:type="character" w:customStyle="1" w:styleId="berschrift9Zchn">
    <w:name w:val="Überschrift 9 Zchn"/>
    <w:basedOn w:val="Absatz-Standardschriftart"/>
    <w:link w:val="berschrift9"/>
    <w:semiHidden/>
    <w:rsid w:val="00D2037A"/>
    <w:rPr>
      <w:rFonts w:ascii="Cambria" w:hAnsi="Cambria"/>
      <w:i/>
      <w:iCs/>
      <w:color w:val="404040"/>
      <w:lang w:val="en-AU"/>
    </w:rPr>
  </w:style>
  <w:style w:type="paragraph" w:styleId="Beschriftung">
    <w:name w:val="caption"/>
    <w:basedOn w:val="Standard"/>
    <w:next w:val="Standard"/>
    <w:uiPriority w:val="35"/>
    <w:unhideWhenUsed/>
    <w:qFormat/>
    <w:rsid w:val="00D2037A"/>
    <w:rPr>
      <w:b/>
      <w:bCs/>
      <w:sz w:val="20"/>
    </w:rPr>
  </w:style>
  <w:style w:type="character" w:styleId="Fett">
    <w:name w:val="Strong"/>
    <w:basedOn w:val="Absatz-Standardschriftart"/>
    <w:qFormat/>
    <w:rsid w:val="00D2037A"/>
    <w:rPr>
      <w:b/>
      <w:bCs/>
    </w:rPr>
  </w:style>
  <w:style w:type="paragraph" w:styleId="Listenabsatz">
    <w:name w:val="List Paragraph"/>
    <w:basedOn w:val="Standard"/>
    <w:uiPriority w:val="34"/>
    <w:qFormat/>
    <w:rsid w:val="00D2037A"/>
    <w:pPr>
      <w:ind w:left="720"/>
    </w:pPr>
    <w:rPr>
      <w:sz w:val="24"/>
      <w:szCs w:val="24"/>
      <w:lang w:val="en-US"/>
    </w:rPr>
  </w:style>
  <w:style w:type="paragraph" w:styleId="Inhaltsverzeichnisberschrift">
    <w:name w:val="TOC Heading"/>
    <w:basedOn w:val="berschrift1"/>
    <w:next w:val="Standard"/>
    <w:uiPriority w:val="39"/>
    <w:semiHidden/>
    <w:unhideWhenUsed/>
    <w:qFormat/>
    <w:rsid w:val="00D2037A"/>
    <w:pPr>
      <w:keepLines/>
      <w:numPr>
        <w:numId w:val="0"/>
      </w:numPr>
      <w:spacing w:before="480" w:after="0" w:line="276" w:lineRule="auto"/>
      <w:jc w:val="left"/>
      <w:outlineLvl w:val="9"/>
    </w:pPr>
    <w:rPr>
      <w:color w:val="365F91"/>
      <w:kern w:val="0"/>
      <w:sz w:val="28"/>
      <w:szCs w:val="28"/>
      <w:lang w:val="ru-RU"/>
    </w:rPr>
  </w:style>
  <w:style w:type="paragraph" w:styleId="Dokumentstruktur">
    <w:name w:val="Document Map"/>
    <w:basedOn w:val="Standard"/>
    <w:link w:val="DokumentstrukturZchn"/>
    <w:uiPriority w:val="99"/>
    <w:semiHidden/>
    <w:unhideWhenUsed/>
    <w:rsid w:val="00650BC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50BCB"/>
    <w:rPr>
      <w:rFonts w:ascii="Tahoma" w:hAnsi="Tahoma" w:cs="Tahoma"/>
      <w:sz w:val="16"/>
      <w:szCs w:val="16"/>
      <w:lang w:val="en-AU"/>
    </w:rPr>
  </w:style>
  <w:style w:type="character" w:customStyle="1" w:styleId="FootnoteReference1">
    <w:name w:val="Footnote Reference1"/>
    <w:rsid w:val="00FC76E9"/>
  </w:style>
  <w:style w:type="character" w:styleId="Hyperlink">
    <w:name w:val="Hyperlink"/>
    <w:uiPriority w:val="99"/>
    <w:rsid w:val="00FC76E9"/>
    <w:rPr>
      <w:color w:val="000080"/>
      <w:u w:val="single"/>
    </w:rPr>
  </w:style>
  <w:style w:type="character" w:customStyle="1" w:styleId="FootnoteCharacters">
    <w:name w:val="Footnote Characters"/>
    <w:rsid w:val="00FC76E9"/>
  </w:style>
  <w:style w:type="character" w:styleId="Funotenzeichen">
    <w:name w:val="footnote reference"/>
    <w:uiPriority w:val="99"/>
    <w:rsid w:val="00FC76E9"/>
    <w:rPr>
      <w:vertAlign w:val="superscript"/>
    </w:rPr>
  </w:style>
  <w:style w:type="paragraph" w:styleId="Funotentext">
    <w:name w:val="footnote text"/>
    <w:basedOn w:val="Standard"/>
    <w:link w:val="FunotentextZchn"/>
    <w:uiPriority w:val="99"/>
    <w:rsid w:val="00FC76E9"/>
    <w:pPr>
      <w:widowControl w:val="0"/>
      <w:suppressLineNumbers/>
      <w:suppressAutoHyphens/>
      <w:ind w:left="283" w:hanging="283"/>
      <w:jc w:val="left"/>
    </w:pPr>
    <w:rPr>
      <w:rFonts w:ascii="Times New Roman" w:eastAsia="DejaVu Sans" w:hAnsi="Times New Roman" w:cs="Mangal"/>
      <w:kern w:val="1"/>
      <w:sz w:val="20"/>
      <w:lang w:val="en-US" w:eastAsia="hi-IN" w:bidi="hi-IN"/>
    </w:rPr>
  </w:style>
  <w:style w:type="character" w:customStyle="1" w:styleId="FunotentextZchn">
    <w:name w:val="Fußnotentext Zchn"/>
    <w:basedOn w:val="Absatz-Standardschriftart"/>
    <w:link w:val="Funotentext"/>
    <w:uiPriority w:val="99"/>
    <w:rsid w:val="00FC76E9"/>
    <w:rPr>
      <w:rFonts w:eastAsia="DejaVu Sans" w:cs="Mangal"/>
      <w:kern w:val="1"/>
      <w:lang w:eastAsia="hi-IN" w:bidi="hi-IN"/>
    </w:rPr>
  </w:style>
  <w:style w:type="paragraph" w:customStyle="1" w:styleId="FootnoteText1">
    <w:name w:val="Footnote Text1"/>
    <w:basedOn w:val="Standard"/>
    <w:rsid w:val="00FC76E9"/>
    <w:pPr>
      <w:widowControl w:val="0"/>
      <w:suppressAutoHyphens/>
      <w:jc w:val="left"/>
    </w:pPr>
    <w:rPr>
      <w:rFonts w:ascii="Times New Roman" w:eastAsia="DejaVu Sans" w:hAnsi="Times New Roman" w:cs="Mangal"/>
      <w:kern w:val="1"/>
      <w:sz w:val="24"/>
      <w:szCs w:val="24"/>
      <w:lang w:val="en-US" w:eastAsia="hi-IN" w:bidi="hi-IN"/>
    </w:rPr>
  </w:style>
  <w:style w:type="paragraph" w:styleId="Sprechblasentext">
    <w:name w:val="Balloon Text"/>
    <w:basedOn w:val="Standard"/>
    <w:link w:val="SprechblasentextZchn"/>
    <w:uiPriority w:val="99"/>
    <w:semiHidden/>
    <w:unhideWhenUsed/>
    <w:rsid w:val="00FC76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76E9"/>
    <w:rPr>
      <w:rFonts w:ascii="Tahoma" w:hAnsi="Tahoma" w:cs="Tahoma"/>
      <w:sz w:val="16"/>
      <w:szCs w:val="16"/>
      <w:lang w:val="en-AU"/>
    </w:rPr>
  </w:style>
  <w:style w:type="paragraph" w:styleId="Textkrper">
    <w:name w:val="Body Text"/>
    <w:basedOn w:val="Standard"/>
    <w:link w:val="TextkrperZchn"/>
    <w:rsid w:val="00EA1D95"/>
    <w:pPr>
      <w:widowControl w:val="0"/>
      <w:suppressAutoHyphens/>
      <w:spacing w:after="120"/>
      <w:jc w:val="left"/>
    </w:pPr>
    <w:rPr>
      <w:rFonts w:ascii="Times New Roman" w:eastAsia="DejaVu Sans" w:hAnsi="Times New Roman" w:cs="Mangal"/>
      <w:kern w:val="1"/>
      <w:sz w:val="24"/>
      <w:szCs w:val="24"/>
      <w:lang w:val="en-US" w:eastAsia="hi-IN" w:bidi="hi-IN"/>
    </w:rPr>
  </w:style>
  <w:style w:type="character" w:customStyle="1" w:styleId="TextkrperZchn">
    <w:name w:val="Textkörper Zchn"/>
    <w:basedOn w:val="Absatz-Standardschriftart"/>
    <w:link w:val="Textkrper"/>
    <w:rsid w:val="00EA1D95"/>
    <w:rPr>
      <w:rFonts w:eastAsia="DejaVu Sans" w:cs="Mangal"/>
      <w:kern w:val="1"/>
      <w:sz w:val="24"/>
      <w:szCs w:val="24"/>
      <w:lang w:eastAsia="hi-IN" w:bidi="hi-IN"/>
    </w:rPr>
  </w:style>
  <w:style w:type="paragraph" w:customStyle="1" w:styleId="western">
    <w:name w:val="western"/>
    <w:basedOn w:val="Standard"/>
    <w:rsid w:val="00EA1D95"/>
    <w:pPr>
      <w:widowControl w:val="0"/>
      <w:suppressAutoHyphens/>
      <w:spacing w:before="280"/>
    </w:pPr>
    <w:rPr>
      <w:rFonts w:ascii="Times New Roman" w:eastAsia="Calibri" w:hAnsi="Times New Roman" w:cs="Mangal"/>
      <w:kern w:val="1"/>
      <w:sz w:val="20"/>
      <w:lang w:val="en-US" w:eastAsia="hi-IN" w:bidi="hi-IN"/>
    </w:rPr>
  </w:style>
  <w:style w:type="paragraph" w:styleId="StandardWeb">
    <w:name w:val="Normal (Web)"/>
    <w:basedOn w:val="Standard"/>
    <w:uiPriority w:val="99"/>
    <w:rsid w:val="00EF393A"/>
    <w:pPr>
      <w:widowControl w:val="0"/>
      <w:suppressAutoHyphens/>
      <w:jc w:val="left"/>
    </w:pPr>
    <w:rPr>
      <w:rFonts w:ascii="Times New Roman" w:eastAsia="DejaVu Sans" w:hAnsi="Times New Roman" w:cs="Mangal"/>
      <w:kern w:val="1"/>
      <w:sz w:val="24"/>
      <w:szCs w:val="24"/>
      <w:lang w:val="en-US" w:eastAsia="hi-IN" w:bidi="hi-IN"/>
    </w:rPr>
  </w:style>
  <w:style w:type="character" w:styleId="Kommentarzeichen">
    <w:name w:val="annotation reference"/>
    <w:basedOn w:val="Absatz-Standardschriftart"/>
    <w:uiPriority w:val="99"/>
    <w:semiHidden/>
    <w:rsid w:val="00C521A8"/>
    <w:rPr>
      <w:rFonts w:cs="Times New Roman"/>
      <w:sz w:val="16"/>
      <w:szCs w:val="16"/>
    </w:rPr>
  </w:style>
  <w:style w:type="paragraph" w:styleId="Kommentartext">
    <w:name w:val="annotation text"/>
    <w:basedOn w:val="Standard"/>
    <w:link w:val="KommentartextZchn"/>
    <w:uiPriority w:val="99"/>
    <w:semiHidden/>
    <w:rsid w:val="00C521A8"/>
    <w:pPr>
      <w:spacing w:after="200"/>
      <w:jc w:val="left"/>
    </w:pPr>
    <w:rPr>
      <w:rFonts w:ascii="Calibri" w:hAnsi="Calibri"/>
      <w:sz w:val="20"/>
      <w:lang w:val="en-US"/>
    </w:rPr>
  </w:style>
  <w:style w:type="character" w:customStyle="1" w:styleId="KommentartextZchn">
    <w:name w:val="Kommentartext Zchn"/>
    <w:basedOn w:val="Absatz-Standardschriftart"/>
    <w:link w:val="Kommentartext"/>
    <w:uiPriority w:val="99"/>
    <w:semiHidden/>
    <w:rsid w:val="00C521A8"/>
    <w:rPr>
      <w:rFonts w:ascii="Calibri" w:hAnsi="Calibri"/>
    </w:rPr>
  </w:style>
  <w:style w:type="paragraph" w:customStyle="1" w:styleId="tarigixml">
    <w:name w:val="tarigi_xml"/>
    <w:basedOn w:val="Standard"/>
    <w:uiPriority w:val="99"/>
    <w:rsid w:val="00430034"/>
    <w:pPr>
      <w:autoSpaceDE w:val="0"/>
      <w:autoSpaceDN w:val="0"/>
      <w:adjustRightInd w:val="0"/>
      <w:spacing w:before="120" w:after="120"/>
      <w:ind w:firstLine="284"/>
      <w:jc w:val="center"/>
    </w:pPr>
    <w:rPr>
      <w:rFonts w:ascii="Sylfaen" w:hAnsi="Sylfaen" w:cs="Sylfaen"/>
      <w:b/>
      <w:bCs/>
      <w:szCs w:val="22"/>
      <w:lang w:val="en-US"/>
    </w:rPr>
  </w:style>
  <w:style w:type="character" w:customStyle="1" w:styleId="A7">
    <w:name w:val="A7"/>
    <w:uiPriority w:val="99"/>
    <w:rsid w:val="00D0612C"/>
    <w:rPr>
      <w:rFonts w:cs="HKolkhety"/>
      <w:color w:val="221E1F"/>
      <w:sz w:val="21"/>
      <w:szCs w:val="21"/>
    </w:rPr>
  </w:style>
  <w:style w:type="paragraph" w:customStyle="1" w:styleId="Normal">
    <w:name w:val="[Normal]"/>
    <w:uiPriority w:val="99"/>
    <w:rsid w:val="00D0612C"/>
    <w:pPr>
      <w:widowControl w:val="0"/>
      <w:autoSpaceDE w:val="0"/>
      <w:autoSpaceDN w:val="0"/>
      <w:adjustRightInd w:val="0"/>
    </w:pPr>
    <w:rPr>
      <w:rFonts w:ascii="Arial" w:hAnsi="Arial" w:cs="Arial"/>
      <w:sz w:val="24"/>
      <w:szCs w:val="24"/>
    </w:rPr>
  </w:style>
  <w:style w:type="paragraph" w:customStyle="1" w:styleId="sataurixml">
    <w:name w:val="satauri_xml"/>
    <w:basedOn w:val="Standard"/>
    <w:autoRedefine/>
    <w:rsid w:val="00D0612C"/>
    <w:pPr>
      <w:contextualSpacing/>
    </w:pPr>
    <w:rPr>
      <w:rFonts w:ascii="Sylfaen" w:hAnsi="Sylfaen" w:cs="Sylfaen"/>
      <w:sz w:val="20"/>
      <w:lang w:val="en-US"/>
    </w:rPr>
  </w:style>
  <w:style w:type="paragraph" w:styleId="KeinLeerraum">
    <w:name w:val="No Spacing"/>
    <w:uiPriority w:val="1"/>
    <w:qFormat/>
    <w:rsid w:val="00D0612C"/>
    <w:rPr>
      <w:rFonts w:asciiTheme="minorHAnsi" w:eastAsiaTheme="minorEastAsia" w:hAnsiTheme="minorHAnsi" w:cstheme="minorBidi"/>
      <w:sz w:val="22"/>
      <w:szCs w:val="22"/>
    </w:rPr>
  </w:style>
  <w:style w:type="character" w:customStyle="1" w:styleId="apple-converted-space">
    <w:name w:val="apple-converted-space"/>
    <w:basedOn w:val="Absatz-Standardschriftart"/>
    <w:rsid w:val="00D0612C"/>
  </w:style>
  <w:style w:type="paragraph" w:styleId="Kommentarthema">
    <w:name w:val="annotation subject"/>
    <w:basedOn w:val="Kommentartext"/>
    <w:next w:val="Kommentartext"/>
    <w:link w:val="KommentarthemaZchn"/>
    <w:uiPriority w:val="99"/>
    <w:semiHidden/>
    <w:unhideWhenUsed/>
    <w:rsid w:val="00DB5BB7"/>
    <w:pPr>
      <w:spacing w:after="0"/>
      <w:jc w:val="both"/>
    </w:pPr>
    <w:rPr>
      <w:rFonts w:ascii="Garamond" w:hAnsi="Garamond"/>
      <w:b/>
      <w:bCs/>
      <w:lang w:val="en-AU"/>
    </w:rPr>
  </w:style>
  <w:style w:type="character" w:customStyle="1" w:styleId="KommentarthemaZchn">
    <w:name w:val="Kommentarthema Zchn"/>
    <w:basedOn w:val="KommentartextZchn"/>
    <w:link w:val="Kommentarthema"/>
    <w:uiPriority w:val="99"/>
    <w:semiHidden/>
    <w:rsid w:val="00DB5BB7"/>
    <w:rPr>
      <w:rFonts w:ascii="Garamond" w:hAnsi="Garamond"/>
      <w:b/>
      <w:bCs/>
      <w:lang w:val="en-AU"/>
    </w:rPr>
  </w:style>
  <w:style w:type="paragraph" w:styleId="Verzeichnis1">
    <w:name w:val="toc 1"/>
    <w:basedOn w:val="Standard"/>
    <w:next w:val="Standard"/>
    <w:autoRedefine/>
    <w:uiPriority w:val="39"/>
    <w:unhideWhenUsed/>
    <w:rsid w:val="004E5D65"/>
    <w:pPr>
      <w:spacing w:after="100"/>
    </w:pPr>
  </w:style>
  <w:style w:type="paragraph" w:styleId="Verzeichnis2">
    <w:name w:val="toc 2"/>
    <w:basedOn w:val="Standard"/>
    <w:next w:val="Standard"/>
    <w:autoRedefine/>
    <w:uiPriority w:val="39"/>
    <w:unhideWhenUsed/>
    <w:rsid w:val="004E5D65"/>
    <w:pPr>
      <w:spacing w:after="100"/>
      <w:ind w:left="220"/>
    </w:pPr>
  </w:style>
  <w:style w:type="paragraph" w:styleId="Verzeichnis3">
    <w:name w:val="toc 3"/>
    <w:basedOn w:val="Standard"/>
    <w:next w:val="Standard"/>
    <w:autoRedefine/>
    <w:uiPriority w:val="39"/>
    <w:unhideWhenUsed/>
    <w:rsid w:val="004E5D65"/>
    <w:pPr>
      <w:spacing w:after="100"/>
      <w:ind w:left="440"/>
    </w:pPr>
  </w:style>
  <w:style w:type="paragraph" w:styleId="Kopfzeile">
    <w:name w:val="header"/>
    <w:basedOn w:val="Standard"/>
    <w:link w:val="KopfzeileZchn"/>
    <w:uiPriority w:val="99"/>
    <w:unhideWhenUsed/>
    <w:rsid w:val="00FA3C8C"/>
    <w:pPr>
      <w:tabs>
        <w:tab w:val="center" w:pos="4680"/>
        <w:tab w:val="right" w:pos="9360"/>
      </w:tabs>
    </w:pPr>
  </w:style>
  <w:style w:type="character" w:customStyle="1" w:styleId="KopfzeileZchn">
    <w:name w:val="Kopfzeile Zchn"/>
    <w:basedOn w:val="Absatz-Standardschriftart"/>
    <w:link w:val="Kopfzeile"/>
    <w:uiPriority w:val="99"/>
    <w:rsid w:val="00FA3C8C"/>
    <w:rPr>
      <w:rFonts w:ascii="Garamond" w:hAnsi="Garamond"/>
      <w:sz w:val="22"/>
      <w:lang w:val="en-AU"/>
    </w:rPr>
  </w:style>
  <w:style w:type="paragraph" w:styleId="Fuzeile">
    <w:name w:val="footer"/>
    <w:basedOn w:val="Standard"/>
    <w:link w:val="FuzeileZchn"/>
    <w:uiPriority w:val="99"/>
    <w:unhideWhenUsed/>
    <w:rsid w:val="00FA3C8C"/>
    <w:pPr>
      <w:tabs>
        <w:tab w:val="center" w:pos="4680"/>
        <w:tab w:val="right" w:pos="9360"/>
      </w:tabs>
    </w:pPr>
  </w:style>
  <w:style w:type="character" w:customStyle="1" w:styleId="FuzeileZchn">
    <w:name w:val="Fußzeile Zchn"/>
    <w:basedOn w:val="Absatz-Standardschriftart"/>
    <w:link w:val="Fuzeile"/>
    <w:uiPriority w:val="99"/>
    <w:rsid w:val="00FA3C8C"/>
    <w:rPr>
      <w:rFonts w:ascii="Garamond" w:hAnsi="Garamond"/>
      <w:sz w:val="22"/>
      <w:lang w:val="en-AU"/>
    </w:rPr>
  </w:style>
  <w:style w:type="character" w:styleId="BesuchterHyperlink">
    <w:name w:val="FollowedHyperlink"/>
    <w:basedOn w:val="Absatz-Standardschriftart"/>
    <w:uiPriority w:val="99"/>
    <w:semiHidden/>
    <w:unhideWhenUsed/>
    <w:rsid w:val="00F66E06"/>
    <w:rPr>
      <w:color w:val="800080" w:themeColor="followedHyperlink"/>
      <w:u w:val="single"/>
    </w:rPr>
  </w:style>
  <w:style w:type="character" w:customStyle="1" w:styleId="hps">
    <w:name w:val="hps"/>
    <w:basedOn w:val="Absatz-Standardschriftart"/>
    <w:rsid w:val="0045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3199">
      <w:bodyDiv w:val="1"/>
      <w:marLeft w:val="0"/>
      <w:marRight w:val="0"/>
      <w:marTop w:val="0"/>
      <w:marBottom w:val="0"/>
      <w:divBdr>
        <w:top w:val="none" w:sz="0" w:space="0" w:color="auto"/>
        <w:left w:val="none" w:sz="0" w:space="0" w:color="auto"/>
        <w:bottom w:val="none" w:sz="0" w:space="0" w:color="auto"/>
        <w:right w:val="none" w:sz="0" w:space="0" w:color="auto"/>
      </w:divBdr>
    </w:div>
    <w:div w:id="677729010">
      <w:bodyDiv w:val="1"/>
      <w:marLeft w:val="0"/>
      <w:marRight w:val="0"/>
      <w:marTop w:val="0"/>
      <w:marBottom w:val="0"/>
      <w:divBdr>
        <w:top w:val="none" w:sz="0" w:space="0" w:color="auto"/>
        <w:left w:val="none" w:sz="0" w:space="0" w:color="auto"/>
        <w:bottom w:val="none" w:sz="0" w:space="0" w:color="auto"/>
        <w:right w:val="none" w:sz="0" w:space="0" w:color="auto"/>
      </w:divBdr>
    </w:div>
    <w:div w:id="824781284">
      <w:bodyDiv w:val="1"/>
      <w:marLeft w:val="0"/>
      <w:marRight w:val="0"/>
      <w:marTop w:val="0"/>
      <w:marBottom w:val="0"/>
      <w:divBdr>
        <w:top w:val="none" w:sz="0" w:space="0" w:color="auto"/>
        <w:left w:val="none" w:sz="0" w:space="0" w:color="auto"/>
        <w:bottom w:val="none" w:sz="0" w:space="0" w:color="auto"/>
        <w:right w:val="none" w:sz="0" w:space="0" w:color="auto"/>
      </w:divBdr>
    </w:div>
    <w:div w:id="964191638">
      <w:bodyDiv w:val="1"/>
      <w:marLeft w:val="0"/>
      <w:marRight w:val="0"/>
      <w:marTop w:val="0"/>
      <w:marBottom w:val="0"/>
      <w:divBdr>
        <w:top w:val="none" w:sz="0" w:space="0" w:color="auto"/>
        <w:left w:val="none" w:sz="0" w:space="0" w:color="auto"/>
        <w:bottom w:val="none" w:sz="0" w:space="0" w:color="auto"/>
        <w:right w:val="none" w:sz="0" w:space="0" w:color="auto"/>
      </w:divBdr>
      <w:divsChild>
        <w:div w:id="959606630">
          <w:marLeft w:val="0"/>
          <w:marRight w:val="0"/>
          <w:marTop w:val="0"/>
          <w:marBottom w:val="0"/>
          <w:divBdr>
            <w:top w:val="none" w:sz="0" w:space="0" w:color="auto"/>
            <w:left w:val="none" w:sz="0" w:space="0" w:color="auto"/>
            <w:bottom w:val="none" w:sz="0" w:space="0" w:color="auto"/>
            <w:right w:val="none" w:sz="0" w:space="0" w:color="auto"/>
          </w:divBdr>
        </w:div>
      </w:divsChild>
    </w:div>
    <w:div w:id="1265922808">
      <w:bodyDiv w:val="1"/>
      <w:marLeft w:val="0"/>
      <w:marRight w:val="0"/>
      <w:marTop w:val="0"/>
      <w:marBottom w:val="0"/>
      <w:divBdr>
        <w:top w:val="none" w:sz="0" w:space="0" w:color="auto"/>
        <w:left w:val="none" w:sz="0" w:space="0" w:color="auto"/>
        <w:bottom w:val="none" w:sz="0" w:space="0" w:color="auto"/>
        <w:right w:val="none" w:sz="0" w:space="0" w:color="auto"/>
      </w:divBdr>
      <w:divsChild>
        <w:div w:id="130719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1.gi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oogle.com/url?sa=i&amp;source=images&amp;cd=&amp;cad=rja&amp;docid=k6lbQC6zU8y0lM&amp;tbnid=mPe09i1O0uLSrM:&amp;ved=0CAgQjRwwAA&amp;url=http://www.ungift.org/ungift/en/about/steering_committee_ohchr.html&amp;ei=M8y6UYzPGITaOqKtgJgH&amp;psig=AFQjCNF2YrImGwcY-anH68k3rYi5-FRhrw&amp;ust=1371282867431156"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yla.ge/uploads/publications/2012/prevenciis_erovnuli_meqanizmi_eng.pdf" TargetMode="External"/><Relationship Id="rId13" Type="http://schemas.openxmlformats.org/officeDocument/2006/relationships/hyperlink" Target="http://www.geostat.ge/index.php?action=page&amp;p_id=602&amp;lang=eng" TargetMode="External"/><Relationship Id="rId18" Type="http://schemas.openxmlformats.org/officeDocument/2006/relationships/hyperlink" Target="http://qartuli.net/gyla.ge/legislature/upload/docs/daskvna%20konstituciuri%20kanonis%20proeqtze.pdf" TargetMode="External"/><Relationship Id="rId26" Type="http://schemas.openxmlformats.org/officeDocument/2006/relationships/hyperlink" Target="http://www.csogeorgia.org/uploads/Annual/42.pdf" TargetMode="External"/><Relationship Id="rId3" Type="http://schemas.openxmlformats.org/officeDocument/2006/relationships/hyperlink" Target="http://www.mes.gov.ge/" TargetMode="External"/><Relationship Id="rId21" Type="http://schemas.openxmlformats.org/officeDocument/2006/relationships/hyperlink" Target="http://gyla.ge/geo/news?info=715" TargetMode="External"/><Relationship Id="rId34" Type="http://schemas.openxmlformats.org/officeDocument/2006/relationships/hyperlink" Target="http://isfed.ge/elections/reports/isfed_electionreport_2008_geo.pdf" TargetMode="External"/><Relationship Id="rId7" Type="http://schemas.openxmlformats.org/officeDocument/2006/relationships/hyperlink" Target="http://gyla.ge/uploads/publications/2012/legal_analysis_of_cases_of_criminal_and_administrative_offences_with_alleged_political_motive.pdf" TargetMode="External"/><Relationship Id="rId12" Type="http://schemas.openxmlformats.org/officeDocument/2006/relationships/hyperlink" Target="http://gyla.ge/uploads/publications/2012/prevenciis_erovnuli_meqanizmi_eng.pdf" TargetMode="External"/><Relationship Id="rId17" Type="http://schemas.openxmlformats.org/officeDocument/2006/relationships/hyperlink" Target="http://www.venice.coe.int/webforms/documents/?pdf=CDL-AD(2013)007-e" TargetMode="External"/><Relationship Id="rId25" Type="http://schemas.openxmlformats.org/officeDocument/2006/relationships/hyperlink" Target="https://matsne.gov.ge/index.php?option=com_ldmssearch&amp;view=docView&amp;id=1700719&amp;lang=ge" TargetMode="External"/><Relationship Id="rId33" Type="http://schemas.openxmlformats.org/officeDocument/2006/relationships/hyperlink" Target="http://isfed.ge/elections/reports/isfed_electionreport_2008_geo.pdf" TargetMode="External"/><Relationship Id="rId2" Type="http://schemas.openxmlformats.org/officeDocument/2006/relationships/hyperlink" Target="http://www.weforum.org/reports/global-gender-gap-report-2012" TargetMode="External"/><Relationship Id="rId16" Type="http://schemas.openxmlformats.org/officeDocument/2006/relationships/hyperlink" Target="http://gyla.ge/eng/publications?category=14" TargetMode="External"/><Relationship Id="rId20" Type="http://schemas.openxmlformats.org/officeDocument/2006/relationships/hyperlink" Target="http://parliament.ge/files/Draft_Bills/13.03.13/mauckebllob3.69.pdf" TargetMode="External"/><Relationship Id="rId29" Type="http://schemas.openxmlformats.org/officeDocument/2006/relationships/hyperlink" Target="http://www.csogeorgia.org/uploads/Annual/42.pdf" TargetMode="External"/><Relationship Id="rId1" Type="http://schemas.openxmlformats.org/officeDocument/2006/relationships/hyperlink" Target="http://www.geostat.ge/index.php?action=page&amp;p_id=205&amp;lang=geo" TargetMode="External"/><Relationship Id="rId6" Type="http://schemas.openxmlformats.org/officeDocument/2006/relationships/hyperlink" Target="http://gyla.ge/uploads/publications/2011/26_maisi_eng.pdf" TargetMode="External"/><Relationship Id="rId11" Type="http://schemas.openxmlformats.org/officeDocument/2006/relationships/hyperlink" Target="http://ombudsman.ge/files/downloads/en/hcqkqyhblwldxcayqiwg.pdf" TargetMode="External"/><Relationship Id="rId24" Type="http://schemas.openxmlformats.org/officeDocument/2006/relationships/hyperlink" Target="http://gyla.ge/uploads/1547_-.pdf" TargetMode="External"/><Relationship Id="rId32" Type="http://schemas.openxmlformats.org/officeDocument/2006/relationships/hyperlink" Target="http://isfed.ge/pdf/isfed_monitoring_report_on_local_self_government_elections_geo.pdf" TargetMode="External"/><Relationship Id="rId37" Type="http://schemas.openxmlformats.org/officeDocument/2006/relationships/hyperlink" Target="http://www.isfed.ge/pdf/2012_Final_Rep.pdf" TargetMode="External"/><Relationship Id="rId5" Type="http://schemas.openxmlformats.org/officeDocument/2006/relationships/hyperlink" Target="http://gyla.ge/eng/news?info=994" TargetMode="External"/><Relationship Id="rId15" Type="http://schemas.openxmlformats.org/officeDocument/2006/relationships/hyperlink" Target="http://gyla.ge/uploads/publications/2012/prevenciis_erovnuli_meqanizmi_eng.pdf" TargetMode="External"/><Relationship Id="rId23" Type="http://schemas.openxmlformats.org/officeDocument/2006/relationships/hyperlink" Target="http://parliament.ge/files/Draft_Bills/13.03.13/mauckebllob" TargetMode="External"/><Relationship Id="rId28" Type="http://schemas.openxmlformats.org/officeDocument/2006/relationships/hyperlink" Target="http://www.csogeorgia.org/uploads/Annual/42.pdf" TargetMode="External"/><Relationship Id="rId36" Type="http://schemas.openxmlformats.org/officeDocument/2006/relationships/hyperlink" Target="http://www.osce.org/odihr/elections/71280" TargetMode="External"/><Relationship Id="rId10" Type="http://schemas.openxmlformats.org/officeDocument/2006/relationships/hyperlink" Target="http://gyla.ge/uploads/tbilisidakutaisi_ge.pdf" TargetMode="External"/><Relationship Id="rId19" Type="http://schemas.openxmlformats.org/officeDocument/2006/relationships/hyperlink" Target="http://www.venice.coe.int/webforms/documents/?pdf=CDL(2010)062-e" TargetMode="External"/><Relationship Id="rId31" Type="http://schemas.openxmlformats.org/officeDocument/2006/relationships/hyperlink" Target="http://civil.ge/geo/article.php?id=22233" TargetMode="External"/><Relationship Id="rId4" Type="http://schemas.openxmlformats.org/officeDocument/2006/relationships/hyperlink" Target="http://humanrights.ge/admin/editor/uploads/pdf/02%20English_final.pdf" TargetMode="External"/><Relationship Id="rId9" Type="http://schemas.openxmlformats.org/officeDocument/2006/relationships/hyperlink" Target="http://www.ombudsman.ge/files/downloads/en/wlkxwtamrxzqzvysxoyk.pdf" TargetMode="External"/><Relationship Id="rId14" Type="http://schemas.openxmlformats.org/officeDocument/2006/relationships/hyperlink" Target="http://www.ombudsman.ge/index.php?page=21&amp;lang=1" TargetMode="External"/><Relationship Id="rId22" Type="http://schemas.openxmlformats.org/officeDocument/2006/relationships/hyperlink" Target="http://gyla.ge/geo/news?info=715" TargetMode="External"/><Relationship Id="rId27" Type="http://schemas.openxmlformats.org/officeDocument/2006/relationships/hyperlink" Target="http://ombudsman.ge/index.php?page=1001&amp;lang=1&amp;n=0&amp;id=1355" TargetMode="External"/><Relationship Id="rId30" Type="http://schemas.openxmlformats.org/officeDocument/2006/relationships/hyperlink" Target="http://gyla.ge/uploads/publications/2011/26_maisi_eng.pdf" TargetMode="External"/><Relationship Id="rId35" Type="http://schemas.openxmlformats.org/officeDocument/2006/relationships/hyperlink" Target="http://www.osce.org/odihr/elections/georgia/33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07F0B9D-549F-4292-8B1A-7583F15CE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CBACC-F94B-4C65-A1FC-027CA6B0FD39}">
  <ds:schemaRefs>
    <ds:schemaRef ds:uri="http://schemas.microsoft.com/sharepoint/v3/contenttype/forms"/>
  </ds:schemaRefs>
</ds:datastoreItem>
</file>

<file path=customXml/itemProps3.xml><?xml version="1.0" encoding="utf-8"?>
<ds:datastoreItem xmlns:ds="http://schemas.openxmlformats.org/officeDocument/2006/customXml" ds:itemID="{28ED6565-2212-42D0-910F-F060769C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442269-7A51-43F1-91BF-7840A6DB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14860</Words>
  <Characters>93624</Characters>
  <Application>Microsoft Office Word</Application>
  <DocSecurity>0</DocSecurity>
  <Lines>780</Lines>
  <Paragraphs>216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Welton</dc:creator>
  <cp:lastModifiedBy>allacher</cp:lastModifiedBy>
  <cp:revision>2</cp:revision>
  <cp:lastPrinted>2013-08-07T13:06:00Z</cp:lastPrinted>
  <dcterms:created xsi:type="dcterms:W3CDTF">2013-11-28T10:19:00Z</dcterms:created>
  <dcterms:modified xsi:type="dcterms:W3CDTF">2013-11-28T10:19:00Z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