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F4595" w14:textId="77777777" w:rsidR="006944E6" w:rsidRDefault="006944E6" w:rsidP="004F1C2F">
      <w:pPr>
        <w:jc w:val="both"/>
        <w:rPr>
          <w:rFonts w:ascii="Garamond" w:hAnsi="Garamond" w:cs="Arial"/>
          <w:sz w:val="30"/>
          <w:szCs w:val="30"/>
        </w:rPr>
      </w:pPr>
      <w:bookmarkStart w:id="0" w:name="_GoBack"/>
      <w:bookmarkEnd w:id="0"/>
    </w:p>
    <w:p w14:paraId="4D4D476F" w14:textId="77777777" w:rsidR="006944E6" w:rsidRDefault="006944E6" w:rsidP="004F1C2F">
      <w:pPr>
        <w:jc w:val="both"/>
        <w:rPr>
          <w:rFonts w:ascii="Garamond" w:hAnsi="Garamond" w:cs="Arial"/>
          <w:sz w:val="30"/>
          <w:szCs w:val="30"/>
        </w:rPr>
      </w:pPr>
    </w:p>
    <w:p w14:paraId="28BA5327" w14:textId="77777777" w:rsidR="006944E6" w:rsidRDefault="006944E6" w:rsidP="004F1C2F">
      <w:pPr>
        <w:jc w:val="both"/>
        <w:rPr>
          <w:rFonts w:ascii="Garamond" w:hAnsi="Garamond" w:cs="Arial"/>
          <w:sz w:val="30"/>
          <w:szCs w:val="30"/>
        </w:rPr>
      </w:pPr>
    </w:p>
    <w:p w14:paraId="7238A3B7" w14:textId="77777777" w:rsidR="00FD4494" w:rsidRDefault="00FD4494" w:rsidP="005C1B7F">
      <w:pPr>
        <w:rPr>
          <w:rFonts w:ascii="Garamond" w:hAnsi="Garamond" w:cs="Arial"/>
          <w:sz w:val="30"/>
          <w:szCs w:val="30"/>
        </w:rPr>
      </w:pPr>
    </w:p>
    <w:p w14:paraId="01EDA1E3" w14:textId="77777777" w:rsidR="00FD4494" w:rsidRDefault="00FD4494" w:rsidP="005C1B7F">
      <w:pPr>
        <w:rPr>
          <w:rFonts w:ascii="Garamond" w:hAnsi="Garamond" w:cs="Arial"/>
          <w:sz w:val="30"/>
          <w:szCs w:val="30"/>
        </w:rPr>
      </w:pPr>
    </w:p>
    <w:p w14:paraId="1468456E" w14:textId="77777777" w:rsidR="00FD4494" w:rsidRDefault="00FD4494" w:rsidP="005C1B7F">
      <w:pPr>
        <w:rPr>
          <w:rFonts w:ascii="Garamond" w:hAnsi="Garamond" w:cs="Arial"/>
          <w:sz w:val="30"/>
          <w:szCs w:val="30"/>
        </w:rPr>
      </w:pPr>
    </w:p>
    <w:p w14:paraId="1AF62BC9" w14:textId="77777777" w:rsidR="00FD4494" w:rsidRDefault="00FD4494" w:rsidP="005C1B7F">
      <w:pPr>
        <w:rPr>
          <w:rFonts w:ascii="Garamond" w:hAnsi="Garamond" w:cs="Arial"/>
          <w:sz w:val="30"/>
          <w:szCs w:val="30"/>
        </w:rPr>
      </w:pPr>
    </w:p>
    <w:p w14:paraId="70FA8F50" w14:textId="77777777" w:rsidR="00FD4494" w:rsidRDefault="00FD4494" w:rsidP="005C1B7F">
      <w:pPr>
        <w:rPr>
          <w:rFonts w:ascii="Garamond" w:hAnsi="Garamond" w:cs="Arial"/>
          <w:sz w:val="30"/>
          <w:szCs w:val="30"/>
        </w:rPr>
      </w:pPr>
    </w:p>
    <w:p w14:paraId="5758F356" w14:textId="77777777" w:rsidR="00FD4494" w:rsidRDefault="00FD4494" w:rsidP="005C1B7F">
      <w:pPr>
        <w:rPr>
          <w:rFonts w:ascii="Garamond" w:hAnsi="Garamond" w:cs="Arial"/>
          <w:sz w:val="30"/>
          <w:szCs w:val="30"/>
        </w:rPr>
      </w:pPr>
    </w:p>
    <w:p w14:paraId="0A7C0D14" w14:textId="77777777" w:rsidR="00FD4494" w:rsidRPr="00852EEC" w:rsidRDefault="00FD4494" w:rsidP="005C1B7F">
      <w:pPr>
        <w:rPr>
          <w:rFonts w:ascii="Garamond" w:hAnsi="Garamond" w:cs="Arial"/>
          <w:sz w:val="34"/>
          <w:szCs w:val="34"/>
        </w:rPr>
      </w:pPr>
    </w:p>
    <w:p w14:paraId="18ED9F5F" w14:textId="296EF54A" w:rsidR="005C1B7F" w:rsidRPr="00852EEC" w:rsidRDefault="00900D26" w:rsidP="005C1B7F">
      <w:pPr>
        <w:rPr>
          <w:rFonts w:ascii="Garamond" w:hAnsi="Garamond" w:cs="Arial"/>
          <w:sz w:val="34"/>
          <w:szCs w:val="34"/>
        </w:rPr>
      </w:pPr>
      <w:r w:rsidRPr="00852EEC">
        <w:rPr>
          <w:rFonts w:ascii="Garamond" w:hAnsi="Garamond" w:cs="Arial"/>
          <w:sz w:val="34"/>
          <w:szCs w:val="34"/>
        </w:rPr>
        <w:t>Non-</w:t>
      </w:r>
      <w:r w:rsidR="005C1B7F" w:rsidRPr="00852EEC">
        <w:rPr>
          <w:rFonts w:ascii="Garamond" w:hAnsi="Garamond" w:cs="Arial"/>
          <w:sz w:val="34"/>
          <w:szCs w:val="34"/>
        </w:rPr>
        <w:t xml:space="preserve">Governmental </w:t>
      </w:r>
      <w:proofErr w:type="spellStart"/>
      <w:r w:rsidR="005C1B7F" w:rsidRPr="00852EEC">
        <w:rPr>
          <w:rFonts w:ascii="Garamond" w:hAnsi="Garamond" w:cs="Arial"/>
          <w:sz w:val="34"/>
          <w:szCs w:val="34"/>
        </w:rPr>
        <w:t>Organisations’</w:t>
      </w:r>
      <w:proofErr w:type="spellEnd"/>
      <w:r w:rsidR="005C1B7F" w:rsidRPr="00852EEC">
        <w:rPr>
          <w:rFonts w:ascii="Garamond" w:hAnsi="Garamond" w:cs="Arial"/>
          <w:sz w:val="34"/>
          <w:szCs w:val="34"/>
        </w:rPr>
        <w:t xml:space="preserve"> Report </w:t>
      </w:r>
      <w:r w:rsidRPr="00852EEC">
        <w:rPr>
          <w:rFonts w:ascii="Garamond" w:hAnsi="Garamond" w:cs="Arial"/>
          <w:sz w:val="34"/>
          <w:szCs w:val="34"/>
        </w:rPr>
        <w:t xml:space="preserve">for </w:t>
      </w:r>
      <w:r w:rsidR="005C1B7F" w:rsidRPr="00852EEC">
        <w:rPr>
          <w:rFonts w:ascii="Garamond" w:hAnsi="Garamond" w:cs="Arial"/>
          <w:sz w:val="34"/>
          <w:szCs w:val="34"/>
        </w:rPr>
        <w:t xml:space="preserve">the International Covenant </w:t>
      </w:r>
      <w:r w:rsidR="00C61299">
        <w:rPr>
          <w:rFonts w:ascii="Garamond" w:hAnsi="Garamond" w:cs="Arial"/>
          <w:sz w:val="34"/>
          <w:szCs w:val="34"/>
        </w:rPr>
        <w:t>on</w:t>
      </w:r>
      <w:r w:rsidR="005C1B7F" w:rsidRPr="00852EEC">
        <w:rPr>
          <w:rFonts w:ascii="Garamond" w:hAnsi="Garamond" w:cs="Arial"/>
          <w:sz w:val="34"/>
          <w:szCs w:val="34"/>
        </w:rPr>
        <w:t xml:space="preserve"> Civil and Political Rights (ICCPR) in Malawi</w:t>
      </w:r>
      <w:r w:rsidR="00C61299">
        <w:rPr>
          <w:rFonts w:ascii="Garamond" w:hAnsi="Garamond" w:cs="Arial"/>
          <w:sz w:val="34"/>
          <w:szCs w:val="34"/>
        </w:rPr>
        <w:t xml:space="preserve"> </w:t>
      </w:r>
    </w:p>
    <w:p w14:paraId="65011820" w14:textId="15A1B87F" w:rsidR="00FD4494" w:rsidRPr="00852EEC" w:rsidRDefault="00FD4494" w:rsidP="005C1B7F">
      <w:pPr>
        <w:rPr>
          <w:rFonts w:ascii="Garamond" w:hAnsi="Garamond" w:cs="Arial"/>
          <w:sz w:val="34"/>
          <w:szCs w:val="34"/>
        </w:rPr>
      </w:pPr>
      <w:r w:rsidRPr="00852EEC">
        <w:rPr>
          <w:rFonts w:ascii="Garamond" w:hAnsi="Garamond" w:cs="Arial"/>
          <w:sz w:val="34"/>
          <w:szCs w:val="34"/>
        </w:rPr>
        <w:t>Task Force on Adoption of the List of Issues</w:t>
      </w:r>
    </w:p>
    <w:p w14:paraId="6F07C052" w14:textId="77777777" w:rsidR="005C1B7F" w:rsidRDefault="005C1B7F" w:rsidP="005C1B7F">
      <w:pPr>
        <w:rPr>
          <w:rFonts w:ascii="Garamond" w:hAnsi="Garamond" w:cs="Arial"/>
          <w:sz w:val="30"/>
          <w:szCs w:val="30"/>
        </w:rPr>
      </w:pPr>
    </w:p>
    <w:p w14:paraId="5ABD7F0E" w14:textId="782FA897" w:rsidR="005C1B7F" w:rsidRPr="00DB39D8" w:rsidRDefault="005C1B7F" w:rsidP="005C1B7F">
      <w:pPr>
        <w:rPr>
          <w:rFonts w:ascii="Garamond" w:hAnsi="Garamond" w:cs="Arial"/>
        </w:rPr>
      </w:pPr>
      <w:r w:rsidRPr="00DB39D8">
        <w:rPr>
          <w:rFonts w:ascii="Garamond" w:hAnsi="Garamond" w:cs="Arial"/>
        </w:rPr>
        <w:t>Submission to the 10</w:t>
      </w:r>
      <w:r w:rsidR="00900D26" w:rsidRPr="00DB39D8">
        <w:rPr>
          <w:rFonts w:ascii="Garamond" w:hAnsi="Garamond" w:cs="Arial"/>
        </w:rPr>
        <w:t>8th</w:t>
      </w:r>
      <w:r w:rsidRPr="00DB39D8">
        <w:rPr>
          <w:rFonts w:ascii="Garamond" w:hAnsi="Garamond" w:cs="Arial"/>
        </w:rPr>
        <w:t xml:space="preserve"> Session of the Human Rights </w:t>
      </w:r>
      <w:r w:rsidR="00900D26" w:rsidRPr="00DB39D8">
        <w:rPr>
          <w:rFonts w:ascii="Garamond" w:hAnsi="Garamond" w:cs="Arial"/>
        </w:rPr>
        <w:t>Committee</w:t>
      </w:r>
    </w:p>
    <w:p w14:paraId="32C026A3" w14:textId="01366636" w:rsidR="005C1B7F" w:rsidRPr="00DB39D8" w:rsidRDefault="00FD4494" w:rsidP="005C1B7F">
      <w:pPr>
        <w:rPr>
          <w:rFonts w:ascii="Garamond" w:hAnsi="Garamond" w:cs="Arial"/>
        </w:rPr>
      </w:pPr>
      <w:r w:rsidRPr="00DB39D8">
        <w:rPr>
          <w:rFonts w:ascii="Garamond" w:hAnsi="Garamond" w:cs="Arial"/>
        </w:rPr>
        <w:t>(8-26</w:t>
      </w:r>
      <w:r w:rsidR="005C1B7F" w:rsidRPr="00DB39D8">
        <w:rPr>
          <w:rFonts w:ascii="Garamond" w:hAnsi="Garamond" w:cs="Arial"/>
        </w:rPr>
        <w:t xml:space="preserve"> </w:t>
      </w:r>
      <w:r w:rsidRPr="00DB39D8">
        <w:rPr>
          <w:rFonts w:ascii="Garamond" w:hAnsi="Garamond" w:cs="Arial"/>
        </w:rPr>
        <w:t>July 2013</w:t>
      </w:r>
      <w:r w:rsidR="005C1B7F" w:rsidRPr="00DB39D8">
        <w:rPr>
          <w:rFonts w:ascii="Garamond" w:hAnsi="Garamond" w:cs="Arial"/>
        </w:rPr>
        <w:t>, Geneva)</w:t>
      </w:r>
    </w:p>
    <w:p w14:paraId="1096F9EF" w14:textId="77777777" w:rsidR="005C1B7F" w:rsidRDefault="005C1B7F" w:rsidP="005C1B7F">
      <w:pPr>
        <w:rPr>
          <w:rFonts w:ascii="Garamond" w:hAnsi="Garamond" w:cs="Arial"/>
          <w:sz w:val="30"/>
          <w:szCs w:val="30"/>
        </w:rPr>
      </w:pPr>
    </w:p>
    <w:p w14:paraId="35BD0B1F" w14:textId="77777777" w:rsidR="00FD4494" w:rsidRDefault="00FD4494" w:rsidP="005C1B7F">
      <w:pPr>
        <w:rPr>
          <w:rFonts w:ascii="Garamond" w:hAnsi="Garamond" w:cs="Arial"/>
          <w:sz w:val="30"/>
          <w:szCs w:val="30"/>
        </w:rPr>
      </w:pPr>
    </w:p>
    <w:p w14:paraId="30608538" w14:textId="77777777" w:rsidR="00FD4494" w:rsidRPr="005C1B7F" w:rsidRDefault="00FD4494" w:rsidP="005C1B7F">
      <w:pPr>
        <w:rPr>
          <w:rFonts w:ascii="Garamond" w:hAnsi="Garamond" w:cs="Arial"/>
          <w:sz w:val="30"/>
          <w:szCs w:val="30"/>
        </w:rPr>
      </w:pPr>
    </w:p>
    <w:p w14:paraId="0AFEFA94" w14:textId="185CA791" w:rsidR="005C1B7F" w:rsidRPr="00DB39D8" w:rsidRDefault="005C1B7F" w:rsidP="00DB39D8">
      <w:pPr>
        <w:jc w:val="center"/>
        <w:rPr>
          <w:rFonts w:ascii="Garamond" w:hAnsi="Garamond" w:cs="Arial"/>
          <w:sz w:val="22"/>
          <w:szCs w:val="22"/>
        </w:rPr>
      </w:pPr>
      <w:r w:rsidRPr="00DB39D8">
        <w:rPr>
          <w:rFonts w:ascii="Garamond" w:hAnsi="Garamond" w:cs="Arial"/>
          <w:sz w:val="22"/>
          <w:szCs w:val="22"/>
        </w:rPr>
        <w:t>Submitted to the United Nations Human Rights Committee by:</w:t>
      </w:r>
    </w:p>
    <w:p w14:paraId="72DFAE71" w14:textId="77777777" w:rsidR="005C1B7F" w:rsidRPr="00DB39D8" w:rsidRDefault="005C1B7F" w:rsidP="00DB39D8">
      <w:pPr>
        <w:jc w:val="center"/>
        <w:rPr>
          <w:rFonts w:ascii="Garamond" w:hAnsi="Garamond" w:cs="Arial"/>
          <w:sz w:val="22"/>
          <w:szCs w:val="22"/>
        </w:rPr>
      </w:pPr>
    </w:p>
    <w:p w14:paraId="0E7495B4" w14:textId="359517CE" w:rsidR="005C1B7F" w:rsidRPr="00DB39D8" w:rsidRDefault="005C1B7F" w:rsidP="00DB39D8">
      <w:pPr>
        <w:jc w:val="center"/>
        <w:rPr>
          <w:rFonts w:ascii="Garamond" w:hAnsi="Garamond" w:cs="Arial"/>
          <w:b/>
          <w:sz w:val="22"/>
          <w:szCs w:val="22"/>
        </w:rPr>
      </w:pPr>
      <w:r w:rsidRPr="00DB39D8">
        <w:rPr>
          <w:rFonts w:ascii="Garamond" w:hAnsi="Garamond" w:cs="Arial"/>
          <w:b/>
          <w:sz w:val="22"/>
          <w:szCs w:val="22"/>
        </w:rPr>
        <w:t>Centre for the</w:t>
      </w:r>
      <w:r w:rsidR="00FD4494" w:rsidRPr="00DB39D8">
        <w:rPr>
          <w:rFonts w:ascii="Garamond" w:hAnsi="Garamond" w:cs="Arial"/>
          <w:b/>
          <w:sz w:val="22"/>
          <w:szCs w:val="22"/>
        </w:rPr>
        <w:t xml:space="preserve"> Development of People (CEDEP)</w:t>
      </w:r>
    </w:p>
    <w:p w14:paraId="299FDE94" w14:textId="33BF012B" w:rsidR="005C1B7F" w:rsidRDefault="005C1B7F" w:rsidP="00DB39D8">
      <w:pPr>
        <w:jc w:val="center"/>
        <w:rPr>
          <w:rFonts w:ascii="Garamond" w:hAnsi="Garamond" w:cs="Arial"/>
          <w:sz w:val="22"/>
          <w:szCs w:val="22"/>
        </w:rPr>
      </w:pPr>
      <w:r w:rsidRPr="00DB39D8">
        <w:rPr>
          <w:rFonts w:ascii="Garamond" w:hAnsi="Garamond" w:cs="Arial"/>
          <w:sz w:val="22"/>
          <w:szCs w:val="22"/>
        </w:rPr>
        <w:t>http://www.cedepmalawi.org</w:t>
      </w:r>
    </w:p>
    <w:p w14:paraId="1788AE25" w14:textId="37A96B7E" w:rsidR="00BA3D25" w:rsidRPr="00DB39D8" w:rsidRDefault="00057FE8" w:rsidP="00DB39D8">
      <w:pPr>
        <w:jc w:val="center"/>
        <w:rPr>
          <w:rFonts w:ascii="Garamond" w:hAnsi="Garamond" w:cs="Arial"/>
          <w:sz w:val="22"/>
          <w:szCs w:val="22"/>
        </w:rPr>
      </w:pPr>
      <w:r w:rsidRPr="00057FE8">
        <w:rPr>
          <w:noProof/>
          <w:lang w:val="de-AT" w:eastAsia="de-AT"/>
        </w:rPr>
        <w:drawing>
          <wp:inline distT="0" distB="0" distL="0" distR="0" wp14:anchorId="4E313139" wp14:editId="2E4D9BE5">
            <wp:extent cx="751398" cy="515582"/>
            <wp:effectExtent l="0" t="0" r="10795" b="0"/>
            <wp:docPr id="194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3" name="Picture 2"/>
                    <pic:cNvPicPr>
                      <a:picLocks noChangeAspect="1"/>
                    </pic:cNvPicPr>
                  </pic:nvPicPr>
                  <pic:blipFill>
                    <a:blip r:embed="rId12"/>
                    <a:srcRect/>
                    <a:stretch>
                      <a:fillRect/>
                    </a:stretch>
                  </pic:blipFill>
                  <pic:spPr bwMode="auto">
                    <a:xfrm>
                      <a:off x="0" y="0"/>
                      <a:ext cx="752084" cy="516053"/>
                    </a:xfrm>
                    <a:prstGeom prst="rect">
                      <a:avLst/>
                    </a:prstGeom>
                    <a:noFill/>
                    <a:ln w="9525">
                      <a:noFill/>
                      <a:miter lim="800000"/>
                      <a:headEnd/>
                      <a:tailEnd/>
                    </a:ln>
                  </pic:spPr>
                </pic:pic>
              </a:graphicData>
            </a:graphic>
          </wp:inline>
        </w:drawing>
      </w:r>
    </w:p>
    <w:p w14:paraId="752A927A" w14:textId="77777777" w:rsidR="005C1B7F" w:rsidRPr="00DB39D8" w:rsidRDefault="005C1B7F" w:rsidP="00DB39D8">
      <w:pPr>
        <w:jc w:val="center"/>
        <w:rPr>
          <w:rFonts w:ascii="Garamond" w:hAnsi="Garamond" w:cs="Arial"/>
          <w:sz w:val="22"/>
          <w:szCs w:val="22"/>
        </w:rPr>
      </w:pPr>
    </w:p>
    <w:p w14:paraId="74958E26" w14:textId="419CA577" w:rsidR="005C1B7F" w:rsidRPr="00DB39D8" w:rsidRDefault="005C1B7F" w:rsidP="00DB39D8">
      <w:pPr>
        <w:jc w:val="center"/>
        <w:rPr>
          <w:rFonts w:ascii="Garamond" w:hAnsi="Garamond" w:cs="Arial"/>
          <w:b/>
          <w:sz w:val="22"/>
          <w:szCs w:val="22"/>
        </w:rPr>
      </w:pPr>
      <w:r w:rsidRPr="00DB39D8">
        <w:rPr>
          <w:rFonts w:ascii="Garamond" w:hAnsi="Garamond" w:cs="Arial"/>
          <w:b/>
          <w:sz w:val="22"/>
          <w:szCs w:val="22"/>
        </w:rPr>
        <w:t>Centre for Human Rights and Rehabilitation (CHRR)</w:t>
      </w:r>
    </w:p>
    <w:p w14:paraId="287B4E4E" w14:textId="31848DB7" w:rsidR="005C1B7F" w:rsidRPr="00DB39D8" w:rsidRDefault="005C1B7F" w:rsidP="00DB39D8">
      <w:pPr>
        <w:jc w:val="center"/>
        <w:rPr>
          <w:rFonts w:ascii="Garamond" w:hAnsi="Garamond" w:cs="Arial"/>
          <w:sz w:val="22"/>
          <w:szCs w:val="22"/>
        </w:rPr>
      </w:pPr>
      <w:r w:rsidRPr="00DB39D8">
        <w:rPr>
          <w:rFonts w:ascii="Garamond" w:hAnsi="Garamond" w:cs="Arial"/>
          <w:sz w:val="22"/>
          <w:szCs w:val="22"/>
        </w:rPr>
        <w:t>http://www.peacebuildingportal.org</w:t>
      </w:r>
    </w:p>
    <w:p w14:paraId="1D77BB9D" w14:textId="47A856EC" w:rsidR="005C1B7F" w:rsidRDefault="005A6292" w:rsidP="00DB39D8">
      <w:pPr>
        <w:jc w:val="center"/>
        <w:rPr>
          <w:rFonts w:ascii="Garamond" w:hAnsi="Garamond" w:cs="Arial"/>
          <w:sz w:val="22"/>
          <w:szCs w:val="22"/>
        </w:rPr>
      </w:pPr>
      <w:r>
        <w:rPr>
          <w:rFonts w:ascii="Garamond" w:hAnsi="Garamond"/>
          <w:noProof/>
          <w:lang w:val="de-AT" w:eastAsia="de-AT"/>
        </w:rPr>
        <w:drawing>
          <wp:inline distT="0" distB="0" distL="0" distR="0" wp14:anchorId="18A07981" wp14:editId="4BA430A8">
            <wp:extent cx="685800" cy="54790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066" cy="548112"/>
                    </a:xfrm>
                    <a:prstGeom prst="rect">
                      <a:avLst/>
                    </a:prstGeom>
                    <a:noFill/>
                    <a:ln>
                      <a:noFill/>
                    </a:ln>
                  </pic:spPr>
                </pic:pic>
              </a:graphicData>
            </a:graphic>
          </wp:inline>
        </w:drawing>
      </w:r>
    </w:p>
    <w:p w14:paraId="296BFFD2" w14:textId="77777777" w:rsidR="00BA3D25" w:rsidRDefault="00BA3D25" w:rsidP="00DB39D8">
      <w:pPr>
        <w:jc w:val="center"/>
        <w:rPr>
          <w:rFonts w:ascii="Garamond" w:hAnsi="Garamond" w:cs="Arial"/>
          <w:sz w:val="22"/>
          <w:szCs w:val="22"/>
        </w:rPr>
      </w:pPr>
    </w:p>
    <w:p w14:paraId="2F41D549" w14:textId="77777777" w:rsidR="00BA3D25" w:rsidRPr="00DB39D8" w:rsidRDefault="00BA3D25" w:rsidP="00DB39D8">
      <w:pPr>
        <w:jc w:val="center"/>
        <w:rPr>
          <w:rFonts w:ascii="Garamond" w:hAnsi="Garamond" w:cs="Arial"/>
          <w:sz w:val="22"/>
          <w:szCs w:val="22"/>
        </w:rPr>
      </w:pPr>
    </w:p>
    <w:p w14:paraId="5A232AB3" w14:textId="77777777" w:rsidR="00FD4494" w:rsidRPr="00DB39D8" w:rsidRDefault="005C1B7F" w:rsidP="00DB39D8">
      <w:pPr>
        <w:jc w:val="center"/>
        <w:rPr>
          <w:rFonts w:ascii="Garamond" w:hAnsi="Garamond" w:cs="Arial"/>
          <w:b/>
          <w:sz w:val="22"/>
          <w:szCs w:val="22"/>
        </w:rPr>
      </w:pPr>
      <w:r w:rsidRPr="00DB39D8">
        <w:rPr>
          <w:rFonts w:ascii="Garamond" w:hAnsi="Garamond" w:cs="Arial"/>
          <w:b/>
          <w:sz w:val="22"/>
          <w:szCs w:val="22"/>
        </w:rPr>
        <w:t>International Gay and Lesbian Human Rights C</w:t>
      </w:r>
      <w:r w:rsidR="00FD4494" w:rsidRPr="00DB39D8">
        <w:rPr>
          <w:rFonts w:ascii="Garamond" w:hAnsi="Garamond" w:cs="Arial"/>
          <w:b/>
          <w:sz w:val="22"/>
          <w:szCs w:val="22"/>
        </w:rPr>
        <w:t>ommission</w:t>
      </w:r>
    </w:p>
    <w:p w14:paraId="48C5FA58" w14:textId="453D63E5" w:rsidR="005A6292" w:rsidRDefault="00FD4494" w:rsidP="00DB39D8">
      <w:pPr>
        <w:jc w:val="center"/>
        <w:rPr>
          <w:rFonts w:ascii="Garamond" w:hAnsi="Garamond" w:cs="Arial"/>
          <w:sz w:val="22"/>
          <w:szCs w:val="22"/>
        </w:rPr>
      </w:pPr>
      <w:r w:rsidRPr="00DB39D8">
        <w:rPr>
          <w:rFonts w:ascii="Garamond" w:hAnsi="Garamond" w:cs="Arial"/>
          <w:sz w:val="22"/>
          <w:szCs w:val="22"/>
        </w:rPr>
        <w:t>http://www.iglhrc.org</w:t>
      </w:r>
    </w:p>
    <w:p w14:paraId="485D2781" w14:textId="26CE0E2C" w:rsidR="005C1B7F" w:rsidRDefault="005A6292" w:rsidP="00DB39D8">
      <w:pPr>
        <w:jc w:val="center"/>
        <w:rPr>
          <w:rFonts w:ascii="Garamond" w:hAnsi="Garamond" w:cs="Arial"/>
          <w:sz w:val="30"/>
          <w:szCs w:val="30"/>
        </w:rPr>
      </w:pPr>
      <w:r>
        <w:rPr>
          <w:rFonts w:ascii="Garamond" w:hAnsi="Garamond"/>
          <w:b/>
          <w:noProof/>
          <w:lang w:val="de-AT" w:eastAsia="de-AT"/>
        </w:rPr>
        <w:drawing>
          <wp:inline distT="0" distB="0" distL="0" distR="0" wp14:anchorId="2170C31A" wp14:editId="79504B10">
            <wp:extent cx="1143000" cy="753745"/>
            <wp:effectExtent l="0" t="0" r="0" b="8255"/>
            <wp:docPr id="10" name="Picture 10"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small"/>
                    <pic:cNvPicPr>
                      <a:picLocks noChangeAspect="1" noChangeArrowheads="1"/>
                    </pic:cNvPicPr>
                  </pic:nvPicPr>
                  <pic:blipFill>
                    <a:blip r:embed="rId14">
                      <a:extLst>
                        <a:ext uri="{28A0092B-C50C-407E-A947-70E740481C1C}">
                          <a14:useLocalDpi xmlns:a14="http://schemas.microsoft.com/office/drawing/2010/main" val="0"/>
                        </a:ext>
                      </a:extLst>
                    </a:blip>
                    <a:srcRect l="11250" t="9000" r="11250" b="9000"/>
                    <a:stretch>
                      <a:fillRect/>
                    </a:stretch>
                  </pic:blipFill>
                  <pic:spPr bwMode="auto">
                    <a:xfrm>
                      <a:off x="0" y="0"/>
                      <a:ext cx="1143710" cy="754213"/>
                    </a:xfrm>
                    <a:prstGeom prst="rect">
                      <a:avLst/>
                    </a:prstGeom>
                    <a:noFill/>
                    <a:ln>
                      <a:noFill/>
                    </a:ln>
                  </pic:spPr>
                </pic:pic>
              </a:graphicData>
            </a:graphic>
          </wp:inline>
        </w:drawing>
      </w:r>
      <w:r w:rsidR="005C1B7F">
        <w:rPr>
          <w:rFonts w:ascii="Garamond" w:hAnsi="Garamond" w:cs="Arial"/>
          <w:sz w:val="30"/>
          <w:szCs w:val="30"/>
        </w:rPr>
        <w:br w:type="page"/>
      </w:r>
    </w:p>
    <w:p w14:paraId="2F0F5598" w14:textId="5FF25585" w:rsidR="005A6292" w:rsidRPr="00C43D8D" w:rsidRDefault="00C43D8D" w:rsidP="008023C7">
      <w:pPr>
        <w:spacing w:line="360" w:lineRule="auto"/>
        <w:jc w:val="center"/>
        <w:rPr>
          <w:rFonts w:ascii="Garamond" w:hAnsi="Garamond" w:cs="Arial"/>
          <w:sz w:val="30"/>
          <w:szCs w:val="30"/>
          <w:u w:val="single"/>
        </w:rPr>
      </w:pPr>
      <w:r w:rsidRPr="00C43D8D">
        <w:rPr>
          <w:rFonts w:ascii="Garamond" w:hAnsi="Garamond" w:cs="Arial"/>
          <w:sz w:val="30"/>
          <w:szCs w:val="30"/>
          <w:u w:val="single"/>
        </w:rPr>
        <w:lastRenderedPageBreak/>
        <w:t>Table of Contents</w:t>
      </w:r>
    </w:p>
    <w:p w14:paraId="1B09027C" w14:textId="77777777" w:rsidR="00C43D8D" w:rsidRDefault="00C43D8D" w:rsidP="008023C7">
      <w:pPr>
        <w:spacing w:line="360" w:lineRule="auto"/>
        <w:jc w:val="both"/>
        <w:rPr>
          <w:rFonts w:ascii="Garamond" w:hAnsi="Garamond" w:cs="Arial"/>
          <w:sz w:val="30"/>
          <w:szCs w:val="30"/>
        </w:rPr>
      </w:pPr>
    </w:p>
    <w:p w14:paraId="77F72925" w14:textId="716C835B" w:rsidR="00C43D8D" w:rsidRDefault="00C43D8D" w:rsidP="008023C7">
      <w:pPr>
        <w:spacing w:line="360" w:lineRule="auto"/>
        <w:jc w:val="both"/>
        <w:rPr>
          <w:rFonts w:ascii="Garamond" w:hAnsi="Garamond" w:cs="Arial"/>
          <w:sz w:val="30"/>
          <w:szCs w:val="30"/>
        </w:rPr>
      </w:pPr>
      <w:r w:rsidRPr="008016B0">
        <w:rPr>
          <w:rFonts w:ascii="Garamond" w:hAnsi="Garamond" w:cs="Arial"/>
          <w:sz w:val="30"/>
          <w:szCs w:val="30"/>
        </w:rPr>
        <w:t>Article 2 &amp; 26: Right to Equal Protection &amp; Non-Discrimination</w:t>
      </w:r>
      <w:r w:rsidR="00447183">
        <w:rPr>
          <w:rFonts w:ascii="Garamond" w:hAnsi="Garamond" w:cs="Arial"/>
          <w:sz w:val="30"/>
          <w:szCs w:val="30"/>
        </w:rPr>
        <w:t>…………</w:t>
      </w:r>
      <w:r w:rsidR="002C69D8">
        <w:rPr>
          <w:rFonts w:ascii="Garamond" w:hAnsi="Garamond" w:cs="Arial"/>
          <w:sz w:val="30"/>
          <w:szCs w:val="30"/>
        </w:rPr>
        <w:t xml:space="preserve"> 2</w:t>
      </w:r>
    </w:p>
    <w:p w14:paraId="3B77B95D" w14:textId="1F1712A0" w:rsidR="00CD2346" w:rsidRDefault="00CD2346" w:rsidP="008023C7">
      <w:pPr>
        <w:spacing w:line="360" w:lineRule="auto"/>
        <w:jc w:val="both"/>
        <w:rPr>
          <w:rFonts w:ascii="Garamond" w:hAnsi="Garamond" w:cs="Arial"/>
          <w:sz w:val="30"/>
          <w:szCs w:val="30"/>
        </w:rPr>
      </w:pPr>
    </w:p>
    <w:p w14:paraId="53324D08" w14:textId="1BFA4ED4" w:rsidR="000D05A1" w:rsidRDefault="00447183" w:rsidP="008023C7">
      <w:pPr>
        <w:spacing w:line="360" w:lineRule="auto"/>
        <w:jc w:val="both"/>
        <w:rPr>
          <w:rFonts w:ascii="Garamond" w:hAnsi="Garamond" w:cs="Arial"/>
          <w:sz w:val="30"/>
          <w:szCs w:val="30"/>
        </w:rPr>
      </w:pPr>
      <w:r>
        <w:rPr>
          <w:rFonts w:ascii="Garamond" w:hAnsi="Garamond" w:cs="Arial"/>
          <w:sz w:val="30"/>
          <w:szCs w:val="30"/>
        </w:rPr>
        <w:t>Article 6: Right to Life………………………………..…………………</w:t>
      </w:r>
      <w:r w:rsidR="002C69D8">
        <w:rPr>
          <w:rFonts w:ascii="Garamond" w:hAnsi="Garamond" w:cs="Arial"/>
          <w:sz w:val="30"/>
          <w:szCs w:val="30"/>
        </w:rPr>
        <w:t>… 4</w:t>
      </w:r>
    </w:p>
    <w:p w14:paraId="4BC1FBA1" w14:textId="77777777" w:rsidR="000D05A1" w:rsidRDefault="000D05A1" w:rsidP="008023C7">
      <w:pPr>
        <w:spacing w:line="360" w:lineRule="auto"/>
        <w:jc w:val="both"/>
        <w:rPr>
          <w:rFonts w:ascii="Garamond" w:hAnsi="Garamond" w:cs="Arial"/>
          <w:sz w:val="30"/>
          <w:szCs w:val="30"/>
        </w:rPr>
      </w:pPr>
    </w:p>
    <w:p w14:paraId="05E72FDA" w14:textId="71A34F14" w:rsidR="00CD2346" w:rsidRDefault="00CD2346" w:rsidP="008023C7">
      <w:pPr>
        <w:spacing w:line="360" w:lineRule="auto"/>
        <w:jc w:val="both"/>
        <w:rPr>
          <w:rFonts w:ascii="Garamond" w:hAnsi="Garamond" w:cs="Arial"/>
          <w:sz w:val="30"/>
          <w:szCs w:val="30"/>
        </w:rPr>
      </w:pPr>
      <w:r w:rsidRPr="00BA59E9">
        <w:rPr>
          <w:rFonts w:ascii="Garamond" w:hAnsi="Garamond" w:cs="Arial"/>
          <w:sz w:val="30"/>
          <w:szCs w:val="30"/>
        </w:rPr>
        <w:t xml:space="preserve">Article 14: Freedom of Administration of Justice </w:t>
      </w:r>
      <w:r w:rsidR="00447183">
        <w:rPr>
          <w:rFonts w:ascii="Garamond" w:hAnsi="Garamond" w:cs="Arial"/>
          <w:sz w:val="30"/>
          <w:szCs w:val="30"/>
        </w:rPr>
        <w:t>………………………</w:t>
      </w:r>
      <w:r w:rsidR="00065FDB">
        <w:rPr>
          <w:rFonts w:ascii="Garamond" w:hAnsi="Garamond" w:cs="Arial"/>
          <w:sz w:val="30"/>
          <w:szCs w:val="30"/>
        </w:rPr>
        <w:t>….6</w:t>
      </w:r>
    </w:p>
    <w:p w14:paraId="5C4B15FE" w14:textId="77777777" w:rsidR="00447183" w:rsidRDefault="00447183" w:rsidP="008023C7">
      <w:pPr>
        <w:spacing w:line="360" w:lineRule="auto"/>
        <w:jc w:val="both"/>
        <w:rPr>
          <w:rFonts w:ascii="Garamond" w:hAnsi="Garamond" w:cs="Arial"/>
          <w:sz w:val="30"/>
          <w:szCs w:val="30"/>
        </w:rPr>
      </w:pPr>
    </w:p>
    <w:p w14:paraId="34BCDA68" w14:textId="08607948" w:rsidR="00CD2346" w:rsidRDefault="00CD2346" w:rsidP="008023C7">
      <w:pPr>
        <w:spacing w:line="360" w:lineRule="auto"/>
        <w:jc w:val="both"/>
        <w:rPr>
          <w:rFonts w:ascii="Garamond" w:hAnsi="Garamond" w:cs="Arial"/>
          <w:sz w:val="30"/>
          <w:szCs w:val="30"/>
        </w:rPr>
      </w:pPr>
      <w:r w:rsidRPr="00ED14BE">
        <w:rPr>
          <w:rFonts w:ascii="Garamond" w:hAnsi="Garamond" w:cs="Arial"/>
          <w:sz w:val="30"/>
          <w:szCs w:val="30"/>
        </w:rPr>
        <w:t>Article 18: Freedom of Religion &amp; Conscience</w:t>
      </w:r>
      <w:r w:rsidR="00447183">
        <w:rPr>
          <w:rFonts w:ascii="Garamond" w:hAnsi="Garamond" w:cs="Arial"/>
          <w:sz w:val="30"/>
          <w:szCs w:val="30"/>
        </w:rPr>
        <w:t>………………………</w:t>
      </w:r>
      <w:r w:rsidR="00065FDB">
        <w:rPr>
          <w:rFonts w:ascii="Garamond" w:hAnsi="Garamond" w:cs="Arial"/>
          <w:sz w:val="30"/>
          <w:szCs w:val="30"/>
        </w:rPr>
        <w:t>……. 7</w:t>
      </w:r>
    </w:p>
    <w:p w14:paraId="3395AF51" w14:textId="77777777" w:rsidR="008023C7" w:rsidRDefault="008023C7" w:rsidP="008023C7">
      <w:pPr>
        <w:spacing w:line="360" w:lineRule="auto"/>
        <w:rPr>
          <w:rFonts w:ascii="Garamond" w:hAnsi="Garamond" w:cs="Arial"/>
          <w:sz w:val="30"/>
          <w:szCs w:val="30"/>
        </w:rPr>
      </w:pPr>
    </w:p>
    <w:p w14:paraId="6068EF9A" w14:textId="52D8AC29" w:rsidR="00CD2346" w:rsidRDefault="00CD2346" w:rsidP="008023C7">
      <w:pPr>
        <w:spacing w:line="360" w:lineRule="auto"/>
        <w:rPr>
          <w:rFonts w:ascii="Garamond" w:hAnsi="Garamond" w:cs="Arial"/>
          <w:sz w:val="30"/>
          <w:szCs w:val="30"/>
        </w:rPr>
      </w:pPr>
      <w:r w:rsidRPr="00ED14BE">
        <w:rPr>
          <w:rFonts w:ascii="Garamond" w:hAnsi="Garamond" w:cs="Arial"/>
          <w:sz w:val="30"/>
          <w:szCs w:val="30"/>
        </w:rPr>
        <w:t>Article 19: Freedom of Expression/Opinion</w:t>
      </w:r>
      <w:r w:rsidR="00447183">
        <w:rPr>
          <w:rFonts w:ascii="Garamond" w:hAnsi="Garamond" w:cs="Arial"/>
          <w:sz w:val="30"/>
          <w:szCs w:val="30"/>
        </w:rPr>
        <w:t>…………………………</w:t>
      </w:r>
      <w:r w:rsidR="00065FDB">
        <w:rPr>
          <w:rFonts w:ascii="Garamond" w:hAnsi="Garamond" w:cs="Arial"/>
          <w:sz w:val="30"/>
          <w:szCs w:val="30"/>
        </w:rPr>
        <w:t>……8</w:t>
      </w:r>
      <w:r w:rsidR="00367303">
        <w:rPr>
          <w:rFonts w:ascii="Garamond" w:hAnsi="Garamond" w:cs="Arial"/>
          <w:sz w:val="30"/>
          <w:szCs w:val="30"/>
        </w:rPr>
        <w:softHyphen/>
      </w:r>
      <w:r w:rsidR="00367303">
        <w:rPr>
          <w:rFonts w:ascii="Garamond" w:hAnsi="Garamond" w:cs="Arial"/>
          <w:sz w:val="30"/>
          <w:szCs w:val="30"/>
        </w:rPr>
        <w:softHyphen/>
      </w:r>
      <w:r w:rsidR="00367303">
        <w:rPr>
          <w:rFonts w:ascii="Garamond" w:hAnsi="Garamond" w:cs="Arial"/>
          <w:sz w:val="30"/>
          <w:szCs w:val="30"/>
        </w:rPr>
        <w:softHyphen/>
      </w:r>
    </w:p>
    <w:p w14:paraId="586925DF" w14:textId="28910C7C" w:rsidR="00042FD4" w:rsidRPr="008023C7" w:rsidRDefault="008023C7" w:rsidP="008023C7">
      <w:pPr>
        <w:spacing w:line="360" w:lineRule="auto"/>
        <w:rPr>
          <w:rFonts w:ascii="Garamond" w:hAnsi="Garamond" w:cs="Arial"/>
          <w:sz w:val="30"/>
          <w:szCs w:val="30"/>
          <w:vertAlign w:val="subscript"/>
        </w:rPr>
      </w:pPr>
      <w:r>
        <w:rPr>
          <w:rFonts w:ascii="Garamond" w:hAnsi="Garamond" w:cs="Arial"/>
          <w:sz w:val="30"/>
          <w:szCs w:val="30"/>
        </w:rPr>
        <w:softHyphen/>
      </w:r>
    </w:p>
    <w:p w14:paraId="4515471C" w14:textId="63CA4EC4" w:rsidR="00CD2346" w:rsidRPr="00ED14BE" w:rsidRDefault="00CD2346" w:rsidP="008023C7">
      <w:pPr>
        <w:spacing w:line="360" w:lineRule="auto"/>
        <w:rPr>
          <w:rFonts w:ascii="Garamond" w:hAnsi="Garamond" w:cs="Arial"/>
          <w:sz w:val="30"/>
          <w:szCs w:val="30"/>
        </w:rPr>
      </w:pPr>
      <w:r w:rsidRPr="0071242F">
        <w:rPr>
          <w:rFonts w:ascii="Garamond" w:hAnsi="Garamond" w:cs="Arial"/>
          <w:sz w:val="30"/>
          <w:szCs w:val="30"/>
        </w:rPr>
        <w:t xml:space="preserve">Article 3, 6 </w:t>
      </w:r>
      <w:r w:rsidR="009C7362">
        <w:rPr>
          <w:rFonts w:ascii="Garamond" w:hAnsi="Garamond" w:cs="Arial"/>
          <w:sz w:val="30"/>
          <w:szCs w:val="30"/>
        </w:rPr>
        <w:t>&amp;</w:t>
      </w:r>
      <w:r w:rsidR="009C7362" w:rsidRPr="0071242F">
        <w:rPr>
          <w:rFonts w:ascii="Garamond" w:hAnsi="Garamond" w:cs="Arial"/>
          <w:sz w:val="30"/>
          <w:szCs w:val="30"/>
        </w:rPr>
        <w:t xml:space="preserve"> </w:t>
      </w:r>
      <w:r w:rsidRPr="0071242F">
        <w:rPr>
          <w:rFonts w:ascii="Garamond" w:hAnsi="Garamond" w:cs="Arial"/>
          <w:sz w:val="30"/>
          <w:szCs w:val="30"/>
        </w:rPr>
        <w:t>7</w:t>
      </w:r>
      <w:r>
        <w:rPr>
          <w:rFonts w:ascii="Garamond" w:hAnsi="Garamond" w:cs="Arial"/>
          <w:sz w:val="30"/>
          <w:szCs w:val="30"/>
        </w:rPr>
        <w:t xml:space="preserve">: Right to Equal Treatment, Life &amp; </w:t>
      </w:r>
      <w:r w:rsidR="009C7362">
        <w:rPr>
          <w:rFonts w:ascii="Garamond" w:hAnsi="Garamond" w:cs="Arial"/>
          <w:sz w:val="30"/>
          <w:szCs w:val="30"/>
        </w:rPr>
        <w:t xml:space="preserve">Prohibition of </w:t>
      </w:r>
      <w:r>
        <w:rPr>
          <w:rFonts w:ascii="Garamond" w:hAnsi="Garamond" w:cs="Arial"/>
          <w:sz w:val="30"/>
          <w:szCs w:val="30"/>
        </w:rPr>
        <w:t>Torture</w:t>
      </w:r>
      <w:r w:rsidR="00447183">
        <w:rPr>
          <w:rFonts w:ascii="Garamond" w:hAnsi="Garamond" w:cs="Arial"/>
          <w:sz w:val="30"/>
          <w:szCs w:val="30"/>
        </w:rPr>
        <w:t>....</w:t>
      </w:r>
      <w:r w:rsidR="00065FDB">
        <w:rPr>
          <w:rFonts w:ascii="Garamond" w:hAnsi="Garamond" w:cs="Arial"/>
          <w:sz w:val="30"/>
          <w:szCs w:val="30"/>
        </w:rPr>
        <w:t xml:space="preserve"> 10</w:t>
      </w:r>
    </w:p>
    <w:p w14:paraId="5300501A" w14:textId="77777777" w:rsidR="00CD2346" w:rsidRDefault="00CD2346" w:rsidP="00CD2346">
      <w:pPr>
        <w:jc w:val="both"/>
        <w:rPr>
          <w:rFonts w:ascii="Garamond" w:hAnsi="Garamond" w:cs="Arial"/>
          <w:sz w:val="30"/>
          <w:szCs w:val="30"/>
        </w:rPr>
      </w:pPr>
    </w:p>
    <w:p w14:paraId="4E0DC937" w14:textId="77777777" w:rsidR="00CD2346" w:rsidRPr="00ED14BE" w:rsidRDefault="00CD2346" w:rsidP="00CD2346">
      <w:pPr>
        <w:jc w:val="both"/>
        <w:rPr>
          <w:rFonts w:ascii="Garamond" w:hAnsi="Garamond" w:cs="Arial"/>
          <w:sz w:val="30"/>
          <w:szCs w:val="30"/>
        </w:rPr>
      </w:pPr>
    </w:p>
    <w:p w14:paraId="67C12920" w14:textId="77777777" w:rsidR="00CD2346" w:rsidRPr="00BA59E9" w:rsidRDefault="00CD2346" w:rsidP="00CD2346">
      <w:pPr>
        <w:spacing w:line="360" w:lineRule="auto"/>
        <w:jc w:val="both"/>
        <w:rPr>
          <w:rFonts w:ascii="Garamond" w:hAnsi="Garamond" w:cs="Arial"/>
          <w:sz w:val="30"/>
          <w:szCs w:val="30"/>
        </w:rPr>
      </w:pPr>
    </w:p>
    <w:p w14:paraId="56463E9C" w14:textId="77777777" w:rsidR="00C43D8D" w:rsidRDefault="00C43D8D">
      <w:pPr>
        <w:rPr>
          <w:rFonts w:ascii="Garamond" w:hAnsi="Garamond" w:cs="Arial"/>
          <w:sz w:val="30"/>
          <w:szCs w:val="30"/>
        </w:rPr>
      </w:pPr>
      <w:r>
        <w:rPr>
          <w:rFonts w:ascii="Garamond" w:hAnsi="Garamond" w:cs="Arial"/>
          <w:sz w:val="30"/>
          <w:szCs w:val="30"/>
        </w:rPr>
        <w:br w:type="page"/>
      </w:r>
    </w:p>
    <w:p w14:paraId="280D0D8F" w14:textId="75A0E619" w:rsidR="00065FDB" w:rsidRDefault="00065FDB" w:rsidP="008016B0">
      <w:pPr>
        <w:spacing w:line="360" w:lineRule="auto"/>
        <w:jc w:val="both"/>
        <w:rPr>
          <w:rFonts w:ascii="Garamond" w:hAnsi="Garamond" w:cs="Arial"/>
          <w:b/>
          <w:sz w:val="30"/>
          <w:szCs w:val="30"/>
        </w:rPr>
      </w:pPr>
      <w:r>
        <w:rPr>
          <w:rFonts w:ascii="Garamond" w:hAnsi="Garamond" w:cs="Arial"/>
          <w:b/>
          <w:sz w:val="30"/>
          <w:szCs w:val="30"/>
        </w:rPr>
        <w:lastRenderedPageBreak/>
        <w:t>Introduction</w:t>
      </w:r>
    </w:p>
    <w:p w14:paraId="38A8468B" w14:textId="77777777" w:rsidR="00065FDB" w:rsidRDefault="00065FDB" w:rsidP="008016B0">
      <w:pPr>
        <w:spacing w:line="360" w:lineRule="auto"/>
        <w:jc w:val="both"/>
        <w:rPr>
          <w:rFonts w:ascii="Garamond" w:hAnsi="Garamond" w:cs="Arial"/>
        </w:rPr>
      </w:pPr>
    </w:p>
    <w:p w14:paraId="55F3FE76" w14:textId="602ECC7A" w:rsidR="000939DD" w:rsidRDefault="000939DD" w:rsidP="008016B0">
      <w:pPr>
        <w:spacing w:line="360" w:lineRule="auto"/>
        <w:jc w:val="both"/>
        <w:rPr>
          <w:rFonts w:ascii="Garamond" w:hAnsi="Garamond" w:cs="Arial"/>
        </w:rPr>
      </w:pPr>
      <w:r>
        <w:rPr>
          <w:rFonts w:ascii="Garamond" w:hAnsi="Garamond" w:cs="Arial"/>
        </w:rPr>
        <w:t>The International Covenant on Civil and Political Rights (ICCPR) recognizes the right to be protected from violence and discrimination for all people.  Malawi is a country where violence and fear increasing pervades all areas of society and deprives many of its citizens from accessing th</w:t>
      </w:r>
      <w:r w:rsidR="00065FDB">
        <w:rPr>
          <w:rFonts w:ascii="Garamond" w:hAnsi="Garamond" w:cs="Arial"/>
        </w:rPr>
        <w:t xml:space="preserve">eir rights under the Covenant.  This report is intended to underscore some of the most grievous violations and we urge the State to address them. </w:t>
      </w:r>
    </w:p>
    <w:p w14:paraId="5AAC6ABD" w14:textId="77777777" w:rsidR="000939DD" w:rsidRDefault="000939DD" w:rsidP="008016B0">
      <w:pPr>
        <w:spacing w:line="360" w:lineRule="auto"/>
        <w:jc w:val="both"/>
        <w:rPr>
          <w:rFonts w:ascii="Garamond" w:hAnsi="Garamond" w:cs="Arial"/>
        </w:rPr>
      </w:pPr>
    </w:p>
    <w:p w14:paraId="3DBD378B" w14:textId="34AE6812" w:rsidR="000939DD" w:rsidRPr="000939DD" w:rsidRDefault="000939DD" w:rsidP="008016B0">
      <w:pPr>
        <w:spacing w:line="360" w:lineRule="auto"/>
        <w:jc w:val="both"/>
        <w:rPr>
          <w:rFonts w:ascii="Garamond" w:hAnsi="Garamond" w:cs="Arial"/>
        </w:rPr>
      </w:pPr>
      <w:r w:rsidRPr="000939DD">
        <w:rPr>
          <w:rFonts w:ascii="Garamond" w:hAnsi="Garamond" w:cs="Arial"/>
        </w:rPr>
        <w:t>The authors</w:t>
      </w:r>
      <w:r>
        <w:rPr>
          <w:rFonts w:ascii="Garamond" w:hAnsi="Garamond" w:cs="Arial"/>
        </w:rPr>
        <w:t xml:space="preserve"> would like to point out the need to address egregious human rights violations committed against women which needs more attention than this submission can submit.  The lack of information available regarding</w:t>
      </w:r>
      <w:r w:rsidR="00065FDB">
        <w:rPr>
          <w:rFonts w:ascii="Garamond" w:hAnsi="Garamond" w:cs="Arial"/>
        </w:rPr>
        <w:t xml:space="preserve"> the</w:t>
      </w:r>
      <w:r>
        <w:rPr>
          <w:rFonts w:ascii="Garamond" w:hAnsi="Garamond" w:cs="Arial"/>
        </w:rPr>
        <w:t xml:space="preserve"> violations of human rights of women in Malawi is a symptom </w:t>
      </w:r>
      <w:r w:rsidR="00065FDB">
        <w:rPr>
          <w:rFonts w:ascii="Garamond" w:hAnsi="Garamond" w:cs="Arial"/>
        </w:rPr>
        <w:t>how they are systematically repressed and disenfranchised</w:t>
      </w:r>
      <w:r>
        <w:rPr>
          <w:rFonts w:ascii="Garamond" w:hAnsi="Garamond" w:cs="Arial"/>
        </w:rPr>
        <w:t xml:space="preserve">.  </w:t>
      </w:r>
      <w:r w:rsidRPr="000939DD">
        <w:rPr>
          <w:rFonts w:ascii="Garamond" w:hAnsi="Garamond" w:cs="Arial"/>
        </w:rPr>
        <w:t xml:space="preserve">We would urge the members of the HRC to specifically question the state of Malawi about women’s access to education, employment, healthcare and overall standards of </w:t>
      </w:r>
      <w:r w:rsidR="00065FDB" w:rsidRPr="000939DD">
        <w:rPr>
          <w:rFonts w:ascii="Garamond" w:hAnsi="Garamond" w:cs="Arial"/>
        </w:rPr>
        <w:t>well being</w:t>
      </w:r>
      <w:r w:rsidRPr="000939DD">
        <w:rPr>
          <w:rFonts w:ascii="Garamond" w:hAnsi="Garamond" w:cs="Arial"/>
        </w:rPr>
        <w:t xml:space="preserve">.  </w:t>
      </w:r>
    </w:p>
    <w:p w14:paraId="0CD104A4" w14:textId="77777777" w:rsidR="000939DD" w:rsidRDefault="000939DD" w:rsidP="008016B0">
      <w:pPr>
        <w:spacing w:line="360" w:lineRule="auto"/>
        <w:jc w:val="both"/>
        <w:rPr>
          <w:rFonts w:ascii="Garamond" w:hAnsi="Garamond" w:cs="Arial"/>
          <w:b/>
          <w:sz w:val="30"/>
          <w:szCs w:val="30"/>
        </w:rPr>
      </w:pPr>
    </w:p>
    <w:p w14:paraId="294DDFF5" w14:textId="7F64BA26" w:rsidR="004F1C2F" w:rsidRPr="002C69D8" w:rsidRDefault="004F1C2F" w:rsidP="008016B0">
      <w:pPr>
        <w:spacing w:line="360" w:lineRule="auto"/>
        <w:jc w:val="both"/>
        <w:rPr>
          <w:rFonts w:ascii="Garamond" w:hAnsi="Garamond" w:cs="Arial"/>
          <w:b/>
          <w:sz w:val="30"/>
          <w:szCs w:val="30"/>
        </w:rPr>
      </w:pPr>
      <w:r w:rsidRPr="002C69D8">
        <w:rPr>
          <w:rFonts w:ascii="Garamond" w:hAnsi="Garamond" w:cs="Arial"/>
          <w:b/>
          <w:sz w:val="30"/>
          <w:szCs w:val="30"/>
        </w:rPr>
        <w:t xml:space="preserve">Article 2 &amp; 26: Right to Equal Protection &amp; Non-Discrimination </w:t>
      </w:r>
    </w:p>
    <w:p w14:paraId="2B95835C" w14:textId="77777777" w:rsidR="00002C3F" w:rsidRPr="008016B0" w:rsidRDefault="00002C3F" w:rsidP="008016B0">
      <w:pPr>
        <w:spacing w:line="360" w:lineRule="auto"/>
        <w:jc w:val="both"/>
        <w:rPr>
          <w:rFonts w:ascii="Garamond" w:hAnsi="Garamond" w:cs="Arial"/>
        </w:rPr>
      </w:pPr>
    </w:p>
    <w:p w14:paraId="3E815D2A" w14:textId="2CE4A2D0" w:rsidR="00170D50" w:rsidRPr="008016B0" w:rsidRDefault="00170D50" w:rsidP="008016B0">
      <w:pPr>
        <w:spacing w:line="360" w:lineRule="auto"/>
        <w:jc w:val="both"/>
        <w:rPr>
          <w:rFonts w:ascii="Garamond" w:hAnsi="Garamond"/>
        </w:rPr>
      </w:pPr>
      <w:r w:rsidRPr="008016B0">
        <w:rPr>
          <w:rFonts w:ascii="Garamond" w:hAnsi="Garamond"/>
        </w:rPr>
        <w:t>Articles 2(1), 3 and 26 of the Covenant provide for the respect, equality and non</w:t>
      </w:r>
      <w:r w:rsidR="008023C7">
        <w:rPr>
          <w:rFonts w:ascii="Garamond" w:hAnsi="Garamond"/>
        </w:rPr>
        <w:t>-</w:t>
      </w:r>
      <w:r w:rsidRPr="008016B0">
        <w:rPr>
          <w:rFonts w:ascii="Garamond" w:hAnsi="Garamond"/>
        </w:rPr>
        <w:t xml:space="preserve">discrimination of all individuals on the grounds of, inter alia, race, color and sex. For nearly two decades the Committee has recognized not only that the reference to “sex” in Articles 2(1) and 26 must be </w:t>
      </w:r>
      <w:r w:rsidR="0065128F">
        <w:rPr>
          <w:rFonts w:ascii="Garamond" w:hAnsi="Garamond"/>
        </w:rPr>
        <w:t>understood</w:t>
      </w:r>
      <w:r w:rsidRPr="008016B0">
        <w:rPr>
          <w:rFonts w:ascii="Garamond" w:hAnsi="Garamond"/>
        </w:rPr>
        <w:t xml:space="preserve"> to include sexual orientation, but also that laws which criminalize consensual homosexual acts expressly violate the privacy protections of Article 17.</w:t>
      </w:r>
      <w:r w:rsidRPr="008016B0">
        <w:rPr>
          <w:rStyle w:val="Funotenzeichen"/>
          <w:rFonts w:ascii="Garamond" w:hAnsi="Garamond"/>
        </w:rPr>
        <w:footnoteReference w:id="1"/>
      </w:r>
      <w:r w:rsidRPr="008016B0">
        <w:rPr>
          <w:rFonts w:ascii="Garamond" w:hAnsi="Garamond"/>
        </w:rPr>
        <w:t xml:space="preserve"> </w:t>
      </w:r>
    </w:p>
    <w:p w14:paraId="032889A9" w14:textId="77777777" w:rsidR="00170D50" w:rsidRPr="008016B0" w:rsidRDefault="00170D50" w:rsidP="008016B0">
      <w:pPr>
        <w:spacing w:line="360" w:lineRule="auto"/>
        <w:jc w:val="both"/>
        <w:rPr>
          <w:rFonts w:ascii="Garamond" w:hAnsi="Garamond" w:cs="Arial"/>
        </w:rPr>
      </w:pPr>
    </w:p>
    <w:p w14:paraId="18DD50B3" w14:textId="63939516" w:rsidR="00170D50" w:rsidRPr="008016B0" w:rsidRDefault="00170D50" w:rsidP="008016B0">
      <w:pPr>
        <w:spacing w:line="360" w:lineRule="auto"/>
        <w:jc w:val="both"/>
        <w:rPr>
          <w:rFonts w:ascii="Garamond" w:hAnsi="Garamond"/>
        </w:rPr>
      </w:pPr>
      <w:r w:rsidRPr="008016B0">
        <w:rPr>
          <w:rFonts w:ascii="Garamond" w:hAnsi="Garamond"/>
        </w:rPr>
        <w:t>The Committee has been equally strong in expressing its concern for the unequal treatment of women.</w:t>
      </w:r>
      <w:r w:rsidRPr="008016B0">
        <w:rPr>
          <w:rStyle w:val="Funotenzeichen"/>
          <w:rFonts w:ascii="Garamond" w:hAnsi="Garamond"/>
        </w:rPr>
        <w:footnoteReference w:id="2"/>
      </w:r>
      <w:r w:rsidRPr="008016B0">
        <w:rPr>
          <w:rFonts w:ascii="Garamond" w:hAnsi="Garamond"/>
        </w:rPr>
        <w:t xml:space="preserve"> In its General Comments on Article 3, the Committee stated that countries have a duty </w:t>
      </w:r>
      <w:r w:rsidR="0065128F">
        <w:rPr>
          <w:rFonts w:ascii="Garamond" w:hAnsi="Garamond"/>
        </w:rPr>
        <w:t>t</w:t>
      </w:r>
      <w:r w:rsidRPr="008016B0">
        <w:rPr>
          <w:rFonts w:ascii="Garamond" w:hAnsi="Garamond"/>
        </w:rPr>
        <w:t>o adopt measures of protection</w:t>
      </w:r>
      <w:r w:rsidR="0065128F">
        <w:rPr>
          <w:rFonts w:ascii="Garamond" w:hAnsi="Garamond"/>
        </w:rPr>
        <w:t xml:space="preserve"> for women as well as </w:t>
      </w:r>
      <w:r w:rsidRPr="008016B0">
        <w:rPr>
          <w:rFonts w:ascii="Garamond" w:hAnsi="Garamond"/>
        </w:rPr>
        <w:t>take positive steps in all areas “to achieve the effective and equal empowerment of women.</w:t>
      </w:r>
      <w:r w:rsidRPr="008016B0">
        <w:rPr>
          <w:rStyle w:val="Funotenzeichen"/>
          <w:rFonts w:ascii="Garamond" w:hAnsi="Garamond"/>
        </w:rPr>
        <w:footnoteReference w:id="3"/>
      </w:r>
      <w:r w:rsidRPr="008016B0">
        <w:rPr>
          <w:rFonts w:ascii="Garamond" w:hAnsi="Garamond"/>
        </w:rPr>
        <w:t xml:space="preserve"> </w:t>
      </w:r>
    </w:p>
    <w:p w14:paraId="58B4D4DD" w14:textId="77777777" w:rsidR="00002C3F" w:rsidRPr="00ED14BE" w:rsidRDefault="00002C3F" w:rsidP="00002C3F">
      <w:pPr>
        <w:spacing w:line="360" w:lineRule="auto"/>
        <w:jc w:val="both"/>
        <w:rPr>
          <w:rFonts w:ascii="Garamond" w:hAnsi="Garamond" w:cs="Arial"/>
        </w:rPr>
      </w:pPr>
    </w:p>
    <w:p w14:paraId="2C56F48F" w14:textId="3E08A005" w:rsidR="00002C3F" w:rsidRPr="00ED14BE" w:rsidRDefault="009209BC" w:rsidP="00002C3F">
      <w:pPr>
        <w:spacing w:line="360" w:lineRule="auto"/>
        <w:jc w:val="both"/>
        <w:rPr>
          <w:rFonts w:ascii="Garamond" w:hAnsi="Garamond" w:cs="Arial"/>
        </w:rPr>
      </w:pPr>
      <w:r>
        <w:rPr>
          <w:rFonts w:ascii="Garamond" w:hAnsi="Garamond" w:cs="Arial"/>
        </w:rPr>
        <w:t>The Constitution of Malawi does not include</w:t>
      </w:r>
      <w:r w:rsidR="008023C7">
        <w:rPr>
          <w:rFonts w:ascii="Garamond" w:hAnsi="Garamond" w:cs="Arial"/>
        </w:rPr>
        <w:t xml:space="preserve"> </w:t>
      </w:r>
      <w:r w:rsidR="00002C3F" w:rsidRPr="00ED14BE">
        <w:rPr>
          <w:rFonts w:ascii="Garamond" w:hAnsi="Garamond" w:cs="Arial"/>
        </w:rPr>
        <w:t xml:space="preserve">sexual orientation </w:t>
      </w:r>
      <w:r>
        <w:rPr>
          <w:rFonts w:ascii="Garamond" w:hAnsi="Garamond" w:cs="Arial"/>
        </w:rPr>
        <w:t xml:space="preserve">among the named suspect classes in Section 20(1) to be guaranteed equal and effective protection from discrimination. Not only does the Constitution not guarantee equal protection and non-discrimination on the basis of sexual orientation, but </w:t>
      </w:r>
      <w:r w:rsidR="00002C3F" w:rsidRPr="00ED14BE">
        <w:rPr>
          <w:rFonts w:ascii="Garamond" w:hAnsi="Garamond" w:cs="Arial"/>
        </w:rPr>
        <w:t>sections of the Penal Code</w:t>
      </w:r>
      <w:r>
        <w:rPr>
          <w:rFonts w:ascii="Garamond" w:hAnsi="Garamond" w:cs="Arial"/>
        </w:rPr>
        <w:t xml:space="preserve"> in Malawi actually</w:t>
      </w:r>
      <w:r w:rsidR="00002C3F" w:rsidRPr="00ED14BE">
        <w:rPr>
          <w:rFonts w:ascii="Garamond" w:hAnsi="Garamond" w:cs="Arial"/>
        </w:rPr>
        <w:t xml:space="preserve"> </w:t>
      </w:r>
      <w:proofErr w:type="spellStart"/>
      <w:r w:rsidR="00002C3F" w:rsidRPr="00ED14BE">
        <w:rPr>
          <w:rFonts w:ascii="Garamond" w:hAnsi="Garamond" w:cs="Arial"/>
        </w:rPr>
        <w:t>criminalise</w:t>
      </w:r>
      <w:proofErr w:type="spellEnd"/>
      <w:r w:rsidR="00002C3F" w:rsidRPr="00ED14BE">
        <w:rPr>
          <w:rFonts w:ascii="Garamond" w:hAnsi="Garamond" w:cs="Arial"/>
        </w:rPr>
        <w:t xml:space="preserve"> homosexual </w:t>
      </w:r>
      <w:r>
        <w:rPr>
          <w:rFonts w:ascii="Garamond" w:hAnsi="Garamond" w:cs="Arial"/>
        </w:rPr>
        <w:t>activity</w:t>
      </w:r>
      <w:r w:rsidR="00002C3F" w:rsidRPr="00ED14BE">
        <w:rPr>
          <w:rFonts w:ascii="Garamond" w:hAnsi="Garamond" w:cs="Arial"/>
        </w:rPr>
        <w:t xml:space="preserve">. </w:t>
      </w:r>
      <w:r w:rsidR="0045606C" w:rsidRPr="0045606C">
        <w:rPr>
          <w:rFonts w:ascii="Garamond" w:hAnsi="Garamond" w:cs="Arial"/>
        </w:rPr>
        <w:t>Sections 137A, 153 and 156 of the Penal Code of Malawi</w:t>
      </w:r>
      <w:r w:rsidR="00E81123">
        <w:rPr>
          <w:rFonts w:ascii="Garamond" w:hAnsi="Garamond" w:cs="Arial"/>
        </w:rPr>
        <w:t xml:space="preserve"> </w:t>
      </w:r>
      <w:proofErr w:type="spellStart"/>
      <w:r>
        <w:rPr>
          <w:rFonts w:ascii="Garamond" w:hAnsi="Garamond" w:cs="Arial"/>
        </w:rPr>
        <w:t>criminalis</w:t>
      </w:r>
      <w:r w:rsidR="0045606C" w:rsidRPr="0045606C">
        <w:rPr>
          <w:rFonts w:ascii="Garamond" w:hAnsi="Garamond" w:cs="Arial"/>
        </w:rPr>
        <w:t>e</w:t>
      </w:r>
      <w:proofErr w:type="spellEnd"/>
      <w:r w:rsidR="0045606C" w:rsidRPr="0045606C">
        <w:rPr>
          <w:rFonts w:ascii="Garamond" w:hAnsi="Garamond" w:cs="Arial"/>
        </w:rPr>
        <w:t xml:space="preserve"> consensual sexual activity between individuals of the same sex with penalties ranging up to fourteen years</w:t>
      </w:r>
      <w:r w:rsidR="009C7362">
        <w:rPr>
          <w:rFonts w:ascii="Garamond" w:hAnsi="Garamond" w:cs="Arial"/>
        </w:rPr>
        <w:t>’ imprisonment</w:t>
      </w:r>
      <w:r w:rsidR="0045606C" w:rsidRPr="0045606C">
        <w:rPr>
          <w:rFonts w:ascii="Garamond" w:hAnsi="Garamond" w:cs="Arial"/>
        </w:rPr>
        <w:t xml:space="preserve"> and the </w:t>
      </w:r>
      <w:r w:rsidR="00E81123">
        <w:rPr>
          <w:rFonts w:ascii="Garamond" w:hAnsi="Garamond" w:cs="Arial"/>
        </w:rPr>
        <w:t xml:space="preserve">potential for </w:t>
      </w:r>
      <w:r w:rsidR="0045606C" w:rsidRPr="0045606C">
        <w:rPr>
          <w:rFonts w:ascii="Garamond" w:hAnsi="Garamond" w:cs="Arial"/>
        </w:rPr>
        <w:t>corporal</w:t>
      </w:r>
      <w:r w:rsidR="0045606C">
        <w:rPr>
          <w:rFonts w:ascii="Garamond" w:hAnsi="Garamond" w:cs="Arial"/>
        </w:rPr>
        <w:t xml:space="preserve"> punishment.</w:t>
      </w:r>
      <w:r w:rsidR="004F1B49" w:rsidRPr="004F1B49">
        <w:rPr>
          <w:rFonts w:ascii="Garamond" w:hAnsi="Garamond" w:cs="Arial"/>
          <w:vertAlign w:val="superscript"/>
        </w:rPr>
        <w:footnoteReference w:id="4"/>
      </w:r>
      <w:r w:rsidR="004F1B49">
        <w:rPr>
          <w:rFonts w:ascii="Garamond" w:hAnsi="Garamond" w:cs="Arial"/>
        </w:rPr>
        <w:t xml:space="preserve"> </w:t>
      </w:r>
      <w:proofErr w:type="spellStart"/>
      <w:r w:rsidR="00002C3F" w:rsidRPr="00ED14BE">
        <w:rPr>
          <w:rFonts w:ascii="Garamond" w:hAnsi="Garamond" w:cs="Arial"/>
        </w:rPr>
        <w:t>Criminalisation</w:t>
      </w:r>
      <w:proofErr w:type="spellEnd"/>
      <w:r w:rsidR="00002C3F" w:rsidRPr="00ED14BE">
        <w:rPr>
          <w:rFonts w:ascii="Garamond" w:hAnsi="Garamond" w:cs="Arial"/>
        </w:rPr>
        <w:t xml:space="preserve"> of homosexual practices </w:t>
      </w:r>
      <w:r w:rsidR="0065128F">
        <w:rPr>
          <w:rFonts w:ascii="Garamond" w:hAnsi="Garamond" w:cs="Arial"/>
        </w:rPr>
        <w:t>has the affect of</w:t>
      </w:r>
      <w:r w:rsidR="00002C3F" w:rsidRPr="00ED14BE">
        <w:rPr>
          <w:rFonts w:ascii="Garamond" w:hAnsi="Garamond" w:cs="Arial"/>
        </w:rPr>
        <w:t xml:space="preserve"> driv</w:t>
      </w:r>
      <w:r w:rsidR="0065128F">
        <w:rPr>
          <w:rFonts w:ascii="Garamond" w:hAnsi="Garamond" w:cs="Arial"/>
        </w:rPr>
        <w:t>ing</w:t>
      </w:r>
      <w:r w:rsidR="00002C3F" w:rsidRPr="00ED14BE">
        <w:rPr>
          <w:rFonts w:ascii="Garamond" w:hAnsi="Garamond" w:cs="Arial"/>
        </w:rPr>
        <w:t xml:space="preserve"> gay persons underground</w:t>
      </w:r>
      <w:r w:rsidR="00E81123">
        <w:rPr>
          <w:rFonts w:ascii="Garamond" w:hAnsi="Garamond" w:cs="Arial"/>
        </w:rPr>
        <w:t>,</w:t>
      </w:r>
      <w:r w:rsidR="00002C3F" w:rsidRPr="00ED14BE">
        <w:rPr>
          <w:rFonts w:ascii="Garamond" w:hAnsi="Garamond" w:cs="Arial"/>
        </w:rPr>
        <w:t xml:space="preserve"> </w:t>
      </w:r>
      <w:r>
        <w:rPr>
          <w:rFonts w:ascii="Garamond" w:hAnsi="Garamond" w:cs="Arial"/>
        </w:rPr>
        <w:t>making</w:t>
      </w:r>
      <w:r w:rsidR="00002C3F" w:rsidRPr="00ED14BE">
        <w:rPr>
          <w:rFonts w:ascii="Garamond" w:hAnsi="Garamond" w:cs="Arial"/>
        </w:rPr>
        <w:t xml:space="preserve"> it difficult for </w:t>
      </w:r>
      <w:r>
        <w:rPr>
          <w:rFonts w:ascii="Garamond" w:hAnsi="Garamond" w:cs="Arial"/>
        </w:rPr>
        <w:t>many</w:t>
      </w:r>
      <w:r w:rsidR="00002C3F" w:rsidRPr="00ED14BE">
        <w:rPr>
          <w:rFonts w:ascii="Garamond" w:hAnsi="Garamond" w:cs="Arial"/>
        </w:rPr>
        <w:t xml:space="preserve"> to access healthcare services. </w:t>
      </w:r>
      <w:r w:rsidR="00111416">
        <w:rPr>
          <w:rFonts w:ascii="Garamond" w:hAnsi="Garamond" w:cs="Arial"/>
        </w:rPr>
        <w:t>In</w:t>
      </w:r>
      <w:r w:rsidR="004F1B49">
        <w:rPr>
          <w:rFonts w:ascii="Garamond" w:hAnsi="Garamond" w:cs="Arial"/>
        </w:rPr>
        <w:t xml:space="preserve"> fact, in</w:t>
      </w:r>
      <w:r w:rsidR="00111416">
        <w:rPr>
          <w:rFonts w:ascii="Garamond" w:hAnsi="Garamond" w:cs="Arial"/>
        </w:rPr>
        <w:t xml:space="preserve"> its report to the Human Rights </w:t>
      </w:r>
      <w:r>
        <w:rPr>
          <w:rFonts w:ascii="Garamond" w:hAnsi="Garamond" w:cs="Arial"/>
        </w:rPr>
        <w:t>Committee</w:t>
      </w:r>
      <w:r w:rsidR="00111416">
        <w:rPr>
          <w:rFonts w:ascii="Garamond" w:hAnsi="Garamond" w:cs="Arial"/>
        </w:rPr>
        <w:t>, t</w:t>
      </w:r>
      <w:r w:rsidR="00DC1038" w:rsidRPr="00ED14BE">
        <w:rPr>
          <w:rFonts w:ascii="Garamond" w:hAnsi="Garamond" w:cs="Arial"/>
        </w:rPr>
        <w:t xml:space="preserve">he government of Malawi </w:t>
      </w:r>
      <w:proofErr w:type="spellStart"/>
      <w:r w:rsidR="00D90069">
        <w:rPr>
          <w:rFonts w:ascii="Garamond" w:hAnsi="Garamond" w:cs="Arial"/>
        </w:rPr>
        <w:t>recogni</w:t>
      </w:r>
      <w:r w:rsidR="009C7362">
        <w:rPr>
          <w:rFonts w:ascii="Garamond" w:hAnsi="Garamond" w:cs="Arial"/>
        </w:rPr>
        <w:t>s</w:t>
      </w:r>
      <w:r w:rsidR="00D90069">
        <w:rPr>
          <w:rFonts w:ascii="Garamond" w:hAnsi="Garamond" w:cs="Arial"/>
        </w:rPr>
        <w:t>es</w:t>
      </w:r>
      <w:proofErr w:type="spellEnd"/>
      <w:r w:rsidR="007F01E2" w:rsidRPr="00ED14BE">
        <w:rPr>
          <w:rFonts w:ascii="Garamond" w:hAnsi="Garamond" w:cs="Arial"/>
        </w:rPr>
        <w:t xml:space="preserve"> </w:t>
      </w:r>
      <w:r w:rsidR="00DC1038" w:rsidRPr="00ED14BE">
        <w:rPr>
          <w:rFonts w:ascii="Garamond" w:hAnsi="Garamond" w:cs="Arial"/>
        </w:rPr>
        <w:t xml:space="preserve">the </w:t>
      </w:r>
      <w:r w:rsidR="000B412A">
        <w:rPr>
          <w:rFonts w:ascii="Garamond" w:hAnsi="Garamond" w:cs="Arial"/>
        </w:rPr>
        <w:t>affect</w:t>
      </w:r>
      <w:r w:rsidR="000B412A" w:rsidRPr="00ED14BE">
        <w:rPr>
          <w:rFonts w:ascii="Garamond" w:hAnsi="Garamond" w:cs="Arial"/>
        </w:rPr>
        <w:t xml:space="preserve"> </w:t>
      </w:r>
      <w:r w:rsidR="007F01E2">
        <w:rPr>
          <w:rFonts w:ascii="Garamond" w:hAnsi="Garamond" w:cs="Arial"/>
        </w:rPr>
        <w:t xml:space="preserve">this </w:t>
      </w:r>
      <w:r w:rsidR="00DC1038" w:rsidRPr="00ED14BE">
        <w:rPr>
          <w:rFonts w:ascii="Garamond" w:hAnsi="Garamond" w:cs="Arial"/>
        </w:rPr>
        <w:t xml:space="preserve">forced secrecy has on </w:t>
      </w:r>
      <w:r w:rsidR="0014243A">
        <w:rPr>
          <w:rFonts w:ascii="Garamond" w:hAnsi="Garamond" w:cs="Arial"/>
        </w:rPr>
        <w:t xml:space="preserve">lesbian, gay, and bisexual </w:t>
      </w:r>
      <w:r w:rsidR="00111416">
        <w:rPr>
          <w:rFonts w:ascii="Garamond" w:hAnsi="Garamond" w:cs="Arial"/>
        </w:rPr>
        <w:t xml:space="preserve">people, </w:t>
      </w:r>
      <w:r w:rsidR="007F01E2">
        <w:rPr>
          <w:rFonts w:ascii="Garamond" w:hAnsi="Garamond" w:cs="Arial"/>
        </w:rPr>
        <w:t>acknowledging</w:t>
      </w:r>
      <w:r w:rsidR="007F01E2" w:rsidRPr="00ED14BE">
        <w:rPr>
          <w:rFonts w:ascii="Garamond" w:hAnsi="Garamond" w:cs="Arial"/>
        </w:rPr>
        <w:t xml:space="preserve"> </w:t>
      </w:r>
      <w:r w:rsidR="00111416">
        <w:rPr>
          <w:rFonts w:ascii="Garamond" w:hAnsi="Garamond" w:cs="Arial"/>
        </w:rPr>
        <w:t>“[homosexuality] is not practiced in the open…</w:t>
      </w:r>
      <w:r w:rsidR="00803142" w:rsidRPr="00ED14BE">
        <w:rPr>
          <w:rFonts w:ascii="Garamond" w:hAnsi="Garamond" w:cs="Arial"/>
        </w:rPr>
        <w:t xml:space="preserve"> it is</w:t>
      </w:r>
      <w:r w:rsidR="00111416">
        <w:rPr>
          <w:rFonts w:ascii="Garamond" w:hAnsi="Garamond" w:cs="Arial"/>
        </w:rPr>
        <w:t xml:space="preserve"> therefore </w:t>
      </w:r>
      <w:r w:rsidR="00803142" w:rsidRPr="00ED14BE">
        <w:rPr>
          <w:rFonts w:ascii="Garamond" w:hAnsi="Garamond" w:cs="Arial"/>
        </w:rPr>
        <w:t>very unlikely that cases of discrimination and violence based on sexual orientation would be reported.”</w:t>
      </w:r>
      <w:r w:rsidR="00803142" w:rsidRPr="00ED14BE">
        <w:rPr>
          <w:rStyle w:val="Funotenzeichen"/>
          <w:rFonts w:ascii="Garamond" w:hAnsi="Garamond" w:cs="Arial"/>
        </w:rPr>
        <w:footnoteReference w:id="5"/>
      </w:r>
      <w:r w:rsidR="00DC1038" w:rsidRPr="00ED14BE">
        <w:rPr>
          <w:rFonts w:ascii="Garamond" w:hAnsi="Garamond" w:cs="Arial"/>
        </w:rPr>
        <w:t xml:space="preserve"> </w:t>
      </w:r>
      <w:r w:rsidR="00002C3F" w:rsidRPr="00ED14BE">
        <w:rPr>
          <w:rFonts w:ascii="Garamond" w:hAnsi="Garamond" w:cs="Arial"/>
        </w:rPr>
        <w:t>It is worth noting that the President of the Republic of Malawi, Honorable Dr. Mrs. Joyce Banda</w:t>
      </w:r>
      <w:r w:rsidR="009C7362">
        <w:rPr>
          <w:rFonts w:ascii="Garamond" w:hAnsi="Garamond" w:cs="Arial"/>
        </w:rPr>
        <w:t>,</w:t>
      </w:r>
      <w:r w:rsidR="00002C3F" w:rsidRPr="00ED14BE">
        <w:rPr>
          <w:rFonts w:ascii="Garamond" w:hAnsi="Garamond" w:cs="Arial"/>
        </w:rPr>
        <w:t xml:space="preserve"> in her maiden State of the Nation Address</w:t>
      </w:r>
      <w:r w:rsidR="009C7362">
        <w:rPr>
          <w:rFonts w:ascii="Garamond" w:hAnsi="Garamond" w:cs="Arial"/>
        </w:rPr>
        <w:t>,</w:t>
      </w:r>
      <w:r w:rsidR="00002C3F" w:rsidRPr="00ED14BE">
        <w:rPr>
          <w:rFonts w:ascii="Garamond" w:hAnsi="Garamond" w:cs="Arial"/>
        </w:rPr>
        <w:t xml:space="preserve"> promised Malawians that her Administration would repeal laws that </w:t>
      </w:r>
      <w:proofErr w:type="spellStart"/>
      <w:r w:rsidR="00002C3F" w:rsidRPr="00ED14BE">
        <w:rPr>
          <w:rFonts w:ascii="Garamond" w:hAnsi="Garamond" w:cs="Arial"/>
        </w:rPr>
        <w:t>criminali</w:t>
      </w:r>
      <w:r w:rsidR="009C7362">
        <w:rPr>
          <w:rFonts w:ascii="Garamond" w:hAnsi="Garamond" w:cs="Arial"/>
        </w:rPr>
        <w:t>s</w:t>
      </w:r>
      <w:r w:rsidR="00002C3F" w:rsidRPr="00ED14BE">
        <w:rPr>
          <w:rFonts w:ascii="Garamond" w:hAnsi="Garamond" w:cs="Arial"/>
        </w:rPr>
        <w:t>e</w:t>
      </w:r>
      <w:proofErr w:type="spellEnd"/>
      <w:r w:rsidR="00002C3F" w:rsidRPr="00ED14BE">
        <w:rPr>
          <w:rFonts w:ascii="Garamond" w:hAnsi="Garamond" w:cs="Arial"/>
        </w:rPr>
        <w:t xml:space="preserve"> homosexuality practices.</w:t>
      </w:r>
      <w:r w:rsidR="0069023D" w:rsidRPr="00ED14BE">
        <w:rPr>
          <w:rStyle w:val="Funotenzeichen"/>
          <w:rFonts w:ascii="Garamond" w:hAnsi="Garamond" w:cs="Arial"/>
        </w:rPr>
        <w:footnoteReference w:id="6"/>
      </w:r>
      <w:r w:rsidR="00002C3F" w:rsidRPr="00ED14BE">
        <w:rPr>
          <w:rFonts w:ascii="Garamond" w:hAnsi="Garamond" w:cs="Arial"/>
        </w:rPr>
        <w:t xml:space="preserve"> However, </w:t>
      </w:r>
      <w:r w:rsidR="00E81123">
        <w:rPr>
          <w:rFonts w:ascii="Garamond" w:hAnsi="Garamond" w:cs="Arial"/>
        </w:rPr>
        <w:t>as of the current time</w:t>
      </w:r>
      <w:r w:rsidR="00002C3F" w:rsidRPr="00ED14BE">
        <w:rPr>
          <w:rFonts w:ascii="Garamond" w:hAnsi="Garamond" w:cs="Arial"/>
        </w:rPr>
        <w:t>, nothing tangible has been done to fulfill that promise.</w:t>
      </w:r>
    </w:p>
    <w:p w14:paraId="1EF0D65C" w14:textId="77777777" w:rsidR="00002C3F" w:rsidRPr="00ED14BE" w:rsidRDefault="00002C3F" w:rsidP="00002C3F">
      <w:pPr>
        <w:spacing w:line="360" w:lineRule="auto"/>
        <w:jc w:val="both"/>
        <w:rPr>
          <w:rFonts w:ascii="Garamond" w:hAnsi="Garamond" w:cs="Arial"/>
        </w:rPr>
      </w:pPr>
    </w:p>
    <w:p w14:paraId="185C5B0B" w14:textId="1E18EF27" w:rsidR="00002C3F" w:rsidRPr="00ED14BE" w:rsidRDefault="004B7F9C" w:rsidP="00002C3F">
      <w:pPr>
        <w:spacing w:line="360" w:lineRule="auto"/>
        <w:jc w:val="both"/>
        <w:rPr>
          <w:rFonts w:ascii="Garamond" w:hAnsi="Garamond" w:cs="Arial"/>
        </w:rPr>
      </w:pPr>
      <w:r>
        <w:rPr>
          <w:rFonts w:ascii="Garamond" w:hAnsi="Garamond" w:cs="Arial"/>
        </w:rPr>
        <w:t xml:space="preserve">Malawi law also sanctions overt discrimination on the basis of gender. </w:t>
      </w:r>
      <w:r w:rsidR="00002C3F" w:rsidRPr="00ED14BE">
        <w:rPr>
          <w:rFonts w:ascii="Garamond" w:hAnsi="Garamond" w:cs="Arial"/>
        </w:rPr>
        <w:t xml:space="preserve">Section 9 of the Citizenship Act clearly discriminates against women on the basis of their marital status </w:t>
      </w:r>
      <w:r w:rsidR="00D753B6">
        <w:rPr>
          <w:rFonts w:ascii="Garamond" w:hAnsi="Garamond" w:cs="Arial"/>
        </w:rPr>
        <w:t>as</w:t>
      </w:r>
      <w:r w:rsidR="00D753B6" w:rsidRPr="00ED14BE">
        <w:rPr>
          <w:rFonts w:ascii="Garamond" w:hAnsi="Garamond" w:cs="Arial"/>
        </w:rPr>
        <w:t xml:space="preserve"> </w:t>
      </w:r>
      <w:r w:rsidR="00002C3F" w:rsidRPr="00ED14BE">
        <w:rPr>
          <w:rFonts w:ascii="Garamond" w:hAnsi="Garamond" w:cs="Arial"/>
        </w:rPr>
        <w:t xml:space="preserve">it provides that </w:t>
      </w:r>
      <w:r w:rsidR="00D753B6">
        <w:rPr>
          <w:rFonts w:ascii="Garamond" w:hAnsi="Garamond" w:cs="Arial"/>
        </w:rPr>
        <w:t xml:space="preserve">when </w:t>
      </w:r>
      <w:r w:rsidR="00002C3F" w:rsidRPr="00ED14BE">
        <w:rPr>
          <w:rFonts w:ascii="Garamond" w:hAnsi="Garamond" w:cs="Arial"/>
        </w:rPr>
        <w:t xml:space="preserve">a </w:t>
      </w:r>
      <w:r w:rsidR="00D753B6">
        <w:rPr>
          <w:rFonts w:ascii="Garamond" w:hAnsi="Garamond" w:cs="Arial"/>
        </w:rPr>
        <w:t xml:space="preserve">female </w:t>
      </w:r>
      <w:r w:rsidR="00002C3F" w:rsidRPr="00ED14BE">
        <w:rPr>
          <w:rFonts w:ascii="Garamond" w:hAnsi="Garamond" w:cs="Arial"/>
        </w:rPr>
        <w:t>citizen of Malawi</w:t>
      </w:r>
      <w:r w:rsidR="00D753B6">
        <w:rPr>
          <w:rFonts w:ascii="Garamond" w:hAnsi="Garamond" w:cs="Arial"/>
        </w:rPr>
        <w:t xml:space="preserve"> </w:t>
      </w:r>
      <w:r w:rsidR="00002C3F" w:rsidRPr="00ED14BE">
        <w:rPr>
          <w:rFonts w:ascii="Garamond" w:hAnsi="Garamond" w:cs="Arial"/>
        </w:rPr>
        <w:t xml:space="preserve">acquires citizenship of </w:t>
      </w:r>
      <w:r w:rsidR="00127C69">
        <w:rPr>
          <w:rFonts w:ascii="Garamond" w:hAnsi="Garamond" w:cs="Arial"/>
        </w:rPr>
        <w:t>a</w:t>
      </w:r>
      <w:r w:rsidR="00127C69" w:rsidRPr="00ED14BE">
        <w:rPr>
          <w:rFonts w:ascii="Garamond" w:hAnsi="Garamond" w:cs="Arial"/>
        </w:rPr>
        <w:t xml:space="preserve"> </w:t>
      </w:r>
      <w:r w:rsidR="00002C3F" w:rsidRPr="00ED14BE">
        <w:rPr>
          <w:rFonts w:ascii="Garamond" w:hAnsi="Garamond" w:cs="Arial"/>
        </w:rPr>
        <w:t>country other than Malawi</w:t>
      </w:r>
      <w:r w:rsidR="00D753B6">
        <w:rPr>
          <w:rFonts w:ascii="Garamond" w:hAnsi="Garamond" w:cs="Arial"/>
        </w:rPr>
        <w:t xml:space="preserve"> through marriage,</w:t>
      </w:r>
      <w:r w:rsidR="00002C3F" w:rsidRPr="00ED14BE">
        <w:rPr>
          <w:rFonts w:ascii="Garamond" w:hAnsi="Garamond" w:cs="Arial"/>
        </w:rPr>
        <w:t xml:space="preserve"> </w:t>
      </w:r>
      <w:r w:rsidR="00127C69">
        <w:rPr>
          <w:rFonts w:ascii="Garamond" w:hAnsi="Garamond" w:cs="Arial"/>
        </w:rPr>
        <w:t xml:space="preserve">she will </w:t>
      </w:r>
      <w:r w:rsidR="00002C3F" w:rsidRPr="00ED14BE">
        <w:rPr>
          <w:rFonts w:ascii="Garamond" w:hAnsi="Garamond" w:cs="Arial"/>
        </w:rPr>
        <w:t xml:space="preserve">cease </w:t>
      </w:r>
      <w:r w:rsidR="002C69D8">
        <w:rPr>
          <w:rFonts w:ascii="Garamond" w:hAnsi="Garamond" w:cs="Arial"/>
        </w:rPr>
        <w:t>to be a citizen of Malawi within one</w:t>
      </w:r>
      <w:r w:rsidR="00127C69">
        <w:rPr>
          <w:rFonts w:ascii="Garamond" w:hAnsi="Garamond" w:cs="Arial"/>
        </w:rPr>
        <w:t xml:space="preserve"> year </w:t>
      </w:r>
      <w:r w:rsidR="002C69D8">
        <w:rPr>
          <w:rFonts w:ascii="Garamond" w:hAnsi="Garamond" w:cs="Arial"/>
        </w:rPr>
        <w:t>of the anniversary of this marriage</w:t>
      </w:r>
      <w:r w:rsidR="00002C3F" w:rsidRPr="00ED14BE">
        <w:rPr>
          <w:rFonts w:ascii="Garamond" w:hAnsi="Garamond" w:cs="Arial"/>
        </w:rPr>
        <w:t>.</w:t>
      </w:r>
      <w:r w:rsidR="009209BC" w:rsidRPr="00ED14BE">
        <w:rPr>
          <w:rStyle w:val="Funotenzeichen"/>
          <w:rFonts w:ascii="Garamond" w:hAnsi="Garamond" w:cs="Arial"/>
        </w:rPr>
        <w:footnoteReference w:id="7"/>
      </w:r>
      <w:r w:rsidR="00002C3F" w:rsidRPr="00ED14BE">
        <w:rPr>
          <w:rFonts w:ascii="Garamond" w:hAnsi="Garamond" w:cs="Arial"/>
        </w:rPr>
        <w:t xml:space="preserve"> Th</w:t>
      </w:r>
      <w:r w:rsidR="00127C69">
        <w:rPr>
          <w:rFonts w:ascii="Garamond" w:hAnsi="Garamond" w:cs="Arial"/>
        </w:rPr>
        <w:t xml:space="preserve">e provision </w:t>
      </w:r>
      <w:r w:rsidR="00002C3F" w:rsidRPr="00ED14BE">
        <w:rPr>
          <w:rFonts w:ascii="Garamond" w:hAnsi="Garamond" w:cs="Arial"/>
        </w:rPr>
        <w:t xml:space="preserve">does not </w:t>
      </w:r>
      <w:r w:rsidR="00127C69">
        <w:rPr>
          <w:rFonts w:ascii="Garamond" w:hAnsi="Garamond" w:cs="Arial"/>
        </w:rPr>
        <w:t>apply</w:t>
      </w:r>
      <w:r w:rsidR="00127C69" w:rsidRPr="00ED14BE">
        <w:rPr>
          <w:rFonts w:ascii="Garamond" w:hAnsi="Garamond" w:cs="Arial"/>
        </w:rPr>
        <w:t xml:space="preserve"> </w:t>
      </w:r>
      <w:r w:rsidR="00002C3F" w:rsidRPr="00ED14BE">
        <w:rPr>
          <w:rFonts w:ascii="Garamond" w:hAnsi="Garamond" w:cs="Arial"/>
        </w:rPr>
        <w:t>to male ci</w:t>
      </w:r>
      <w:r w:rsidR="002C69D8">
        <w:rPr>
          <w:rFonts w:ascii="Garamond" w:hAnsi="Garamond" w:cs="Arial"/>
        </w:rPr>
        <w:t xml:space="preserve">tizens of Malawi who acquire </w:t>
      </w:r>
      <w:r w:rsidR="00002C3F" w:rsidRPr="00ED14BE">
        <w:rPr>
          <w:rFonts w:ascii="Garamond" w:hAnsi="Garamond" w:cs="Arial"/>
        </w:rPr>
        <w:t xml:space="preserve">the citizenship of </w:t>
      </w:r>
      <w:r w:rsidR="002C69D8">
        <w:rPr>
          <w:rFonts w:ascii="Garamond" w:hAnsi="Garamond" w:cs="Arial"/>
        </w:rPr>
        <w:t>a</w:t>
      </w:r>
      <w:r w:rsidR="00002C3F" w:rsidRPr="00ED14BE">
        <w:rPr>
          <w:rFonts w:ascii="Garamond" w:hAnsi="Garamond" w:cs="Arial"/>
        </w:rPr>
        <w:t xml:space="preserve"> country other </w:t>
      </w:r>
      <w:r w:rsidR="00002C3F" w:rsidRPr="00ED14BE">
        <w:rPr>
          <w:rFonts w:ascii="Garamond" w:hAnsi="Garamond" w:cs="Arial"/>
        </w:rPr>
        <w:lastRenderedPageBreak/>
        <w:t>than Malawi</w:t>
      </w:r>
      <w:r w:rsidR="002C69D8">
        <w:rPr>
          <w:rFonts w:ascii="Garamond" w:hAnsi="Garamond" w:cs="Arial"/>
        </w:rPr>
        <w:t xml:space="preserve"> through marriage</w:t>
      </w:r>
      <w:r w:rsidR="00002C3F" w:rsidRPr="00ED14BE">
        <w:rPr>
          <w:rFonts w:ascii="Garamond" w:hAnsi="Garamond" w:cs="Arial"/>
        </w:rPr>
        <w:t xml:space="preserve">. This differentiation </w:t>
      </w:r>
      <w:r w:rsidR="002C69D8">
        <w:rPr>
          <w:rFonts w:ascii="Garamond" w:hAnsi="Garamond" w:cs="Arial"/>
        </w:rPr>
        <w:t>does not</w:t>
      </w:r>
      <w:r w:rsidR="00002C3F" w:rsidRPr="00ED14BE">
        <w:rPr>
          <w:rFonts w:ascii="Garamond" w:hAnsi="Garamond" w:cs="Arial"/>
        </w:rPr>
        <w:t xml:space="preserve"> pass the limitation test under section 44(1) of the Constitution.</w:t>
      </w:r>
      <w:r w:rsidR="008023C7">
        <w:rPr>
          <w:rStyle w:val="Funotenzeichen"/>
          <w:rFonts w:ascii="Garamond" w:hAnsi="Garamond" w:cs="Arial"/>
        </w:rPr>
        <w:footnoteReference w:id="8"/>
      </w:r>
      <w:r w:rsidR="00002C3F" w:rsidRPr="00ED14BE">
        <w:rPr>
          <w:rFonts w:ascii="Garamond" w:hAnsi="Garamond" w:cs="Arial"/>
        </w:rPr>
        <w:t xml:space="preserve"> </w:t>
      </w:r>
    </w:p>
    <w:p w14:paraId="2A1D83BF" w14:textId="77777777" w:rsidR="00002C3F" w:rsidRPr="00ED14BE" w:rsidRDefault="00002C3F" w:rsidP="00002C3F">
      <w:pPr>
        <w:spacing w:line="360" w:lineRule="auto"/>
        <w:jc w:val="both"/>
        <w:rPr>
          <w:rFonts w:ascii="Garamond" w:hAnsi="Garamond" w:cs="Arial"/>
        </w:rPr>
      </w:pPr>
    </w:p>
    <w:p w14:paraId="49540C8E" w14:textId="1B6CB4CA" w:rsidR="00002C3F" w:rsidRPr="00ED14BE" w:rsidRDefault="00002C3F" w:rsidP="00002C3F">
      <w:pPr>
        <w:spacing w:line="360" w:lineRule="auto"/>
        <w:jc w:val="both"/>
        <w:rPr>
          <w:rFonts w:ascii="Garamond" w:hAnsi="Garamond" w:cs="Arial"/>
        </w:rPr>
      </w:pPr>
      <w:r w:rsidRPr="00ED14BE">
        <w:rPr>
          <w:rFonts w:ascii="Garamond" w:hAnsi="Garamond" w:cs="Arial"/>
        </w:rPr>
        <w:t xml:space="preserve">The State Party </w:t>
      </w:r>
      <w:r w:rsidR="00F544B4">
        <w:rPr>
          <w:rFonts w:ascii="Garamond" w:hAnsi="Garamond" w:cs="Arial"/>
        </w:rPr>
        <w:t xml:space="preserve">should be commended for </w:t>
      </w:r>
      <w:r w:rsidRPr="00ED14BE">
        <w:rPr>
          <w:rFonts w:ascii="Garamond" w:hAnsi="Garamond" w:cs="Arial"/>
        </w:rPr>
        <w:t>pass</w:t>
      </w:r>
      <w:r w:rsidR="00F544B4">
        <w:rPr>
          <w:rFonts w:ascii="Garamond" w:hAnsi="Garamond" w:cs="Arial"/>
        </w:rPr>
        <w:t>ing the recent</w:t>
      </w:r>
      <w:r w:rsidRPr="00ED14BE">
        <w:rPr>
          <w:rFonts w:ascii="Garamond" w:hAnsi="Garamond" w:cs="Arial"/>
        </w:rPr>
        <w:t xml:space="preserve"> the Gender Equality Legislation</w:t>
      </w:r>
      <w:r w:rsidR="00D60630">
        <w:rPr>
          <w:rFonts w:ascii="Garamond" w:hAnsi="Garamond" w:cs="Arial"/>
        </w:rPr>
        <w:t xml:space="preserve">, which </w:t>
      </w:r>
      <w:r w:rsidRPr="00ED14BE">
        <w:rPr>
          <w:rFonts w:ascii="Garamond" w:hAnsi="Garamond" w:cs="Arial"/>
        </w:rPr>
        <w:t xml:space="preserve">seeks to </w:t>
      </w:r>
      <w:r w:rsidR="00D60630">
        <w:rPr>
          <w:rFonts w:ascii="Garamond" w:hAnsi="Garamond" w:cs="Arial"/>
        </w:rPr>
        <w:t>impose</w:t>
      </w:r>
      <w:r w:rsidR="00D60630" w:rsidRPr="00ED14BE">
        <w:rPr>
          <w:rFonts w:ascii="Garamond" w:hAnsi="Garamond" w:cs="Arial"/>
        </w:rPr>
        <w:t xml:space="preserve"> </w:t>
      </w:r>
      <w:r w:rsidRPr="00ED14BE">
        <w:rPr>
          <w:rFonts w:ascii="Garamond" w:hAnsi="Garamond" w:cs="Arial"/>
        </w:rPr>
        <w:t xml:space="preserve">equality </w:t>
      </w:r>
      <w:r w:rsidR="004436D2">
        <w:rPr>
          <w:rFonts w:ascii="Garamond" w:hAnsi="Garamond" w:cs="Arial"/>
        </w:rPr>
        <w:t>between</w:t>
      </w:r>
      <w:r w:rsidR="00D60630" w:rsidRPr="00ED14BE">
        <w:rPr>
          <w:rFonts w:ascii="Garamond" w:hAnsi="Garamond" w:cs="Arial"/>
        </w:rPr>
        <w:t xml:space="preserve"> </w:t>
      </w:r>
      <w:r w:rsidRPr="00ED14BE">
        <w:rPr>
          <w:rFonts w:ascii="Garamond" w:hAnsi="Garamond" w:cs="Arial"/>
        </w:rPr>
        <w:t xml:space="preserve">men and women at all levels. </w:t>
      </w:r>
      <w:r w:rsidR="00F544B4">
        <w:rPr>
          <w:rFonts w:ascii="Garamond" w:hAnsi="Garamond" w:cs="Arial"/>
        </w:rPr>
        <w:t>However, i</w:t>
      </w:r>
      <w:r w:rsidR="004436D2">
        <w:rPr>
          <w:rFonts w:ascii="Garamond" w:hAnsi="Garamond" w:cs="Arial"/>
        </w:rPr>
        <w:t>n order for this law to be effective, it is important for t</w:t>
      </w:r>
      <w:r w:rsidRPr="00ED14BE">
        <w:rPr>
          <w:rFonts w:ascii="Garamond" w:hAnsi="Garamond" w:cs="Arial"/>
        </w:rPr>
        <w:t xml:space="preserve">he State Party </w:t>
      </w:r>
      <w:r w:rsidR="004436D2">
        <w:rPr>
          <w:rFonts w:ascii="Garamond" w:hAnsi="Garamond" w:cs="Arial"/>
        </w:rPr>
        <w:t>to</w:t>
      </w:r>
      <w:r w:rsidR="004436D2" w:rsidRPr="00ED14BE">
        <w:rPr>
          <w:rFonts w:ascii="Garamond" w:hAnsi="Garamond" w:cs="Arial"/>
        </w:rPr>
        <w:t xml:space="preserve"> </w:t>
      </w:r>
      <w:r w:rsidRPr="00ED14BE">
        <w:rPr>
          <w:rFonts w:ascii="Garamond" w:hAnsi="Garamond" w:cs="Arial"/>
        </w:rPr>
        <w:t xml:space="preserve">promote awareness of </w:t>
      </w:r>
      <w:r w:rsidR="002C69D8">
        <w:rPr>
          <w:rFonts w:ascii="Garamond" w:hAnsi="Garamond" w:cs="Arial"/>
        </w:rPr>
        <w:t>its passage and enforcement to</w:t>
      </w:r>
      <w:r w:rsidR="00AB7061">
        <w:rPr>
          <w:rFonts w:ascii="Garamond" w:hAnsi="Garamond" w:cs="Arial"/>
        </w:rPr>
        <w:t xml:space="preserve"> send a clear message that the government may not discriminate against women on the basis</w:t>
      </w:r>
      <w:r w:rsidR="00D2211C">
        <w:rPr>
          <w:rFonts w:ascii="Garamond" w:hAnsi="Garamond" w:cs="Arial"/>
        </w:rPr>
        <w:t xml:space="preserve"> of gender</w:t>
      </w:r>
      <w:r w:rsidR="0045606C">
        <w:rPr>
          <w:rFonts w:ascii="Garamond" w:hAnsi="Garamond" w:cs="Arial"/>
        </w:rPr>
        <w:t xml:space="preserve">.  </w:t>
      </w:r>
    </w:p>
    <w:p w14:paraId="38727914" w14:textId="77777777" w:rsidR="00002C3F" w:rsidRPr="00ED14BE" w:rsidRDefault="00002C3F" w:rsidP="00002C3F">
      <w:pPr>
        <w:spacing w:line="360" w:lineRule="auto"/>
        <w:jc w:val="both"/>
        <w:rPr>
          <w:rFonts w:ascii="Garamond" w:hAnsi="Garamond" w:cs="Arial"/>
        </w:rPr>
      </w:pPr>
    </w:p>
    <w:p w14:paraId="1A9BD7C6" w14:textId="5D1A976F" w:rsidR="00002C3F" w:rsidRPr="00ED14BE" w:rsidRDefault="00002C3F" w:rsidP="00002C3F">
      <w:pPr>
        <w:spacing w:line="360" w:lineRule="auto"/>
        <w:jc w:val="both"/>
        <w:rPr>
          <w:rFonts w:ascii="Garamond" w:hAnsi="Garamond" w:cs="Arial"/>
        </w:rPr>
      </w:pPr>
      <w:r w:rsidRPr="00ED14BE">
        <w:rPr>
          <w:rFonts w:ascii="Garamond" w:hAnsi="Garamond" w:cs="Arial"/>
        </w:rPr>
        <w:tab/>
        <w:t>Recommendation</w:t>
      </w:r>
      <w:r w:rsidR="005C1B7F">
        <w:rPr>
          <w:rFonts w:ascii="Garamond" w:hAnsi="Garamond" w:cs="Arial"/>
        </w:rPr>
        <w:t>s</w:t>
      </w:r>
      <w:r w:rsidRPr="00ED14BE">
        <w:rPr>
          <w:rFonts w:ascii="Garamond" w:hAnsi="Garamond" w:cs="Arial"/>
        </w:rPr>
        <w:t xml:space="preserve">: </w:t>
      </w:r>
    </w:p>
    <w:p w14:paraId="67B182CC" w14:textId="664DC281" w:rsidR="00002C3F" w:rsidRPr="00ED14BE" w:rsidRDefault="00002C3F" w:rsidP="00DC1038">
      <w:pPr>
        <w:numPr>
          <w:ilvl w:val="0"/>
          <w:numId w:val="3"/>
        </w:numPr>
        <w:spacing w:line="360" w:lineRule="auto"/>
        <w:jc w:val="both"/>
        <w:rPr>
          <w:rFonts w:ascii="Garamond" w:hAnsi="Garamond" w:cs="Arial"/>
        </w:rPr>
      </w:pPr>
      <w:r w:rsidRPr="00ED14BE">
        <w:rPr>
          <w:rFonts w:ascii="Garamond" w:hAnsi="Garamond" w:cs="Arial"/>
        </w:rPr>
        <w:t xml:space="preserve">The State Party should amend its Constitution and other legislation </w:t>
      </w:r>
      <w:r w:rsidR="00FE3073">
        <w:rPr>
          <w:rFonts w:ascii="Garamond" w:hAnsi="Garamond" w:cs="Arial"/>
        </w:rPr>
        <w:t>to</w:t>
      </w:r>
      <w:r w:rsidR="00FE3073" w:rsidRPr="00ED14BE">
        <w:rPr>
          <w:rFonts w:ascii="Garamond" w:hAnsi="Garamond" w:cs="Arial"/>
        </w:rPr>
        <w:t xml:space="preserve"> </w:t>
      </w:r>
      <w:r w:rsidRPr="00ED14BE">
        <w:rPr>
          <w:rFonts w:ascii="Garamond" w:hAnsi="Garamond" w:cs="Arial"/>
        </w:rPr>
        <w:t>explicitly include, ‘sexual orientation’ as a prohibited ground to ensure protection of sexual minorities in Malawi.</w:t>
      </w:r>
    </w:p>
    <w:p w14:paraId="1FF3AAF9" w14:textId="654803FF" w:rsidR="00002C3F" w:rsidRPr="00ED14BE" w:rsidRDefault="00002C3F" w:rsidP="00002C3F">
      <w:pPr>
        <w:numPr>
          <w:ilvl w:val="0"/>
          <w:numId w:val="3"/>
        </w:numPr>
        <w:spacing w:line="360" w:lineRule="auto"/>
        <w:jc w:val="both"/>
        <w:rPr>
          <w:rFonts w:ascii="Garamond" w:hAnsi="Garamond" w:cs="Arial"/>
        </w:rPr>
      </w:pPr>
      <w:r w:rsidRPr="00ED14BE">
        <w:rPr>
          <w:rFonts w:ascii="Garamond" w:hAnsi="Garamond" w:cs="Arial"/>
        </w:rPr>
        <w:t xml:space="preserve">The State Party should ensure </w:t>
      </w:r>
      <w:proofErr w:type="spellStart"/>
      <w:r w:rsidRPr="00ED14BE">
        <w:rPr>
          <w:rFonts w:ascii="Garamond" w:hAnsi="Garamond" w:cs="Arial"/>
        </w:rPr>
        <w:t>decriminali</w:t>
      </w:r>
      <w:r w:rsidR="009C7362">
        <w:rPr>
          <w:rFonts w:ascii="Garamond" w:hAnsi="Garamond" w:cs="Arial"/>
        </w:rPr>
        <w:t>s</w:t>
      </w:r>
      <w:r w:rsidRPr="00ED14BE">
        <w:rPr>
          <w:rFonts w:ascii="Garamond" w:hAnsi="Garamond" w:cs="Arial"/>
        </w:rPr>
        <w:t>ation</w:t>
      </w:r>
      <w:proofErr w:type="spellEnd"/>
      <w:r w:rsidRPr="00ED14BE">
        <w:rPr>
          <w:rFonts w:ascii="Garamond" w:hAnsi="Garamond" w:cs="Arial"/>
        </w:rPr>
        <w:t xml:space="preserve"> of homosexual activities or practices between consenting adults </w:t>
      </w:r>
      <w:r w:rsidR="00E666E4">
        <w:rPr>
          <w:rFonts w:ascii="Garamond" w:hAnsi="Garamond" w:cs="Arial"/>
        </w:rPr>
        <w:t xml:space="preserve">by removing Articles 137A, 153 and 156 from the </w:t>
      </w:r>
      <w:r w:rsidR="00E666E4" w:rsidRPr="00ED14BE">
        <w:rPr>
          <w:rFonts w:ascii="Garamond" w:hAnsi="Garamond" w:cs="Arial"/>
        </w:rPr>
        <w:t xml:space="preserve">Penal Code </w:t>
      </w:r>
      <w:r w:rsidRPr="00ED14BE">
        <w:rPr>
          <w:rFonts w:ascii="Garamond" w:hAnsi="Garamond" w:cs="Arial"/>
        </w:rPr>
        <w:t xml:space="preserve">and </w:t>
      </w:r>
      <w:r w:rsidR="00FE3073">
        <w:rPr>
          <w:rFonts w:ascii="Garamond" w:hAnsi="Garamond" w:cs="Arial"/>
        </w:rPr>
        <w:t xml:space="preserve">all </w:t>
      </w:r>
      <w:r w:rsidRPr="00ED14BE">
        <w:rPr>
          <w:rFonts w:ascii="Garamond" w:hAnsi="Garamond" w:cs="Arial"/>
        </w:rPr>
        <w:t>other legislation</w:t>
      </w:r>
      <w:r w:rsidR="00E666E4">
        <w:rPr>
          <w:rFonts w:ascii="Garamond" w:hAnsi="Garamond" w:cs="Arial"/>
        </w:rPr>
        <w:t xml:space="preserve"> </w:t>
      </w:r>
      <w:proofErr w:type="spellStart"/>
      <w:r w:rsidR="00E666E4">
        <w:rPr>
          <w:rFonts w:ascii="Garamond" w:hAnsi="Garamond" w:cs="Arial"/>
        </w:rPr>
        <w:t>criminali</w:t>
      </w:r>
      <w:r w:rsidR="009C7362">
        <w:rPr>
          <w:rFonts w:ascii="Garamond" w:hAnsi="Garamond" w:cs="Arial"/>
        </w:rPr>
        <w:t>s</w:t>
      </w:r>
      <w:r w:rsidR="00E666E4">
        <w:rPr>
          <w:rFonts w:ascii="Garamond" w:hAnsi="Garamond" w:cs="Arial"/>
        </w:rPr>
        <w:t>ing</w:t>
      </w:r>
      <w:proofErr w:type="spellEnd"/>
      <w:r w:rsidR="00E666E4">
        <w:rPr>
          <w:rFonts w:ascii="Garamond" w:hAnsi="Garamond" w:cs="Arial"/>
        </w:rPr>
        <w:t xml:space="preserve"> consensual adult sexual activity</w:t>
      </w:r>
      <w:r w:rsidRPr="00ED14BE">
        <w:rPr>
          <w:rFonts w:ascii="Garamond" w:hAnsi="Garamond" w:cs="Arial"/>
        </w:rPr>
        <w:t>.</w:t>
      </w:r>
    </w:p>
    <w:p w14:paraId="61F2C448" w14:textId="77777777" w:rsidR="00002C3F" w:rsidRPr="00ED14BE" w:rsidRDefault="00002C3F" w:rsidP="00DC1038">
      <w:pPr>
        <w:numPr>
          <w:ilvl w:val="0"/>
          <w:numId w:val="3"/>
        </w:numPr>
        <w:spacing w:line="360" w:lineRule="auto"/>
        <w:jc w:val="both"/>
        <w:rPr>
          <w:rFonts w:ascii="Garamond" w:hAnsi="Garamond" w:cs="Arial"/>
        </w:rPr>
      </w:pPr>
      <w:r w:rsidRPr="00ED14BE">
        <w:rPr>
          <w:rFonts w:ascii="Garamond" w:hAnsi="Garamond" w:cs="Arial"/>
        </w:rPr>
        <w:t>The State Party should immediately amend or repeal section 9 of the Citizenship Act to ensure that it does not discriminate against women.</w:t>
      </w:r>
    </w:p>
    <w:p w14:paraId="1534CAE7" w14:textId="16CE3B8F" w:rsidR="00BA59E9" w:rsidRDefault="00002C3F" w:rsidP="0071242F">
      <w:pPr>
        <w:numPr>
          <w:ilvl w:val="0"/>
          <w:numId w:val="3"/>
        </w:numPr>
        <w:spacing w:line="360" w:lineRule="auto"/>
        <w:jc w:val="both"/>
        <w:rPr>
          <w:rFonts w:ascii="Garamond" w:hAnsi="Garamond" w:cs="Arial"/>
          <w:sz w:val="30"/>
          <w:szCs w:val="30"/>
        </w:rPr>
      </w:pPr>
      <w:r w:rsidRPr="00ED14BE">
        <w:rPr>
          <w:rFonts w:ascii="Garamond" w:hAnsi="Garamond" w:cs="Arial"/>
        </w:rPr>
        <w:t xml:space="preserve">The State Party should ensure </w:t>
      </w:r>
      <w:proofErr w:type="spellStart"/>
      <w:r w:rsidRPr="00ED14BE">
        <w:rPr>
          <w:rFonts w:ascii="Garamond" w:hAnsi="Garamond" w:cs="Arial"/>
        </w:rPr>
        <w:t>populari</w:t>
      </w:r>
      <w:r w:rsidR="009C7362">
        <w:rPr>
          <w:rFonts w:ascii="Garamond" w:hAnsi="Garamond" w:cs="Arial"/>
        </w:rPr>
        <w:t>s</w:t>
      </w:r>
      <w:r w:rsidRPr="00ED14BE">
        <w:rPr>
          <w:rFonts w:ascii="Garamond" w:hAnsi="Garamond" w:cs="Arial"/>
        </w:rPr>
        <w:t>ation</w:t>
      </w:r>
      <w:proofErr w:type="spellEnd"/>
      <w:r w:rsidRPr="00ED14BE">
        <w:rPr>
          <w:rFonts w:ascii="Garamond" w:hAnsi="Garamond" w:cs="Arial"/>
        </w:rPr>
        <w:t xml:space="preserve"> of the Gender Equality legislation and ensure its enforcement accordingly.</w:t>
      </w:r>
    </w:p>
    <w:p w14:paraId="74E191FC" w14:textId="77777777" w:rsidR="00BA59E9" w:rsidRDefault="00BA59E9" w:rsidP="0071242F">
      <w:pPr>
        <w:spacing w:line="360" w:lineRule="auto"/>
        <w:jc w:val="both"/>
        <w:rPr>
          <w:rFonts w:ascii="Garamond" w:hAnsi="Garamond" w:cs="Arial"/>
          <w:sz w:val="30"/>
          <w:szCs w:val="30"/>
        </w:rPr>
      </w:pPr>
    </w:p>
    <w:p w14:paraId="11A7F61D" w14:textId="77777777" w:rsidR="00C758A2" w:rsidRDefault="00C758A2" w:rsidP="0071242F">
      <w:pPr>
        <w:spacing w:line="360" w:lineRule="auto"/>
        <w:jc w:val="both"/>
        <w:rPr>
          <w:rFonts w:ascii="Garamond" w:hAnsi="Garamond" w:cs="Arial"/>
          <w:sz w:val="30"/>
          <w:szCs w:val="30"/>
        </w:rPr>
      </w:pPr>
    </w:p>
    <w:p w14:paraId="658E3514" w14:textId="00CFA256" w:rsidR="00447183" w:rsidRPr="002C69D8" w:rsidRDefault="009C7362" w:rsidP="00447183">
      <w:pPr>
        <w:spacing w:line="360" w:lineRule="auto"/>
        <w:jc w:val="both"/>
        <w:rPr>
          <w:rFonts w:ascii="Garamond" w:hAnsi="Garamond" w:cs="Arial"/>
          <w:b/>
          <w:sz w:val="30"/>
          <w:szCs w:val="30"/>
        </w:rPr>
      </w:pPr>
      <w:r>
        <w:rPr>
          <w:rFonts w:ascii="Garamond" w:hAnsi="Garamond" w:cs="Arial"/>
          <w:b/>
          <w:sz w:val="30"/>
          <w:szCs w:val="30"/>
        </w:rPr>
        <w:t xml:space="preserve">Article 6: </w:t>
      </w:r>
      <w:r w:rsidR="00447183" w:rsidRPr="002C69D8">
        <w:rPr>
          <w:rFonts w:ascii="Garamond" w:hAnsi="Garamond" w:cs="Arial"/>
          <w:b/>
          <w:sz w:val="30"/>
          <w:szCs w:val="30"/>
        </w:rPr>
        <w:t>Right to Life</w:t>
      </w:r>
    </w:p>
    <w:p w14:paraId="1B9721FA" w14:textId="77777777" w:rsidR="00447183" w:rsidRPr="00447183" w:rsidRDefault="00447183" w:rsidP="00447183">
      <w:pPr>
        <w:spacing w:line="360" w:lineRule="auto"/>
        <w:jc w:val="both"/>
        <w:rPr>
          <w:rFonts w:ascii="Garamond" w:hAnsi="Garamond" w:cs="Arial"/>
          <w:sz w:val="30"/>
          <w:szCs w:val="30"/>
        </w:rPr>
      </w:pPr>
    </w:p>
    <w:p w14:paraId="49C46998" w14:textId="78790126" w:rsidR="00447183" w:rsidRPr="00447183" w:rsidRDefault="00447183" w:rsidP="00447183">
      <w:pPr>
        <w:spacing w:line="360" w:lineRule="auto"/>
        <w:jc w:val="both"/>
        <w:rPr>
          <w:rFonts w:ascii="Garamond" w:hAnsi="Garamond" w:cs="Arial"/>
        </w:rPr>
      </w:pPr>
      <w:r w:rsidRPr="00447183">
        <w:rPr>
          <w:rFonts w:ascii="Garamond" w:hAnsi="Garamond" w:cs="Arial"/>
        </w:rPr>
        <w:t>Article 6 of the Convention provides that every individual has the right to life and that no person should be arbitrarily deprived of life. The Committee has noted its grave concern at the practice of extrajudicial killings and recommended that where spec</w:t>
      </w:r>
      <w:r w:rsidR="002C69D8">
        <w:rPr>
          <w:rFonts w:ascii="Garamond" w:hAnsi="Garamond" w:cs="Arial"/>
        </w:rPr>
        <w:t>ific allegations are made, the S</w:t>
      </w:r>
      <w:r w:rsidRPr="00447183">
        <w:rPr>
          <w:rFonts w:ascii="Garamond" w:hAnsi="Garamond" w:cs="Arial"/>
        </w:rPr>
        <w:t>tate must take appropriate action to ensure a prompt and impartial investigation.</w:t>
      </w:r>
      <w:r w:rsidRPr="00447183">
        <w:rPr>
          <w:rFonts w:ascii="Garamond" w:hAnsi="Garamond" w:cs="Arial"/>
          <w:vertAlign w:val="superscript"/>
        </w:rPr>
        <w:footnoteReference w:id="9"/>
      </w:r>
    </w:p>
    <w:p w14:paraId="0F13BB6C" w14:textId="77777777" w:rsidR="00447183" w:rsidRPr="00447183" w:rsidRDefault="00447183" w:rsidP="00447183">
      <w:pPr>
        <w:spacing w:line="360" w:lineRule="auto"/>
        <w:jc w:val="both"/>
        <w:rPr>
          <w:rFonts w:ascii="Garamond" w:hAnsi="Garamond" w:cs="Arial"/>
        </w:rPr>
      </w:pPr>
    </w:p>
    <w:p w14:paraId="0309D17D" w14:textId="77777777" w:rsidR="00447183" w:rsidRPr="00447183" w:rsidRDefault="00447183" w:rsidP="00447183">
      <w:pPr>
        <w:spacing w:line="360" w:lineRule="auto"/>
        <w:jc w:val="both"/>
        <w:rPr>
          <w:rFonts w:ascii="Garamond" w:hAnsi="Garamond" w:cs="Arial"/>
          <w:b/>
          <w:i/>
        </w:rPr>
      </w:pPr>
      <w:r w:rsidRPr="00447183">
        <w:rPr>
          <w:rFonts w:ascii="Garamond" w:hAnsi="Garamond" w:cs="Arial"/>
          <w:b/>
          <w:i/>
        </w:rPr>
        <w:lastRenderedPageBreak/>
        <w:t xml:space="preserve">Extrajudicial Killings </w:t>
      </w:r>
    </w:p>
    <w:p w14:paraId="2AB6652E" w14:textId="77777777" w:rsidR="00447183" w:rsidRPr="00447183" w:rsidRDefault="00447183" w:rsidP="00447183">
      <w:pPr>
        <w:spacing w:line="360" w:lineRule="auto"/>
        <w:jc w:val="both"/>
        <w:rPr>
          <w:rFonts w:ascii="Garamond" w:hAnsi="Garamond" w:cs="Arial"/>
        </w:rPr>
      </w:pPr>
    </w:p>
    <w:p w14:paraId="3254551B" w14:textId="552E0A23" w:rsidR="00447183" w:rsidRPr="00447183" w:rsidRDefault="00447183" w:rsidP="00447183">
      <w:pPr>
        <w:spacing w:line="360" w:lineRule="auto"/>
        <w:jc w:val="both"/>
        <w:rPr>
          <w:rFonts w:ascii="Garamond" w:hAnsi="Garamond" w:cs="Arial"/>
        </w:rPr>
      </w:pPr>
      <w:r w:rsidRPr="00447183">
        <w:rPr>
          <w:rFonts w:ascii="Garamond" w:hAnsi="Garamond" w:cs="Arial"/>
        </w:rPr>
        <w:t xml:space="preserve">There have been unprecedented numbers of extrajudicial killings by the police service in Malawi in recent years.  Below are just two of many examples of extrajudicial killings that continue to occur </w:t>
      </w:r>
      <w:r w:rsidR="002C69D8">
        <w:rPr>
          <w:rFonts w:ascii="Garamond" w:hAnsi="Garamond" w:cs="Arial"/>
        </w:rPr>
        <w:t xml:space="preserve">in Malawi </w:t>
      </w:r>
      <w:r w:rsidRPr="00447183">
        <w:rPr>
          <w:rFonts w:ascii="Garamond" w:hAnsi="Garamond" w:cs="Arial"/>
        </w:rPr>
        <w:t>with impunity.</w:t>
      </w:r>
    </w:p>
    <w:p w14:paraId="6851AA8C" w14:textId="77777777" w:rsidR="00447183" w:rsidRPr="00447183" w:rsidRDefault="00447183" w:rsidP="00447183">
      <w:pPr>
        <w:spacing w:line="360" w:lineRule="auto"/>
        <w:jc w:val="both"/>
        <w:rPr>
          <w:rFonts w:ascii="Garamond" w:hAnsi="Garamond" w:cs="Arial"/>
        </w:rPr>
      </w:pPr>
    </w:p>
    <w:p w14:paraId="2008B07A" w14:textId="63B5E208" w:rsidR="00447183" w:rsidRPr="00447183" w:rsidRDefault="00447183" w:rsidP="00447183">
      <w:pPr>
        <w:spacing w:line="360" w:lineRule="auto"/>
        <w:jc w:val="both"/>
        <w:rPr>
          <w:rFonts w:ascii="Garamond" w:hAnsi="Garamond" w:cs="Arial"/>
        </w:rPr>
      </w:pPr>
      <w:r w:rsidRPr="00447183">
        <w:rPr>
          <w:rFonts w:ascii="Garamond" w:hAnsi="Garamond" w:cs="Arial"/>
        </w:rPr>
        <w:t xml:space="preserve">In September 2011, a student at Malawi Polytechnic, University of Malawi, </w:t>
      </w:r>
      <w:proofErr w:type="gramStart"/>
      <w:r w:rsidRPr="00447183">
        <w:rPr>
          <w:rFonts w:ascii="Garamond" w:hAnsi="Garamond" w:cs="Arial"/>
        </w:rPr>
        <w:t>Robert</w:t>
      </w:r>
      <w:proofErr w:type="gramEnd"/>
      <w:r w:rsidRPr="00447183">
        <w:rPr>
          <w:rFonts w:ascii="Garamond" w:hAnsi="Garamond" w:cs="Arial"/>
        </w:rPr>
        <w:t xml:space="preserve"> </w:t>
      </w:r>
      <w:proofErr w:type="spellStart"/>
      <w:r w:rsidRPr="00447183">
        <w:rPr>
          <w:rFonts w:ascii="Garamond" w:hAnsi="Garamond" w:cs="Arial"/>
        </w:rPr>
        <w:t>Chasowa</w:t>
      </w:r>
      <w:proofErr w:type="spellEnd"/>
      <w:r w:rsidR="002C69D8" w:rsidRPr="002C69D8">
        <w:rPr>
          <w:rFonts w:ascii="Garamond" w:hAnsi="Garamond" w:cs="Arial"/>
        </w:rPr>
        <w:t xml:space="preserve"> </w:t>
      </w:r>
      <w:r w:rsidR="002C69D8" w:rsidRPr="00447183">
        <w:rPr>
          <w:rFonts w:ascii="Garamond" w:hAnsi="Garamond" w:cs="Arial"/>
        </w:rPr>
        <w:t>was found dead</w:t>
      </w:r>
      <w:r w:rsidR="002C69D8">
        <w:rPr>
          <w:rFonts w:ascii="Garamond" w:hAnsi="Garamond" w:cs="Arial"/>
        </w:rPr>
        <w:t xml:space="preserve">.  </w:t>
      </w:r>
      <w:proofErr w:type="spellStart"/>
      <w:r w:rsidR="002C69D8">
        <w:rPr>
          <w:rFonts w:ascii="Garamond" w:hAnsi="Garamond" w:cs="Arial"/>
        </w:rPr>
        <w:t>Chasowa</w:t>
      </w:r>
      <w:proofErr w:type="spellEnd"/>
      <w:r w:rsidR="002C69D8">
        <w:rPr>
          <w:rFonts w:ascii="Garamond" w:hAnsi="Garamond" w:cs="Arial"/>
        </w:rPr>
        <w:t xml:space="preserve"> </w:t>
      </w:r>
      <w:r w:rsidRPr="00447183">
        <w:rPr>
          <w:rFonts w:ascii="Garamond" w:hAnsi="Garamond" w:cs="Arial"/>
        </w:rPr>
        <w:t xml:space="preserve">was </w:t>
      </w:r>
      <w:r w:rsidR="002C69D8">
        <w:rPr>
          <w:rFonts w:ascii="Garamond" w:hAnsi="Garamond" w:cs="Arial"/>
        </w:rPr>
        <w:t xml:space="preserve">known to be </w:t>
      </w:r>
      <w:r w:rsidRPr="00447183">
        <w:rPr>
          <w:rFonts w:ascii="Garamond" w:hAnsi="Garamond" w:cs="Arial"/>
        </w:rPr>
        <w:t xml:space="preserve">a critic of former Malawi president, </w:t>
      </w:r>
      <w:proofErr w:type="spellStart"/>
      <w:r w:rsidRPr="00447183">
        <w:rPr>
          <w:rFonts w:ascii="Garamond" w:hAnsi="Garamond" w:cs="Arial"/>
        </w:rPr>
        <w:t>Bingu</w:t>
      </w:r>
      <w:proofErr w:type="spellEnd"/>
      <w:r w:rsidRPr="00447183">
        <w:rPr>
          <w:rFonts w:ascii="Garamond" w:hAnsi="Garamond" w:cs="Arial"/>
        </w:rPr>
        <w:t xml:space="preserve"> </w:t>
      </w:r>
      <w:proofErr w:type="spellStart"/>
      <w:proofErr w:type="gramStart"/>
      <w:r w:rsidRPr="00447183">
        <w:rPr>
          <w:rFonts w:ascii="Garamond" w:hAnsi="Garamond" w:cs="Arial"/>
        </w:rPr>
        <w:t>wa</w:t>
      </w:r>
      <w:proofErr w:type="spellEnd"/>
      <w:proofErr w:type="gramEnd"/>
      <w:r w:rsidRPr="00447183">
        <w:rPr>
          <w:rFonts w:ascii="Garamond" w:hAnsi="Garamond" w:cs="Arial"/>
        </w:rPr>
        <w:t xml:space="preserve"> </w:t>
      </w:r>
      <w:proofErr w:type="spellStart"/>
      <w:r w:rsidRPr="00447183">
        <w:rPr>
          <w:rFonts w:ascii="Garamond" w:hAnsi="Garamond" w:cs="Arial"/>
        </w:rPr>
        <w:t>Mutharika</w:t>
      </w:r>
      <w:proofErr w:type="spellEnd"/>
      <w:r w:rsidRPr="00447183">
        <w:rPr>
          <w:rFonts w:ascii="Garamond" w:hAnsi="Garamond" w:cs="Arial"/>
        </w:rPr>
        <w:t xml:space="preserve">. While the police insisted that the student committed suicide, renowned Malawian pathologist, Dr. Charles </w:t>
      </w:r>
      <w:proofErr w:type="spellStart"/>
      <w:r w:rsidRPr="00447183">
        <w:rPr>
          <w:rFonts w:ascii="Garamond" w:hAnsi="Garamond" w:cs="Arial"/>
        </w:rPr>
        <w:t>Dzamalala</w:t>
      </w:r>
      <w:proofErr w:type="spellEnd"/>
      <w:r w:rsidRPr="00447183">
        <w:rPr>
          <w:rFonts w:ascii="Garamond" w:hAnsi="Garamond" w:cs="Arial"/>
        </w:rPr>
        <w:t xml:space="preserve">, </w:t>
      </w:r>
      <w:r w:rsidR="002C69D8">
        <w:rPr>
          <w:rFonts w:ascii="Garamond" w:hAnsi="Garamond" w:cs="Arial"/>
        </w:rPr>
        <w:t xml:space="preserve">confirmed </w:t>
      </w:r>
      <w:r w:rsidR="00C3104A">
        <w:rPr>
          <w:rFonts w:ascii="Garamond" w:hAnsi="Garamond" w:cs="Arial"/>
        </w:rPr>
        <w:t>through his autopsy</w:t>
      </w:r>
      <w:r w:rsidRPr="00447183">
        <w:rPr>
          <w:rFonts w:ascii="Garamond" w:hAnsi="Garamond" w:cs="Arial"/>
        </w:rPr>
        <w:t xml:space="preserve"> that the student was killed.</w:t>
      </w:r>
      <w:r w:rsidRPr="00447183">
        <w:rPr>
          <w:rFonts w:ascii="Garamond" w:hAnsi="Garamond" w:cs="Arial"/>
          <w:vertAlign w:val="superscript"/>
        </w:rPr>
        <w:footnoteReference w:id="10"/>
      </w:r>
      <w:r w:rsidRPr="00447183">
        <w:rPr>
          <w:rFonts w:ascii="Garamond" w:hAnsi="Garamond" w:cs="Arial"/>
        </w:rPr>
        <w:t xml:space="preserve"> The police confirmed that the dead student was wanted by the police to answer charges of insulting the head of state, leading many to conclude that the police themselves were responsible for his death.  </w:t>
      </w:r>
      <w:r w:rsidR="00C3104A">
        <w:rPr>
          <w:rFonts w:ascii="Garamond" w:hAnsi="Garamond" w:cs="Arial"/>
        </w:rPr>
        <w:t>His murder has not been investigated by police nor has anyone been held accountable.</w:t>
      </w:r>
    </w:p>
    <w:p w14:paraId="0866F637" w14:textId="77777777" w:rsidR="00447183" w:rsidRPr="00447183" w:rsidRDefault="00447183" w:rsidP="00447183">
      <w:pPr>
        <w:spacing w:line="360" w:lineRule="auto"/>
        <w:jc w:val="both"/>
        <w:rPr>
          <w:rFonts w:ascii="Garamond" w:hAnsi="Garamond" w:cs="Arial"/>
        </w:rPr>
      </w:pPr>
    </w:p>
    <w:p w14:paraId="1BFAC2C6" w14:textId="27A6DA54" w:rsidR="00447183" w:rsidRPr="00447183" w:rsidRDefault="00447183" w:rsidP="00447183">
      <w:pPr>
        <w:spacing w:line="360" w:lineRule="auto"/>
        <w:jc w:val="both"/>
        <w:rPr>
          <w:rFonts w:ascii="Garamond" w:hAnsi="Garamond" w:cs="Arial"/>
        </w:rPr>
      </w:pPr>
      <w:r w:rsidRPr="00447183">
        <w:rPr>
          <w:rFonts w:ascii="Garamond" w:hAnsi="Garamond" w:cs="Arial"/>
        </w:rPr>
        <w:t>On July 20th and 21st 2011 police officers killed at least eighteen unarmed political protestors.  This egregious violation of Article 6 of the Covenant underscores the little regard the Malawi authorities currently have for their obligations</w:t>
      </w:r>
      <w:r w:rsidR="00C3104A">
        <w:rPr>
          <w:rFonts w:ascii="Garamond" w:hAnsi="Garamond" w:cs="Arial"/>
        </w:rPr>
        <w:t xml:space="preserve"> under the Covenant</w:t>
      </w:r>
      <w:r w:rsidRPr="00447183">
        <w:rPr>
          <w:rFonts w:ascii="Garamond" w:hAnsi="Garamond" w:cs="Arial"/>
        </w:rPr>
        <w:t>.</w:t>
      </w:r>
      <w:r w:rsidRPr="00447183">
        <w:rPr>
          <w:rFonts w:ascii="Garamond" w:hAnsi="Garamond" w:cs="Arial"/>
          <w:vertAlign w:val="superscript"/>
        </w:rPr>
        <w:footnoteReference w:id="11"/>
      </w:r>
      <w:r w:rsidRPr="00447183">
        <w:rPr>
          <w:rFonts w:ascii="Garamond" w:hAnsi="Garamond" w:cs="Arial"/>
        </w:rPr>
        <w:t xml:space="preserve"> While the dead were characterized as thieves by the government, the police responsible for their murder were later awarded financial bonuses. There has been little or no attempt by the Malawian authorities to prosecute, prevent or address </w:t>
      </w:r>
      <w:r w:rsidR="00C3104A">
        <w:rPr>
          <w:rFonts w:ascii="Garamond" w:hAnsi="Garamond" w:cs="Arial"/>
        </w:rPr>
        <w:t xml:space="preserve">these and many other </w:t>
      </w:r>
      <w:r w:rsidRPr="00447183">
        <w:rPr>
          <w:rFonts w:ascii="Garamond" w:hAnsi="Garamond" w:cs="Arial"/>
        </w:rPr>
        <w:t xml:space="preserve">extrajudicial killings by police. </w:t>
      </w:r>
    </w:p>
    <w:p w14:paraId="7E0ED488" w14:textId="77777777" w:rsidR="00447183" w:rsidRPr="00447183" w:rsidRDefault="00447183" w:rsidP="00447183">
      <w:pPr>
        <w:spacing w:line="360" w:lineRule="auto"/>
        <w:jc w:val="both"/>
        <w:rPr>
          <w:rFonts w:ascii="Garamond" w:hAnsi="Garamond" w:cs="Arial"/>
        </w:rPr>
      </w:pPr>
    </w:p>
    <w:p w14:paraId="19FC64DD" w14:textId="77777777" w:rsidR="00447183" w:rsidRPr="00447183" w:rsidRDefault="00447183" w:rsidP="00447183">
      <w:pPr>
        <w:spacing w:line="360" w:lineRule="auto"/>
        <w:jc w:val="both"/>
        <w:rPr>
          <w:rFonts w:ascii="Garamond" w:hAnsi="Garamond" w:cs="Arial"/>
        </w:rPr>
      </w:pPr>
      <w:r w:rsidRPr="00447183">
        <w:rPr>
          <w:rFonts w:ascii="Garamond" w:hAnsi="Garamond" w:cs="Arial"/>
        </w:rPr>
        <w:t xml:space="preserve">Recommendations: </w:t>
      </w:r>
    </w:p>
    <w:p w14:paraId="02B624B7" w14:textId="7C953879" w:rsidR="00447183" w:rsidRPr="00447183" w:rsidRDefault="00447183" w:rsidP="00447183">
      <w:pPr>
        <w:numPr>
          <w:ilvl w:val="0"/>
          <w:numId w:val="6"/>
        </w:numPr>
        <w:spacing w:line="360" w:lineRule="auto"/>
        <w:jc w:val="both"/>
        <w:rPr>
          <w:rFonts w:ascii="Garamond" w:hAnsi="Garamond" w:cs="Arial"/>
        </w:rPr>
      </w:pPr>
      <w:r w:rsidRPr="00447183">
        <w:rPr>
          <w:rFonts w:ascii="Garamond" w:hAnsi="Garamond" w:cs="Arial"/>
        </w:rPr>
        <w:t xml:space="preserve">The State of Malawi </w:t>
      </w:r>
      <w:r w:rsidR="00C3104A">
        <w:rPr>
          <w:rFonts w:ascii="Garamond" w:hAnsi="Garamond" w:cs="Arial"/>
        </w:rPr>
        <w:t>should</w:t>
      </w:r>
      <w:r w:rsidRPr="00447183">
        <w:rPr>
          <w:rFonts w:ascii="Garamond" w:hAnsi="Garamond" w:cs="Arial"/>
        </w:rPr>
        <w:t xml:space="preserve"> investigate the </w:t>
      </w:r>
      <w:r w:rsidR="00C3104A">
        <w:rPr>
          <w:rFonts w:ascii="Garamond" w:hAnsi="Garamond" w:cs="Arial"/>
        </w:rPr>
        <w:t xml:space="preserve">September 2011 </w:t>
      </w:r>
      <w:r w:rsidRPr="00447183">
        <w:rPr>
          <w:rFonts w:ascii="Garamond" w:hAnsi="Garamond" w:cs="Arial"/>
        </w:rPr>
        <w:t xml:space="preserve">murder of Robert </w:t>
      </w:r>
      <w:proofErr w:type="spellStart"/>
      <w:r w:rsidRPr="00447183">
        <w:rPr>
          <w:rFonts w:ascii="Garamond" w:hAnsi="Garamond" w:cs="Arial"/>
        </w:rPr>
        <w:t>Chasowa</w:t>
      </w:r>
      <w:proofErr w:type="spellEnd"/>
      <w:r w:rsidRPr="00447183">
        <w:rPr>
          <w:rFonts w:ascii="Garamond" w:hAnsi="Garamond" w:cs="Arial"/>
        </w:rPr>
        <w:t xml:space="preserve"> as well as the </w:t>
      </w:r>
      <w:r w:rsidR="00C3104A">
        <w:rPr>
          <w:rFonts w:ascii="Garamond" w:hAnsi="Garamond" w:cs="Arial"/>
        </w:rPr>
        <w:t xml:space="preserve">July 2011 murders of </w:t>
      </w:r>
      <w:r w:rsidRPr="00447183">
        <w:rPr>
          <w:rFonts w:ascii="Garamond" w:hAnsi="Garamond" w:cs="Arial"/>
        </w:rPr>
        <w:t>eighteen un</w:t>
      </w:r>
      <w:r w:rsidR="00C3104A">
        <w:rPr>
          <w:rFonts w:ascii="Garamond" w:hAnsi="Garamond" w:cs="Arial"/>
        </w:rPr>
        <w:t xml:space="preserve">armed political protestors </w:t>
      </w:r>
      <w:r w:rsidRPr="00447183">
        <w:rPr>
          <w:rFonts w:ascii="Garamond" w:hAnsi="Garamond" w:cs="Arial"/>
        </w:rPr>
        <w:t>and prosecute those responsible.</w:t>
      </w:r>
    </w:p>
    <w:p w14:paraId="20AB3D53" w14:textId="77777777" w:rsidR="00447183" w:rsidRPr="00447183" w:rsidRDefault="00447183" w:rsidP="00447183">
      <w:pPr>
        <w:numPr>
          <w:ilvl w:val="0"/>
          <w:numId w:val="6"/>
        </w:numPr>
        <w:spacing w:line="360" w:lineRule="auto"/>
        <w:jc w:val="both"/>
        <w:rPr>
          <w:rFonts w:ascii="Garamond" w:hAnsi="Garamond" w:cs="Arial"/>
        </w:rPr>
      </w:pPr>
      <w:r w:rsidRPr="00447183">
        <w:rPr>
          <w:rFonts w:ascii="Garamond" w:hAnsi="Garamond" w:cs="Arial"/>
        </w:rPr>
        <w:t xml:space="preserve">Essential to the prohibition of extra-judicial killings, torture and cruel, inhuman or degrading treatment is the operation of an Independent Police Complaints Commission. Malawi </w:t>
      </w:r>
      <w:r w:rsidRPr="00447183">
        <w:rPr>
          <w:rFonts w:ascii="Garamond" w:hAnsi="Garamond" w:cs="Arial"/>
        </w:rPr>
        <w:lastRenderedPageBreak/>
        <w:t>should ensure that such a Commission exists within the State and that it can work impartially and free from pressure by the legislative and executive branches of Government.</w:t>
      </w:r>
    </w:p>
    <w:p w14:paraId="73997D57" w14:textId="77777777" w:rsidR="00C758A2" w:rsidRDefault="00C758A2" w:rsidP="0071242F">
      <w:pPr>
        <w:spacing w:line="360" w:lineRule="auto"/>
        <w:jc w:val="both"/>
        <w:rPr>
          <w:rFonts w:ascii="Garamond" w:hAnsi="Garamond" w:cs="Arial"/>
          <w:sz w:val="30"/>
          <w:szCs w:val="30"/>
        </w:rPr>
      </w:pPr>
    </w:p>
    <w:p w14:paraId="43FCF3A3" w14:textId="6D3E9707" w:rsidR="004F1C2F" w:rsidRPr="002C69D8" w:rsidRDefault="004F1C2F" w:rsidP="0071242F">
      <w:pPr>
        <w:spacing w:line="360" w:lineRule="auto"/>
        <w:jc w:val="both"/>
        <w:rPr>
          <w:rFonts w:ascii="Garamond" w:hAnsi="Garamond" w:cs="Arial"/>
          <w:b/>
          <w:sz w:val="30"/>
          <w:szCs w:val="30"/>
        </w:rPr>
      </w:pPr>
      <w:r w:rsidRPr="002C69D8">
        <w:rPr>
          <w:rFonts w:ascii="Garamond" w:hAnsi="Garamond" w:cs="Arial"/>
          <w:b/>
          <w:sz w:val="30"/>
          <w:szCs w:val="30"/>
        </w:rPr>
        <w:t xml:space="preserve">Article 14: Freedom of Administration of Justice </w:t>
      </w:r>
    </w:p>
    <w:p w14:paraId="5A1B7F11" w14:textId="77777777" w:rsidR="004F1C2F" w:rsidRPr="00ED14BE" w:rsidRDefault="004F1C2F" w:rsidP="00002C3F">
      <w:pPr>
        <w:jc w:val="both"/>
        <w:rPr>
          <w:rFonts w:ascii="Garamond" w:hAnsi="Garamond" w:cs="Arial"/>
        </w:rPr>
      </w:pPr>
    </w:p>
    <w:p w14:paraId="52AEF658" w14:textId="2C27A335" w:rsidR="004C49E8" w:rsidRDefault="004C49E8" w:rsidP="004C49E8">
      <w:pPr>
        <w:spacing w:line="360" w:lineRule="auto"/>
        <w:jc w:val="both"/>
        <w:rPr>
          <w:rFonts w:ascii="Garamond" w:hAnsi="Garamond" w:cs="Arial"/>
        </w:rPr>
      </w:pPr>
      <w:r w:rsidRPr="004C49E8">
        <w:rPr>
          <w:rFonts w:ascii="Garamond" w:hAnsi="Garamond" w:cs="Arial"/>
        </w:rPr>
        <w:t>Article 14 guarantees that “all persons shall be equal before the courts and tribunals.” By its General Comments, the Committee has noted that Article 14 enshrines the right to a “fair and public hearing by a competent, independent and impartial tribunal established by law.”</w:t>
      </w:r>
      <w:r>
        <w:rPr>
          <w:rStyle w:val="Funotenzeichen"/>
          <w:rFonts w:ascii="Garamond" w:hAnsi="Garamond" w:cs="Arial"/>
        </w:rPr>
        <w:footnoteReference w:id="12"/>
      </w:r>
      <w:r w:rsidRPr="004C49E8">
        <w:rPr>
          <w:rFonts w:ascii="Garamond" w:hAnsi="Garamond" w:cs="Arial"/>
        </w:rPr>
        <w:t xml:space="preserve"> </w:t>
      </w:r>
    </w:p>
    <w:p w14:paraId="08C6B1BD" w14:textId="77777777" w:rsidR="00002C3F" w:rsidRPr="00ED14BE" w:rsidRDefault="00002C3F" w:rsidP="00002C3F">
      <w:pPr>
        <w:spacing w:line="360" w:lineRule="auto"/>
        <w:jc w:val="both"/>
        <w:rPr>
          <w:rFonts w:ascii="Garamond" w:hAnsi="Garamond" w:cs="Arial"/>
          <w:i/>
        </w:rPr>
      </w:pPr>
    </w:p>
    <w:p w14:paraId="499D4965" w14:textId="482B088B" w:rsidR="00002C3F" w:rsidRPr="00ED14BE" w:rsidRDefault="005C19EB" w:rsidP="00002C3F">
      <w:pPr>
        <w:spacing w:line="360" w:lineRule="auto"/>
        <w:jc w:val="both"/>
        <w:rPr>
          <w:rFonts w:ascii="Garamond" w:hAnsi="Garamond" w:cs="Arial"/>
        </w:rPr>
      </w:pPr>
      <w:r>
        <w:rPr>
          <w:rFonts w:ascii="Garamond" w:hAnsi="Garamond" w:cs="Arial"/>
        </w:rPr>
        <w:t>Malawi courts regu</w:t>
      </w:r>
      <w:r w:rsidR="000445C1">
        <w:rPr>
          <w:rFonts w:ascii="Garamond" w:hAnsi="Garamond" w:cs="Arial"/>
        </w:rPr>
        <w:t>larly require</w:t>
      </w:r>
      <w:r w:rsidR="00002C3F" w:rsidRPr="00ED14BE">
        <w:rPr>
          <w:rFonts w:ascii="Garamond" w:hAnsi="Garamond" w:cs="Arial"/>
        </w:rPr>
        <w:t xml:space="preserve"> undue and unreasonable delays in delivering judgments</w:t>
      </w:r>
      <w:r w:rsidR="000445C1">
        <w:rPr>
          <w:rFonts w:ascii="Garamond" w:hAnsi="Garamond" w:cs="Arial"/>
        </w:rPr>
        <w:t xml:space="preserve">.  Courts may </w:t>
      </w:r>
      <w:r w:rsidR="00002C3F" w:rsidRPr="00ED14BE">
        <w:rPr>
          <w:rFonts w:ascii="Garamond" w:hAnsi="Garamond" w:cs="Arial"/>
        </w:rPr>
        <w:t xml:space="preserve">take up to eight years or more without delivering their judgments. These </w:t>
      </w:r>
      <w:r w:rsidR="00C4582D">
        <w:rPr>
          <w:rFonts w:ascii="Garamond" w:hAnsi="Garamond" w:cs="Arial"/>
        </w:rPr>
        <w:t xml:space="preserve">excessive </w:t>
      </w:r>
      <w:r w:rsidR="00002C3F" w:rsidRPr="00ED14BE">
        <w:rPr>
          <w:rFonts w:ascii="Garamond" w:hAnsi="Garamond" w:cs="Arial"/>
        </w:rPr>
        <w:t xml:space="preserve">delays are an infringement of </w:t>
      </w:r>
      <w:r w:rsidR="00C4582D">
        <w:rPr>
          <w:rFonts w:ascii="Garamond" w:hAnsi="Garamond" w:cs="Arial"/>
        </w:rPr>
        <w:t>the</w:t>
      </w:r>
      <w:r w:rsidR="00C4582D" w:rsidRPr="00ED14BE">
        <w:rPr>
          <w:rFonts w:ascii="Garamond" w:hAnsi="Garamond" w:cs="Arial"/>
        </w:rPr>
        <w:t xml:space="preserve"> </w:t>
      </w:r>
      <w:r w:rsidR="00002C3F" w:rsidRPr="00ED14BE">
        <w:rPr>
          <w:rFonts w:ascii="Garamond" w:hAnsi="Garamond" w:cs="Arial"/>
        </w:rPr>
        <w:t>right</w:t>
      </w:r>
      <w:r w:rsidR="00C4582D">
        <w:rPr>
          <w:rFonts w:ascii="Garamond" w:hAnsi="Garamond" w:cs="Arial"/>
        </w:rPr>
        <w:t xml:space="preserve"> provided by Article 14(3)(c)</w:t>
      </w:r>
      <w:r w:rsidR="002459E7">
        <w:rPr>
          <w:rFonts w:ascii="Garamond" w:hAnsi="Garamond" w:cs="Arial"/>
        </w:rPr>
        <w:t xml:space="preserve"> of the Covenant guaranteeing the right</w:t>
      </w:r>
      <w:r w:rsidR="00C4582D">
        <w:rPr>
          <w:rFonts w:ascii="Garamond" w:hAnsi="Garamond" w:cs="Arial"/>
        </w:rPr>
        <w:t xml:space="preserve"> to be tried without undue delay</w:t>
      </w:r>
      <w:r w:rsidR="00002C3F" w:rsidRPr="00ED14BE">
        <w:rPr>
          <w:rFonts w:ascii="Garamond" w:hAnsi="Garamond" w:cs="Arial"/>
        </w:rPr>
        <w:t xml:space="preserve">. </w:t>
      </w:r>
    </w:p>
    <w:p w14:paraId="32158833" w14:textId="77777777" w:rsidR="00002C3F" w:rsidRPr="00ED14BE" w:rsidRDefault="00002C3F" w:rsidP="00002C3F">
      <w:pPr>
        <w:spacing w:line="360" w:lineRule="auto"/>
        <w:jc w:val="both"/>
        <w:rPr>
          <w:rFonts w:ascii="Garamond" w:hAnsi="Garamond" w:cs="Arial"/>
        </w:rPr>
      </w:pPr>
    </w:p>
    <w:p w14:paraId="7F85D74A" w14:textId="469D9A16" w:rsidR="00F57D03" w:rsidRPr="00CD2346" w:rsidRDefault="002459E7" w:rsidP="00CD2346">
      <w:pPr>
        <w:spacing w:line="360" w:lineRule="auto"/>
        <w:jc w:val="both"/>
        <w:rPr>
          <w:rFonts w:ascii="Garamond" w:hAnsi="Garamond" w:cs="Arial"/>
        </w:rPr>
      </w:pPr>
      <w:r>
        <w:rPr>
          <w:rFonts w:ascii="Garamond" w:hAnsi="Garamond" w:cs="Arial"/>
        </w:rPr>
        <w:t xml:space="preserve">Furthermore, </w:t>
      </w:r>
      <w:r w:rsidR="0064533D">
        <w:rPr>
          <w:rFonts w:ascii="Garamond" w:hAnsi="Garamond" w:cs="Arial"/>
        </w:rPr>
        <w:t xml:space="preserve">Article 14(1) </w:t>
      </w:r>
      <w:r w:rsidR="00E5461E">
        <w:rPr>
          <w:rFonts w:ascii="Garamond" w:hAnsi="Garamond" w:cs="Arial"/>
        </w:rPr>
        <w:t xml:space="preserve">of the Covenant </w:t>
      </w:r>
      <w:r w:rsidR="00564115">
        <w:rPr>
          <w:rFonts w:ascii="Garamond" w:hAnsi="Garamond" w:cs="Arial"/>
        </w:rPr>
        <w:t xml:space="preserve">mandates that all people be treated equally before the court, however, </w:t>
      </w:r>
      <w:r w:rsidR="00E5461E">
        <w:rPr>
          <w:rFonts w:ascii="Garamond" w:hAnsi="Garamond" w:cs="Arial"/>
        </w:rPr>
        <w:t xml:space="preserve">in Malawi </w:t>
      </w:r>
      <w:r w:rsidR="00564115">
        <w:rPr>
          <w:rFonts w:ascii="Garamond" w:hAnsi="Garamond" w:cs="Arial"/>
        </w:rPr>
        <w:t xml:space="preserve">there are discrepancies in treatment of </w:t>
      </w:r>
      <w:r w:rsidR="00564115" w:rsidRPr="00ED14BE">
        <w:rPr>
          <w:rFonts w:ascii="Garamond" w:hAnsi="Garamond" w:cs="Arial"/>
        </w:rPr>
        <w:t>magistrates and judges</w:t>
      </w:r>
      <w:r w:rsidR="00564115">
        <w:rPr>
          <w:rFonts w:ascii="Garamond" w:hAnsi="Garamond" w:cs="Arial"/>
        </w:rPr>
        <w:t xml:space="preserve"> when members of one or the other group are</w:t>
      </w:r>
      <w:r w:rsidR="00564115" w:rsidRPr="00ED14BE">
        <w:rPr>
          <w:rFonts w:ascii="Garamond" w:hAnsi="Garamond" w:cs="Arial"/>
        </w:rPr>
        <w:t xml:space="preserve"> suspected to have committed crimes or misconduct.</w:t>
      </w:r>
      <w:r w:rsidR="00564115">
        <w:rPr>
          <w:rFonts w:ascii="Garamond" w:hAnsi="Garamond" w:cs="Arial"/>
        </w:rPr>
        <w:t xml:space="preserve"> </w:t>
      </w:r>
      <w:r w:rsidR="00002C3F" w:rsidRPr="00ED14BE">
        <w:rPr>
          <w:rFonts w:ascii="Garamond" w:hAnsi="Garamond" w:cs="Arial"/>
        </w:rPr>
        <w:t xml:space="preserve">A Judge of the High Court answering a criminal charge whose case is pending before the Judicial Service Commission in Malawi is still sitting on the Bench. </w:t>
      </w:r>
      <w:r w:rsidR="00564115">
        <w:rPr>
          <w:rFonts w:ascii="Garamond" w:hAnsi="Garamond" w:cs="Arial"/>
        </w:rPr>
        <w:t>Unlike this Judge</w:t>
      </w:r>
      <w:r w:rsidR="00002C3F" w:rsidRPr="00ED14BE">
        <w:rPr>
          <w:rFonts w:ascii="Garamond" w:hAnsi="Garamond" w:cs="Arial"/>
        </w:rPr>
        <w:t xml:space="preserve">, </w:t>
      </w:r>
      <w:r w:rsidR="00700955" w:rsidRPr="00ED14BE">
        <w:rPr>
          <w:rFonts w:ascii="Garamond" w:hAnsi="Garamond" w:cs="Arial"/>
        </w:rPr>
        <w:t xml:space="preserve">the State Party immediately interdicted magistrates </w:t>
      </w:r>
      <w:r w:rsidR="00700955">
        <w:rPr>
          <w:rFonts w:ascii="Garamond" w:hAnsi="Garamond" w:cs="Arial"/>
        </w:rPr>
        <w:t>who</w:t>
      </w:r>
      <w:r w:rsidR="00700955" w:rsidRPr="00ED14BE">
        <w:rPr>
          <w:rFonts w:ascii="Garamond" w:hAnsi="Garamond" w:cs="Arial"/>
        </w:rPr>
        <w:t xml:space="preserve"> were charged with criminal offences</w:t>
      </w:r>
      <w:r w:rsidR="00002C3F" w:rsidRPr="00ED14BE">
        <w:rPr>
          <w:rFonts w:ascii="Garamond" w:hAnsi="Garamond" w:cs="Arial"/>
        </w:rPr>
        <w:t xml:space="preserve"> and some were successfully prosecuted.</w:t>
      </w:r>
      <w:r w:rsidR="006763B8">
        <w:rPr>
          <w:rStyle w:val="Funotenzeichen"/>
          <w:rFonts w:ascii="Garamond" w:hAnsi="Garamond" w:cs="Arial"/>
        </w:rPr>
        <w:footnoteReference w:id="13"/>
      </w:r>
      <w:r w:rsidR="00002C3F" w:rsidRPr="00ED14BE">
        <w:rPr>
          <w:rFonts w:ascii="Garamond" w:hAnsi="Garamond" w:cs="Arial"/>
        </w:rPr>
        <w:t xml:space="preserve"> These junior judicial officers were not sitting and hearing cases. </w:t>
      </w:r>
      <w:r w:rsidR="00700955">
        <w:rPr>
          <w:rFonts w:ascii="Garamond" w:hAnsi="Garamond" w:cs="Arial"/>
        </w:rPr>
        <w:t xml:space="preserve">It is important that judges and magistrates receive the same treatment under the law, </w:t>
      </w:r>
      <w:r w:rsidR="000B00C6">
        <w:rPr>
          <w:rFonts w:ascii="Garamond" w:hAnsi="Garamond" w:cs="Arial"/>
        </w:rPr>
        <w:t>because when judicial officers are suspected of being treated differently under sim</w:t>
      </w:r>
      <w:r w:rsidR="006B34A9">
        <w:rPr>
          <w:rFonts w:ascii="Garamond" w:hAnsi="Garamond" w:cs="Arial"/>
        </w:rPr>
        <w:t>ilarly situated circumstances, it undermines</w:t>
      </w:r>
      <w:r w:rsidR="00002C3F" w:rsidRPr="00ED14BE">
        <w:rPr>
          <w:rFonts w:ascii="Garamond" w:hAnsi="Garamond" w:cs="Arial"/>
        </w:rPr>
        <w:t xml:space="preserve"> </w:t>
      </w:r>
      <w:r w:rsidR="006B34A9">
        <w:rPr>
          <w:rFonts w:ascii="Garamond" w:hAnsi="Garamond" w:cs="Arial"/>
        </w:rPr>
        <w:t>people’s confidence in the court’s ability to adequately deliver</w:t>
      </w:r>
      <w:r w:rsidR="00002C3F" w:rsidRPr="00ED14BE">
        <w:rPr>
          <w:rFonts w:ascii="Garamond" w:hAnsi="Garamond" w:cs="Arial"/>
        </w:rPr>
        <w:t xml:space="preserve"> justice</w:t>
      </w:r>
      <w:r w:rsidR="006B34A9">
        <w:rPr>
          <w:rFonts w:ascii="Garamond" w:hAnsi="Garamond" w:cs="Arial"/>
        </w:rPr>
        <w:t xml:space="preserve">. </w:t>
      </w:r>
    </w:p>
    <w:p w14:paraId="138AC3AA" w14:textId="77777777" w:rsidR="00F57D03" w:rsidRPr="00DB39D8" w:rsidRDefault="00F57D03" w:rsidP="000B00C6">
      <w:pPr>
        <w:pStyle w:val="Listenabsatz"/>
        <w:spacing w:line="360" w:lineRule="auto"/>
        <w:jc w:val="both"/>
        <w:rPr>
          <w:rFonts w:ascii="Garamond" w:hAnsi="Garamond" w:cs="Arial"/>
        </w:rPr>
      </w:pPr>
    </w:p>
    <w:p w14:paraId="666AE573" w14:textId="490F358C" w:rsidR="004F1C2F" w:rsidRDefault="004F1C2F">
      <w:pPr>
        <w:rPr>
          <w:rFonts w:ascii="Garamond" w:hAnsi="Garamond" w:cs="Arial"/>
          <w:b/>
          <w:sz w:val="30"/>
          <w:szCs w:val="30"/>
        </w:rPr>
      </w:pPr>
    </w:p>
    <w:p w14:paraId="633C9363" w14:textId="77777777" w:rsidR="00065FDB" w:rsidRDefault="00065FDB">
      <w:pPr>
        <w:rPr>
          <w:rFonts w:ascii="Garamond" w:hAnsi="Garamond" w:cs="Arial"/>
          <w:b/>
          <w:sz w:val="30"/>
          <w:szCs w:val="30"/>
        </w:rPr>
      </w:pPr>
    </w:p>
    <w:p w14:paraId="25EF232B" w14:textId="77777777" w:rsidR="00065FDB" w:rsidRDefault="00065FDB">
      <w:pPr>
        <w:rPr>
          <w:rFonts w:ascii="Garamond" w:hAnsi="Garamond" w:cs="Arial"/>
          <w:b/>
          <w:sz w:val="30"/>
          <w:szCs w:val="30"/>
        </w:rPr>
      </w:pPr>
    </w:p>
    <w:p w14:paraId="6224F92B" w14:textId="77777777" w:rsidR="00065FDB" w:rsidRPr="00C3104A" w:rsidRDefault="00065FDB">
      <w:pPr>
        <w:rPr>
          <w:rFonts w:ascii="Garamond" w:hAnsi="Garamond" w:cs="Arial"/>
          <w:b/>
          <w:sz w:val="30"/>
          <w:szCs w:val="30"/>
        </w:rPr>
      </w:pPr>
    </w:p>
    <w:p w14:paraId="2DF16650" w14:textId="77777777" w:rsidR="004F1C2F" w:rsidRPr="00C3104A" w:rsidRDefault="004F1C2F" w:rsidP="004F1C2F">
      <w:pPr>
        <w:jc w:val="both"/>
        <w:rPr>
          <w:rFonts w:ascii="Garamond" w:hAnsi="Garamond" w:cs="Arial"/>
          <w:b/>
          <w:sz w:val="30"/>
          <w:szCs w:val="30"/>
        </w:rPr>
      </w:pPr>
      <w:r w:rsidRPr="00C3104A">
        <w:rPr>
          <w:rFonts w:ascii="Garamond" w:hAnsi="Garamond" w:cs="Arial"/>
          <w:b/>
          <w:sz w:val="30"/>
          <w:szCs w:val="30"/>
        </w:rPr>
        <w:lastRenderedPageBreak/>
        <w:t>Article 18: Freedom of Religion &amp; Conscience</w:t>
      </w:r>
    </w:p>
    <w:p w14:paraId="4A619275" w14:textId="77777777" w:rsidR="00002C3F" w:rsidRDefault="00002C3F" w:rsidP="00002C3F">
      <w:pPr>
        <w:spacing w:line="360" w:lineRule="auto"/>
        <w:jc w:val="both"/>
        <w:rPr>
          <w:rFonts w:ascii="Garamond" w:hAnsi="Garamond" w:cs="Arial"/>
          <w:i/>
        </w:rPr>
      </w:pPr>
    </w:p>
    <w:p w14:paraId="4BF9E421" w14:textId="40BD0525" w:rsidR="007E599F" w:rsidRPr="00DB39D8" w:rsidRDefault="007E599F" w:rsidP="00002C3F">
      <w:pPr>
        <w:spacing w:line="360" w:lineRule="auto"/>
        <w:jc w:val="both"/>
        <w:rPr>
          <w:rFonts w:ascii="Garamond" w:hAnsi="Garamond" w:cs="Arial"/>
        </w:rPr>
      </w:pPr>
      <w:r>
        <w:rPr>
          <w:rFonts w:ascii="Garamond" w:hAnsi="Garamond" w:cs="Arial"/>
        </w:rPr>
        <w:t>Under the Covenant, every individual has</w:t>
      </w:r>
      <w:r w:rsidRPr="007E599F">
        <w:rPr>
          <w:rFonts w:ascii="Garamond" w:hAnsi="Garamond" w:cs="Arial"/>
        </w:rPr>
        <w:t xml:space="preserve"> the right to freedom of thought, conscience and religion</w:t>
      </w:r>
      <w:r>
        <w:rPr>
          <w:rFonts w:ascii="Garamond" w:hAnsi="Garamond" w:cs="Arial"/>
        </w:rPr>
        <w:t>.  Limitations on religious practices are narrow and only permitted when</w:t>
      </w:r>
      <w:r w:rsidRPr="007E599F">
        <w:rPr>
          <w:rFonts w:ascii="Times" w:hAnsi="Times"/>
          <w:color w:val="000000"/>
          <w:sz w:val="27"/>
          <w:szCs w:val="27"/>
          <w:shd w:val="clear" w:color="auto" w:fill="FFFFFF"/>
        </w:rPr>
        <w:t xml:space="preserve"> </w:t>
      </w:r>
      <w:r w:rsidRPr="007E599F">
        <w:rPr>
          <w:rFonts w:ascii="Garamond" w:hAnsi="Garamond" w:cs="Arial"/>
        </w:rPr>
        <w:t xml:space="preserve">prescribed by law </w:t>
      </w:r>
      <w:r>
        <w:rPr>
          <w:rFonts w:ascii="Garamond" w:hAnsi="Garamond" w:cs="Arial"/>
        </w:rPr>
        <w:t>to be necessary</w:t>
      </w:r>
      <w:r w:rsidRPr="007E599F">
        <w:rPr>
          <w:rFonts w:ascii="Garamond" w:hAnsi="Garamond" w:cs="Arial"/>
        </w:rPr>
        <w:t xml:space="preserve"> to protect public safety, order, health, or morals or the fundamental rights and freedoms of others</w:t>
      </w:r>
      <w:r w:rsidR="00690371">
        <w:rPr>
          <w:rFonts w:ascii="Garamond" w:hAnsi="Garamond" w:cs="Arial"/>
        </w:rPr>
        <w:t>.  General Comment 22 indicates that freedom of religion is “far-reaching and profound” and the Committee “views with concern…</w:t>
      </w:r>
      <w:r w:rsidR="00690371" w:rsidRPr="00690371">
        <w:rPr>
          <w:rFonts w:ascii="Garamond" w:hAnsi="Garamond" w:cs="Arial"/>
        </w:rPr>
        <w:t xml:space="preserve"> any tendency to discriminate against any religion or belief for any reason, including the fact that they </w:t>
      </w:r>
      <w:r w:rsidR="00690371">
        <w:rPr>
          <w:rFonts w:ascii="Garamond" w:hAnsi="Garamond" w:cs="Arial"/>
        </w:rPr>
        <w:t>…</w:t>
      </w:r>
      <w:r w:rsidR="00690371" w:rsidRPr="00690371">
        <w:rPr>
          <w:rFonts w:ascii="Garamond" w:hAnsi="Garamond" w:cs="Arial"/>
        </w:rPr>
        <w:t>represent religious minorities that may be the subject of hostility on the part of a predominant religious community.</w:t>
      </w:r>
      <w:r w:rsidR="00690371">
        <w:rPr>
          <w:rFonts w:ascii="Garamond" w:hAnsi="Garamond" w:cs="Arial"/>
        </w:rPr>
        <w:t>”</w:t>
      </w:r>
      <w:r w:rsidR="00690371">
        <w:rPr>
          <w:rStyle w:val="Funotenzeichen"/>
          <w:rFonts w:ascii="Garamond" w:hAnsi="Garamond" w:cs="Arial"/>
        </w:rPr>
        <w:footnoteReference w:id="14"/>
      </w:r>
      <w:r w:rsidR="00690371">
        <w:rPr>
          <w:rFonts w:ascii="Garamond" w:hAnsi="Garamond" w:cs="Arial"/>
        </w:rPr>
        <w:t xml:space="preserve"> </w:t>
      </w:r>
    </w:p>
    <w:p w14:paraId="4CB1AFB6" w14:textId="77777777" w:rsidR="007E599F" w:rsidRPr="00ED14BE" w:rsidRDefault="007E599F" w:rsidP="00002C3F">
      <w:pPr>
        <w:spacing w:line="360" w:lineRule="auto"/>
        <w:jc w:val="both"/>
        <w:rPr>
          <w:rFonts w:ascii="Garamond" w:hAnsi="Garamond" w:cs="Arial"/>
        </w:rPr>
      </w:pPr>
    </w:p>
    <w:p w14:paraId="634B0BD9" w14:textId="3893785D" w:rsidR="008D60AA" w:rsidRDefault="00B80C6D" w:rsidP="009D4485">
      <w:pPr>
        <w:spacing w:line="360" w:lineRule="auto"/>
        <w:jc w:val="both"/>
        <w:rPr>
          <w:rFonts w:ascii="Garamond" w:hAnsi="Garamond" w:cs="Arial"/>
        </w:rPr>
      </w:pPr>
      <w:r>
        <w:rPr>
          <w:rFonts w:ascii="Garamond" w:hAnsi="Garamond" w:cs="Arial"/>
        </w:rPr>
        <w:t>Though Christianity is the predominant religion</w:t>
      </w:r>
      <w:r w:rsidR="008D60AA">
        <w:rPr>
          <w:rFonts w:ascii="Garamond" w:hAnsi="Garamond" w:cs="Arial"/>
        </w:rPr>
        <w:t xml:space="preserve"> in Malawi</w:t>
      </w:r>
      <w:r>
        <w:rPr>
          <w:rFonts w:ascii="Garamond" w:hAnsi="Garamond" w:cs="Arial"/>
        </w:rPr>
        <w:t xml:space="preserve">, </w:t>
      </w:r>
      <w:r w:rsidR="008D60AA">
        <w:rPr>
          <w:rFonts w:ascii="Garamond" w:hAnsi="Garamond" w:cs="Arial"/>
        </w:rPr>
        <w:t>it</w:t>
      </w:r>
      <w:r w:rsidR="004A221D">
        <w:rPr>
          <w:rFonts w:ascii="Garamond" w:hAnsi="Garamond" w:cs="Arial"/>
        </w:rPr>
        <w:t xml:space="preserve"> is a country of diverse religions</w:t>
      </w:r>
      <w:r w:rsidR="009C7362">
        <w:rPr>
          <w:rFonts w:ascii="Garamond" w:hAnsi="Garamond" w:cs="Arial"/>
        </w:rPr>
        <w:t>,</w:t>
      </w:r>
      <w:r>
        <w:rPr>
          <w:rFonts w:ascii="Garamond" w:hAnsi="Garamond" w:cs="Arial"/>
        </w:rPr>
        <w:t xml:space="preserve"> traditions</w:t>
      </w:r>
      <w:r w:rsidR="004A221D">
        <w:rPr>
          <w:rFonts w:ascii="Garamond" w:hAnsi="Garamond" w:cs="Arial"/>
        </w:rPr>
        <w:t xml:space="preserve"> and beliefs.  </w:t>
      </w:r>
      <w:r w:rsidR="00002C3F" w:rsidRPr="00ED14BE">
        <w:rPr>
          <w:rFonts w:ascii="Garamond" w:hAnsi="Garamond" w:cs="Arial"/>
        </w:rPr>
        <w:t xml:space="preserve">There are </w:t>
      </w:r>
      <w:r w:rsidR="00F57D03">
        <w:rPr>
          <w:rFonts w:ascii="Garamond" w:hAnsi="Garamond" w:cs="Arial"/>
        </w:rPr>
        <w:t xml:space="preserve">secular </w:t>
      </w:r>
      <w:r w:rsidR="004A221D">
        <w:rPr>
          <w:rFonts w:ascii="Garamond" w:hAnsi="Garamond" w:cs="Arial"/>
        </w:rPr>
        <w:t>individuals</w:t>
      </w:r>
      <w:r w:rsidR="004A221D" w:rsidRPr="00ED14BE">
        <w:rPr>
          <w:rFonts w:ascii="Garamond" w:hAnsi="Garamond" w:cs="Arial"/>
        </w:rPr>
        <w:t xml:space="preserve"> </w:t>
      </w:r>
      <w:r w:rsidR="00F57D03">
        <w:rPr>
          <w:rFonts w:ascii="Garamond" w:hAnsi="Garamond" w:cs="Arial"/>
        </w:rPr>
        <w:t xml:space="preserve">and </w:t>
      </w:r>
      <w:proofErr w:type="spellStart"/>
      <w:r w:rsidR="00F57D03">
        <w:rPr>
          <w:rFonts w:ascii="Garamond" w:hAnsi="Garamond" w:cs="Arial"/>
        </w:rPr>
        <w:t>organi</w:t>
      </w:r>
      <w:r w:rsidR="009C7362">
        <w:rPr>
          <w:rFonts w:ascii="Garamond" w:hAnsi="Garamond" w:cs="Arial"/>
        </w:rPr>
        <w:t>s</w:t>
      </w:r>
      <w:r w:rsidR="00F57D03">
        <w:rPr>
          <w:rFonts w:ascii="Garamond" w:hAnsi="Garamond" w:cs="Arial"/>
        </w:rPr>
        <w:t>ations</w:t>
      </w:r>
      <w:proofErr w:type="spellEnd"/>
      <w:r w:rsidR="00F57D03">
        <w:rPr>
          <w:rFonts w:ascii="Garamond" w:hAnsi="Garamond" w:cs="Arial"/>
        </w:rPr>
        <w:t xml:space="preserve"> that operate within </w:t>
      </w:r>
      <w:r w:rsidR="00002C3F" w:rsidRPr="00ED14BE">
        <w:rPr>
          <w:rFonts w:ascii="Garamond" w:hAnsi="Garamond" w:cs="Arial"/>
        </w:rPr>
        <w:t>Malawi</w:t>
      </w:r>
      <w:r>
        <w:rPr>
          <w:rFonts w:ascii="Garamond" w:hAnsi="Garamond" w:cs="Arial"/>
        </w:rPr>
        <w:t xml:space="preserve"> as well as a number of</w:t>
      </w:r>
      <w:r w:rsidR="00002C3F" w:rsidRPr="00ED14BE">
        <w:rPr>
          <w:rFonts w:ascii="Garamond" w:hAnsi="Garamond" w:cs="Arial"/>
        </w:rPr>
        <w:t xml:space="preserve"> minority faiths such as </w:t>
      </w:r>
      <w:proofErr w:type="spellStart"/>
      <w:r w:rsidR="00002C3F" w:rsidRPr="00ED14BE">
        <w:rPr>
          <w:rFonts w:ascii="Garamond" w:hAnsi="Garamond" w:cs="Arial"/>
        </w:rPr>
        <w:t>Bahai</w:t>
      </w:r>
      <w:proofErr w:type="spellEnd"/>
      <w:r w:rsidR="00002C3F" w:rsidRPr="00ED14BE">
        <w:rPr>
          <w:rFonts w:ascii="Garamond" w:hAnsi="Garamond" w:cs="Arial"/>
        </w:rPr>
        <w:t>, Hindu, African Traditional Religions</w:t>
      </w:r>
      <w:r w:rsidR="0067642C">
        <w:rPr>
          <w:rFonts w:ascii="Garamond" w:hAnsi="Garamond" w:cs="Arial"/>
        </w:rPr>
        <w:t>,</w:t>
      </w:r>
      <w:r w:rsidR="00002C3F" w:rsidRPr="00ED14BE">
        <w:rPr>
          <w:rFonts w:ascii="Garamond" w:hAnsi="Garamond" w:cs="Arial"/>
        </w:rPr>
        <w:t xml:space="preserve"> </w:t>
      </w:r>
      <w:r>
        <w:rPr>
          <w:rFonts w:ascii="Garamond" w:hAnsi="Garamond" w:cs="Arial"/>
        </w:rPr>
        <w:t xml:space="preserve">and </w:t>
      </w:r>
      <w:r w:rsidR="00BF7756">
        <w:rPr>
          <w:rFonts w:ascii="Garamond" w:hAnsi="Garamond" w:cs="Arial"/>
        </w:rPr>
        <w:t>others</w:t>
      </w:r>
      <w:r w:rsidR="00002C3F" w:rsidRPr="00ED14BE">
        <w:rPr>
          <w:rFonts w:ascii="Garamond" w:hAnsi="Garamond" w:cs="Arial"/>
        </w:rPr>
        <w:t xml:space="preserve">. </w:t>
      </w:r>
    </w:p>
    <w:p w14:paraId="4969981A" w14:textId="77777777" w:rsidR="008D60AA" w:rsidRDefault="008D60AA" w:rsidP="009D4485">
      <w:pPr>
        <w:spacing w:line="360" w:lineRule="auto"/>
        <w:jc w:val="both"/>
        <w:rPr>
          <w:rFonts w:ascii="Garamond" w:hAnsi="Garamond" w:cs="Arial"/>
        </w:rPr>
      </w:pPr>
    </w:p>
    <w:p w14:paraId="1C3C64C7" w14:textId="50A9676A" w:rsidR="00002C3F" w:rsidRPr="00A932E1" w:rsidRDefault="00B80C6D" w:rsidP="009D4485">
      <w:pPr>
        <w:spacing w:line="360" w:lineRule="auto"/>
        <w:jc w:val="both"/>
        <w:rPr>
          <w:rFonts w:ascii="Garamond" w:hAnsi="Garamond" w:cs="Arial"/>
        </w:rPr>
      </w:pPr>
      <w:r>
        <w:rPr>
          <w:rFonts w:ascii="Garamond" w:hAnsi="Garamond" w:cs="Arial"/>
        </w:rPr>
        <w:t>Unfortunately, members of religions minority groups are routinely discriminated against.</w:t>
      </w:r>
      <w:r w:rsidR="008D60AA">
        <w:rPr>
          <w:rStyle w:val="Funotenzeichen"/>
          <w:rFonts w:ascii="Garamond" w:hAnsi="Garamond" w:cs="Arial"/>
        </w:rPr>
        <w:footnoteReference w:id="15"/>
      </w:r>
      <w:r w:rsidR="008D60AA">
        <w:rPr>
          <w:rFonts w:ascii="Garamond" w:hAnsi="Garamond" w:cs="Arial"/>
        </w:rPr>
        <w:t xml:space="preserve"> </w:t>
      </w:r>
      <w:r w:rsidR="007E599F">
        <w:rPr>
          <w:rFonts w:ascii="Garamond" w:hAnsi="Garamond" w:cs="Arial"/>
        </w:rPr>
        <w:t>In</w:t>
      </w:r>
      <w:r w:rsidR="00002C3F" w:rsidRPr="00ED14BE">
        <w:rPr>
          <w:rFonts w:ascii="Garamond" w:hAnsi="Garamond" w:cs="Arial"/>
        </w:rPr>
        <w:t xml:space="preserve"> September 2012 at </w:t>
      </w:r>
      <w:proofErr w:type="spellStart"/>
      <w:r w:rsidR="00002C3F" w:rsidRPr="00ED14BE">
        <w:rPr>
          <w:rFonts w:ascii="Garamond" w:hAnsi="Garamond" w:cs="Arial"/>
        </w:rPr>
        <w:t>Makapwa</w:t>
      </w:r>
      <w:proofErr w:type="spellEnd"/>
      <w:r w:rsidR="00002C3F" w:rsidRPr="00ED14BE">
        <w:rPr>
          <w:rFonts w:ascii="Garamond" w:hAnsi="Garamond" w:cs="Arial"/>
        </w:rPr>
        <w:t xml:space="preserve"> Primary School in </w:t>
      </w:r>
      <w:proofErr w:type="spellStart"/>
      <w:r w:rsidR="00002C3F" w:rsidRPr="00ED14BE">
        <w:rPr>
          <w:rFonts w:ascii="Garamond" w:hAnsi="Garamond" w:cs="Arial"/>
        </w:rPr>
        <w:t>Thyolo</w:t>
      </w:r>
      <w:proofErr w:type="spellEnd"/>
      <w:r w:rsidR="007E599F">
        <w:rPr>
          <w:rFonts w:ascii="Garamond" w:hAnsi="Garamond" w:cs="Arial"/>
        </w:rPr>
        <w:t xml:space="preserve">, </w:t>
      </w:r>
      <w:r w:rsidR="00002C3F" w:rsidRPr="00ED14BE">
        <w:rPr>
          <w:rFonts w:ascii="Garamond" w:hAnsi="Garamond" w:cs="Arial"/>
        </w:rPr>
        <w:t>the Headmaster of the school sent away three Rastafarian children for having dreadlocks.</w:t>
      </w:r>
      <w:r w:rsidR="003D30D1" w:rsidRPr="00ED14BE">
        <w:rPr>
          <w:rStyle w:val="Funotenzeichen"/>
          <w:rFonts w:ascii="Garamond" w:hAnsi="Garamond" w:cs="Arial"/>
        </w:rPr>
        <w:footnoteReference w:id="16"/>
      </w:r>
      <w:r w:rsidR="003D30D1">
        <w:rPr>
          <w:rFonts w:ascii="Garamond" w:hAnsi="Garamond" w:cs="Arial"/>
        </w:rPr>
        <w:t xml:space="preserve"> </w:t>
      </w:r>
      <w:r w:rsidR="00002C3F" w:rsidRPr="00ED14BE">
        <w:rPr>
          <w:rFonts w:ascii="Garamond" w:hAnsi="Garamond" w:cs="Arial"/>
        </w:rPr>
        <w:t xml:space="preserve">The Rastafarian community commented on the issue </w:t>
      </w:r>
      <w:r w:rsidR="00BB5D0F">
        <w:rPr>
          <w:rFonts w:ascii="Garamond" w:hAnsi="Garamond" w:cs="Arial"/>
        </w:rPr>
        <w:t xml:space="preserve">stating </w:t>
      </w:r>
      <w:r w:rsidR="00002C3F" w:rsidRPr="00ED14BE">
        <w:rPr>
          <w:rFonts w:ascii="Garamond" w:hAnsi="Garamond" w:cs="Arial"/>
        </w:rPr>
        <w:t>that their children were being denied the right to education due to their religious belief.</w:t>
      </w:r>
      <w:r w:rsidR="003D30D1">
        <w:rPr>
          <w:rStyle w:val="Funotenzeichen"/>
          <w:rFonts w:ascii="Garamond" w:hAnsi="Garamond" w:cs="Arial"/>
        </w:rPr>
        <w:footnoteReference w:id="17"/>
      </w:r>
      <w:r w:rsidR="00F46687">
        <w:rPr>
          <w:rFonts w:ascii="Garamond" w:hAnsi="Garamond" w:cs="Arial"/>
        </w:rPr>
        <w:t xml:space="preserve"> The State Party must protect the r</w:t>
      </w:r>
      <w:r w:rsidR="00002C3F" w:rsidRPr="00ED14BE">
        <w:rPr>
          <w:rFonts w:ascii="Garamond" w:hAnsi="Garamond" w:cs="Arial"/>
        </w:rPr>
        <w:t xml:space="preserve">ight to freedom of religion and conscience </w:t>
      </w:r>
      <w:r w:rsidR="00F46687" w:rsidRPr="00ED14BE">
        <w:rPr>
          <w:rFonts w:ascii="Garamond" w:hAnsi="Garamond" w:cs="Arial"/>
        </w:rPr>
        <w:t>with</w:t>
      </w:r>
      <w:r w:rsidR="00F46687">
        <w:rPr>
          <w:rFonts w:ascii="Garamond" w:hAnsi="Garamond" w:cs="Arial"/>
        </w:rPr>
        <w:t>in</w:t>
      </w:r>
      <w:r w:rsidR="00F46687" w:rsidRPr="00ED14BE">
        <w:rPr>
          <w:rFonts w:ascii="Garamond" w:hAnsi="Garamond" w:cs="Arial"/>
        </w:rPr>
        <w:t xml:space="preserve"> school policie</w:t>
      </w:r>
      <w:r w:rsidR="00F46687" w:rsidRPr="00A932E1">
        <w:rPr>
          <w:rFonts w:ascii="Garamond" w:hAnsi="Garamond" w:cs="Arial"/>
        </w:rPr>
        <w:t xml:space="preserve">s and guidelines in compliance with its duties under the ICCPR as well as </w:t>
      </w:r>
      <w:r w:rsidR="00002C3F" w:rsidRPr="00A932E1">
        <w:rPr>
          <w:rFonts w:ascii="Garamond" w:hAnsi="Garamond" w:cs="Arial"/>
        </w:rPr>
        <w:t>in view of section 44(1) of the State Party’s Constitution</w:t>
      </w:r>
      <w:r w:rsidR="00F46687" w:rsidRPr="00A932E1">
        <w:rPr>
          <w:rFonts w:ascii="Garamond" w:hAnsi="Garamond" w:cs="Arial"/>
        </w:rPr>
        <w:t>.</w:t>
      </w:r>
      <w:r w:rsidR="004D7B60">
        <w:rPr>
          <w:rStyle w:val="Funotenzeichen"/>
          <w:rFonts w:ascii="Garamond" w:hAnsi="Garamond" w:cs="Arial"/>
        </w:rPr>
        <w:footnoteReference w:id="18"/>
      </w:r>
    </w:p>
    <w:p w14:paraId="53F2EAB4" w14:textId="77777777" w:rsidR="00002C3F" w:rsidRDefault="00002C3F" w:rsidP="00DB39D8">
      <w:pPr>
        <w:spacing w:line="360" w:lineRule="auto"/>
        <w:jc w:val="both"/>
        <w:rPr>
          <w:rFonts w:ascii="Garamond" w:hAnsi="Garamond" w:cs="Arial"/>
        </w:rPr>
      </w:pPr>
    </w:p>
    <w:p w14:paraId="5451078D" w14:textId="601CD1AC" w:rsidR="009C7362" w:rsidRPr="00A932E1" w:rsidRDefault="007F21F8" w:rsidP="00DB39D8">
      <w:pPr>
        <w:spacing w:line="360" w:lineRule="auto"/>
        <w:jc w:val="both"/>
        <w:rPr>
          <w:rFonts w:ascii="Garamond" w:hAnsi="Garamond" w:cs="Arial"/>
        </w:rPr>
      </w:pPr>
      <w:r>
        <w:rPr>
          <w:rFonts w:ascii="Garamond" w:hAnsi="Garamond" w:cs="Arial"/>
        </w:rPr>
        <w:t>Recommendation</w:t>
      </w:r>
      <w:r w:rsidR="009C7362">
        <w:rPr>
          <w:rFonts w:ascii="Garamond" w:hAnsi="Garamond" w:cs="Arial"/>
        </w:rPr>
        <w:t>:</w:t>
      </w:r>
    </w:p>
    <w:p w14:paraId="10CB859E" w14:textId="02BBAADA" w:rsidR="00BA59E9" w:rsidRPr="00DB39D8" w:rsidRDefault="008D60AA" w:rsidP="00DB39D8">
      <w:pPr>
        <w:pStyle w:val="Listenabsatz"/>
        <w:numPr>
          <w:ilvl w:val="0"/>
          <w:numId w:val="4"/>
        </w:numPr>
        <w:spacing w:line="360" w:lineRule="auto"/>
        <w:rPr>
          <w:rFonts w:ascii="Garamond" w:hAnsi="Garamond" w:cs="Arial"/>
        </w:rPr>
      </w:pPr>
      <w:r w:rsidRPr="00DB39D8">
        <w:rPr>
          <w:rFonts w:ascii="Garamond" w:hAnsi="Garamond" w:cs="Arial"/>
        </w:rPr>
        <w:t xml:space="preserve">The State must take action to ensure members of religious </w:t>
      </w:r>
      <w:r w:rsidR="00A932E1">
        <w:rPr>
          <w:rFonts w:ascii="Garamond" w:hAnsi="Garamond" w:cs="Arial"/>
        </w:rPr>
        <w:t xml:space="preserve">minorities are not discriminated against on the basis of their religious beliefs.  </w:t>
      </w:r>
    </w:p>
    <w:p w14:paraId="0B7F26CC" w14:textId="77777777" w:rsidR="008D60AA" w:rsidRDefault="008D60AA" w:rsidP="00DB39D8">
      <w:pPr>
        <w:pStyle w:val="Listenabsatz"/>
        <w:spacing w:line="360" w:lineRule="auto"/>
        <w:rPr>
          <w:rFonts w:ascii="Garamond" w:hAnsi="Garamond" w:cs="Arial"/>
          <w:sz w:val="30"/>
          <w:szCs w:val="30"/>
        </w:rPr>
      </w:pPr>
    </w:p>
    <w:p w14:paraId="78197BD8" w14:textId="77777777" w:rsidR="00065FDB" w:rsidRPr="00DB39D8" w:rsidRDefault="00065FDB" w:rsidP="00DB39D8">
      <w:pPr>
        <w:pStyle w:val="Listenabsatz"/>
        <w:spacing w:line="360" w:lineRule="auto"/>
        <w:rPr>
          <w:rFonts w:ascii="Garamond" w:hAnsi="Garamond" w:cs="Arial"/>
          <w:sz w:val="30"/>
          <w:szCs w:val="30"/>
        </w:rPr>
      </w:pPr>
    </w:p>
    <w:p w14:paraId="376C74D7" w14:textId="77777777" w:rsidR="004F1C2F" w:rsidRPr="00961C6E" w:rsidRDefault="004F1C2F" w:rsidP="00DB39D8">
      <w:pPr>
        <w:spacing w:line="360" w:lineRule="auto"/>
        <w:rPr>
          <w:rFonts w:ascii="Garamond" w:hAnsi="Garamond" w:cs="Arial"/>
          <w:b/>
          <w:sz w:val="30"/>
          <w:szCs w:val="30"/>
        </w:rPr>
      </w:pPr>
      <w:r w:rsidRPr="00961C6E">
        <w:rPr>
          <w:rFonts w:ascii="Garamond" w:hAnsi="Garamond" w:cs="Arial"/>
          <w:b/>
          <w:sz w:val="30"/>
          <w:szCs w:val="30"/>
        </w:rPr>
        <w:lastRenderedPageBreak/>
        <w:t>Article 19: Freedom of Expression/Opinion</w:t>
      </w:r>
    </w:p>
    <w:p w14:paraId="126BB753" w14:textId="77777777" w:rsidR="002441DA" w:rsidRDefault="002441DA" w:rsidP="00DB39D8">
      <w:pPr>
        <w:spacing w:line="360" w:lineRule="auto"/>
        <w:jc w:val="both"/>
        <w:rPr>
          <w:rFonts w:ascii="Garamond" w:hAnsi="Garamond" w:cs="Arial"/>
        </w:rPr>
      </w:pPr>
    </w:p>
    <w:p w14:paraId="55E8143F" w14:textId="77777777" w:rsidR="009D4485" w:rsidRPr="009D4485" w:rsidRDefault="009D4485" w:rsidP="00DB39D8">
      <w:pPr>
        <w:spacing w:line="360" w:lineRule="auto"/>
        <w:jc w:val="both"/>
        <w:rPr>
          <w:rFonts w:ascii="Garamond" w:hAnsi="Garamond" w:cs="Arial"/>
        </w:rPr>
      </w:pPr>
      <w:r w:rsidRPr="009D4485">
        <w:rPr>
          <w:rFonts w:ascii="Garamond" w:hAnsi="Garamond" w:cs="Arial"/>
        </w:rPr>
        <w:t>Article 19 of the Covenant affirms the rights of free expression and opinion. In a General Comment, the Committee made clear that both of freedom of expression and opinion represent “the foundation stone for every free and democratic society.”</w:t>
      </w:r>
      <w:r w:rsidRPr="009D4485">
        <w:rPr>
          <w:rFonts w:ascii="Garamond" w:hAnsi="Garamond" w:cs="Arial"/>
          <w:vertAlign w:val="superscript"/>
        </w:rPr>
        <w:footnoteReference w:id="19"/>
      </w:r>
      <w:r w:rsidRPr="009D4485">
        <w:rPr>
          <w:rFonts w:ascii="Garamond" w:hAnsi="Garamond" w:cs="Arial"/>
        </w:rPr>
        <w:t xml:space="preserve">  All domestic laws should uphold freedom of expression, and media within the State must be able to operate without “censorship or restraint.” Freedom of opinion extends to all areas of society, including “political discourse,” “discussion of human rights,” and “journalism.” </w:t>
      </w:r>
    </w:p>
    <w:p w14:paraId="435DA92D" w14:textId="77777777" w:rsidR="009D4485" w:rsidRPr="009D4485" w:rsidRDefault="009D4485" w:rsidP="00DB39D8">
      <w:pPr>
        <w:spacing w:line="360" w:lineRule="auto"/>
        <w:jc w:val="both"/>
        <w:rPr>
          <w:rFonts w:ascii="Garamond" w:hAnsi="Garamond" w:cs="Arial"/>
        </w:rPr>
      </w:pPr>
    </w:p>
    <w:p w14:paraId="7B2FF996" w14:textId="77777777" w:rsidR="009D4485" w:rsidRPr="009D4485" w:rsidRDefault="009D4485" w:rsidP="00DB39D8">
      <w:pPr>
        <w:spacing w:line="360" w:lineRule="auto"/>
        <w:jc w:val="both"/>
        <w:rPr>
          <w:rFonts w:ascii="Garamond" w:hAnsi="Garamond" w:cs="Arial"/>
        </w:rPr>
      </w:pPr>
      <w:r w:rsidRPr="009D4485">
        <w:rPr>
          <w:rFonts w:ascii="Garamond" w:hAnsi="Garamond" w:cs="Arial"/>
        </w:rPr>
        <w:t>Specifically, Article 19 asserts that, “everyone shall have the right to hold opinions without interference; and that everyone shall have the right to freedom of expression; this right shall include freedom to seek, receive and impart information and ideas of all kinds.” The freedoms to hold and express opinions have been enshrined repeatedly by the Human Rights Committee as central to the human rights system and the ICCPR.  In General Comment No. 22, the Committee states that Article 19.1 includes the right of everyone to hold opinions without interference and that this right is unconditional.</w:t>
      </w:r>
      <w:r w:rsidRPr="009D4485">
        <w:rPr>
          <w:rFonts w:ascii="Garamond" w:hAnsi="Garamond" w:cs="Arial"/>
          <w:vertAlign w:val="superscript"/>
        </w:rPr>
        <w:footnoteReference w:id="20"/>
      </w:r>
      <w:r w:rsidRPr="009D4485">
        <w:rPr>
          <w:rFonts w:ascii="Garamond" w:hAnsi="Garamond" w:cs="Arial"/>
        </w:rPr>
        <w:t xml:space="preserve"> The Human Rights Committee stated in General Comment No. 25 that a commentary on public issues without censorship or restraint is vital to informed public opinion.</w:t>
      </w:r>
      <w:r w:rsidRPr="009D4485">
        <w:rPr>
          <w:rFonts w:ascii="Garamond" w:hAnsi="Garamond" w:cs="Arial"/>
          <w:vertAlign w:val="superscript"/>
        </w:rPr>
        <w:footnoteReference w:id="21"/>
      </w:r>
    </w:p>
    <w:p w14:paraId="08394688" w14:textId="77777777" w:rsidR="009D4485" w:rsidRDefault="009D4485" w:rsidP="00DB39D8">
      <w:pPr>
        <w:spacing w:line="360" w:lineRule="auto"/>
        <w:jc w:val="both"/>
        <w:rPr>
          <w:rFonts w:ascii="Garamond" w:hAnsi="Garamond" w:cs="Arial"/>
        </w:rPr>
      </w:pPr>
    </w:p>
    <w:p w14:paraId="15050B19" w14:textId="77777777" w:rsidR="00C3104A" w:rsidRDefault="00C3104A" w:rsidP="00DB39D8">
      <w:pPr>
        <w:spacing w:line="360" w:lineRule="auto"/>
        <w:jc w:val="both"/>
        <w:rPr>
          <w:rFonts w:ascii="Garamond" w:hAnsi="Garamond" w:cs="Arial"/>
          <w:b/>
          <w:i/>
        </w:rPr>
      </w:pPr>
    </w:p>
    <w:p w14:paraId="7D87790C" w14:textId="77777777" w:rsidR="00C3104A" w:rsidRDefault="00C3104A" w:rsidP="00DB39D8">
      <w:pPr>
        <w:spacing w:line="360" w:lineRule="auto"/>
        <w:jc w:val="both"/>
        <w:rPr>
          <w:rFonts w:ascii="Garamond" w:hAnsi="Garamond" w:cs="Arial"/>
          <w:b/>
          <w:i/>
        </w:rPr>
      </w:pPr>
    </w:p>
    <w:p w14:paraId="1F38CC13" w14:textId="60F9B93C" w:rsidR="002441DA" w:rsidRPr="00DB39D8" w:rsidRDefault="002441DA" w:rsidP="00DB39D8">
      <w:pPr>
        <w:spacing w:line="360" w:lineRule="auto"/>
        <w:jc w:val="both"/>
        <w:rPr>
          <w:rFonts w:ascii="Garamond" w:hAnsi="Garamond" w:cs="Arial"/>
          <w:b/>
          <w:i/>
        </w:rPr>
      </w:pPr>
      <w:r w:rsidRPr="00DB39D8">
        <w:rPr>
          <w:rFonts w:ascii="Garamond" w:hAnsi="Garamond" w:cs="Arial"/>
          <w:b/>
          <w:i/>
        </w:rPr>
        <w:t>Access to Information</w:t>
      </w:r>
    </w:p>
    <w:p w14:paraId="7724FF63" w14:textId="11AA3AF9" w:rsidR="00002C3F" w:rsidRPr="00ED14BE" w:rsidRDefault="00A932E1" w:rsidP="00A355D1">
      <w:pPr>
        <w:spacing w:line="360" w:lineRule="auto"/>
        <w:jc w:val="both"/>
        <w:rPr>
          <w:rFonts w:ascii="Garamond" w:hAnsi="Garamond" w:cs="Arial"/>
        </w:rPr>
      </w:pPr>
      <w:r>
        <w:rPr>
          <w:rFonts w:ascii="Garamond" w:hAnsi="Garamond" w:cs="Arial"/>
        </w:rPr>
        <w:t>In Malawi, t</w:t>
      </w:r>
      <w:r w:rsidR="00002C3F" w:rsidRPr="00ED14BE">
        <w:rPr>
          <w:rFonts w:ascii="Garamond" w:hAnsi="Garamond" w:cs="Arial"/>
        </w:rPr>
        <w:t xml:space="preserve">he right of access to information is guaranteed under section 37 of the Constitution. However, there are three challenges </w:t>
      </w:r>
      <w:r w:rsidR="00D450D2">
        <w:rPr>
          <w:rFonts w:ascii="Garamond" w:hAnsi="Garamond" w:cs="Arial"/>
        </w:rPr>
        <w:t xml:space="preserve">people in Malawi face regarding </w:t>
      </w:r>
      <w:r w:rsidR="00002C3F" w:rsidRPr="00ED14BE">
        <w:rPr>
          <w:rFonts w:ascii="Garamond" w:hAnsi="Garamond" w:cs="Arial"/>
        </w:rPr>
        <w:t>access to information. First, the wording of the constitutional provision is v</w:t>
      </w:r>
      <w:r w:rsidR="00D450D2">
        <w:rPr>
          <w:rFonts w:ascii="Garamond" w:hAnsi="Garamond" w:cs="Arial"/>
        </w:rPr>
        <w:t>ague, offering an imprecise measure of when an individual has a right to access the information.</w:t>
      </w:r>
      <w:r w:rsidR="00002C3F" w:rsidRPr="00ED14BE">
        <w:rPr>
          <w:rFonts w:ascii="Garamond" w:hAnsi="Garamond" w:cs="Arial"/>
        </w:rPr>
        <w:t xml:space="preserve"> </w:t>
      </w:r>
      <w:r w:rsidR="00D450D2">
        <w:rPr>
          <w:rFonts w:ascii="Garamond" w:hAnsi="Garamond" w:cs="Arial"/>
        </w:rPr>
        <w:t>The Constitutional provision</w:t>
      </w:r>
      <w:r w:rsidR="00002C3F" w:rsidRPr="00ED14BE">
        <w:rPr>
          <w:rFonts w:ascii="Garamond" w:hAnsi="Garamond" w:cs="Arial"/>
        </w:rPr>
        <w:t xml:space="preserve"> provides as follows:</w:t>
      </w:r>
    </w:p>
    <w:p w14:paraId="61667E30" w14:textId="77777777" w:rsidR="00002C3F" w:rsidRPr="00ED14BE" w:rsidRDefault="00002C3F" w:rsidP="0081352A">
      <w:pPr>
        <w:spacing w:line="360" w:lineRule="auto"/>
        <w:ind w:left="810" w:right="1440"/>
        <w:jc w:val="both"/>
        <w:rPr>
          <w:rFonts w:ascii="Garamond" w:hAnsi="Garamond" w:cs="Arial"/>
        </w:rPr>
      </w:pPr>
    </w:p>
    <w:p w14:paraId="3403CFC7" w14:textId="4C4EBD5F" w:rsidR="00002C3F" w:rsidRPr="00ED14BE" w:rsidRDefault="0081352A" w:rsidP="0081352A">
      <w:pPr>
        <w:spacing w:line="360" w:lineRule="auto"/>
        <w:ind w:left="1350" w:right="1440"/>
        <w:jc w:val="both"/>
        <w:rPr>
          <w:rFonts w:ascii="Garamond" w:hAnsi="Garamond" w:cs="Arial"/>
          <w:sz w:val="22"/>
          <w:szCs w:val="22"/>
        </w:rPr>
      </w:pPr>
      <w:r>
        <w:rPr>
          <w:rFonts w:ascii="Garamond" w:hAnsi="Garamond" w:cs="Arial"/>
        </w:rPr>
        <w:t>“</w:t>
      </w:r>
      <w:r w:rsidR="00002C3F" w:rsidRPr="00ED14BE">
        <w:rPr>
          <w:rFonts w:ascii="Garamond" w:hAnsi="Garamond" w:cs="Arial"/>
          <w:sz w:val="22"/>
          <w:szCs w:val="22"/>
        </w:rPr>
        <w:t xml:space="preserve">Subject to any Act of Parliament, every person shall have the right of access to all information held by the State or any of its organs at any level of </w:t>
      </w:r>
      <w:r w:rsidR="00002C3F" w:rsidRPr="00ED14BE">
        <w:rPr>
          <w:rFonts w:ascii="Garamond" w:hAnsi="Garamond" w:cs="Arial"/>
          <w:sz w:val="22"/>
          <w:szCs w:val="22"/>
        </w:rPr>
        <w:lastRenderedPageBreak/>
        <w:t>Government in so far as such information is required for the exercise of his rights.</w:t>
      </w:r>
      <w:r>
        <w:rPr>
          <w:rFonts w:ascii="Garamond" w:hAnsi="Garamond" w:cs="Arial"/>
          <w:sz w:val="22"/>
          <w:szCs w:val="22"/>
        </w:rPr>
        <w:t>”</w:t>
      </w:r>
    </w:p>
    <w:p w14:paraId="1146E50E" w14:textId="77777777" w:rsidR="00002C3F" w:rsidRPr="00ED14BE" w:rsidRDefault="00002C3F" w:rsidP="00002C3F">
      <w:pPr>
        <w:spacing w:line="360" w:lineRule="auto"/>
        <w:jc w:val="both"/>
        <w:rPr>
          <w:rFonts w:ascii="Garamond" w:hAnsi="Garamond" w:cs="Arial"/>
        </w:rPr>
      </w:pPr>
    </w:p>
    <w:p w14:paraId="67CE02CE" w14:textId="313C3F6A" w:rsidR="00002C3F" w:rsidRPr="00ED14BE" w:rsidRDefault="00002C3F" w:rsidP="00002C3F">
      <w:pPr>
        <w:spacing w:line="360" w:lineRule="auto"/>
        <w:jc w:val="both"/>
        <w:rPr>
          <w:rFonts w:ascii="Garamond" w:hAnsi="Garamond" w:cs="Arial"/>
        </w:rPr>
      </w:pPr>
      <w:r w:rsidRPr="00ED14BE">
        <w:rPr>
          <w:rFonts w:ascii="Garamond" w:hAnsi="Garamond" w:cs="Arial"/>
        </w:rPr>
        <w:t xml:space="preserve">By linking the right of access to all information to the </w:t>
      </w:r>
      <w:r w:rsidR="001D24AD">
        <w:rPr>
          <w:rFonts w:ascii="Garamond" w:hAnsi="Garamond" w:cs="Arial"/>
        </w:rPr>
        <w:t xml:space="preserve">ability to demonstrate the need or existence to </w:t>
      </w:r>
      <w:r w:rsidRPr="00ED14BE">
        <w:rPr>
          <w:rFonts w:ascii="Garamond" w:hAnsi="Garamond" w:cs="Arial"/>
        </w:rPr>
        <w:t xml:space="preserve">exercise of </w:t>
      </w:r>
      <w:r w:rsidR="001D24AD">
        <w:rPr>
          <w:rFonts w:ascii="Garamond" w:hAnsi="Garamond" w:cs="Arial"/>
        </w:rPr>
        <w:t>a</w:t>
      </w:r>
      <w:r w:rsidRPr="00ED14BE">
        <w:rPr>
          <w:rFonts w:ascii="Garamond" w:hAnsi="Garamond" w:cs="Arial"/>
        </w:rPr>
        <w:t xml:space="preserve"> right, the right is rendered illusory to those that may require information from the State but are unable to demonstrate the right for </w:t>
      </w:r>
      <w:r w:rsidR="002441DA">
        <w:rPr>
          <w:rFonts w:ascii="Garamond" w:hAnsi="Garamond" w:cs="Arial"/>
        </w:rPr>
        <w:t>what</w:t>
      </w:r>
      <w:r w:rsidR="002441DA" w:rsidRPr="00ED14BE">
        <w:rPr>
          <w:rFonts w:ascii="Garamond" w:hAnsi="Garamond" w:cs="Arial"/>
        </w:rPr>
        <w:t xml:space="preserve"> </w:t>
      </w:r>
      <w:r w:rsidRPr="00ED14BE">
        <w:rPr>
          <w:rFonts w:ascii="Garamond" w:hAnsi="Garamond" w:cs="Arial"/>
        </w:rPr>
        <w:t>such information shall be exercised. Many states on the continent no longer have ‘the requirement for the exercise of his rights’.</w:t>
      </w:r>
      <w:r w:rsidRPr="00ED14BE">
        <w:rPr>
          <w:rStyle w:val="Funotenzeichen"/>
          <w:rFonts w:ascii="Garamond" w:hAnsi="Garamond" w:cs="Arial"/>
        </w:rPr>
        <w:footnoteReference w:id="22"/>
      </w:r>
      <w:r w:rsidRPr="00ED14BE">
        <w:rPr>
          <w:rFonts w:ascii="Garamond" w:hAnsi="Garamond" w:cs="Arial"/>
        </w:rPr>
        <w:t xml:space="preserve"> The wording of the provision also assumes that all rights, for which the information will be sought for, will necessarily have to be exercised. Some rights are just demanded without necessarily being exercised. For instance, the right to a clean environment cannot be exercised. It can only be demanded or safeguarded. </w:t>
      </w:r>
    </w:p>
    <w:p w14:paraId="654E85EE" w14:textId="77777777" w:rsidR="00002C3F" w:rsidRPr="00ED14BE" w:rsidRDefault="00002C3F" w:rsidP="00002C3F">
      <w:pPr>
        <w:spacing w:line="360" w:lineRule="auto"/>
        <w:jc w:val="both"/>
        <w:rPr>
          <w:rFonts w:ascii="Garamond" w:hAnsi="Garamond" w:cs="Arial"/>
        </w:rPr>
      </w:pPr>
    </w:p>
    <w:p w14:paraId="1074E749" w14:textId="7A5C6266" w:rsidR="00002C3F" w:rsidRPr="00ED14BE" w:rsidRDefault="00002C3F" w:rsidP="00002C3F">
      <w:pPr>
        <w:spacing w:line="360" w:lineRule="auto"/>
        <w:jc w:val="both"/>
        <w:rPr>
          <w:rFonts w:ascii="Garamond" w:hAnsi="Garamond" w:cs="Arial"/>
        </w:rPr>
      </w:pPr>
      <w:r w:rsidRPr="00ED14BE">
        <w:rPr>
          <w:rFonts w:ascii="Garamond" w:hAnsi="Garamond" w:cs="Arial"/>
        </w:rPr>
        <w:t xml:space="preserve">Second, there are many sections in the Penal Code that </w:t>
      </w:r>
      <w:proofErr w:type="spellStart"/>
      <w:r w:rsidRPr="00ED14BE">
        <w:rPr>
          <w:rFonts w:ascii="Garamond" w:hAnsi="Garamond" w:cs="Arial"/>
        </w:rPr>
        <w:t>criminalise</w:t>
      </w:r>
      <w:proofErr w:type="spellEnd"/>
      <w:r w:rsidRPr="00ED14BE">
        <w:rPr>
          <w:rFonts w:ascii="Garamond" w:hAnsi="Garamond" w:cs="Arial"/>
        </w:rPr>
        <w:t xml:space="preserve"> free expression of opinions.</w:t>
      </w:r>
      <w:r w:rsidRPr="00ED14BE">
        <w:rPr>
          <w:rStyle w:val="Funotenzeichen"/>
          <w:rFonts w:ascii="Garamond" w:hAnsi="Garamond" w:cs="Arial"/>
        </w:rPr>
        <w:footnoteReference w:id="23"/>
      </w:r>
      <w:r w:rsidRPr="00ED14BE">
        <w:rPr>
          <w:rFonts w:ascii="Garamond" w:hAnsi="Garamond" w:cs="Arial"/>
        </w:rPr>
        <w:t xml:space="preserve"> There is no enabling legislation to give full effect to section 37 of the Constitution. The Access to Information Bill (the Bill) </w:t>
      </w:r>
      <w:r w:rsidR="00873BE2">
        <w:rPr>
          <w:rFonts w:ascii="Garamond" w:hAnsi="Garamond" w:cs="Arial"/>
        </w:rPr>
        <w:t>was first introduced</w:t>
      </w:r>
      <w:r w:rsidRPr="00ED14BE">
        <w:rPr>
          <w:rFonts w:ascii="Garamond" w:hAnsi="Garamond" w:cs="Arial"/>
        </w:rPr>
        <w:t xml:space="preserve"> eight years </w:t>
      </w:r>
      <w:r w:rsidR="00873BE2">
        <w:rPr>
          <w:rFonts w:ascii="Garamond" w:hAnsi="Garamond" w:cs="Arial"/>
        </w:rPr>
        <w:t>ago but has still not become law</w:t>
      </w:r>
      <w:r w:rsidRPr="00ED14BE">
        <w:rPr>
          <w:rFonts w:ascii="Garamond" w:hAnsi="Garamond" w:cs="Arial"/>
        </w:rPr>
        <w:t>. The importance of this Bill cannot be over-</w:t>
      </w:r>
      <w:proofErr w:type="spellStart"/>
      <w:r w:rsidRPr="00ED14BE">
        <w:rPr>
          <w:rFonts w:ascii="Garamond" w:hAnsi="Garamond" w:cs="Arial"/>
        </w:rPr>
        <w:t>emphasised</w:t>
      </w:r>
      <w:proofErr w:type="spellEnd"/>
      <w:r w:rsidRPr="00ED14BE">
        <w:rPr>
          <w:rFonts w:ascii="Garamond" w:hAnsi="Garamond" w:cs="Arial"/>
        </w:rPr>
        <w:t xml:space="preserve">. If passed into law, it will allow journalists, lawyers, accountants, teachers, researchers </w:t>
      </w:r>
      <w:r w:rsidR="00873BE2">
        <w:rPr>
          <w:rFonts w:ascii="Garamond" w:hAnsi="Garamond" w:cs="Arial"/>
        </w:rPr>
        <w:t>and</w:t>
      </w:r>
      <w:r w:rsidR="00873BE2" w:rsidRPr="00ED14BE">
        <w:rPr>
          <w:rFonts w:ascii="Garamond" w:hAnsi="Garamond" w:cs="Arial"/>
        </w:rPr>
        <w:t xml:space="preserve"> </w:t>
      </w:r>
      <w:r w:rsidRPr="00ED14BE">
        <w:rPr>
          <w:rFonts w:ascii="Garamond" w:hAnsi="Garamond" w:cs="Arial"/>
        </w:rPr>
        <w:t xml:space="preserve">others to freely access public information. </w:t>
      </w:r>
    </w:p>
    <w:p w14:paraId="6FD99D9B" w14:textId="77777777" w:rsidR="00002C3F" w:rsidRDefault="00002C3F" w:rsidP="00002C3F">
      <w:pPr>
        <w:jc w:val="both"/>
        <w:rPr>
          <w:rFonts w:ascii="Garamond" w:hAnsi="Garamond" w:cs="Arial"/>
        </w:rPr>
      </w:pPr>
    </w:p>
    <w:p w14:paraId="6F598246" w14:textId="77777777" w:rsidR="003B7C34" w:rsidRDefault="003B7C34" w:rsidP="00002C3F">
      <w:pPr>
        <w:jc w:val="both"/>
        <w:rPr>
          <w:rFonts w:ascii="Garamond" w:hAnsi="Garamond" w:cs="Arial"/>
          <w:b/>
          <w:i/>
        </w:rPr>
      </w:pPr>
    </w:p>
    <w:p w14:paraId="0A802518" w14:textId="431946F7" w:rsidR="00002C3F" w:rsidRPr="000939DD" w:rsidRDefault="00002C3F" w:rsidP="00002C3F">
      <w:pPr>
        <w:jc w:val="both"/>
        <w:rPr>
          <w:rFonts w:ascii="Garamond" w:hAnsi="Garamond" w:cs="Arial"/>
          <w:b/>
          <w:i/>
        </w:rPr>
      </w:pPr>
      <w:r w:rsidRPr="000939DD">
        <w:rPr>
          <w:rFonts w:ascii="Garamond" w:hAnsi="Garamond" w:cs="Arial"/>
          <w:b/>
          <w:i/>
        </w:rPr>
        <w:t>Right to free</w:t>
      </w:r>
      <w:r w:rsidR="009C7362" w:rsidRPr="000939DD">
        <w:rPr>
          <w:rFonts w:ascii="Garamond" w:hAnsi="Garamond" w:cs="Arial"/>
          <w:b/>
          <w:i/>
        </w:rPr>
        <w:t>dom of</w:t>
      </w:r>
      <w:r w:rsidRPr="000939DD">
        <w:rPr>
          <w:rFonts w:ascii="Garamond" w:hAnsi="Garamond" w:cs="Arial"/>
          <w:b/>
          <w:i/>
        </w:rPr>
        <w:t xml:space="preserve"> association</w:t>
      </w:r>
    </w:p>
    <w:p w14:paraId="711BBED7" w14:textId="77777777" w:rsidR="00002C3F" w:rsidRPr="000939DD" w:rsidRDefault="00002C3F" w:rsidP="00002C3F">
      <w:pPr>
        <w:jc w:val="both"/>
        <w:rPr>
          <w:rFonts w:ascii="Garamond" w:hAnsi="Garamond" w:cs="Arial"/>
          <w:i/>
        </w:rPr>
      </w:pPr>
    </w:p>
    <w:p w14:paraId="03347904" w14:textId="3BC43DA2" w:rsidR="00433C6A" w:rsidRPr="000939DD" w:rsidRDefault="00433C6A" w:rsidP="00002C3F">
      <w:pPr>
        <w:spacing w:line="360" w:lineRule="auto"/>
        <w:jc w:val="both"/>
        <w:rPr>
          <w:rFonts w:ascii="Garamond" w:hAnsi="Garamond" w:cs="Arial"/>
        </w:rPr>
      </w:pPr>
      <w:r w:rsidRPr="000939DD">
        <w:rPr>
          <w:rFonts w:ascii="Garamond" w:hAnsi="Garamond" w:cs="Arial"/>
        </w:rPr>
        <w:t>The right to free</w:t>
      </w:r>
      <w:r w:rsidR="009C7362" w:rsidRPr="000939DD">
        <w:rPr>
          <w:rFonts w:ascii="Garamond" w:hAnsi="Garamond" w:cs="Arial"/>
        </w:rPr>
        <w:t>dom of</w:t>
      </w:r>
      <w:r w:rsidRPr="000939DD">
        <w:rPr>
          <w:rFonts w:ascii="Garamond" w:hAnsi="Garamond" w:cs="Arial"/>
        </w:rPr>
        <w:t xml:space="preserve"> association</w:t>
      </w:r>
      <w:r w:rsidR="00002C3F" w:rsidRPr="000939DD">
        <w:rPr>
          <w:rFonts w:ascii="Garamond" w:hAnsi="Garamond" w:cs="Arial"/>
        </w:rPr>
        <w:t xml:space="preserve"> is being abused by politicians when it comes to crossing the floor as provided for in section 65 of the Constitution</w:t>
      </w:r>
      <w:r w:rsidRPr="000939DD">
        <w:rPr>
          <w:rFonts w:ascii="Garamond" w:hAnsi="Garamond" w:cs="Arial"/>
        </w:rPr>
        <w:t>. This provision</w:t>
      </w:r>
      <w:r w:rsidR="00002C3F" w:rsidRPr="000939DD">
        <w:rPr>
          <w:rFonts w:ascii="Garamond" w:hAnsi="Garamond" w:cs="Arial"/>
        </w:rPr>
        <w:t xml:space="preserve"> limits the movement of members of the National Assembly from one political party represented in the National Assembly, other than by that member alone, to another political party represented in the National Assembly or joining any other political party</w:t>
      </w:r>
      <w:r w:rsidRPr="000939DD">
        <w:rPr>
          <w:rFonts w:ascii="Garamond" w:hAnsi="Garamond" w:cs="Arial"/>
        </w:rPr>
        <w:t>,</w:t>
      </w:r>
      <w:r w:rsidR="00002C3F" w:rsidRPr="000939DD">
        <w:rPr>
          <w:rFonts w:ascii="Garamond" w:hAnsi="Garamond" w:cs="Arial"/>
        </w:rPr>
        <w:t xml:space="preserve"> association or </w:t>
      </w:r>
      <w:proofErr w:type="spellStart"/>
      <w:r w:rsidR="00002C3F" w:rsidRPr="000939DD">
        <w:rPr>
          <w:rFonts w:ascii="Garamond" w:hAnsi="Garamond" w:cs="Arial"/>
        </w:rPr>
        <w:t>organisation</w:t>
      </w:r>
      <w:proofErr w:type="spellEnd"/>
      <w:r w:rsidR="00002C3F" w:rsidRPr="000939DD">
        <w:rPr>
          <w:rFonts w:ascii="Garamond" w:hAnsi="Garamond" w:cs="Arial"/>
        </w:rPr>
        <w:t xml:space="preserve"> whose objectives or activities are political in nature. </w:t>
      </w:r>
    </w:p>
    <w:p w14:paraId="7287259B" w14:textId="77777777" w:rsidR="00433C6A" w:rsidRPr="000939DD" w:rsidRDefault="00433C6A" w:rsidP="00002C3F">
      <w:pPr>
        <w:spacing w:line="360" w:lineRule="auto"/>
        <w:jc w:val="both"/>
        <w:rPr>
          <w:rFonts w:ascii="Garamond" w:hAnsi="Garamond" w:cs="Arial"/>
        </w:rPr>
      </w:pPr>
    </w:p>
    <w:p w14:paraId="507535FD" w14:textId="5BBAEB1F" w:rsidR="00002C3F" w:rsidRPr="00ED14BE" w:rsidRDefault="00002C3F" w:rsidP="00002C3F">
      <w:pPr>
        <w:spacing w:line="360" w:lineRule="auto"/>
        <w:jc w:val="both"/>
        <w:rPr>
          <w:rFonts w:ascii="Garamond" w:hAnsi="Garamond" w:cs="Arial"/>
        </w:rPr>
      </w:pPr>
      <w:r w:rsidRPr="000939DD">
        <w:rPr>
          <w:rFonts w:ascii="Garamond" w:hAnsi="Garamond" w:cs="Arial"/>
        </w:rPr>
        <w:lastRenderedPageBreak/>
        <w:t xml:space="preserve">This provision has been interpreted by the Supreme Court of Appeal for Malawi to mean that a member of the National Assembly may also </w:t>
      </w:r>
      <w:r w:rsidR="00961C6E" w:rsidRPr="000939DD">
        <w:rPr>
          <w:rFonts w:ascii="Garamond" w:hAnsi="Garamond" w:cs="Arial"/>
        </w:rPr>
        <w:t>“</w:t>
      </w:r>
      <w:r w:rsidRPr="000939DD">
        <w:rPr>
          <w:rFonts w:ascii="Garamond" w:hAnsi="Garamond" w:cs="Arial"/>
        </w:rPr>
        <w:t>cross the floor</w:t>
      </w:r>
      <w:r w:rsidR="00961C6E" w:rsidRPr="000939DD">
        <w:rPr>
          <w:rFonts w:ascii="Garamond" w:hAnsi="Garamond" w:cs="Arial"/>
        </w:rPr>
        <w:t>”</w:t>
      </w:r>
      <w:r w:rsidRPr="000939DD">
        <w:rPr>
          <w:rFonts w:ascii="Garamond" w:hAnsi="Garamond" w:cs="Arial"/>
        </w:rPr>
        <w:t xml:space="preserve"> when he or she joins any political party or </w:t>
      </w:r>
      <w:proofErr w:type="spellStart"/>
      <w:r w:rsidRPr="000939DD">
        <w:rPr>
          <w:rFonts w:ascii="Garamond" w:hAnsi="Garamond" w:cs="Arial"/>
        </w:rPr>
        <w:t>organisation</w:t>
      </w:r>
      <w:proofErr w:type="spellEnd"/>
      <w:r w:rsidRPr="000939DD">
        <w:rPr>
          <w:rFonts w:ascii="Garamond" w:hAnsi="Garamond" w:cs="Arial"/>
        </w:rPr>
        <w:t xml:space="preserve"> outside the National Assembly whose objectives or activities are political in nature.</w:t>
      </w:r>
      <w:r w:rsidRPr="000939DD">
        <w:rPr>
          <w:rStyle w:val="Funotenzeichen"/>
          <w:rFonts w:ascii="Garamond" w:hAnsi="Garamond" w:cs="Arial"/>
        </w:rPr>
        <w:footnoteReference w:id="24"/>
      </w:r>
      <w:r w:rsidRPr="000939DD">
        <w:rPr>
          <w:rFonts w:ascii="Garamond" w:hAnsi="Garamond" w:cs="Arial"/>
        </w:rPr>
        <w:t xml:space="preserve"> However, at </w:t>
      </w:r>
      <w:r w:rsidR="003B7C34" w:rsidRPr="000939DD">
        <w:rPr>
          <w:rFonts w:ascii="Garamond" w:hAnsi="Garamond" w:cs="Arial"/>
        </w:rPr>
        <w:t>this time</w:t>
      </w:r>
      <w:r w:rsidRPr="000939DD">
        <w:rPr>
          <w:rFonts w:ascii="Garamond" w:hAnsi="Garamond" w:cs="Arial"/>
        </w:rPr>
        <w:t xml:space="preserve"> over forty (40) members of the National Assembly moved from their political parties represented in the National Assembly and joined the party in power, but the Speaker of the National Assembly has not declared the seats of those members of the National Assembly vacant. In fact, the State Party has taken a position that it cannot implement </w:t>
      </w:r>
      <w:r w:rsidR="00961C6E" w:rsidRPr="000939DD">
        <w:rPr>
          <w:rFonts w:ascii="Garamond" w:hAnsi="Garamond" w:cs="Arial"/>
        </w:rPr>
        <w:t>S</w:t>
      </w:r>
      <w:r w:rsidRPr="000939DD">
        <w:rPr>
          <w:rFonts w:ascii="Garamond" w:hAnsi="Garamond" w:cs="Arial"/>
        </w:rPr>
        <w:t>ection 65 of the Constitution because it does not have money to conduct by-elections.</w:t>
      </w:r>
    </w:p>
    <w:p w14:paraId="3BA51CBA" w14:textId="77777777" w:rsidR="00002C3F" w:rsidRPr="00ED14BE" w:rsidRDefault="00002C3F" w:rsidP="00002C3F">
      <w:pPr>
        <w:spacing w:line="360" w:lineRule="auto"/>
        <w:jc w:val="both"/>
        <w:rPr>
          <w:rFonts w:ascii="Garamond" w:hAnsi="Garamond" w:cs="Arial"/>
        </w:rPr>
      </w:pPr>
    </w:p>
    <w:p w14:paraId="222B64A3" w14:textId="0C7D4754" w:rsidR="00002C3F" w:rsidRPr="00ED14BE" w:rsidRDefault="00002C3F" w:rsidP="00002C3F">
      <w:pPr>
        <w:spacing w:line="360" w:lineRule="auto"/>
        <w:jc w:val="both"/>
        <w:rPr>
          <w:rFonts w:ascii="Garamond" w:hAnsi="Garamond" w:cs="Arial"/>
        </w:rPr>
      </w:pPr>
      <w:r w:rsidRPr="00ED14BE">
        <w:rPr>
          <w:rFonts w:ascii="Garamond" w:hAnsi="Garamond" w:cs="Arial"/>
        </w:rPr>
        <w:tab/>
        <w:t>Recommendation</w:t>
      </w:r>
      <w:r w:rsidR="007F21F8">
        <w:rPr>
          <w:rFonts w:ascii="Garamond" w:hAnsi="Garamond" w:cs="Arial"/>
        </w:rPr>
        <w:t>s</w:t>
      </w:r>
      <w:r w:rsidRPr="00ED14BE">
        <w:rPr>
          <w:rFonts w:ascii="Garamond" w:hAnsi="Garamond" w:cs="Arial"/>
        </w:rPr>
        <w:t>:</w:t>
      </w:r>
    </w:p>
    <w:p w14:paraId="7803A586" w14:textId="63CC6C66" w:rsidR="00002C3F" w:rsidRPr="007F21F8" w:rsidRDefault="00002C3F" w:rsidP="00961C6E">
      <w:pPr>
        <w:numPr>
          <w:ilvl w:val="0"/>
          <w:numId w:val="2"/>
        </w:numPr>
        <w:spacing w:line="360" w:lineRule="auto"/>
        <w:jc w:val="both"/>
        <w:rPr>
          <w:rFonts w:ascii="Garamond" w:hAnsi="Garamond" w:cs="Arial"/>
        </w:rPr>
      </w:pPr>
      <w:r w:rsidRPr="00ED14BE">
        <w:rPr>
          <w:rFonts w:ascii="Garamond" w:hAnsi="Garamond" w:cs="Arial"/>
        </w:rPr>
        <w:t xml:space="preserve">The State Party should amend section 65 of its Constitution so that </w:t>
      </w:r>
      <w:r w:rsidR="000939DD">
        <w:rPr>
          <w:rFonts w:ascii="Garamond" w:hAnsi="Garamond" w:cs="Arial"/>
        </w:rPr>
        <w:t>“</w:t>
      </w:r>
      <w:r w:rsidRPr="00ED14BE">
        <w:rPr>
          <w:rFonts w:ascii="Garamond" w:hAnsi="Garamond" w:cs="Arial"/>
        </w:rPr>
        <w:t>crossing the floor</w:t>
      </w:r>
      <w:r w:rsidR="000939DD">
        <w:rPr>
          <w:rFonts w:ascii="Garamond" w:hAnsi="Garamond" w:cs="Arial"/>
        </w:rPr>
        <w:t>”</w:t>
      </w:r>
      <w:r w:rsidRPr="00ED14BE">
        <w:rPr>
          <w:rFonts w:ascii="Garamond" w:hAnsi="Garamond" w:cs="Arial"/>
        </w:rPr>
        <w:t xml:space="preserve"> </w:t>
      </w:r>
      <w:r w:rsidR="004332E0">
        <w:rPr>
          <w:rFonts w:ascii="Garamond" w:hAnsi="Garamond" w:cs="Arial"/>
        </w:rPr>
        <w:t>is</w:t>
      </w:r>
      <w:r w:rsidR="000939DD">
        <w:rPr>
          <w:rFonts w:ascii="Garamond" w:hAnsi="Garamond" w:cs="Arial"/>
        </w:rPr>
        <w:t xml:space="preserve"> defined as being</w:t>
      </w:r>
      <w:r w:rsidRPr="00ED14BE">
        <w:rPr>
          <w:rFonts w:ascii="Garamond" w:hAnsi="Garamond" w:cs="Arial"/>
        </w:rPr>
        <w:t xml:space="preserve"> limited to movement within the National Assembly and not outside the National Assembly as there is no floor to be crossed outside the National Assembly.</w:t>
      </w:r>
    </w:p>
    <w:p w14:paraId="66657AA6" w14:textId="36EAABB7" w:rsidR="003B7C34" w:rsidRPr="00065FDB" w:rsidRDefault="00002C3F" w:rsidP="00002C3F">
      <w:pPr>
        <w:numPr>
          <w:ilvl w:val="0"/>
          <w:numId w:val="2"/>
        </w:numPr>
        <w:spacing w:line="360" w:lineRule="auto"/>
        <w:jc w:val="both"/>
        <w:rPr>
          <w:rFonts w:ascii="Garamond" w:hAnsi="Garamond" w:cs="Arial"/>
        </w:rPr>
      </w:pPr>
      <w:r w:rsidRPr="00ED14BE">
        <w:rPr>
          <w:rFonts w:ascii="Garamond" w:hAnsi="Garamond" w:cs="Arial"/>
        </w:rPr>
        <w:t xml:space="preserve">The State Party should take steps to ensure full implementation of section 65 of its Constitution as failure to do so, amounts to suspending a constitutional provision </w:t>
      </w:r>
      <w:r w:rsidR="003B7C34">
        <w:rPr>
          <w:rFonts w:ascii="Garamond" w:hAnsi="Garamond" w:cs="Arial"/>
        </w:rPr>
        <w:t>against</w:t>
      </w:r>
      <w:r w:rsidRPr="00ED14BE">
        <w:rPr>
          <w:rFonts w:ascii="Garamond" w:hAnsi="Garamond" w:cs="Arial"/>
        </w:rPr>
        <w:t xml:space="preserve"> the rule of law.</w:t>
      </w:r>
    </w:p>
    <w:p w14:paraId="6DEFD640" w14:textId="77777777" w:rsidR="003B7C34" w:rsidRDefault="003B7C34" w:rsidP="00002C3F">
      <w:pPr>
        <w:spacing w:line="360" w:lineRule="auto"/>
        <w:jc w:val="both"/>
        <w:rPr>
          <w:rFonts w:ascii="Garamond" w:hAnsi="Garamond" w:cs="Arial"/>
          <w:sz w:val="30"/>
          <w:szCs w:val="30"/>
        </w:rPr>
      </w:pPr>
    </w:p>
    <w:p w14:paraId="53DEABF0" w14:textId="623875D3" w:rsidR="005457D0" w:rsidRPr="003B7C34" w:rsidRDefault="005457D0" w:rsidP="00002C3F">
      <w:pPr>
        <w:spacing w:line="360" w:lineRule="auto"/>
        <w:jc w:val="both"/>
        <w:rPr>
          <w:rFonts w:ascii="Garamond" w:hAnsi="Garamond" w:cs="Arial"/>
          <w:b/>
          <w:sz w:val="30"/>
          <w:szCs w:val="30"/>
        </w:rPr>
      </w:pPr>
      <w:r w:rsidRPr="003B7C34">
        <w:rPr>
          <w:rFonts w:ascii="Garamond" w:hAnsi="Garamond" w:cs="Arial"/>
          <w:b/>
          <w:sz w:val="30"/>
          <w:szCs w:val="30"/>
        </w:rPr>
        <w:t xml:space="preserve">Article 3, 6 </w:t>
      </w:r>
      <w:r w:rsidR="00941BCF">
        <w:rPr>
          <w:rFonts w:ascii="Garamond" w:hAnsi="Garamond" w:cs="Arial"/>
          <w:b/>
          <w:sz w:val="30"/>
          <w:szCs w:val="30"/>
        </w:rPr>
        <w:t>&amp;</w:t>
      </w:r>
      <w:r w:rsidR="00941BCF" w:rsidRPr="003B7C34">
        <w:rPr>
          <w:rFonts w:ascii="Garamond" w:hAnsi="Garamond" w:cs="Arial"/>
          <w:b/>
          <w:sz w:val="30"/>
          <w:szCs w:val="30"/>
        </w:rPr>
        <w:t xml:space="preserve"> </w:t>
      </w:r>
      <w:r w:rsidRPr="003B7C34">
        <w:rPr>
          <w:rFonts w:ascii="Garamond" w:hAnsi="Garamond" w:cs="Arial"/>
          <w:b/>
          <w:sz w:val="30"/>
          <w:szCs w:val="30"/>
        </w:rPr>
        <w:t xml:space="preserve">7: Right to Equal Treatment, Life &amp; </w:t>
      </w:r>
      <w:r w:rsidR="009C7362">
        <w:rPr>
          <w:rFonts w:ascii="Garamond" w:hAnsi="Garamond" w:cs="Arial"/>
          <w:b/>
          <w:sz w:val="30"/>
          <w:szCs w:val="30"/>
        </w:rPr>
        <w:t>Prohibition of</w:t>
      </w:r>
      <w:r w:rsidR="009C7362" w:rsidRPr="003B7C34">
        <w:rPr>
          <w:rFonts w:ascii="Garamond" w:hAnsi="Garamond" w:cs="Arial"/>
          <w:b/>
          <w:sz w:val="30"/>
          <w:szCs w:val="30"/>
        </w:rPr>
        <w:t xml:space="preserve"> </w:t>
      </w:r>
      <w:r w:rsidRPr="003B7C34">
        <w:rPr>
          <w:rFonts w:ascii="Garamond" w:hAnsi="Garamond" w:cs="Arial"/>
          <w:b/>
          <w:sz w:val="30"/>
          <w:szCs w:val="30"/>
        </w:rPr>
        <w:t>Torture</w:t>
      </w:r>
    </w:p>
    <w:p w14:paraId="580AD9D3" w14:textId="204E9F36" w:rsidR="00002C3F" w:rsidRPr="00ED14BE" w:rsidRDefault="00002C3F" w:rsidP="0071242F">
      <w:pPr>
        <w:spacing w:line="360" w:lineRule="auto"/>
        <w:jc w:val="both"/>
        <w:rPr>
          <w:rFonts w:ascii="Garamond" w:hAnsi="Garamond" w:cs="Arial"/>
        </w:rPr>
      </w:pPr>
      <w:r w:rsidRPr="00ED14BE">
        <w:rPr>
          <w:rFonts w:ascii="Garamond" w:hAnsi="Garamond" w:cs="Arial"/>
        </w:rPr>
        <w:tab/>
      </w:r>
    </w:p>
    <w:p w14:paraId="33536BB0" w14:textId="033E95AA" w:rsidR="00002C3F" w:rsidRPr="00ED14BE" w:rsidRDefault="00002C3F" w:rsidP="00002C3F">
      <w:pPr>
        <w:spacing w:line="360" w:lineRule="auto"/>
        <w:jc w:val="both"/>
        <w:rPr>
          <w:rFonts w:ascii="Garamond" w:hAnsi="Garamond" w:cs="Arial"/>
        </w:rPr>
      </w:pPr>
      <w:r w:rsidRPr="00ED14BE">
        <w:rPr>
          <w:rFonts w:ascii="Garamond" w:hAnsi="Garamond" w:cs="Arial"/>
        </w:rPr>
        <w:t>Malawi has not expressly provided for the right to enjoy the best attainable state of physical and mental health</w:t>
      </w:r>
      <w:r w:rsidR="00BA21AE">
        <w:rPr>
          <w:rFonts w:ascii="Garamond" w:hAnsi="Garamond" w:cs="Arial"/>
        </w:rPr>
        <w:t>, however, its</w:t>
      </w:r>
      <w:r w:rsidRPr="00ED14BE">
        <w:rPr>
          <w:rFonts w:ascii="Garamond" w:hAnsi="Garamond" w:cs="Arial"/>
        </w:rPr>
        <w:t xml:space="preserve"> Constitution only contains a statement in section 13(c) which falls under principles of national policy to the effect that the State Party shall actively promote the welfare and development of the people of Malawi by progressively adopting and implementing policies and legislation aimed at achieving provision of adequate health care, commensurate with the health needs of Malawian society and international standards of health care. The challenge is that principles of national policy are only directory in nature and are not justiciable.</w:t>
      </w:r>
      <w:r w:rsidRPr="00ED14BE">
        <w:rPr>
          <w:rStyle w:val="Funotenzeichen"/>
          <w:rFonts w:ascii="Garamond" w:hAnsi="Garamond" w:cs="Arial"/>
        </w:rPr>
        <w:footnoteReference w:id="25"/>
      </w:r>
      <w:r w:rsidRPr="00ED14BE">
        <w:rPr>
          <w:rFonts w:ascii="Garamond" w:hAnsi="Garamond" w:cs="Arial"/>
        </w:rPr>
        <w:t xml:space="preserve"> Some scholars have argued that the right to health may be invoked as a derivative of the right to development under section 30 of the Constitution.</w:t>
      </w:r>
      <w:r w:rsidRPr="00ED14BE">
        <w:rPr>
          <w:rStyle w:val="Funotenzeichen"/>
          <w:rFonts w:ascii="Garamond" w:hAnsi="Garamond" w:cs="Arial"/>
        </w:rPr>
        <w:footnoteReference w:id="26"/>
      </w:r>
      <w:r w:rsidRPr="00ED14BE">
        <w:rPr>
          <w:rFonts w:ascii="Garamond" w:hAnsi="Garamond" w:cs="Arial"/>
        </w:rPr>
        <w:t xml:space="preserve"> However, that route is lengthy and depends on the goodwill of the judiciary to </w:t>
      </w:r>
      <w:r w:rsidRPr="00ED14BE">
        <w:rPr>
          <w:rFonts w:ascii="Garamond" w:hAnsi="Garamond" w:cs="Arial"/>
        </w:rPr>
        <w:lastRenderedPageBreak/>
        <w:t>agree with that proposition. The best approach is to have the right expressly provided for either in the Constitution or other legislation.</w:t>
      </w:r>
    </w:p>
    <w:p w14:paraId="22571854" w14:textId="77777777" w:rsidR="00002C3F" w:rsidRPr="00ED14BE" w:rsidRDefault="00002C3F" w:rsidP="00002C3F">
      <w:pPr>
        <w:spacing w:line="360" w:lineRule="auto"/>
        <w:jc w:val="both"/>
        <w:rPr>
          <w:rFonts w:ascii="Garamond" w:hAnsi="Garamond" w:cs="Arial"/>
        </w:rPr>
      </w:pPr>
      <w:r w:rsidRPr="00ED14BE">
        <w:rPr>
          <w:rFonts w:ascii="Garamond" w:hAnsi="Garamond" w:cs="Arial"/>
        </w:rPr>
        <w:t xml:space="preserve"> </w:t>
      </w:r>
    </w:p>
    <w:p w14:paraId="024D1CBF" w14:textId="2B0D06FB" w:rsidR="00002C3F" w:rsidRPr="00ED14BE" w:rsidRDefault="00002C3F" w:rsidP="00002C3F">
      <w:pPr>
        <w:spacing w:line="360" w:lineRule="auto"/>
        <w:jc w:val="both"/>
        <w:rPr>
          <w:rFonts w:ascii="Garamond" w:hAnsi="Garamond" w:cs="Arial"/>
        </w:rPr>
      </w:pPr>
      <w:r w:rsidRPr="00ED14BE">
        <w:rPr>
          <w:rFonts w:ascii="Garamond" w:hAnsi="Garamond" w:cs="Arial"/>
        </w:rPr>
        <w:t xml:space="preserve">HIV/Aids continue to affect so many people and the development of Malawi generally. </w:t>
      </w:r>
      <w:r w:rsidR="00645AD9">
        <w:rPr>
          <w:rFonts w:ascii="Garamond" w:hAnsi="Garamond" w:cs="Arial"/>
        </w:rPr>
        <w:t>We commend t</w:t>
      </w:r>
      <w:r w:rsidRPr="00ED14BE">
        <w:rPr>
          <w:rFonts w:ascii="Garamond" w:hAnsi="Garamond" w:cs="Arial"/>
        </w:rPr>
        <w:t>he State Party</w:t>
      </w:r>
      <w:r w:rsidR="00645AD9">
        <w:rPr>
          <w:rFonts w:ascii="Garamond" w:hAnsi="Garamond" w:cs="Arial"/>
        </w:rPr>
        <w:t>’s</w:t>
      </w:r>
      <w:r w:rsidRPr="00ED14BE">
        <w:rPr>
          <w:rFonts w:ascii="Garamond" w:hAnsi="Garamond" w:cs="Arial"/>
        </w:rPr>
        <w:t xml:space="preserve"> interven</w:t>
      </w:r>
      <w:r w:rsidR="00645AD9">
        <w:rPr>
          <w:rFonts w:ascii="Garamond" w:hAnsi="Garamond" w:cs="Arial"/>
        </w:rPr>
        <w:t>tions</w:t>
      </w:r>
      <w:r w:rsidRPr="00ED14BE">
        <w:rPr>
          <w:rFonts w:ascii="Garamond" w:hAnsi="Garamond" w:cs="Arial"/>
        </w:rPr>
        <w:t xml:space="preserve"> </w:t>
      </w:r>
      <w:r w:rsidR="00645AD9">
        <w:rPr>
          <w:rFonts w:ascii="Garamond" w:hAnsi="Garamond" w:cs="Arial"/>
        </w:rPr>
        <w:t>like</w:t>
      </w:r>
      <w:r w:rsidRPr="00ED14BE">
        <w:rPr>
          <w:rFonts w:ascii="Garamond" w:hAnsi="Garamond" w:cs="Arial"/>
        </w:rPr>
        <w:t xml:space="preserve"> intensif</w:t>
      </w:r>
      <w:r w:rsidR="000B02C4">
        <w:rPr>
          <w:rFonts w:ascii="Garamond" w:hAnsi="Garamond" w:cs="Arial"/>
        </w:rPr>
        <w:t>y</w:t>
      </w:r>
      <w:r w:rsidRPr="00ED14BE">
        <w:rPr>
          <w:rFonts w:ascii="Garamond" w:hAnsi="Garamond" w:cs="Arial"/>
        </w:rPr>
        <w:t>i</w:t>
      </w:r>
      <w:r w:rsidR="00645AD9">
        <w:rPr>
          <w:rFonts w:ascii="Garamond" w:hAnsi="Garamond" w:cs="Arial"/>
        </w:rPr>
        <w:t>ng</w:t>
      </w:r>
      <w:r w:rsidRPr="00ED14BE">
        <w:rPr>
          <w:rFonts w:ascii="Garamond" w:hAnsi="Garamond" w:cs="Arial"/>
        </w:rPr>
        <w:t xml:space="preserve"> prevention of mother to child transmission (PMTCT) </w:t>
      </w:r>
      <w:r w:rsidR="00645AD9">
        <w:rPr>
          <w:rFonts w:ascii="Garamond" w:hAnsi="Garamond" w:cs="Arial"/>
        </w:rPr>
        <w:t>and</w:t>
      </w:r>
      <w:r w:rsidRPr="00ED14BE">
        <w:rPr>
          <w:rFonts w:ascii="Garamond" w:hAnsi="Garamond" w:cs="Arial"/>
        </w:rPr>
        <w:t xml:space="preserve"> providing free Anti Retroviral Therapy (ART) to over 365,000 people across the country.</w:t>
      </w:r>
      <w:r w:rsidRPr="00ED14BE">
        <w:rPr>
          <w:rStyle w:val="Funotenzeichen"/>
          <w:rFonts w:ascii="Garamond" w:hAnsi="Garamond" w:cs="Arial"/>
        </w:rPr>
        <w:footnoteReference w:id="27"/>
      </w:r>
      <w:r w:rsidRPr="00ED14BE">
        <w:rPr>
          <w:rFonts w:ascii="Garamond" w:hAnsi="Garamond" w:cs="Arial"/>
        </w:rPr>
        <w:t xml:space="preserve"> However, many people are now being deformed by these ARVs as they are alleged to be of the </w:t>
      </w:r>
      <w:r w:rsidR="00D861A0">
        <w:rPr>
          <w:rFonts w:ascii="Garamond" w:hAnsi="Garamond" w:cs="Arial"/>
        </w:rPr>
        <w:t>least expensive available</w:t>
      </w:r>
      <w:r w:rsidRPr="00ED14BE">
        <w:rPr>
          <w:rFonts w:ascii="Garamond" w:hAnsi="Garamond" w:cs="Arial"/>
        </w:rPr>
        <w:t xml:space="preserve"> and which other State parties reject. In addition, the State party is also currently implementing a </w:t>
      </w:r>
      <w:proofErr w:type="spellStart"/>
      <w:r w:rsidRPr="00ED14BE">
        <w:rPr>
          <w:rFonts w:ascii="Garamond" w:hAnsi="Garamond" w:cs="Arial"/>
        </w:rPr>
        <w:t>programme</w:t>
      </w:r>
      <w:proofErr w:type="spellEnd"/>
      <w:r w:rsidRPr="00ED14BE">
        <w:rPr>
          <w:rFonts w:ascii="Garamond" w:hAnsi="Garamond" w:cs="Arial"/>
        </w:rPr>
        <w:t xml:space="preserve"> whereby all pregnant mothers are </w:t>
      </w:r>
      <w:r w:rsidR="00D861A0">
        <w:rPr>
          <w:rFonts w:ascii="Garamond" w:hAnsi="Garamond" w:cs="Arial"/>
        </w:rPr>
        <w:t>forced to be</w:t>
      </w:r>
      <w:r w:rsidR="00D861A0" w:rsidRPr="00ED14BE">
        <w:rPr>
          <w:rFonts w:ascii="Garamond" w:hAnsi="Garamond" w:cs="Arial"/>
        </w:rPr>
        <w:t xml:space="preserve"> </w:t>
      </w:r>
      <w:r w:rsidRPr="00ED14BE">
        <w:rPr>
          <w:rFonts w:ascii="Garamond" w:hAnsi="Garamond" w:cs="Arial"/>
        </w:rPr>
        <w:t>tested for HIV with or without their consent. Although the National HIV and AIDS policy is couched in a manner that the testing is an opt-out, its implementation on the ground is that it is compulsory</w:t>
      </w:r>
      <w:r w:rsidR="002E7228">
        <w:rPr>
          <w:rFonts w:ascii="Garamond" w:hAnsi="Garamond" w:cs="Arial"/>
        </w:rPr>
        <w:t xml:space="preserve"> which, is </w:t>
      </w:r>
      <w:r w:rsidR="002E7228" w:rsidRPr="00ED14BE">
        <w:rPr>
          <w:rFonts w:ascii="Garamond" w:hAnsi="Garamond" w:cs="Arial"/>
        </w:rPr>
        <w:t xml:space="preserve">a violation of </w:t>
      </w:r>
      <w:r w:rsidR="002E7228">
        <w:rPr>
          <w:rFonts w:ascii="Garamond" w:hAnsi="Garamond" w:cs="Arial"/>
        </w:rPr>
        <w:t>a pregnant woman’s</w:t>
      </w:r>
      <w:r w:rsidR="002E7228" w:rsidRPr="00ED14BE">
        <w:rPr>
          <w:rFonts w:ascii="Garamond" w:hAnsi="Garamond" w:cs="Arial"/>
        </w:rPr>
        <w:t xml:space="preserve"> human dignity, bodily integrity and autonomy</w:t>
      </w:r>
      <w:r w:rsidRPr="00ED14BE">
        <w:rPr>
          <w:rFonts w:ascii="Garamond" w:hAnsi="Garamond" w:cs="Arial"/>
        </w:rPr>
        <w:t>.</w:t>
      </w:r>
      <w:r w:rsidRPr="00ED14BE">
        <w:rPr>
          <w:rStyle w:val="Funotenzeichen"/>
          <w:rFonts w:ascii="Garamond" w:hAnsi="Garamond" w:cs="Arial"/>
        </w:rPr>
        <w:footnoteReference w:id="28"/>
      </w:r>
      <w:r w:rsidRPr="00ED14BE">
        <w:rPr>
          <w:rFonts w:ascii="Garamond" w:hAnsi="Garamond" w:cs="Arial"/>
        </w:rPr>
        <w:t xml:space="preserve">  </w:t>
      </w:r>
    </w:p>
    <w:p w14:paraId="635470C6" w14:textId="77777777" w:rsidR="00002C3F" w:rsidRPr="00ED14BE" w:rsidRDefault="00002C3F" w:rsidP="00002C3F">
      <w:pPr>
        <w:spacing w:line="360" w:lineRule="auto"/>
        <w:jc w:val="both"/>
        <w:rPr>
          <w:rFonts w:ascii="Garamond" w:hAnsi="Garamond" w:cs="Arial"/>
        </w:rPr>
      </w:pPr>
    </w:p>
    <w:p w14:paraId="39774E46" w14:textId="6FC07696" w:rsidR="00002C3F" w:rsidRPr="00ED14BE" w:rsidRDefault="00002C3F" w:rsidP="00002C3F">
      <w:pPr>
        <w:spacing w:line="360" w:lineRule="auto"/>
        <w:jc w:val="both"/>
        <w:rPr>
          <w:rFonts w:ascii="Garamond" w:hAnsi="Garamond" w:cs="Arial"/>
        </w:rPr>
      </w:pPr>
      <w:r w:rsidRPr="00ED14BE">
        <w:rPr>
          <w:rFonts w:ascii="Garamond" w:hAnsi="Garamond" w:cs="Arial"/>
        </w:rPr>
        <w:t>The next critical issue of concern is sexual and reproductive health rights of women. Malawi still has one of the highest maternal mortality rates (MMR) in the world. Currently, it stands at 675 per 100,000.</w:t>
      </w:r>
      <w:r w:rsidRPr="00ED14BE">
        <w:rPr>
          <w:rStyle w:val="Funotenzeichen"/>
          <w:rFonts w:ascii="Garamond" w:hAnsi="Garamond" w:cs="Arial"/>
        </w:rPr>
        <w:footnoteReference w:id="29"/>
      </w:r>
      <w:r w:rsidRPr="00ED14BE">
        <w:rPr>
          <w:rFonts w:ascii="Garamond" w:hAnsi="Garamond" w:cs="Arial"/>
        </w:rPr>
        <w:t xml:space="preserve"> However, practically, Malawian women continue to face a lot of challenges in many respects. For example, 30% of the MMR deaths are as a result of unsafe abortions.</w:t>
      </w:r>
      <w:r w:rsidRPr="00ED14BE">
        <w:rPr>
          <w:rStyle w:val="Funotenzeichen"/>
          <w:rFonts w:ascii="Garamond" w:hAnsi="Garamond" w:cs="Arial"/>
        </w:rPr>
        <w:footnoteReference w:id="30"/>
      </w:r>
      <w:r w:rsidRPr="00ED14BE">
        <w:rPr>
          <w:rFonts w:ascii="Garamond" w:hAnsi="Garamond" w:cs="Arial"/>
        </w:rPr>
        <w:t xml:space="preserve"> Procuring an abortion is proscribed in Malawi.</w:t>
      </w:r>
      <w:r w:rsidRPr="00ED14BE">
        <w:rPr>
          <w:rStyle w:val="Funotenzeichen"/>
          <w:rFonts w:ascii="Garamond" w:hAnsi="Garamond" w:cs="Arial"/>
        </w:rPr>
        <w:footnoteReference w:id="31"/>
      </w:r>
      <w:r w:rsidRPr="00ED14BE">
        <w:rPr>
          <w:rFonts w:ascii="Garamond" w:hAnsi="Garamond" w:cs="Arial"/>
        </w:rPr>
        <w:t xml:space="preserve"> </w:t>
      </w:r>
    </w:p>
    <w:p w14:paraId="3102A4F4" w14:textId="77777777" w:rsidR="00002C3F" w:rsidRPr="00ED14BE" w:rsidRDefault="00002C3F" w:rsidP="00002C3F">
      <w:pPr>
        <w:spacing w:line="360" w:lineRule="auto"/>
        <w:jc w:val="both"/>
        <w:rPr>
          <w:rFonts w:ascii="Garamond" w:hAnsi="Garamond" w:cs="Arial"/>
        </w:rPr>
      </w:pPr>
    </w:p>
    <w:p w14:paraId="4D7EF018" w14:textId="45925C11" w:rsidR="00002C3F" w:rsidRPr="00ED14BE" w:rsidRDefault="00002C3F" w:rsidP="00002C3F">
      <w:pPr>
        <w:spacing w:line="360" w:lineRule="auto"/>
        <w:jc w:val="both"/>
        <w:rPr>
          <w:rFonts w:ascii="Garamond" w:hAnsi="Garamond" w:cs="Arial"/>
        </w:rPr>
      </w:pPr>
      <w:r w:rsidRPr="00ED14BE">
        <w:rPr>
          <w:rFonts w:ascii="Garamond" w:hAnsi="Garamond" w:cs="Arial"/>
        </w:rPr>
        <w:t>Incidentally, improvement of maternal health is one of the eight Millennium Development Goals (MDGs).</w:t>
      </w:r>
      <w:r w:rsidRPr="00ED14BE">
        <w:rPr>
          <w:rStyle w:val="Funotenzeichen"/>
          <w:rFonts w:ascii="Garamond" w:hAnsi="Garamond" w:cs="Arial"/>
        </w:rPr>
        <w:footnoteReference w:id="32"/>
      </w:r>
      <w:r w:rsidRPr="00ED14BE">
        <w:rPr>
          <w:rFonts w:ascii="Garamond" w:hAnsi="Garamond" w:cs="Arial"/>
        </w:rPr>
        <w:t xml:space="preserve"> The State Party took a policy decision and banned traditional birth attendants (TBAs) to reduce the risk of women dying during delivery.</w:t>
      </w:r>
      <w:r w:rsidRPr="00ED14BE">
        <w:rPr>
          <w:rStyle w:val="Funotenzeichen"/>
          <w:rFonts w:ascii="Garamond" w:hAnsi="Garamond" w:cs="Arial"/>
        </w:rPr>
        <w:footnoteReference w:id="33"/>
      </w:r>
      <w:r w:rsidRPr="00ED14BE">
        <w:rPr>
          <w:rFonts w:ascii="Garamond" w:hAnsi="Garamond" w:cs="Arial"/>
        </w:rPr>
        <w:t xml:space="preserve"> Apparently, this ban is also for the safety and protection of the TBAs themselves from contracting HIV. The ban is highly controversial in some circles considering that access to hospitals remains a challenge in Malawi. In some cases, pregnant women die in hospitals without being attended by the medical and health personnel. A classic </w:t>
      </w:r>
      <w:r w:rsidRPr="00ED14BE">
        <w:rPr>
          <w:rFonts w:ascii="Garamond" w:hAnsi="Garamond" w:cs="Arial"/>
        </w:rPr>
        <w:lastRenderedPageBreak/>
        <w:t xml:space="preserve">example of this is a woman who died in March 2013 at </w:t>
      </w:r>
      <w:proofErr w:type="spellStart"/>
      <w:r w:rsidRPr="00ED14BE">
        <w:rPr>
          <w:rFonts w:ascii="Garamond" w:hAnsi="Garamond" w:cs="Arial"/>
        </w:rPr>
        <w:t>Mangochi</w:t>
      </w:r>
      <w:proofErr w:type="spellEnd"/>
      <w:r w:rsidRPr="00ED14BE">
        <w:rPr>
          <w:rFonts w:ascii="Garamond" w:hAnsi="Garamond" w:cs="Arial"/>
        </w:rPr>
        <w:t xml:space="preserve"> District Hospital while giving birth in the corridors of the hospital without being attended to by a doctor or midwife. </w:t>
      </w:r>
    </w:p>
    <w:p w14:paraId="19CD9F30" w14:textId="77777777" w:rsidR="00002C3F" w:rsidRPr="00ED14BE" w:rsidRDefault="00002C3F" w:rsidP="00002C3F">
      <w:pPr>
        <w:spacing w:line="360" w:lineRule="auto"/>
        <w:jc w:val="both"/>
        <w:rPr>
          <w:rFonts w:ascii="Garamond" w:hAnsi="Garamond" w:cs="Arial"/>
        </w:rPr>
      </w:pPr>
    </w:p>
    <w:p w14:paraId="0060BF72" w14:textId="63C47B00" w:rsidR="00002C3F" w:rsidRPr="00ED14BE" w:rsidRDefault="00002C3F" w:rsidP="00002C3F">
      <w:pPr>
        <w:spacing w:line="360" w:lineRule="auto"/>
        <w:jc w:val="both"/>
        <w:rPr>
          <w:rFonts w:ascii="Garamond" w:hAnsi="Garamond" w:cs="Arial"/>
        </w:rPr>
      </w:pPr>
      <w:r w:rsidRPr="00ED14BE">
        <w:rPr>
          <w:rFonts w:ascii="Garamond" w:hAnsi="Garamond" w:cs="Arial"/>
        </w:rPr>
        <w:t>Stock-outs of drugs remain a challenge in Malawi</w:t>
      </w:r>
      <w:r w:rsidR="00FA55E1">
        <w:rPr>
          <w:rFonts w:ascii="Garamond" w:hAnsi="Garamond" w:cs="Arial"/>
        </w:rPr>
        <w:t xml:space="preserve"> as well</w:t>
      </w:r>
      <w:r w:rsidRPr="00ED14BE">
        <w:rPr>
          <w:rFonts w:ascii="Garamond" w:hAnsi="Garamond" w:cs="Arial"/>
        </w:rPr>
        <w:t>. People continue to die from curable diseases because the State Party is unable to sustain the availability of medicines and supplies in its hospitals.</w:t>
      </w:r>
      <w:r w:rsidRPr="00ED14BE">
        <w:rPr>
          <w:rStyle w:val="Funotenzeichen"/>
          <w:rFonts w:ascii="Garamond" w:hAnsi="Garamond" w:cs="Arial"/>
        </w:rPr>
        <w:footnoteReference w:id="34"/>
      </w:r>
      <w:r w:rsidRPr="00ED14BE">
        <w:rPr>
          <w:rFonts w:ascii="Garamond" w:hAnsi="Garamond" w:cs="Arial"/>
        </w:rPr>
        <w:t xml:space="preserve"> The last time the State Party procured essential medicines was in 2009. At the time of compiling this report, the State Party was suffering a 95% stock-out of essential medicines and supplies.</w:t>
      </w:r>
      <w:r w:rsidRPr="00ED14BE">
        <w:rPr>
          <w:rStyle w:val="Funotenzeichen"/>
          <w:rFonts w:ascii="Garamond" w:hAnsi="Garamond" w:cs="Arial"/>
        </w:rPr>
        <w:footnoteReference w:id="35"/>
      </w:r>
      <w:r w:rsidR="00FA55E1">
        <w:rPr>
          <w:rFonts w:ascii="Garamond" w:hAnsi="Garamond" w:cs="Arial"/>
        </w:rPr>
        <w:t xml:space="preserve"> Furthermore, despite being a signatory of</w:t>
      </w:r>
      <w:r w:rsidRPr="00ED14BE">
        <w:rPr>
          <w:rFonts w:ascii="Garamond" w:hAnsi="Garamond" w:cs="Arial"/>
        </w:rPr>
        <w:t xml:space="preserve"> the Abuja Declaration, </w:t>
      </w:r>
      <w:r w:rsidR="00FA55E1">
        <w:rPr>
          <w:rFonts w:ascii="Garamond" w:hAnsi="Garamond" w:cs="Arial"/>
        </w:rPr>
        <w:t xml:space="preserve">which requires all signatories to allocate at least 15% of its national budget to the improvement of the health sector, </w:t>
      </w:r>
      <w:r w:rsidRPr="00ED14BE">
        <w:rPr>
          <w:rFonts w:ascii="Garamond" w:hAnsi="Garamond" w:cs="Arial"/>
        </w:rPr>
        <w:t xml:space="preserve">the State Party continues to allocate less than 15% of its national budget </w:t>
      </w:r>
      <w:r w:rsidR="00FA55E1">
        <w:rPr>
          <w:rFonts w:ascii="Garamond" w:hAnsi="Garamond" w:cs="Arial"/>
        </w:rPr>
        <w:t>to</w:t>
      </w:r>
      <w:r w:rsidRPr="00ED14BE">
        <w:rPr>
          <w:rFonts w:ascii="Garamond" w:hAnsi="Garamond" w:cs="Arial"/>
        </w:rPr>
        <w:t xml:space="preserve"> </w:t>
      </w:r>
      <w:r w:rsidR="00FA55E1">
        <w:rPr>
          <w:rFonts w:ascii="Garamond" w:hAnsi="Garamond" w:cs="Arial"/>
        </w:rPr>
        <w:t>health issues</w:t>
      </w:r>
      <w:r w:rsidRPr="00ED14BE">
        <w:rPr>
          <w:rFonts w:ascii="Garamond" w:hAnsi="Garamond" w:cs="Arial"/>
        </w:rPr>
        <w:t>.</w:t>
      </w:r>
      <w:r w:rsidR="00FA55E1">
        <w:rPr>
          <w:rStyle w:val="Funotenzeichen"/>
          <w:rFonts w:ascii="Garamond" w:hAnsi="Garamond" w:cs="Arial"/>
        </w:rPr>
        <w:footnoteReference w:id="36"/>
      </w:r>
      <w:r w:rsidRPr="00ED14BE">
        <w:rPr>
          <w:rFonts w:ascii="Garamond" w:hAnsi="Garamond" w:cs="Arial"/>
        </w:rPr>
        <w:t xml:space="preserve"> The State Party also lacks important medical equipment in its public hospitals. For instance, the State Party has only one functioning dialysis machine in Blantyre. </w:t>
      </w:r>
    </w:p>
    <w:p w14:paraId="1A9D2513" w14:textId="77777777" w:rsidR="00002C3F" w:rsidRPr="00ED14BE" w:rsidRDefault="00002C3F" w:rsidP="00002C3F">
      <w:pPr>
        <w:spacing w:line="360" w:lineRule="auto"/>
        <w:jc w:val="both"/>
        <w:rPr>
          <w:rFonts w:ascii="Garamond" w:hAnsi="Garamond" w:cs="Arial"/>
        </w:rPr>
      </w:pPr>
    </w:p>
    <w:p w14:paraId="19A40746" w14:textId="7B7288E5" w:rsidR="00002C3F" w:rsidRPr="00ED14BE" w:rsidRDefault="00002C3F" w:rsidP="00002C3F">
      <w:pPr>
        <w:spacing w:line="360" w:lineRule="auto"/>
        <w:jc w:val="both"/>
        <w:rPr>
          <w:rFonts w:ascii="Garamond" w:hAnsi="Garamond" w:cs="Arial"/>
        </w:rPr>
      </w:pPr>
      <w:r w:rsidRPr="00ED14BE">
        <w:rPr>
          <w:rFonts w:ascii="Garamond" w:hAnsi="Garamond" w:cs="Arial"/>
        </w:rPr>
        <w:tab/>
        <w:t>Recommendation</w:t>
      </w:r>
      <w:r w:rsidR="007F21F8">
        <w:rPr>
          <w:rFonts w:ascii="Garamond" w:hAnsi="Garamond" w:cs="Arial"/>
        </w:rPr>
        <w:t>s</w:t>
      </w:r>
      <w:r w:rsidRPr="00ED14BE">
        <w:rPr>
          <w:rFonts w:ascii="Garamond" w:hAnsi="Garamond" w:cs="Arial"/>
        </w:rPr>
        <w:t>:</w:t>
      </w:r>
    </w:p>
    <w:p w14:paraId="587BE3CD" w14:textId="1AE2D085" w:rsidR="00002C3F" w:rsidRPr="00BA59E9" w:rsidRDefault="00002C3F" w:rsidP="0071242F">
      <w:pPr>
        <w:numPr>
          <w:ilvl w:val="0"/>
          <w:numId w:val="1"/>
        </w:numPr>
        <w:spacing w:line="360" w:lineRule="auto"/>
        <w:jc w:val="both"/>
        <w:rPr>
          <w:rFonts w:ascii="Garamond" w:hAnsi="Garamond" w:cs="Arial"/>
        </w:rPr>
      </w:pPr>
      <w:r w:rsidRPr="00ED14BE">
        <w:rPr>
          <w:rFonts w:ascii="Garamond" w:hAnsi="Garamond" w:cs="Arial"/>
        </w:rPr>
        <w:t>The State Party should ensure express provision for the right to health either in its Constitution or other legislation.</w:t>
      </w:r>
    </w:p>
    <w:p w14:paraId="42210972" w14:textId="0A6637B7" w:rsidR="00002C3F" w:rsidRPr="0071242F" w:rsidRDefault="00002C3F" w:rsidP="0071242F">
      <w:pPr>
        <w:numPr>
          <w:ilvl w:val="0"/>
          <w:numId w:val="1"/>
        </w:numPr>
        <w:spacing w:line="360" w:lineRule="auto"/>
        <w:jc w:val="both"/>
        <w:rPr>
          <w:rFonts w:ascii="Garamond" w:hAnsi="Garamond" w:cs="Arial"/>
        </w:rPr>
      </w:pPr>
      <w:r w:rsidRPr="00ED14BE">
        <w:rPr>
          <w:rFonts w:ascii="Garamond" w:hAnsi="Garamond" w:cs="Arial"/>
        </w:rPr>
        <w:t>The State Party should allocate a minimum of 15% of its national budget towards health in line with the Abuja Declaration.</w:t>
      </w:r>
    </w:p>
    <w:p w14:paraId="08742EF0" w14:textId="77777777" w:rsidR="00002C3F" w:rsidRPr="00ED14BE" w:rsidRDefault="00002C3F" w:rsidP="00002C3F">
      <w:pPr>
        <w:numPr>
          <w:ilvl w:val="0"/>
          <w:numId w:val="1"/>
        </w:numPr>
        <w:spacing w:line="360" w:lineRule="auto"/>
        <w:jc w:val="both"/>
        <w:rPr>
          <w:rFonts w:ascii="Garamond" w:hAnsi="Garamond" w:cs="Arial"/>
        </w:rPr>
      </w:pPr>
      <w:r w:rsidRPr="00ED14BE">
        <w:rPr>
          <w:rFonts w:ascii="Garamond" w:hAnsi="Garamond" w:cs="Arial"/>
        </w:rPr>
        <w:t xml:space="preserve">The State Party should invest in medical equipment that will ensure </w:t>
      </w:r>
      <w:proofErr w:type="spellStart"/>
      <w:r w:rsidRPr="00ED14BE">
        <w:rPr>
          <w:rFonts w:ascii="Garamond" w:hAnsi="Garamond" w:cs="Arial"/>
        </w:rPr>
        <w:t>realisation</w:t>
      </w:r>
      <w:proofErr w:type="spellEnd"/>
      <w:r w:rsidRPr="00ED14BE">
        <w:rPr>
          <w:rFonts w:ascii="Garamond" w:hAnsi="Garamond" w:cs="Arial"/>
        </w:rPr>
        <w:t xml:space="preserve"> of the right to health.</w:t>
      </w:r>
    </w:p>
    <w:p w14:paraId="6C395C77" w14:textId="77777777" w:rsidR="00FA7A15" w:rsidRPr="00ED14BE" w:rsidRDefault="00FA7A15"/>
    <w:sectPr w:rsidR="00FA7A15" w:rsidRPr="00ED14BE" w:rsidSect="00C43D8D">
      <w:footerReference w:type="even" r:id="rId15"/>
      <w:footerReference w:type="default" r:id="rId1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E444D" w14:textId="77777777" w:rsidR="00A721D2" w:rsidRDefault="00A721D2" w:rsidP="00002C3F">
      <w:r>
        <w:separator/>
      </w:r>
    </w:p>
  </w:endnote>
  <w:endnote w:type="continuationSeparator" w:id="0">
    <w:p w14:paraId="1A48B8A0" w14:textId="77777777" w:rsidR="00A721D2" w:rsidRDefault="00A721D2" w:rsidP="0000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DD3AB" w14:textId="77777777" w:rsidR="000939DD" w:rsidRDefault="000939DD" w:rsidP="00C43D8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1DDE1D8" w14:textId="77777777" w:rsidR="000939DD" w:rsidRDefault="000939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D131B" w14:textId="77777777" w:rsidR="000939DD" w:rsidRDefault="000939DD" w:rsidP="00C43D8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607C6">
      <w:rPr>
        <w:rStyle w:val="Seitenzahl"/>
        <w:noProof/>
      </w:rPr>
      <w:t>1</w:t>
    </w:r>
    <w:r>
      <w:rPr>
        <w:rStyle w:val="Seitenzahl"/>
      </w:rPr>
      <w:fldChar w:fldCharType="end"/>
    </w:r>
  </w:p>
  <w:p w14:paraId="5776C1FE" w14:textId="77777777" w:rsidR="000939DD" w:rsidRDefault="000939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7EA57" w14:textId="77777777" w:rsidR="00A721D2" w:rsidRDefault="00A721D2" w:rsidP="00002C3F">
      <w:r>
        <w:separator/>
      </w:r>
    </w:p>
  </w:footnote>
  <w:footnote w:type="continuationSeparator" w:id="0">
    <w:p w14:paraId="23BE2CB9" w14:textId="77777777" w:rsidR="00A721D2" w:rsidRDefault="00A721D2" w:rsidP="00002C3F">
      <w:r>
        <w:continuationSeparator/>
      </w:r>
    </w:p>
  </w:footnote>
  <w:footnote w:id="1">
    <w:p w14:paraId="03DFF72B" w14:textId="77777777" w:rsidR="000939DD" w:rsidRPr="00FA55E1" w:rsidRDefault="000939DD" w:rsidP="00170D50">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w:t>
      </w:r>
      <w:proofErr w:type="spellStart"/>
      <w:r w:rsidRPr="00FA55E1">
        <w:rPr>
          <w:rFonts w:ascii="Garamond" w:hAnsi="Garamond"/>
          <w:i/>
          <w:sz w:val="18"/>
          <w:szCs w:val="18"/>
        </w:rPr>
        <w:t>Toonen</w:t>
      </w:r>
      <w:proofErr w:type="spellEnd"/>
      <w:r w:rsidRPr="00FA55E1">
        <w:rPr>
          <w:rFonts w:ascii="Garamond" w:hAnsi="Garamond"/>
          <w:i/>
          <w:sz w:val="18"/>
          <w:szCs w:val="18"/>
        </w:rPr>
        <w:t xml:space="preserve"> v. Australia</w:t>
      </w:r>
      <w:r w:rsidRPr="00FA55E1">
        <w:rPr>
          <w:rFonts w:ascii="Garamond" w:hAnsi="Garamond"/>
          <w:sz w:val="18"/>
          <w:szCs w:val="18"/>
        </w:rPr>
        <w:t xml:space="preserve">, CCPR/C/50/D/488/1992, UN Human Rights Committee (HRC), </w:t>
      </w:r>
      <w:proofErr w:type="gramStart"/>
      <w:r w:rsidRPr="00FA55E1">
        <w:rPr>
          <w:rFonts w:ascii="Garamond" w:hAnsi="Garamond"/>
          <w:sz w:val="18"/>
          <w:szCs w:val="18"/>
        </w:rPr>
        <w:t>4</w:t>
      </w:r>
      <w:proofErr w:type="gramEnd"/>
      <w:r w:rsidRPr="00FA55E1">
        <w:rPr>
          <w:rFonts w:ascii="Garamond" w:hAnsi="Garamond"/>
          <w:sz w:val="18"/>
          <w:szCs w:val="18"/>
        </w:rPr>
        <w:t xml:space="preserve"> April 1994, available at: http://www.unhcr.org/refworld/docid/48298b8d2.html [accessed 28 September 2011].</w:t>
      </w:r>
    </w:p>
  </w:footnote>
  <w:footnote w:id="2">
    <w:p w14:paraId="7D6D9680" w14:textId="77777777" w:rsidR="000939DD" w:rsidRPr="00FA55E1" w:rsidRDefault="000939DD" w:rsidP="00170D50">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General Comment No. 28: Equality of rights between men and women (article 3)</w:t>
      </w:r>
      <w:proofErr w:type="gramStart"/>
      <w:r w:rsidRPr="00FA55E1">
        <w:rPr>
          <w:rFonts w:ascii="Garamond" w:hAnsi="Garamond"/>
          <w:sz w:val="18"/>
          <w:szCs w:val="18"/>
        </w:rPr>
        <w:t>: .</w:t>
      </w:r>
      <w:proofErr w:type="gramEnd"/>
      <w:r w:rsidRPr="00FA55E1">
        <w:rPr>
          <w:rFonts w:ascii="Garamond" w:hAnsi="Garamond"/>
          <w:sz w:val="18"/>
          <w:szCs w:val="18"/>
        </w:rPr>
        <w:t xml:space="preserve"> 03/29/2000.</w:t>
      </w:r>
    </w:p>
    <w:p w14:paraId="7033A488" w14:textId="77777777" w:rsidR="000939DD" w:rsidRPr="00FA55E1" w:rsidRDefault="000939DD" w:rsidP="00170D50">
      <w:pPr>
        <w:pStyle w:val="Funotentext"/>
        <w:rPr>
          <w:rFonts w:ascii="Garamond" w:hAnsi="Garamond"/>
          <w:sz w:val="18"/>
          <w:szCs w:val="18"/>
        </w:rPr>
      </w:pPr>
      <w:r w:rsidRPr="00FA55E1">
        <w:rPr>
          <w:rFonts w:ascii="Garamond" w:hAnsi="Garamond"/>
          <w:sz w:val="18"/>
          <w:szCs w:val="18"/>
        </w:rPr>
        <w:t>CCPR/C/21/Rev.1/Add.10.</w:t>
      </w:r>
    </w:p>
  </w:footnote>
  <w:footnote w:id="3">
    <w:p w14:paraId="083BF550" w14:textId="77777777" w:rsidR="000939DD" w:rsidRPr="00FA55E1" w:rsidRDefault="000939DD" w:rsidP="00170D50">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General Comment No. 28: Equality of rights between men and women (article 3</w:t>
      </w:r>
      <w:proofErr w:type="gramStart"/>
      <w:r w:rsidRPr="00FA55E1">
        <w:rPr>
          <w:rFonts w:ascii="Garamond" w:hAnsi="Garamond"/>
          <w:sz w:val="18"/>
          <w:szCs w:val="18"/>
        </w:rPr>
        <w:t>) :</w:t>
      </w:r>
      <w:proofErr w:type="gramEnd"/>
      <w:r w:rsidRPr="00FA55E1">
        <w:rPr>
          <w:rFonts w:ascii="Garamond" w:hAnsi="Garamond"/>
          <w:sz w:val="18"/>
          <w:szCs w:val="18"/>
        </w:rPr>
        <w:t xml:space="preserve"> . 03/29/2000. </w:t>
      </w:r>
      <w:proofErr w:type="gramStart"/>
      <w:r w:rsidRPr="00FA55E1">
        <w:rPr>
          <w:rFonts w:ascii="Garamond" w:hAnsi="Garamond"/>
          <w:sz w:val="18"/>
          <w:szCs w:val="18"/>
        </w:rPr>
        <w:t>CCPR/C/21/Rev.1/Add.10 at para 3.</w:t>
      </w:r>
      <w:proofErr w:type="gramEnd"/>
    </w:p>
  </w:footnote>
  <w:footnote w:id="4">
    <w:p w14:paraId="53FDEB5E" w14:textId="77777777" w:rsidR="000939DD" w:rsidRPr="00FA55E1" w:rsidRDefault="000939DD" w:rsidP="004F1B49">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Section 137A of the Penal Code of Malawi: “Any female person who, whether in public or private, commits any act of gross indecency with another female person, or procures another female person to commit any act of gross indecency with her, or attempts to procure the commission of any such act by any female person with herself or with another female person, whether in public or private, shall be guilty of an offence and shall be liable to imprisonment for five years.  Section 153: “Any person who (a) has carnal knowledge of any person against the order of nature; or (b) has carnal knowledge of an animal; or (c) permits a male person to have carnal knowledge of him or her against the order of nature, shall be guilty of a felony and shall be liable to imprisonment for fourteen years, with or without corporal punishment.”  Section 156: “Any male person who, whether in public or private, commits any act of gross indecency with another male person, or procures another male person to commit any act of gross indecency with him, or attempts to procure the commission of any such act by any male person with himself or with another male person, whether in public or private, shall be guilty of a felony and shall be liable to imprisonment for five years, with or without corporal punishment.”</w:t>
      </w:r>
    </w:p>
  </w:footnote>
  <w:footnote w:id="5">
    <w:p w14:paraId="44E612E3" w14:textId="77777777" w:rsidR="000939DD" w:rsidRPr="00FA55E1" w:rsidRDefault="000939DD" w:rsidP="00127C69">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CCPR/C/MWI/1 ¶105.</w:t>
      </w:r>
    </w:p>
  </w:footnote>
  <w:footnote w:id="6">
    <w:p w14:paraId="496F7651" w14:textId="73B006CF" w:rsidR="000939DD" w:rsidRPr="00FA55E1" w:rsidRDefault="000939DD" w:rsidP="00127C69">
      <w:pPr>
        <w:pStyle w:val="Funotentext"/>
        <w:rPr>
          <w:rFonts w:ascii="Garamond" w:hAnsi="Garamond"/>
          <w:b/>
          <w:bCs/>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See “</w:t>
      </w:r>
      <w:r w:rsidRPr="00FA55E1">
        <w:rPr>
          <w:rFonts w:ascii="Garamond" w:hAnsi="Garamond"/>
          <w:bCs/>
          <w:sz w:val="18"/>
          <w:szCs w:val="18"/>
        </w:rPr>
        <w:t xml:space="preserve">Malawi Suspends Sodomy Laws: Activists Proceed with Caution and Call for Full Repeal,” </w:t>
      </w:r>
      <w:r w:rsidRPr="00FA55E1">
        <w:rPr>
          <w:rFonts w:ascii="Garamond" w:hAnsi="Garamond"/>
          <w:smallCaps/>
          <w:sz w:val="18"/>
          <w:szCs w:val="18"/>
        </w:rPr>
        <w:t>International Gay and Lesbian Human Rights Commission</w:t>
      </w:r>
      <w:r w:rsidRPr="00FA55E1">
        <w:rPr>
          <w:rFonts w:ascii="Garamond" w:hAnsi="Garamond"/>
          <w:bCs/>
          <w:sz w:val="18"/>
          <w:szCs w:val="18"/>
        </w:rPr>
        <w:t xml:space="preserve"> (IGLHRC)</w:t>
      </w:r>
      <w:r w:rsidRPr="00FA55E1">
        <w:rPr>
          <w:rFonts w:ascii="Garamond" w:hAnsi="Garamond"/>
          <w:b/>
          <w:bCs/>
          <w:sz w:val="18"/>
          <w:szCs w:val="18"/>
        </w:rPr>
        <w:t xml:space="preserve"> </w:t>
      </w:r>
      <w:r w:rsidRPr="00FA55E1">
        <w:rPr>
          <w:rFonts w:ascii="Garamond" w:hAnsi="Garamond"/>
          <w:bCs/>
          <w:sz w:val="18"/>
          <w:szCs w:val="18"/>
        </w:rPr>
        <w:t>(November 6, 2012),</w:t>
      </w:r>
      <w:r w:rsidRPr="00FA55E1">
        <w:rPr>
          <w:rFonts w:ascii="Garamond" w:hAnsi="Garamond"/>
          <w:b/>
          <w:bCs/>
          <w:sz w:val="18"/>
          <w:szCs w:val="18"/>
        </w:rPr>
        <w:t xml:space="preserve"> </w:t>
      </w:r>
      <w:r w:rsidRPr="00FA55E1">
        <w:rPr>
          <w:rFonts w:ascii="Garamond" w:hAnsi="Garamond"/>
          <w:sz w:val="18"/>
          <w:szCs w:val="18"/>
        </w:rPr>
        <w:t>http://www.iglhrc.org/content/malawi-suspends-sodomy-laws.</w:t>
      </w:r>
    </w:p>
  </w:footnote>
  <w:footnote w:id="7">
    <w:p w14:paraId="759573E8" w14:textId="77777777" w:rsidR="000939DD" w:rsidRPr="00FA55E1" w:rsidRDefault="000939DD" w:rsidP="009209BC">
      <w:pPr>
        <w:pStyle w:val="Funotentext"/>
        <w:rPr>
          <w:rFonts w:ascii="Garamond" w:hAnsi="Garamond" w:cs="Arial"/>
          <w:sz w:val="18"/>
          <w:szCs w:val="18"/>
          <w:lang w:val="en-ZA"/>
        </w:rPr>
      </w:pPr>
      <w:r w:rsidRPr="00FA55E1">
        <w:rPr>
          <w:rStyle w:val="Funotenzeichen"/>
          <w:rFonts w:ascii="Garamond" w:hAnsi="Garamond" w:cs="Arial"/>
          <w:sz w:val="18"/>
          <w:szCs w:val="18"/>
        </w:rPr>
        <w:footnoteRef/>
      </w:r>
      <w:r w:rsidRPr="00FA55E1">
        <w:rPr>
          <w:rFonts w:ascii="Garamond" w:hAnsi="Garamond" w:cs="Arial"/>
          <w:sz w:val="18"/>
          <w:szCs w:val="18"/>
        </w:rPr>
        <w:t xml:space="preserve"> </w:t>
      </w:r>
      <w:r w:rsidRPr="00FA55E1">
        <w:rPr>
          <w:rFonts w:ascii="Garamond" w:hAnsi="Garamond" w:cs="Arial"/>
          <w:sz w:val="18"/>
          <w:szCs w:val="18"/>
          <w:lang w:val="en-ZA"/>
        </w:rPr>
        <w:t xml:space="preserve">Cap. 15:01 of the Laws of Malawi. </w:t>
      </w:r>
      <w:r w:rsidRPr="00FA55E1">
        <w:rPr>
          <w:rFonts w:ascii="Garamond" w:hAnsi="Garamond" w:cs="Arial"/>
          <w:i/>
          <w:sz w:val="18"/>
          <w:szCs w:val="18"/>
          <w:lang w:val="en-ZA"/>
        </w:rPr>
        <w:t xml:space="preserve">Available here: </w:t>
      </w:r>
      <w:hyperlink r:id="rId1" w:history="1">
        <w:r w:rsidRPr="00FA55E1">
          <w:rPr>
            <w:rStyle w:val="Hyperlink"/>
            <w:rFonts w:ascii="Garamond" w:hAnsi="Garamond" w:cs="Arial"/>
            <w:sz w:val="18"/>
            <w:szCs w:val="18"/>
            <w:lang w:val="en-ZA"/>
          </w:rPr>
          <w:t>http://www.refworld.org/cgi-bin/texis/vtx/rwmain?page=country&amp;category=LEGAL&amp;publisher=&amp;type=LEGISLATION&amp;coi=MWI&amp;rid=456d621e2&amp;docid=3ae6b5b110&amp;skip=0</w:t>
        </w:r>
      </w:hyperlink>
      <w:r w:rsidRPr="00FA55E1">
        <w:rPr>
          <w:rFonts w:ascii="Garamond" w:hAnsi="Garamond" w:cs="Arial"/>
          <w:sz w:val="18"/>
          <w:szCs w:val="18"/>
          <w:lang w:val="en-ZA"/>
        </w:rPr>
        <w:t xml:space="preserve">.  </w:t>
      </w:r>
    </w:p>
  </w:footnote>
  <w:footnote w:id="8">
    <w:p w14:paraId="576CE8CD" w14:textId="3840CC96" w:rsidR="000939DD" w:rsidRPr="00FA55E1" w:rsidRDefault="000939DD">
      <w:pPr>
        <w:pStyle w:val="Funotentext"/>
        <w:rPr>
          <w:rFonts w:ascii="Garamond" w:hAnsi="Garamond"/>
          <w:i/>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Malawi Constitution, May 1994 art. </w:t>
      </w:r>
      <w:proofErr w:type="gramStart"/>
      <w:r w:rsidRPr="00FA55E1">
        <w:rPr>
          <w:rFonts w:ascii="Garamond" w:hAnsi="Garamond"/>
          <w:sz w:val="18"/>
          <w:szCs w:val="18"/>
        </w:rPr>
        <w:t xml:space="preserve">44(1) </w:t>
      </w:r>
      <w:r w:rsidRPr="00FA55E1">
        <w:rPr>
          <w:rFonts w:ascii="Garamond" w:hAnsi="Garamond"/>
          <w:i/>
          <w:sz w:val="18"/>
          <w:szCs w:val="18"/>
        </w:rPr>
        <w:t xml:space="preserve">available at </w:t>
      </w:r>
      <w:r w:rsidRPr="00FA55E1">
        <w:rPr>
          <w:rFonts w:ascii="Garamond" w:hAnsi="Garamond"/>
          <w:sz w:val="18"/>
          <w:szCs w:val="18"/>
        </w:rPr>
        <w:t>http://www.africa.upenn.edu/Govern_Political/mlwi_const.html</w:t>
      </w:r>
      <w:r w:rsidRPr="00FA55E1">
        <w:rPr>
          <w:rFonts w:ascii="Garamond" w:hAnsi="Garamond"/>
          <w:i/>
          <w:sz w:val="18"/>
          <w:szCs w:val="18"/>
        </w:rPr>
        <w:t>.</w:t>
      </w:r>
      <w:proofErr w:type="gramEnd"/>
    </w:p>
  </w:footnote>
  <w:footnote w:id="9">
    <w:p w14:paraId="645C5F83" w14:textId="77777777" w:rsidR="000939DD" w:rsidRPr="00FA55E1" w:rsidRDefault="000939DD" w:rsidP="00447183">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w:t>
      </w:r>
      <w:proofErr w:type="gramStart"/>
      <w:r w:rsidRPr="00FA55E1">
        <w:rPr>
          <w:rFonts w:ascii="Garamond" w:hAnsi="Garamond"/>
          <w:sz w:val="18"/>
          <w:szCs w:val="18"/>
        </w:rPr>
        <w:t>CCPR/C/COL/C/6, 4th August 2010 at para 12.</w:t>
      </w:r>
      <w:proofErr w:type="gramEnd"/>
    </w:p>
  </w:footnote>
  <w:footnote w:id="10">
    <w:p w14:paraId="46C90493" w14:textId="77777777" w:rsidR="000939DD" w:rsidRPr="00FA55E1" w:rsidRDefault="000939DD" w:rsidP="00447183">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“Robert </w:t>
      </w:r>
      <w:proofErr w:type="spellStart"/>
      <w:r w:rsidRPr="00FA55E1">
        <w:rPr>
          <w:rFonts w:ascii="Garamond" w:hAnsi="Garamond"/>
          <w:sz w:val="18"/>
          <w:szCs w:val="18"/>
        </w:rPr>
        <w:t>Chasowa</w:t>
      </w:r>
      <w:proofErr w:type="spellEnd"/>
      <w:r w:rsidRPr="00FA55E1">
        <w:rPr>
          <w:rFonts w:ascii="Garamond" w:hAnsi="Garamond"/>
          <w:sz w:val="18"/>
          <w:szCs w:val="18"/>
        </w:rPr>
        <w:t xml:space="preserve"> was Assaulted – Autopsy,” The Nation Newspaper, 5 October 2011. </w:t>
      </w:r>
      <w:proofErr w:type="gramStart"/>
      <w:r w:rsidRPr="00FA55E1">
        <w:rPr>
          <w:rFonts w:ascii="Garamond" w:hAnsi="Garamond"/>
          <w:sz w:val="18"/>
          <w:szCs w:val="18"/>
        </w:rPr>
        <w:t>Available online at http://www.scribd.com/doc/67574687/Robert-Chasowa-was-Assaulted-%E2%80%93-autopsy.</w:t>
      </w:r>
      <w:proofErr w:type="gramEnd"/>
    </w:p>
  </w:footnote>
  <w:footnote w:id="11">
    <w:p w14:paraId="28C14908" w14:textId="77777777" w:rsidR="000939DD" w:rsidRPr="00FA55E1" w:rsidRDefault="000939DD" w:rsidP="00447183">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Letter to President of Malawi RE: SECURITY FORCES’ USE OF FIREARMS AGAINST PROTESTORS from Amnesty International, Council on Global Equality, Human Rights First, International Commission of Jurists, International Gay and Lesbian Human Rights Commission, Southern African Litigation Centre. See: </w:t>
      </w:r>
    </w:p>
    <w:p w14:paraId="1A1B7247" w14:textId="77777777" w:rsidR="000939DD" w:rsidRPr="00FA55E1" w:rsidRDefault="000939DD" w:rsidP="00447183">
      <w:pPr>
        <w:pStyle w:val="Funotentext"/>
        <w:rPr>
          <w:rFonts w:ascii="Garamond" w:hAnsi="Garamond"/>
          <w:sz w:val="18"/>
          <w:szCs w:val="18"/>
        </w:rPr>
      </w:pPr>
      <w:r w:rsidRPr="00FA55E1">
        <w:rPr>
          <w:rFonts w:ascii="Garamond" w:hAnsi="Garamond"/>
          <w:sz w:val="18"/>
          <w:szCs w:val="18"/>
        </w:rPr>
        <w:t>https://salsa.democracyinaction.org/o/1870/images/Malawi_Protests_LTR_7_1_22_2011_FINAL.pdf (last visited April 26, 2013).</w:t>
      </w:r>
    </w:p>
  </w:footnote>
  <w:footnote w:id="12">
    <w:p w14:paraId="57D41F8A" w14:textId="01EE9D26" w:rsidR="000939DD" w:rsidRPr="00FA55E1" w:rsidRDefault="000939DD" w:rsidP="004C49E8">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General Comment No. 13: Equality before the courts and the right to a fair and public hearing by an independent court established by law (Art. 14</w:t>
      </w:r>
      <w:proofErr w:type="gramStart"/>
      <w:r w:rsidRPr="00FA55E1">
        <w:rPr>
          <w:rFonts w:ascii="Garamond" w:hAnsi="Garamond"/>
          <w:sz w:val="18"/>
          <w:szCs w:val="18"/>
        </w:rPr>
        <w:t>) :</w:t>
      </w:r>
      <w:proofErr w:type="gramEnd"/>
      <w:r w:rsidRPr="00FA55E1">
        <w:rPr>
          <w:rFonts w:ascii="Garamond" w:hAnsi="Garamond"/>
          <w:sz w:val="18"/>
          <w:szCs w:val="18"/>
        </w:rPr>
        <w:t xml:space="preserve"> . </w:t>
      </w:r>
      <w:proofErr w:type="gramStart"/>
      <w:r w:rsidRPr="00FA55E1">
        <w:rPr>
          <w:rFonts w:ascii="Garamond" w:hAnsi="Garamond"/>
          <w:sz w:val="18"/>
          <w:szCs w:val="18"/>
        </w:rPr>
        <w:t>04/13/1984, para 1.</w:t>
      </w:r>
      <w:proofErr w:type="gramEnd"/>
    </w:p>
  </w:footnote>
  <w:footnote w:id="13">
    <w:p w14:paraId="298ED570" w14:textId="255446F7" w:rsidR="000939DD" w:rsidRPr="00FA55E1" w:rsidRDefault="000939DD" w:rsidP="006763B8">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“Malawi suspends anti-gay laws as MPs debate repeal” </w:t>
      </w:r>
      <w:r w:rsidRPr="00FA55E1">
        <w:rPr>
          <w:rFonts w:ascii="Garamond" w:hAnsi="Garamond"/>
          <w:smallCaps/>
          <w:sz w:val="18"/>
          <w:szCs w:val="18"/>
        </w:rPr>
        <w:t>The Guardian</w:t>
      </w:r>
      <w:r w:rsidRPr="00FA55E1">
        <w:rPr>
          <w:rFonts w:ascii="Garamond" w:hAnsi="Garamond"/>
          <w:sz w:val="18"/>
          <w:szCs w:val="18"/>
        </w:rPr>
        <w:t xml:space="preserve"> (5 Nov 2012).  </w:t>
      </w:r>
    </w:p>
    <w:p w14:paraId="6FE2C79C" w14:textId="45E43EAA" w:rsidR="000939DD" w:rsidRPr="00FA55E1" w:rsidRDefault="000939DD">
      <w:pPr>
        <w:pStyle w:val="Funotentext"/>
        <w:rPr>
          <w:rFonts w:ascii="Garamond" w:hAnsi="Garamond"/>
          <w:sz w:val="18"/>
          <w:szCs w:val="18"/>
        </w:rPr>
      </w:pPr>
      <w:r w:rsidRPr="00FA55E1">
        <w:rPr>
          <w:rFonts w:ascii="Garamond" w:hAnsi="Garamond"/>
          <w:sz w:val="18"/>
          <w:szCs w:val="18"/>
        </w:rPr>
        <w:t>http://www.guardian.co.uk/world/2012/nov/05/malawi-gay-laws-debate-repeal</w:t>
      </w:r>
    </w:p>
  </w:footnote>
  <w:footnote w:id="14">
    <w:p w14:paraId="205BB962" w14:textId="22ACF6CD" w:rsidR="000939DD" w:rsidRPr="00FA55E1" w:rsidRDefault="000939DD">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w:t>
      </w:r>
      <w:r w:rsidRPr="00FA55E1">
        <w:rPr>
          <w:rFonts w:ascii="Garamond" w:hAnsi="Garamond"/>
          <w:bCs/>
          <w:iCs/>
          <w:sz w:val="18"/>
          <w:szCs w:val="18"/>
        </w:rPr>
        <w:t>CCPR/C/21/Rev.1/Add.4</w:t>
      </w:r>
      <w:r w:rsidRPr="00FA55E1">
        <w:rPr>
          <w:rFonts w:ascii="Garamond" w:hAnsi="Garamond"/>
          <w:sz w:val="18"/>
          <w:szCs w:val="18"/>
        </w:rPr>
        <w:t xml:space="preserve"> July 1993.</w:t>
      </w:r>
    </w:p>
  </w:footnote>
  <w:footnote w:id="15">
    <w:p w14:paraId="72052691" w14:textId="732BA1D8" w:rsidR="000939DD" w:rsidRPr="00FA55E1" w:rsidRDefault="000939DD">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w:t>
      </w:r>
      <w:r w:rsidRPr="00FA55E1">
        <w:rPr>
          <w:rFonts w:ascii="Garamond" w:hAnsi="Garamond"/>
          <w:bCs/>
          <w:iCs/>
          <w:sz w:val="18"/>
          <w:szCs w:val="18"/>
        </w:rPr>
        <w:t>CPR/C/21/Rev.1/Add.4, General Comment No. 22</w:t>
      </w:r>
    </w:p>
  </w:footnote>
  <w:footnote w:id="16">
    <w:p w14:paraId="3747705F" w14:textId="572EA824" w:rsidR="000939DD" w:rsidRPr="00FA55E1" w:rsidRDefault="000939DD" w:rsidP="003D30D1">
      <w:pPr>
        <w:pStyle w:val="Funotentext"/>
        <w:rPr>
          <w:rFonts w:ascii="Garamond" w:hAnsi="Garamond" w:cs="Arial"/>
          <w:sz w:val="18"/>
          <w:szCs w:val="18"/>
        </w:rPr>
      </w:pPr>
      <w:r w:rsidRPr="00FA55E1">
        <w:rPr>
          <w:rStyle w:val="Funotenzeichen"/>
          <w:rFonts w:ascii="Garamond" w:hAnsi="Garamond" w:cs="Arial"/>
          <w:sz w:val="18"/>
          <w:szCs w:val="18"/>
        </w:rPr>
        <w:footnoteRef/>
      </w:r>
      <w:r w:rsidRPr="00FA55E1">
        <w:rPr>
          <w:rFonts w:ascii="Garamond" w:hAnsi="Garamond" w:cs="Arial"/>
          <w:sz w:val="18"/>
          <w:szCs w:val="18"/>
        </w:rPr>
        <w:t xml:space="preserve"> Steve </w:t>
      </w:r>
      <w:proofErr w:type="spellStart"/>
      <w:r w:rsidRPr="00FA55E1">
        <w:rPr>
          <w:rFonts w:ascii="Garamond" w:hAnsi="Garamond" w:cs="Arial"/>
          <w:sz w:val="18"/>
          <w:szCs w:val="18"/>
        </w:rPr>
        <w:t>Gulumba</w:t>
      </w:r>
      <w:proofErr w:type="spellEnd"/>
      <w:r w:rsidRPr="00FA55E1">
        <w:rPr>
          <w:rFonts w:ascii="Garamond" w:hAnsi="Garamond" w:cs="Arial"/>
          <w:sz w:val="18"/>
          <w:szCs w:val="18"/>
        </w:rPr>
        <w:t xml:space="preserve">, “Schools reject Rastafarian pupils,” </w:t>
      </w:r>
      <w:r w:rsidRPr="00FA55E1">
        <w:rPr>
          <w:rFonts w:ascii="Garamond" w:hAnsi="Garamond" w:cs="Arial"/>
          <w:smallCaps/>
          <w:sz w:val="18"/>
          <w:szCs w:val="18"/>
        </w:rPr>
        <w:t>Malawi News</w:t>
      </w:r>
      <w:r w:rsidRPr="00FA55E1">
        <w:rPr>
          <w:rFonts w:ascii="Garamond" w:hAnsi="Garamond" w:cs="Arial"/>
          <w:sz w:val="18"/>
          <w:szCs w:val="18"/>
        </w:rPr>
        <w:t xml:space="preserve"> (September 22, 2012), </w:t>
      </w:r>
      <w:hyperlink r:id="rId2" w:history="1">
        <w:r w:rsidRPr="00FA55E1">
          <w:rPr>
            <w:rStyle w:val="Hyperlink"/>
            <w:rFonts w:ascii="Garamond" w:hAnsi="Garamond" w:cs="Arial"/>
            <w:sz w:val="18"/>
            <w:szCs w:val="18"/>
          </w:rPr>
          <w:t>http://www.bnltimes.com/index.php/malawi-news/headlines/national/11656-schools-reject-rastafarian-pupils</w:t>
        </w:r>
      </w:hyperlink>
      <w:r w:rsidRPr="00FA55E1">
        <w:rPr>
          <w:rFonts w:ascii="Garamond" w:hAnsi="Garamond" w:cs="Arial"/>
          <w:sz w:val="18"/>
          <w:szCs w:val="18"/>
        </w:rPr>
        <w:t xml:space="preserve"> (accessed on 26 November 2012).</w:t>
      </w:r>
    </w:p>
  </w:footnote>
  <w:footnote w:id="17">
    <w:p w14:paraId="23C937BF" w14:textId="60988B8E" w:rsidR="000939DD" w:rsidRPr="00FA55E1" w:rsidRDefault="000939DD">
      <w:pPr>
        <w:pStyle w:val="Funotentext"/>
        <w:rPr>
          <w:rFonts w:ascii="Garamond" w:hAnsi="Garamond"/>
          <w:i/>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w:t>
      </w:r>
      <w:r w:rsidRPr="00FA55E1">
        <w:rPr>
          <w:rFonts w:ascii="Garamond" w:hAnsi="Garamond"/>
          <w:i/>
          <w:sz w:val="18"/>
          <w:szCs w:val="18"/>
        </w:rPr>
        <w:t>Id.</w:t>
      </w:r>
    </w:p>
  </w:footnote>
  <w:footnote w:id="18">
    <w:p w14:paraId="0DF1269A" w14:textId="26629E5F" w:rsidR="000939DD" w:rsidRPr="00FA55E1" w:rsidRDefault="000939DD">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Article 44(1) of the State Party’s Constitution states, “There shall be no derogation, restrictions or limitation with regard to…the right to freedom of conscience, belief, thought and religion and to academic freedom.” </w:t>
      </w:r>
    </w:p>
  </w:footnote>
  <w:footnote w:id="19">
    <w:p w14:paraId="7A86F250" w14:textId="77777777" w:rsidR="000939DD" w:rsidRPr="00FA55E1" w:rsidRDefault="000939DD" w:rsidP="009D4485">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CCPR/C/GC/34, 21 July 2011.</w:t>
      </w:r>
    </w:p>
  </w:footnote>
  <w:footnote w:id="20">
    <w:p w14:paraId="260AECF6" w14:textId="77777777" w:rsidR="000939DD" w:rsidRPr="00FA55E1" w:rsidRDefault="000939DD" w:rsidP="009D4485">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ICCPR, General Comment No. 22, Right to Freedom of Thought, Conscience and Religion, ¶ 3, (1993) UN Doc. CCPR/C/21/Rev.1/Add.4.</w:t>
      </w:r>
    </w:p>
  </w:footnote>
  <w:footnote w:id="21">
    <w:p w14:paraId="0C3163A0" w14:textId="77777777" w:rsidR="000939DD" w:rsidRPr="00FA55E1" w:rsidRDefault="000939DD" w:rsidP="009D4485">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ICCPR, General Comment No. 25, ¶ 12, The Right to Participate in Public Affairs, Voting Rights and the Right to Equal Access to Public Service, supra note 163.</w:t>
      </w:r>
    </w:p>
  </w:footnote>
  <w:footnote w:id="22">
    <w:p w14:paraId="1E1709AD" w14:textId="504C7D8D" w:rsidR="000939DD" w:rsidRPr="00FA55E1" w:rsidRDefault="000939DD" w:rsidP="00127C69">
      <w:pPr>
        <w:pStyle w:val="Funotentext"/>
        <w:rPr>
          <w:rFonts w:ascii="Garamond" w:hAnsi="Garamond"/>
          <w:sz w:val="18"/>
          <w:szCs w:val="18"/>
          <w:lang w:val="en-ZA"/>
        </w:rPr>
      </w:pPr>
      <w:r w:rsidRPr="00FA55E1">
        <w:rPr>
          <w:rStyle w:val="Funotenzeichen"/>
          <w:rFonts w:ascii="Garamond" w:hAnsi="Garamond" w:cs="Arial"/>
          <w:sz w:val="18"/>
          <w:szCs w:val="18"/>
        </w:rPr>
        <w:footnoteRef/>
      </w:r>
      <w:r w:rsidRPr="00FA55E1">
        <w:rPr>
          <w:rFonts w:ascii="Garamond" w:hAnsi="Garamond" w:cs="Arial"/>
          <w:sz w:val="18"/>
          <w:szCs w:val="18"/>
        </w:rPr>
        <w:t xml:space="preserve"> </w:t>
      </w:r>
      <w:r w:rsidRPr="00FA55E1">
        <w:rPr>
          <w:rFonts w:ascii="Garamond" w:hAnsi="Garamond" w:cs="Arial"/>
          <w:i/>
          <w:sz w:val="18"/>
          <w:szCs w:val="18"/>
          <w:lang w:val="en-ZA"/>
        </w:rPr>
        <w:t xml:space="preserve">See </w:t>
      </w:r>
      <w:r w:rsidRPr="00FA55E1">
        <w:rPr>
          <w:rFonts w:ascii="Garamond" w:hAnsi="Garamond" w:cs="Arial"/>
          <w:sz w:val="18"/>
          <w:szCs w:val="18"/>
          <w:lang w:val="en-ZA"/>
        </w:rPr>
        <w:t>for instance section 32(1) of the Constitution of the Republic of South Africa 1996 and section 35(1) of the Constitution of the Republic of Kenya (2010).</w:t>
      </w:r>
    </w:p>
  </w:footnote>
  <w:footnote w:id="23">
    <w:p w14:paraId="74DAEFA9" w14:textId="77777777" w:rsidR="000939DD" w:rsidRPr="00FA55E1" w:rsidRDefault="000939DD" w:rsidP="00DB39D8">
      <w:pPr>
        <w:pStyle w:val="Funotentext"/>
        <w:rPr>
          <w:rFonts w:ascii="Garamond" w:hAnsi="Garamond" w:cs="Arial"/>
          <w:sz w:val="18"/>
          <w:szCs w:val="18"/>
          <w:lang w:val="en-ZA"/>
        </w:rPr>
      </w:pPr>
      <w:r w:rsidRPr="00FA55E1">
        <w:rPr>
          <w:rStyle w:val="Funotenzeichen"/>
          <w:rFonts w:ascii="Garamond" w:hAnsi="Garamond" w:cs="Arial"/>
          <w:sz w:val="18"/>
          <w:szCs w:val="18"/>
        </w:rPr>
        <w:footnoteRef/>
      </w:r>
      <w:r w:rsidRPr="00FA55E1">
        <w:rPr>
          <w:rFonts w:ascii="Garamond" w:hAnsi="Garamond" w:cs="Arial"/>
          <w:sz w:val="18"/>
          <w:szCs w:val="18"/>
        </w:rPr>
        <w:t xml:space="preserve"> </w:t>
      </w:r>
      <w:r w:rsidRPr="00FA55E1">
        <w:rPr>
          <w:rFonts w:ascii="Garamond" w:hAnsi="Garamond" w:cs="Arial"/>
          <w:sz w:val="18"/>
          <w:szCs w:val="18"/>
          <w:lang w:val="en-ZA"/>
        </w:rPr>
        <w:t xml:space="preserve">For instance, sections 50 and 51 still criminalise sedition, section 60 criminalises publication of false news likely to cause fear and alarm to the public, section 60A criminalises communication of false statements which may be published generally outside Malawi, the Censorship and Control of Entertainment Act, Cap.21:01 of the Laws of Malawi empowers the Censorship Board to ban any publication deemed to be undesirable, section 4 of the Protected Flag, Emblems and Names Act, Cap. 18:03 of the Laws of Malawi criminalises insulting, or ridiculing or showing disrespect to or with reference to the President, the National Flag, the Armorial Ensigns, the Public Seal, or any protected emblem or protected likeness, among many others. </w:t>
      </w:r>
    </w:p>
    <w:p w14:paraId="0E2920FB" w14:textId="77777777" w:rsidR="000939DD" w:rsidRPr="00FA55E1" w:rsidRDefault="000939DD" w:rsidP="00DB39D8">
      <w:pPr>
        <w:pStyle w:val="Funotentext"/>
        <w:rPr>
          <w:rFonts w:ascii="Garamond" w:hAnsi="Garamond" w:cs="Arial"/>
          <w:sz w:val="18"/>
          <w:szCs w:val="18"/>
          <w:lang w:val="en-ZA"/>
        </w:rPr>
      </w:pPr>
    </w:p>
  </w:footnote>
  <w:footnote w:id="24">
    <w:p w14:paraId="5AE2F6F4" w14:textId="77777777" w:rsidR="000939DD" w:rsidRPr="00FA55E1" w:rsidRDefault="000939DD" w:rsidP="00D753B6">
      <w:pPr>
        <w:pStyle w:val="Funotentext"/>
        <w:rPr>
          <w:rFonts w:ascii="Garamond" w:hAnsi="Garamond"/>
          <w:sz w:val="18"/>
          <w:szCs w:val="18"/>
          <w:lang w:val="en-ZA"/>
        </w:rPr>
      </w:pPr>
      <w:r w:rsidRPr="00FA55E1">
        <w:rPr>
          <w:rStyle w:val="Funotenzeichen"/>
          <w:rFonts w:ascii="Garamond" w:hAnsi="Garamond"/>
          <w:sz w:val="18"/>
          <w:szCs w:val="18"/>
        </w:rPr>
        <w:footnoteRef/>
      </w:r>
      <w:r w:rsidRPr="00FA55E1">
        <w:rPr>
          <w:rFonts w:ascii="Garamond" w:hAnsi="Garamond"/>
          <w:sz w:val="18"/>
          <w:szCs w:val="18"/>
        </w:rPr>
        <w:t xml:space="preserve"> </w:t>
      </w:r>
      <w:r w:rsidRPr="00FA55E1">
        <w:rPr>
          <w:rFonts w:ascii="Garamond" w:hAnsi="Garamond"/>
          <w:i/>
          <w:sz w:val="18"/>
          <w:szCs w:val="18"/>
          <w:lang w:val="en-ZA"/>
        </w:rPr>
        <w:t xml:space="preserve">In re Presidential Reference Concerning Section 65 of the Constitution </w:t>
      </w:r>
      <w:r w:rsidRPr="00FA55E1">
        <w:rPr>
          <w:rFonts w:ascii="Garamond" w:hAnsi="Garamond"/>
          <w:sz w:val="18"/>
          <w:szCs w:val="18"/>
          <w:lang w:val="en-ZA"/>
        </w:rPr>
        <w:t>Presidential Reference Appeal No. 44 of 2006 (MSCA) (Unreported).</w:t>
      </w:r>
    </w:p>
    <w:p w14:paraId="5028CA34" w14:textId="77777777" w:rsidR="000939DD" w:rsidRPr="00FA55E1" w:rsidRDefault="000939DD" w:rsidP="00127C69">
      <w:pPr>
        <w:pStyle w:val="Funotentext"/>
        <w:rPr>
          <w:rFonts w:ascii="Garamond" w:hAnsi="Garamond"/>
          <w:sz w:val="18"/>
          <w:szCs w:val="18"/>
          <w:lang w:val="en-ZA"/>
        </w:rPr>
      </w:pPr>
    </w:p>
  </w:footnote>
  <w:footnote w:id="25">
    <w:p w14:paraId="44F547EF" w14:textId="217968DC" w:rsidR="000939DD" w:rsidRPr="00FA55E1" w:rsidRDefault="000939DD" w:rsidP="00A96428">
      <w:pPr>
        <w:pStyle w:val="Funotentext"/>
        <w:rPr>
          <w:rFonts w:ascii="Garamond" w:hAnsi="Garamond"/>
          <w:sz w:val="18"/>
          <w:szCs w:val="18"/>
          <w:lang w:val="en-ZA"/>
        </w:rPr>
      </w:pPr>
      <w:r w:rsidRPr="00FA55E1">
        <w:rPr>
          <w:rStyle w:val="Funotenzeichen"/>
          <w:rFonts w:ascii="Garamond" w:hAnsi="Garamond" w:cs="Arial"/>
          <w:sz w:val="18"/>
          <w:szCs w:val="18"/>
        </w:rPr>
        <w:footnoteRef/>
      </w:r>
      <w:r w:rsidRPr="00FA55E1">
        <w:rPr>
          <w:rFonts w:ascii="Garamond" w:hAnsi="Garamond" w:cs="Arial"/>
          <w:sz w:val="18"/>
          <w:szCs w:val="18"/>
        </w:rPr>
        <w:t xml:space="preserve"> </w:t>
      </w:r>
      <w:r w:rsidRPr="00FA55E1">
        <w:rPr>
          <w:rFonts w:ascii="Garamond" w:hAnsi="Garamond" w:cs="Arial"/>
          <w:sz w:val="18"/>
          <w:szCs w:val="18"/>
          <w:lang w:val="en-ZA"/>
        </w:rPr>
        <w:t>Section 14 of the Constitution.</w:t>
      </w:r>
    </w:p>
  </w:footnote>
  <w:footnote w:id="26">
    <w:p w14:paraId="679CD19A" w14:textId="49B88335" w:rsidR="000939DD" w:rsidRPr="00FA55E1" w:rsidRDefault="000939DD" w:rsidP="00D753B6">
      <w:pPr>
        <w:pStyle w:val="Funotentext"/>
        <w:rPr>
          <w:rFonts w:ascii="Garamond" w:hAnsi="Garamond"/>
          <w:sz w:val="18"/>
          <w:szCs w:val="18"/>
          <w:lang w:val="en-ZA"/>
        </w:rPr>
      </w:pPr>
      <w:r w:rsidRPr="00FA55E1">
        <w:rPr>
          <w:rStyle w:val="Funotenzeichen"/>
          <w:rFonts w:ascii="Garamond" w:hAnsi="Garamond" w:cs="Arial"/>
          <w:sz w:val="18"/>
          <w:szCs w:val="18"/>
        </w:rPr>
        <w:footnoteRef/>
      </w:r>
      <w:r w:rsidRPr="00FA55E1">
        <w:rPr>
          <w:rFonts w:ascii="Garamond" w:hAnsi="Garamond" w:cs="Arial"/>
          <w:sz w:val="18"/>
          <w:szCs w:val="18"/>
        </w:rPr>
        <w:t xml:space="preserve"> DM </w:t>
      </w:r>
      <w:proofErr w:type="spellStart"/>
      <w:r w:rsidRPr="00FA55E1">
        <w:rPr>
          <w:rFonts w:ascii="Garamond" w:hAnsi="Garamond" w:cs="Arial"/>
          <w:sz w:val="18"/>
          <w:szCs w:val="18"/>
        </w:rPr>
        <w:t>Chirwa</w:t>
      </w:r>
      <w:proofErr w:type="spellEnd"/>
      <w:r w:rsidRPr="00FA55E1">
        <w:rPr>
          <w:rFonts w:ascii="Garamond" w:hAnsi="Garamond" w:cs="Arial"/>
          <w:sz w:val="18"/>
          <w:szCs w:val="18"/>
        </w:rPr>
        <w:t xml:space="preserve"> ‘A full loaf is better than half: The constitutional protection of economic, social and cultural rights in Malawi’ (2005) 49 (2) </w:t>
      </w:r>
      <w:r w:rsidRPr="00FA55E1">
        <w:rPr>
          <w:rFonts w:ascii="Garamond" w:hAnsi="Garamond" w:cs="Arial"/>
          <w:i/>
          <w:sz w:val="18"/>
          <w:szCs w:val="18"/>
        </w:rPr>
        <w:t xml:space="preserve">Journal of African Law </w:t>
      </w:r>
      <w:r w:rsidRPr="00FA55E1">
        <w:rPr>
          <w:rFonts w:ascii="Garamond" w:hAnsi="Garamond" w:cs="Arial"/>
          <w:sz w:val="18"/>
          <w:szCs w:val="18"/>
        </w:rPr>
        <w:t>207.</w:t>
      </w:r>
      <w:r w:rsidRPr="00FA55E1">
        <w:rPr>
          <w:rFonts w:ascii="Garamond" w:hAnsi="Garamond" w:cs="Arial"/>
          <w:i/>
          <w:sz w:val="18"/>
          <w:szCs w:val="18"/>
        </w:rPr>
        <w:t xml:space="preserve"> </w:t>
      </w:r>
    </w:p>
  </w:footnote>
  <w:footnote w:id="27">
    <w:p w14:paraId="5D76CFCF" w14:textId="468E6670" w:rsidR="000939DD" w:rsidRPr="00065FDB" w:rsidRDefault="000939DD" w:rsidP="00D753B6">
      <w:pPr>
        <w:pStyle w:val="Funotentext"/>
        <w:rPr>
          <w:rFonts w:ascii="Garamond" w:hAnsi="Garamond"/>
          <w:sz w:val="18"/>
          <w:szCs w:val="18"/>
        </w:rPr>
      </w:pPr>
      <w:r w:rsidRPr="00FA55E1">
        <w:rPr>
          <w:rStyle w:val="Funotenzeichen"/>
          <w:rFonts w:ascii="Garamond" w:hAnsi="Garamond" w:cs="Arial"/>
          <w:sz w:val="18"/>
          <w:szCs w:val="18"/>
        </w:rPr>
        <w:footnoteRef/>
      </w:r>
      <w:r w:rsidRPr="00FA55E1">
        <w:rPr>
          <w:rFonts w:ascii="Garamond" w:hAnsi="Garamond" w:cs="Arial"/>
          <w:sz w:val="18"/>
          <w:szCs w:val="18"/>
        </w:rPr>
        <w:t xml:space="preserve"> </w:t>
      </w:r>
      <w:r w:rsidRPr="00FA55E1">
        <w:rPr>
          <w:rFonts w:ascii="Garamond" w:hAnsi="Garamond" w:cs="Arial"/>
          <w:i/>
          <w:sz w:val="18"/>
          <w:szCs w:val="18"/>
        </w:rPr>
        <w:t>National HIV and AIDS Policy-Sustaining the Response</w:t>
      </w:r>
      <w:r w:rsidRPr="00FA55E1">
        <w:rPr>
          <w:rFonts w:ascii="Garamond" w:hAnsi="Garamond" w:cs="Arial"/>
          <w:sz w:val="18"/>
          <w:szCs w:val="18"/>
        </w:rPr>
        <w:t xml:space="preserve"> (2011)</w:t>
      </w:r>
      <w:r w:rsidRPr="00FA55E1">
        <w:rPr>
          <w:rFonts w:ascii="Garamond" w:hAnsi="Garamond"/>
          <w:sz w:val="18"/>
          <w:szCs w:val="18"/>
        </w:rPr>
        <w:t>. A decision was taken recently by the State Party to review this document as it was felt that it left out very important issues dealin</w:t>
      </w:r>
      <w:r w:rsidRPr="00065FDB">
        <w:rPr>
          <w:rFonts w:ascii="Garamond" w:hAnsi="Garamond"/>
          <w:sz w:val="18"/>
          <w:szCs w:val="18"/>
        </w:rPr>
        <w:t>g with HIV.</w:t>
      </w:r>
    </w:p>
  </w:footnote>
  <w:footnote w:id="28">
    <w:p w14:paraId="08F44722" w14:textId="46B3FA4A" w:rsidR="000939DD" w:rsidRPr="00065FDB" w:rsidRDefault="000939DD" w:rsidP="00DB39D8">
      <w:pPr>
        <w:pStyle w:val="Funotentext"/>
        <w:rPr>
          <w:rFonts w:ascii="Garamond" w:hAnsi="Garamond" w:cs="Arial"/>
          <w:sz w:val="18"/>
          <w:szCs w:val="18"/>
          <w:lang w:val="en-ZA"/>
        </w:rPr>
      </w:pPr>
      <w:r w:rsidRPr="00065FDB">
        <w:rPr>
          <w:rStyle w:val="Funotenzeichen"/>
          <w:rFonts w:ascii="Garamond" w:hAnsi="Garamond" w:cs="Arial"/>
          <w:sz w:val="18"/>
          <w:szCs w:val="18"/>
        </w:rPr>
        <w:footnoteRef/>
      </w:r>
      <w:r w:rsidRPr="00065FDB">
        <w:rPr>
          <w:rFonts w:ascii="Garamond" w:hAnsi="Garamond" w:cs="Arial"/>
          <w:sz w:val="18"/>
          <w:szCs w:val="18"/>
        </w:rPr>
        <w:t xml:space="preserve"> </w:t>
      </w:r>
      <w:proofErr w:type="gramStart"/>
      <w:r w:rsidRPr="00065FDB">
        <w:rPr>
          <w:rFonts w:ascii="Garamond" w:hAnsi="Garamond" w:cs="Arial"/>
          <w:sz w:val="18"/>
          <w:szCs w:val="18"/>
        </w:rPr>
        <w:t>Assessment of legal and policy environment for HIV and AIDS in Malawi (2012).</w:t>
      </w:r>
      <w:proofErr w:type="gramEnd"/>
    </w:p>
  </w:footnote>
  <w:footnote w:id="29">
    <w:p w14:paraId="6F4F456D" w14:textId="612A78C0" w:rsidR="000939DD" w:rsidRPr="00065FDB" w:rsidRDefault="000939DD" w:rsidP="00127C69">
      <w:pPr>
        <w:pStyle w:val="Funotentext"/>
        <w:rPr>
          <w:rFonts w:ascii="Garamond" w:hAnsi="Garamond" w:cs="Arial"/>
          <w:sz w:val="18"/>
          <w:szCs w:val="18"/>
        </w:rPr>
      </w:pPr>
      <w:r w:rsidRPr="00065FDB">
        <w:rPr>
          <w:rStyle w:val="Funotenzeichen"/>
          <w:rFonts w:ascii="Garamond" w:hAnsi="Garamond" w:cs="Arial"/>
          <w:sz w:val="18"/>
          <w:szCs w:val="18"/>
        </w:rPr>
        <w:footnoteRef/>
      </w:r>
      <w:r w:rsidRPr="00065FDB">
        <w:rPr>
          <w:rFonts w:ascii="Garamond" w:hAnsi="Garamond" w:cs="Arial"/>
          <w:sz w:val="18"/>
          <w:szCs w:val="18"/>
        </w:rPr>
        <w:t xml:space="preserve"> </w:t>
      </w:r>
      <w:proofErr w:type="gramStart"/>
      <w:r w:rsidR="00065FDB" w:rsidRPr="00065FDB">
        <w:rPr>
          <w:rFonts w:ascii="Garamond" w:hAnsi="Garamond" w:cs="Arial"/>
          <w:i/>
          <w:iCs/>
          <w:sz w:val="18"/>
          <w:szCs w:val="18"/>
          <w:lang w:val="en-ZA"/>
        </w:rPr>
        <w:t>Malawi Demographic and Health Survey 2010</w:t>
      </w:r>
      <w:r w:rsidR="00065FDB" w:rsidRPr="00065FDB">
        <w:rPr>
          <w:rFonts w:ascii="Garamond" w:hAnsi="Garamond" w:cs="Arial"/>
          <w:sz w:val="18"/>
          <w:szCs w:val="18"/>
          <w:lang w:val="en-ZA"/>
        </w:rPr>
        <w:t>, National Statistical Office (NSO) and ICF Macro (September 2011) </w:t>
      </w:r>
      <w:r w:rsidR="00065FDB" w:rsidRPr="00065FDB">
        <w:rPr>
          <w:rFonts w:ascii="Garamond" w:hAnsi="Garamond" w:cs="Arial"/>
          <w:i/>
          <w:iCs/>
          <w:sz w:val="18"/>
          <w:szCs w:val="18"/>
          <w:lang w:val="en-ZA"/>
        </w:rPr>
        <w:t>available at </w:t>
      </w:r>
      <w:hyperlink r:id="rId3" w:tgtFrame="_blank" w:history="1">
        <w:r w:rsidR="00065FDB" w:rsidRPr="00065FDB">
          <w:rPr>
            <w:rStyle w:val="Hyperlink"/>
            <w:rFonts w:ascii="Garamond" w:hAnsi="Garamond" w:cs="Arial"/>
            <w:sz w:val="18"/>
            <w:szCs w:val="18"/>
            <w:lang w:val="en-ZA"/>
          </w:rPr>
          <w:t>http://www.nsomalawi.mw/images/stories/data_on_line/demography/MDHS2010/MDHS2010%20report.pdf</w:t>
        </w:r>
      </w:hyperlink>
      <w:r w:rsidR="00065FDB" w:rsidRPr="00065FDB">
        <w:rPr>
          <w:rFonts w:ascii="Garamond" w:hAnsi="Garamond" w:cs="Arial"/>
          <w:sz w:val="18"/>
          <w:szCs w:val="18"/>
        </w:rPr>
        <w:t>.</w:t>
      </w:r>
      <w:proofErr w:type="gramEnd"/>
    </w:p>
  </w:footnote>
  <w:footnote w:id="30">
    <w:p w14:paraId="31ABC5BE" w14:textId="7DE7475F" w:rsidR="000939DD" w:rsidRPr="00FA55E1" w:rsidRDefault="000939DD" w:rsidP="00FE3073">
      <w:pPr>
        <w:pStyle w:val="Funotentext"/>
        <w:rPr>
          <w:rFonts w:ascii="Garamond" w:hAnsi="Garamond"/>
          <w:sz w:val="18"/>
          <w:szCs w:val="18"/>
        </w:rPr>
      </w:pPr>
      <w:r w:rsidRPr="00065FDB">
        <w:rPr>
          <w:rStyle w:val="Funotenzeichen"/>
          <w:rFonts w:ascii="Garamond" w:hAnsi="Garamond" w:cs="Arial"/>
          <w:sz w:val="18"/>
          <w:szCs w:val="18"/>
        </w:rPr>
        <w:footnoteRef/>
      </w:r>
      <w:r w:rsidRPr="00065FDB">
        <w:rPr>
          <w:rFonts w:ascii="Garamond" w:hAnsi="Garamond" w:cs="Arial"/>
          <w:sz w:val="18"/>
          <w:szCs w:val="18"/>
        </w:rPr>
        <w:t xml:space="preserve"> </w:t>
      </w:r>
      <w:r w:rsidRPr="00065FDB">
        <w:rPr>
          <w:rFonts w:ascii="Garamond" w:hAnsi="Garamond" w:cs="Arial"/>
          <w:i/>
          <w:sz w:val="18"/>
          <w:szCs w:val="18"/>
        </w:rPr>
        <w:t>A shadow report to the Malawi government sixth periodic report on the implementation of the Convention on the elimination of all forms of discrimination against women</w:t>
      </w:r>
      <w:r w:rsidRPr="00065FDB">
        <w:rPr>
          <w:rFonts w:ascii="Garamond" w:hAnsi="Garamond" w:cs="Arial"/>
          <w:sz w:val="18"/>
          <w:szCs w:val="18"/>
        </w:rPr>
        <w:t xml:space="preserve"> (2010) by WILSA Malawi available </w:t>
      </w:r>
      <w:proofErr w:type="gramStart"/>
      <w:r w:rsidRPr="00065FDB">
        <w:rPr>
          <w:rFonts w:ascii="Garamond" w:hAnsi="Garamond" w:cs="Arial"/>
          <w:sz w:val="18"/>
          <w:szCs w:val="18"/>
        </w:rPr>
        <w:t>at</w:t>
      </w:r>
      <w:r w:rsidRPr="00FA55E1">
        <w:rPr>
          <w:rFonts w:ascii="Garamond" w:hAnsi="Garamond" w:cs="Arial"/>
          <w:sz w:val="18"/>
          <w:szCs w:val="18"/>
        </w:rPr>
        <w:t xml:space="preserve">  </w:t>
      </w:r>
      <w:proofErr w:type="gramEnd"/>
      <w:r w:rsidRPr="00FA55E1">
        <w:fldChar w:fldCharType="begin"/>
      </w:r>
      <w:r w:rsidRPr="00FA55E1">
        <w:rPr>
          <w:rFonts w:ascii="Garamond" w:hAnsi="Garamond"/>
          <w:sz w:val="18"/>
          <w:szCs w:val="18"/>
        </w:rPr>
        <w:instrText xml:space="preserve"> HYPERLINK "http://www2.ohchr.org/english/bodies/cedaw/docs/ngos/WLSAMalawi45_session.pdf" </w:instrText>
      </w:r>
      <w:r w:rsidRPr="00FA55E1">
        <w:fldChar w:fldCharType="separate"/>
      </w:r>
      <w:r w:rsidRPr="00FA55E1">
        <w:rPr>
          <w:rStyle w:val="Hyperlink"/>
          <w:rFonts w:ascii="Garamond" w:hAnsi="Garamond" w:cs="Arial"/>
          <w:sz w:val="18"/>
          <w:szCs w:val="18"/>
        </w:rPr>
        <w:t>http://www2.ohchr.org/english/bodies/cedaw/docs/ngos/WLSAMalawi45_session.pdf</w:t>
      </w:r>
      <w:r w:rsidRPr="00FA55E1">
        <w:rPr>
          <w:rStyle w:val="Hyperlink"/>
          <w:rFonts w:ascii="Garamond" w:hAnsi="Garamond" w:cs="Arial"/>
          <w:sz w:val="18"/>
          <w:szCs w:val="18"/>
        </w:rPr>
        <w:fldChar w:fldCharType="end"/>
      </w:r>
      <w:r w:rsidRPr="00FA55E1">
        <w:rPr>
          <w:rFonts w:ascii="Garamond" w:hAnsi="Garamond" w:cs="Arial"/>
          <w:sz w:val="18"/>
          <w:szCs w:val="18"/>
        </w:rPr>
        <w:t xml:space="preserve"> (accessed 2 April 2013).</w:t>
      </w:r>
    </w:p>
  </w:footnote>
  <w:footnote w:id="31">
    <w:p w14:paraId="6691881E" w14:textId="2CAA11D5" w:rsidR="000939DD" w:rsidRPr="00FA55E1" w:rsidRDefault="000939DD" w:rsidP="00D753B6">
      <w:pPr>
        <w:pStyle w:val="Funotentext"/>
        <w:rPr>
          <w:rFonts w:ascii="Garamond" w:hAnsi="Garamond"/>
          <w:sz w:val="18"/>
          <w:szCs w:val="18"/>
        </w:rPr>
      </w:pPr>
      <w:r w:rsidRPr="00FA55E1">
        <w:rPr>
          <w:rStyle w:val="Funotenzeichen"/>
          <w:rFonts w:ascii="Garamond" w:hAnsi="Garamond" w:cs="Arial"/>
          <w:sz w:val="18"/>
          <w:szCs w:val="18"/>
        </w:rPr>
        <w:footnoteRef/>
      </w:r>
      <w:r w:rsidRPr="00FA55E1">
        <w:rPr>
          <w:rFonts w:ascii="Garamond" w:hAnsi="Garamond" w:cs="Arial"/>
          <w:sz w:val="18"/>
          <w:szCs w:val="18"/>
        </w:rPr>
        <w:t xml:space="preserve"> Sections 149-151 of the Penal Code, Cap. 7:01 of the Laws of Malawi.</w:t>
      </w:r>
    </w:p>
  </w:footnote>
  <w:footnote w:id="32">
    <w:p w14:paraId="7AAF8517" w14:textId="137AD7D9" w:rsidR="000939DD" w:rsidRPr="00FA55E1" w:rsidRDefault="000939DD" w:rsidP="00D753B6">
      <w:pPr>
        <w:pStyle w:val="Funotentext"/>
        <w:rPr>
          <w:rFonts w:ascii="Garamond" w:hAnsi="Garamond"/>
          <w:sz w:val="18"/>
          <w:szCs w:val="18"/>
        </w:rPr>
      </w:pPr>
      <w:r w:rsidRPr="00FA55E1">
        <w:rPr>
          <w:rStyle w:val="Funotenzeichen"/>
          <w:rFonts w:ascii="Garamond" w:hAnsi="Garamond" w:cs="Arial"/>
          <w:sz w:val="18"/>
          <w:szCs w:val="18"/>
        </w:rPr>
        <w:footnoteRef/>
      </w:r>
      <w:r w:rsidRPr="00FA55E1">
        <w:rPr>
          <w:rFonts w:ascii="Garamond" w:hAnsi="Garamond" w:cs="Arial"/>
          <w:sz w:val="18"/>
          <w:szCs w:val="18"/>
        </w:rPr>
        <w:t xml:space="preserve"> UN Millennium Declaration, UN Doc A/RES/55/2 (18 September 2002) available at </w:t>
      </w:r>
      <w:hyperlink r:id="rId4" w:history="1">
        <w:r w:rsidRPr="00FA55E1">
          <w:rPr>
            <w:rStyle w:val="Hyperlink"/>
            <w:rFonts w:ascii="Garamond" w:hAnsi="Garamond" w:cs="Arial"/>
            <w:sz w:val="18"/>
            <w:szCs w:val="18"/>
          </w:rPr>
          <w:t>http://www.un.org/millennium/declaration/ares552e.pdf</w:t>
        </w:r>
      </w:hyperlink>
      <w:r w:rsidRPr="00FA55E1">
        <w:rPr>
          <w:rFonts w:ascii="Garamond" w:hAnsi="Garamond" w:cs="Arial"/>
          <w:sz w:val="18"/>
          <w:szCs w:val="18"/>
        </w:rPr>
        <w:t xml:space="preserve"> (accessed 21 January 2010).</w:t>
      </w:r>
    </w:p>
  </w:footnote>
  <w:footnote w:id="33">
    <w:p w14:paraId="01EEBA65" w14:textId="6AB74D89" w:rsidR="000939DD" w:rsidRPr="00FA55E1" w:rsidRDefault="000939DD" w:rsidP="00D753B6">
      <w:pPr>
        <w:pStyle w:val="Funotentext"/>
        <w:rPr>
          <w:rFonts w:ascii="Garamond" w:hAnsi="Garamond"/>
          <w:sz w:val="18"/>
          <w:szCs w:val="18"/>
        </w:rPr>
      </w:pPr>
      <w:r w:rsidRPr="00FA55E1">
        <w:rPr>
          <w:rStyle w:val="Funotenzeichen"/>
          <w:rFonts w:ascii="Garamond" w:hAnsi="Garamond" w:cs="Arial"/>
          <w:sz w:val="18"/>
          <w:szCs w:val="18"/>
        </w:rPr>
        <w:footnoteRef/>
      </w:r>
      <w:r w:rsidRPr="00FA55E1">
        <w:rPr>
          <w:rFonts w:ascii="Garamond" w:hAnsi="Garamond" w:cs="Arial"/>
          <w:sz w:val="18"/>
          <w:szCs w:val="18"/>
        </w:rPr>
        <w:t xml:space="preserve"> http://www.mwnation.com/features-the-nation/health/14473-the-dilemma-of-banning-tbas? (</w:t>
      </w:r>
      <w:proofErr w:type="gramStart"/>
      <w:r w:rsidRPr="00FA55E1">
        <w:rPr>
          <w:rFonts w:ascii="Garamond" w:hAnsi="Garamond" w:cs="Arial"/>
          <w:sz w:val="18"/>
          <w:szCs w:val="18"/>
        </w:rPr>
        <w:t>accessed</w:t>
      </w:r>
      <w:proofErr w:type="gramEnd"/>
      <w:r w:rsidRPr="00FA55E1">
        <w:rPr>
          <w:rFonts w:ascii="Garamond" w:hAnsi="Garamond" w:cs="Arial"/>
          <w:sz w:val="18"/>
          <w:szCs w:val="18"/>
        </w:rPr>
        <w:t xml:space="preserve"> 10 March 2013).</w:t>
      </w:r>
    </w:p>
  </w:footnote>
  <w:footnote w:id="34">
    <w:p w14:paraId="1EAAB753" w14:textId="15267955" w:rsidR="000939DD" w:rsidRPr="00FA55E1" w:rsidRDefault="000939DD" w:rsidP="00DB39D8">
      <w:pPr>
        <w:pStyle w:val="Funotentext"/>
        <w:rPr>
          <w:rFonts w:ascii="Garamond" w:hAnsi="Garamond" w:cs="Arial"/>
          <w:sz w:val="18"/>
          <w:szCs w:val="18"/>
          <w:lang w:val="en-ZA"/>
        </w:rPr>
      </w:pPr>
      <w:r w:rsidRPr="00FA55E1">
        <w:rPr>
          <w:rStyle w:val="Funotenzeichen"/>
          <w:rFonts w:ascii="Garamond" w:hAnsi="Garamond" w:cs="Arial"/>
          <w:sz w:val="18"/>
          <w:szCs w:val="18"/>
        </w:rPr>
        <w:footnoteRef/>
      </w:r>
      <w:r w:rsidRPr="00FA55E1">
        <w:rPr>
          <w:rFonts w:ascii="Garamond" w:hAnsi="Garamond" w:cs="Arial"/>
          <w:sz w:val="18"/>
          <w:szCs w:val="18"/>
        </w:rPr>
        <w:t xml:space="preserve"> </w:t>
      </w:r>
      <w:proofErr w:type="gramStart"/>
      <w:r w:rsidRPr="00FA55E1">
        <w:rPr>
          <w:rFonts w:ascii="Garamond" w:hAnsi="Garamond" w:cs="Arial"/>
          <w:sz w:val="18"/>
          <w:szCs w:val="18"/>
        </w:rPr>
        <w:t xml:space="preserve">‘JB to blame for drug shortage’ </w:t>
      </w:r>
      <w:r w:rsidRPr="00FA55E1">
        <w:rPr>
          <w:rFonts w:ascii="Garamond" w:hAnsi="Garamond" w:cs="Arial"/>
          <w:i/>
          <w:sz w:val="18"/>
          <w:szCs w:val="18"/>
        </w:rPr>
        <w:t xml:space="preserve">The Sunday Times </w:t>
      </w:r>
      <w:r w:rsidRPr="00FA55E1">
        <w:rPr>
          <w:rFonts w:ascii="Garamond" w:hAnsi="Garamond" w:cs="Arial"/>
          <w:sz w:val="18"/>
          <w:szCs w:val="18"/>
        </w:rPr>
        <w:t xml:space="preserve">17 February, 2013, ‘Drug Tragedy’ </w:t>
      </w:r>
      <w:r w:rsidRPr="00FA55E1">
        <w:rPr>
          <w:rFonts w:ascii="Garamond" w:hAnsi="Garamond" w:cs="Arial"/>
          <w:i/>
          <w:sz w:val="18"/>
          <w:szCs w:val="18"/>
        </w:rPr>
        <w:t xml:space="preserve">Nation on Sunday </w:t>
      </w:r>
      <w:r w:rsidRPr="00FA55E1">
        <w:rPr>
          <w:rFonts w:ascii="Garamond" w:hAnsi="Garamond" w:cs="Arial"/>
          <w:sz w:val="18"/>
          <w:szCs w:val="18"/>
        </w:rPr>
        <w:t>17 February 2013 1, 3, and 5.</w:t>
      </w:r>
      <w:proofErr w:type="gramEnd"/>
    </w:p>
  </w:footnote>
  <w:footnote w:id="35">
    <w:p w14:paraId="57F031E1" w14:textId="0F62A871" w:rsidR="000939DD" w:rsidRPr="00FA55E1" w:rsidRDefault="000939DD" w:rsidP="00127C69">
      <w:pPr>
        <w:pStyle w:val="Funotentext"/>
        <w:rPr>
          <w:rFonts w:ascii="Garamond" w:hAnsi="Garamond" w:cs="Arial"/>
          <w:sz w:val="18"/>
          <w:szCs w:val="18"/>
          <w:lang w:val="en-ZA"/>
        </w:rPr>
      </w:pPr>
      <w:r w:rsidRPr="00FA55E1">
        <w:rPr>
          <w:rStyle w:val="Funotenzeichen"/>
          <w:rFonts w:ascii="Garamond" w:hAnsi="Garamond" w:cs="Arial"/>
          <w:sz w:val="18"/>
          <w:szCs w:val="18"/>
        </w:rPr>
        <w:footnoteRef/>
      </w:r>
      <w:r w:rsidRPr="00FA55E1">
        <w:rPr>
          <w:rFonts w:ascii="Garamond" w:hAnsi="Garamond" w:cs="Arial"/>
          <w:sz w:val="18"/>
          <w:szCs w:val="18"/>
        </w:rPr>
        <w:t xml:space="preserve"> </w:t>
      </w:r>
      <w:r w:rsidRPr="00FA55E1">
        <w:rPr>
          <w:rFonts w:ascii="Garamond" w:hAnsi="Garamond" w:cs="Arial"/>
          <w:i/>
          <w:sz w:val="18"/>
          <w:szCs w:val="18"/>
          <w:lang w:val="en-ZA"/>
        </w:rPr>
        <w:t>Id.</w:t>
      </w:r>
    </w:p>
  </w:footnote>
  <w:footnote w:id="36">
    <w:p w14:paraId="01F930AA" w14:textId="441EE7FC" w:rsidR="000939DD" w:rsidRPr="00FA55E1" w:rsidRDefault="000939DD">
      <w:pPr>
        <w:pStyle w:val="Funotentext"/>
        <w:rPr>
          <w:rFonts w:ascii="Garamond" w:hAnsi="Garamond"/>
          <w:sz w:val="18"/>
          <w:szCs w:val="18"/>
        </w:rPr>
      </w:pPr>
      <w:r w:rsidRPr="00FA55E1">
        <w:rPr>
          <w:rStyle w:val="Funotenzeichen"/>
          <w:rFonts w:ascii="Garamond" w:hAnsi="Garamond"/>
          <w:sz w:val="18"/>
          <w:szCs w:val="18"/>
        </w:rPr>
        <w:footnoteRef/>
      </w:r>
      <w:r w:rsidRPr="00FA55E1">
        <w:rPr>
          <w:rFonts w:ascii="Garamond" w:hAnsi="Garamond"/>
          <w:sz w:val="18"/>
          <w:szCs w:val="18"/>
        </w:rPr>
        <w:t xml:space="preserve"> Abuja Declaration on HIV/AIDS Tuberculosis and other Related Infectious Diseases, OAU/SPS/ABUJA/3, (April 24-27 2001) Available at http://www.un.org/ga/aids/pdf/abuja_declaration.pdf.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C95"/>
    <w:multiLevelType w:val="hybridMultilevel"/>
    <w:tmpl w:val="94E6A3FE"/>
    <w:lvl w:ilvl="0" w:tplc="63505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853115"/>
    <w:multiLevelType w:val="hybridMultilevel"/>
    <w:tmpl w:val="1954025A"/>
    <w:lvl w:ilvl="0" w:tplc="7A6C21A8">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685744"/>
    <w:multiLevelType w:val="hybridMultilevel"/>
    <w:tmpl w:val="3EF4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01B44"/>
    <w:multiLevelType w:val="hybridMultilevel"/>
    <w:tmpl w:val="1614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FB2373"/>
    <w:multiLevelType w:val="hybridMultilevel"/>
    <w:tmpl w:val="3990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C264D"/>
    <w:multiLevelType w:val="hybridMultilevel"/>
    <w:tmpl w:val="B4B40B74"/>
    <w:lvl w:ilvl="0" w:tplc="6B3EA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3F"/>
    <w:rsid w:val="00002C3F"/>
    <w:rsid w:val="0000330B"/>
    <w:rsid w:val="00042FD4"/>
    <w:rsid w:val="000445C1"/>
    <w:rsid w:val="00057FE8"/>
    <w:rsid w:val="00061878"/>
    <w:rsid w:val="00061D7F"/>
    <w:rsid w:val="00065FDB"/>
    <w:rsid w:val="00067CFC"/>
    <w:rsid w:val="000939DD"/>
    <w:rsid w:val="000B00C6"/>
    <w:rsid w:val="000B02C4"/>
    <w:rsid w:val="000B412A"/>
    <w:rsid w:val="000D05A1"/>
    <w:rsid w:val="00111416"/>
    <w:rsid w:val="00123FDC"/>
    <w:rsid w:val="00127C69"/>
    <w:rsid w:val="0013676E"/>
    <w:rsid w:val="0014243A"/>
    <w:rsid w:val="00170D50"/>
    <w:rsid w:val="001A5A17"/>
    <w:rsid w:val="001B2A74"/>
    <w:rsid w:val="001D24AD"/>
    <w:rsid w:val="002441DA"/>
    <w:rsid w:val="002459E7"/>
    <w:rsid w:val="00265AF7"/>
    <w:rsid w:val="002C69D8"/>
    <w:rsid w:val="002E7228"/>
    <w:rsid w:val="00350732"/>
    <w:rsid w:val="00367303"/>
    <w:rsid w:val="003B7C34"/>
    <w:rsid w:val="003D30D1"/>
    <w:rsid w:val="004332E0"/>
    <w:rsid w:val="00433C6A"/>
    <w:rsid w:val="004436D2"/>
    <w:rsid w:val="00447183"/>
    <w:rsid w:val="0045606C"/>
    <w:rsid w:val="00456E84"/>
    <w:rsid w:val="00496876"/>
    <w:rsid w:val="004A221D"/>
    <w:rsid w:val="004B7F9C"/>
    <w:rsid w:val="004C49E8"/>
    <w:rsid w:val="004D7B60"/>
    <w:rsid w:val="004E7C78"/>
    <w:rsid w:val="004F1B49"/>
    <w:rsid w:val="004F1C2F"/>
    <w:rsid w:val="00517A27"/>
    <w:rsid w:val="005457D0"/>
    <w:rsid w:val="00564115"/>
    <w:rsid w:val="00591A13"/>
    <w:rsid w:val="005A6292"/>
    <w:rsid w:val="005C19EB"/>
    <w:rsid w:val="005C1B7F"/>
    <w:rsid w:val="00631D3E"/>
    <w:rsid w:val="0064533D"/>
    <w:rsid w:val="00645AD9"/>
    <w:rsid w:val="0065128F"/>
    <w:rsid w:val="006763B8"/>
    <w:rsid w:val="0067642C"/>
    <w:rsid w:val="0069023D"/>
    <w:rsid w:val="00690371"/>
    <w:rsid w:val="00690AFE"/>
    <w:rsid w:val="006944E6"/>
    <w:rsid w:val="006B34A9"/>
    <w:rsid w:val="00700955"/>
    <w:rsid w:val="0071242F"/>
    <w:rsid w:val="00743322"/>
    <w:rsid w:val="0074747C"/>
    <w:rsid w:val="00761F7D"/>
    <w:rsid w:val="0078608A"/>
    <w:rsid w:val="007E599F"/>
    <w:rsid w:val="007F01E2"/>
    <w:rsid w:val="007F21F8"/>
    <w:rsid w:val="008016B0"/>
    <w:rsid w:val="008023C7"/>
    <w:rsid w:val="00803142"/>
    <w:rsid w:val="0081352A"/>
    <w:rsid w:val="00844221"/>
    <w:rsid w:val="00852EEC"/>
    <w:rsid w:val="00873BE2"/>
    <w:rsid w:val="008977E3"/>
    <w:rsid w:val="008D60AA"/>
    <w:rsid w:val="00900D26"/>
    <w:rsid w:val="009209BC"/>
    <w:rsid w:val="00941BCF"/>
    <w:rsid w:val="00961C6E"/>
    <w:rsid w:val="009645AB"/>
    <w:rsid w:val="009A6316"/>
    <w:rsid w:val="009C7362"/>
    <w:rsid w:val="009D4485"/>
    <w:rsid w:val="00A355D1"/>
    <w:rsid w:val="00A721D2"/>
    <w:rsid w:val="00A932E1"/>
    <w:rsid w:val="00A96428"/>
    <w:rsid w:val="00AB7061"/>
    <w:rsid w:val="00B33C74"/>
    <w:rsid w:val="00B80C6D"/>
    <w:rsid w:val="00BA21AE"/>
    <w:rsid w:val="00BA3D25"/>
    <w:rsid w:val="00BA59E9"/>
    <w:rsid w:val="00BB5D0F"/>
    <w:rsid w:val="00BC28FD"/>
    <w:rsid w:val="00BC4353"/>
    <w:rsid w:val="00BF7756"/>
    <w:rsid w:val="00C3104A"/>
    <w:rsid w:val="00C43D8D"/>
    <w:rsid w:val="00C4582D"/>
    <w:rsid w:val="00C46F2A"/>
    <w:rsid w:val="00C607C6"/>
    <w:rsid w:val="00C61299"/>
    <w:rsid w:val="00C758A2"/>
    <w:rsid w:val="00CD2346"/>
    <w:rsid w:val="00D2211C"/>
    <w:rsid w:val="00D450D2"/>
    <w:rsid w:val="00D51789"/>
    <w:rsid w:val="00D60630"/>
    <w:rsid w:val="00D753B6"/>
    <w:rsid w:val="00D861A0"/>
    <w:rsid w:val="00D90069"/>
    <w:rsid w:val="00DB39D8"/>
    <w:rsid w:val="00DC1038"/>
    <w:rsid w:val="00E45C68"/>
    <w:rsid w:val="00E5461E"/>
    <w:rsid w:val="00E666E4"/>
    <w:rsid w:val="00E81123"/>
    <w:rsid w:val="00E87881"/>
    <w:rsid w:val="00E936B1"/>
    <w:rsid w:val="00E93CF1"/>
    <w:rsid w:val="00EC710F"/>
    <w:rsid w:val="00ED14BE"/>
    <w:rsid w:val="00F179D4"/>
    <w:rsid w:val="00F46687"/>
    <w:rsid w:val="00F544B4"/>
    <w:rsid w:val="00F57D03"/>
    <w:rsid w:val="00F76DD5"/>
    <w:rsid w:val="00FA55E1"/>
    <w:rsid w:val="00FA7A15"/>
    <w:rsid w:val="00FD4494"/>
    <w:rsid w:val="00FE3073"/>
    <w:rsid w:val="00FF74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8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2C3F"/>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6763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042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002C3F"/>
    <w:rPr>
      <w:sz w:val="20"/>
      <w:szCs w:val="20"/>
    </w:rPr>
  </w:style>
  <w:style w:type="character" w:customStyle="1" w:styleId="FunotentextZchn">
    <w:name w:val="Fußnotentext Zchn"/>
    <w:basedOn w:val="Absatz-Standardschriftart"/>
    <w:link w:val="Funotentext"/>
    <w:semiHidden/>
    <w:rsid w:val="00002C3F"/>
    <w:rPr>
      <w:rFonts w:ascii="Times New Roman" w:eastAsia="Times New Roman" w:hAnsi="Times New Roman" w:cs="Times New Roman"/>
      <w:sz w:val="20"/>
      <w:szCs w:val="20"/>
      <w:lang w:eastAsia="en-US"/>
    </w:rPr>
  </w:style>
  <w:style w:type="character" w:styleId="Funotenzeichen">
    <w:name w:val="footnote reference"/>
    <w:uiPriority w:val="99"/>
    <w:rsid w:val="00002C3F"/>
    <w:rPr>
      <w:vertAlign w:val="superscript"/>
    </w:rPr>
  </w:style>
  <w:style w:type="character" w:styleId="Hyperlink">
    <w:name w:val="Hyperlink"/>
    <w:rsid w:val="00002C3F"/>
    <w:rPr>
      <w:color w:val="0000FF"/>
      <w:u w:val="single"/>
    </w:rPr>
  </w:style>
  <w:style w:type="paragraph" w:styleId="Listenabsatz">
    <w:name w:val="List Paragraph"/>
    <w:basedOn w:val="Standard"/>
    <w:uiPriority w:val="34"/>
    <w:qFormat/>
    <w:rsid w:val="00002C3F"/>
    <w:pPr>
      <w:ind w:left="720"/>
    </w:pPr>
  </w:style>
  <w:style w:type="paragraph" w:styleId="Sprechblasentext">
    <w:name w:val="Balloon Text"/>
    <w:basedOn w:val="Standard"/>
    <w:link w:val="SprechblasentextZchn"/>
    <w:uiPriority w:val="99"/>
    <w:semiHidden/>
    <w:unhideWhenUsed/>
    <w:rsid w:val="0069023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9023D"/>
    <w:rPr>
      <w:rFonts w:ascii="Lucida Grande" w:eastAsia="Times New Roman" w:hAnsi="Lucida Grande" w:cs="Lucida Grande"/>
      <w:sz w:val="18"/>
      <w:szCs w:val="18"/>
      <w:lang w:eastAsia="en-US"/>
    </w:rPr>
  </w:style>
  <w:style w:type="character" w:styleId="Kommentarzeichen">
    <w:name w:val="annotation reference"/>
    <w:basedOn w:val="Absatz-Standardschriftart"/>
    <w:uiPriority w:val="99"/>
    <w:semiHidden/>
    <w:unhideWhenUsed/>
    <w:rsid w:val="0069023D"/>
    <w:rPr>
      <w:sz w:val="18"/>
      <w:szCs w:val="18"/>
    </w:rPr>
  </w:style>
  <w:style w:type="paragraph" w:styleId="Kommentartext">
    <w:name w:val="annotation text"/>
    <w:basedOn w:val="Standard"/>
    <w:link w:val="KommentartextZchn"/>
    <w:uiPriority w:val="99"/>
    <w:semiHidden/>
    <w:unhideWhenUsed/>
    <w:rsid w:val="0069023D"/>
  </w:style>
  <w:style w:type="character" w:customStyle="1" w:styleId="KommentartextZchn">
    <w:name w:val="Kommentartext Zchn"/>
    <w:basedOn w:val="Absatz-Standardschriftart"/>
    <w:link w:val="Kommentartext"/>
    <w:uiPriority w:val="99"/>
    <w:semiHidden/>
    <w:rsid w:val="0069023D"/>
    <w:rPr>
      <w:rFonts w:ascii="Times New Roman" w:eastAsia="Times New Roman" w:hAnsi="Times New Roman" w:cs="Times New Roman"/>
      <w:lang w:eastAsia="en-US"/>
    </w:rPr>
  </w:style>
  <w:style w:type="paragraph" w:styleId="Kommentarthema">
    <w:name w:val="annotation subject"/>
    <w:basedOn w:val="Kommentartext"/>
    <w:next w:val="Kommentartext"/>
    <w:link w:val="KommentarthemaZchn"/>
    <w:uiPriority w:val="99"/>
    <w:semiHidden/>
    <w:unhideWhenUsed/>
    <w:rsid w:val="0069023D"/>
    <w:rPr>
      <w:b/>
      <w:bCs/>
      <w:sz w:val="20"/>
      <w:szCs w:val="20"/>
    </w:rPr>
  </w:style>
  <w:style w:type="character" w:customStyle="1" w:styleId="KommentarthemaZchn">
    <w:name w:val="Kommentarthema Zchn"/>
    <w:basedOn w:val="KommentartextZchn"/>
    <w:link w:val="Kommentarthema"/>
    <w:uiPriority w:val="99"/>
    <w:semiHidden/>
    <w:rsid w:val="0069023D"/>
    <w:rPr>
      <w:rFonts w:ascii="Times New Roman" w:eastAsia="Times New Roman" w:hAnsi="Times New Roman" w:cs="Times New Roman"/>
      <w:b/>
      <w:bCs/>
      <w:sz w:val="20"/>
      <w:szCs w:val="20"/>
      <w:lang w:eastAsia="en-US"/>
    </w:rPr>
  </w:style>
  <w:style w:type="character" w:styleId="BesuchterHyperlink">
    <w:name w:val="FollowedHyperlink"/>
    <w:basedOn w:val="Absatz-Standardschriftart"/>
    <w:uiPriority w:val="99"/>
    <w:semiHidden/>
    <w:unhideWhenUsed/>
    <w:rsid w:val="00D753B6"/>
    <w:rPr>
      <w:color w:val="800080" w:themeColor="followedHyperlink"/>
      <w:u w:val="single"/>
    </w:rPr>
  </w:style>
  <w:style w:type="paragraph" w:styleId="berarbeitung">
    <w:name w:val="Revision"/>
    <w:hidden/>
    <w:uiPriority w:val="99"/>
    <w:semiHidden/>
    <w:rsid w:val="005A6292"/>
    <w:rPr>
      <w:rFonts w:ascii="Times New Roman" w:eastAsia="Times New Roman" w:hAnsi="Times New Roman" w:cs="Times New Roman"/>
      <w:lang w:eastAsia="en-US"/>
    </w:rPr>
  </w:style>
  <w:style w:type="paragraph" w:styleId="Fuzeile">
    <w:name w:val="footer"/>
    <w:basedOn w:val="Standard"/>
    <w:link w:val="FuzeileZchn"/>
    <w:uiPriority w:val="99"/>
    <w:unhideWhenUsed/>
    <w:rsid w:val="00C43D8D"/>
    <w:pPr>
      <w:tabs>
        <w:tab w:val="center" w:pos="4320"/>
        <w:tab w:val="right" w:pos="8640"/>
      </w:tabs>
    </w:pPr>
  </w:style>
  <w:style w:type="character" w:customStyle="1" w:styleId="FuzeileZchn">
    <w:name w:val="Fußzeile Zchn"/>
    <w:basedOn w:val="Absatz-Standardschriftart"/>
    <w:link w:val="Fuzeile"/>
    <w:uiPriority w:val="99"/>
    <w:rsid w:val="00C43D8D"/>
    <w:rPr>
      <w:rFonts w:ascii="Times New Roman" w:eastAsia="Times New Roman" w:hAnsi="Times New Roman" w:cs="Times New Roman"/>
      <w:lang w:eastAsia="en-US"/>
    </w:rPr>
  </w:style>
  <w:style w:type="character" w:styleId="Seitenzahl">
    <w:name w:val="page number"/>
    <w:basedOn w:val="Absatz-Standardschriftart"/>
    <w:uiPriority w:val="99"/>
    <w:semiHidden/>
    <w:unhideWhenUsed/>
    <w:rsid w:val="00C43D8D"/>
  </w:style>
  <w:style w:type="paragraph" w:styleId="StandardWeb">
    <w:name w:val="Normal (Web)"/>
    <w:basedOn w:val="Standard"/>
    <w:uiPriority w:val="99"/>
    <w:semiHidden/>
    <w:unhideWhenUsed/>
    <w:rsid w:val="004D7B60"/>
  </w:style>
  <w:style w:type="character" w:customStyle="1" w:styleId="berschrift1Zchn">
    <w:name w:val="Überschrift 1 Zchn"/>
    <w:basedOn w:val="Absatz-Standardschriftart"/>
    <w:link w:val="berschrift1"/>
    <w:uiPriority w:val="9"/>
    <w:rsid w:val="006763B8"/>
    <w:rPr>
      <w:rFonts w:asciiTheme="majorHAnsi" w:eastAsiaTheme="majorEastAsia" w:hAnsiTheme="majorHAnsi" w:cstheme="majorBidi"/>
      <w:b/>
      <w:bCs/>
      <w:color w:val="345A8A" w:themeColor="accent1" w:themeShade="B5"/>
      <w:sz w:val="32"/>
      <w:szCs w:val="32"/>
      <w:lang w:eastAsia="en-US"/>
    </w:rPr>
  </w:style>
  <w:style w:type="character" w:customStyle="1" w:styleId="berschrift2Zchn">
    <w:name w:val="Überschrift 2 Zchn"/>
    <w:basedOn w:val="Absatz-Standardschriftart"/>
    <w:link w:val="berschrift2"/>
    <w:uiPriority w:val="9"/>
    <w:semiHidden/>
    <w:rsid w:val="00042FD4"/>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2C3F"/>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6763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042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002C3F"/>
    <w:rPr>
      <w:sz w:val="20"/>
      <w:szCs w:val="20"/>
    </w:rPr>
  </w:style>
  <w:style w:type="character" w:customStyle="1" w:styleId="FunotentextZchn">
    <w:name w:val="Fußnotentext Zchn"/>
    <w:basedOn w:val="Absatz-Standardschriftart"/>
    <w:link w:val="Funotentext"/>
    <w:semiHidden/>
    <w:rsid w:val="00002C3F"/>
    <w:rPr>
      <w:rFonts w:ascii="Times New Roman" w:eastAsia="Times New Roman" w:hAnsi="Times New Roman" w:cs="Times New Roman"/>
      <w:sz w:val="20"/>
      <w:szCs w:val="20"/>
      <w:lang w:eastAsia="en-US"/>
    </w:rPr>
  </w:style>
  <w:style w:type="character" w:styleId="Funotenzeichen">
    <w:name w:val="footnote reference"/>
    <w:uiPriority w:val="99"/>
    <w:rsid w:val="00002C3F"/>
    <w:rPr>
      <w:vertAlign w:val="superscript"/>
    </w:rPr>
  </w:style>
  <w:style w:type="character" w:styleId="Hyperlink">
    <w:name w:val="Hyperlink"/>
    <w:rsid w:val="00002C3F"/>
    <w:rPr>
      <w:color w:val="0000FF"/>
      <w:u w:val="single"/>
    </w:rPr>
  </w:style>
  <w:style w:type="paragraph" w:styleId="Listenabsatz">
    <w:name w:val="List Paragraph"/>
    <w:basedOn w:val="Standard"/>
    <w:uiPriority w:val="34"/>
    <w:qFormat/>
    <w:rsid w:val="00002C3F"/>
    <w:pPr>
      <w:ind w:left="720"/>
    </w:pPr>
  </w:style>
  <w:style w:type="paragraph" w:styleId="Sprechblasentext">
    <w:name w:val="Balloon Text"/>
    <w:basedOn w:val="Standard"/>
    <w:link w:val="SprechblasentextZchn"/>
    <w:uiPriority w:val="99"/>
    <w:semiHidden/>
    <w:unhideWhenUsed/>
    <w:rsid w:val="0069023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9023D"/>
    <w:rPr>
      <w:rFonts w:ascii="Lucida Grande" w:eastAsia="Times New Roman" w:hAnsi="Lucida Grande" w:cs="Lucida Grande"/>
      <w:sz w:val="18"/>
      <w:szCs w:val="18"/>
      <w:lang w:eastAsia="en-US"/>
    </w:rPr>
  </w:style>
  <w:style w:type="character" w:styleId="Kommentarzeichen">
    <w:name w:val="annotation reference"/>
    <w:basedOn w:val="Absatz-Standardschriftart"/>
    <w:uiPriority w:val="99"/>
    <w:semiHidden/>
    <w:unhideWhenUsed/>
    <w:rsid w:val="0069023D"/>
    <w:rPr>
      <w:sz w:val="18"/>
      <w:szCs w:val="18"/>
    </w:rPr>
  </w:style>
  <w:style w:type="paragraph" w:styleId="Kommentartext">
    <w:name w:val="annotation text"/>
    <w:basedOn w:val="Standard"/>
    <w:link w:val="KommentartextZchn"/>
    <w:uiPriority w:val="99"/>
    <w:semiHidden/>
    <w:unhideWhenUsed/>
    <w:rsid w:val="0069023D"/>
  </w:style>
  <w:style w:type="character" w:customStyle="1" w:styleId="KommentartextZchn">
    <w:name w:val="Kommentartext Zchn"/>
    <w:basedOn w:val="Absatz-Standardschriftart"/>
    <w:link w:val="Kommentartext"/>
    <w:uiPriority w:val="99"/>
    <w:semiHidden/>
    <w:rsid w:val="0069023D"/>
    <w:rPr>
      <w:rFonts w:ascii="Times New Roman" w:eastAsia="Times New Roman" w:hAnsi="Times New Roman" w:cs="Times New Roman"/>
      <w:lang w:eastAsia="en-US"/>
    </w:rPr>
  </w:style>
  <w:style w:type="paragraph" w:styleId="Kommentarthema">
    <w:name w:val="annotation subject"/>
    <w:basedOn w:val="Kommentartext"/>
    <w:next w:val="Kommentartext"/>
    <w:link w:val="KommentarthemaZchn"/>
    <w:uiPriority w:val="99"/>
    <w:semiHidden/>
    <w:unhideWhenUsed/>
    <w:rsid w:val="0069023D"/>
    <w:rPr>
      <w:b/>
      <w:bCs/>
      <w:sz w:val="20"/>
      <w:szCs w:val="20"/>
    </w:rPr>
  </w:style>
  <w:style w:type="character" w:customStyle="1" w:styleId="KommentarthemaZchn">
    <w:name w:val="Kommentarthema Zchn"/>
    <w:basedOn w:val="KommentartextZchn"/>
    <w:link w:val="Kommentarthema"/>
    <w:uiPriority w:val="99"/>
    <w:semiHidden/>
    <w:rsid w:val="0069023D"/>
    <w:rPr>
      <w:rFonts w:ascii="Times New Roman" w:eastAsia="Times New Roman" w:hAnsi="Times New Roman" w:cs="Times New Roman"/>
      <w:b/>
      <w:bCs/>
      <w:sz w:val="20"/>
      <w:szCs w:val="20"/>
      <w:lang w:eastAsia="en-US"/>
    </w:rPr>
  </w:style>
  <w:style w:type="character" w:styleId="BesuchterHyperlink">
    <w:name w:val="FollowedHyperlink"/>
    <w:basedOn w:val="Absatz-Standardschriftart"/>
    <w:uiPriority w:val="99"/>
    <w:semiHidden/>
    <w:unhideWhenUsed/>
    <w:rsid w:val="00D753B6"/>
    <w:rPr>
      <w:color w:val="800080" w:themeColor="followedHyperlink"/>
      <w:u w:val="single"/>
    </w:rPr>
  </w:style>
  <w:style w:type="paragraph" w:styleId="berarbeitung">
    <w:name w:val="Revision"/>
    <w:hidden/>
    <w:uiPriority w:val="99"/>
    <w:semiHidden/>
    <w:rsid w:val="005A6292"/>
    <w:rPr>
      <w:rFonts w:ascii="Times New Roman" w:eastAsia="Times New Roman" w:hAnsi="Times New Roman" w:cs="Times New Roman"/>
      <w:lang w:eastAsia="en-US"/>
    </w:rPr>
  </w:style>
  <w:style w:type="paragraph" w:styleId="Fuzeile">
    <w:name w:val="footer"/>
    <w:basedOn w:val="Standard"/>
    <w:link w:val="FuzeileZchn"/>
    <w:uiPriority w:val="99"/>
    <w:unhideWhenUsed/>
    <w:rsid w:val="00C43D8D"/>
    <w:pPr>
      <w:tabs>
        <w:tab w:val="center" w:pos="4320"/>
        <w:tab w:val="right" w:pos="8640"/>
      </w:tabs>
    </w:pPr>
  </w:style>
  <w:style w:type="character" w:customStyle="1" w:styleId="FuzeileZchn">
    <w:name w:val="Fußzeile Zchn"/>
    <w:basedOn w:val="Absatz-Standardschriftart"/>
    <w:link w:val="Fuzeile"/>
    <w:uiPriority w:val="99"/>
    <w:rsid w:val="00C43D8D"/>
    <w:rPr>
      <w:rFonts w:ascii="Times New Roman" w:eastAsia="Times New Roman" w:hAnsi="Times New Roman" w:cs="Times New Roman"/>
      <w:lang w:eastAsia="en-US"/>
    </w:rPr>
  </w:style>
  <w:style w:type="character" w:styleId="Seitenzahl">
    <w:name w:val="page number"/>
    <w:basedOn w:val="Absatz-Standardschriftart"/>
    <w:uiPriority w:val="99"/>
    <w:semiHidden/>
    <w:unhideWhenUsed/>
    <w:rsid w:val="00C43D8D"/>
  </w:style>
  <w:style w:type="paragraph" w:styleId="StandardWeb">
    <w:name w:val="Normal (Web)"/>
    <w:basedOn w:val="Standard"/>
    <w:uiPriority w:val="99"/>
    <w:semiHidden/>
    <w:unhideWhenUsed/>
    <w:rsid w:val="004D7B60"/>
  </w:style>
  <w:style w:type="character" w:customStyle="1" w:styleId="berschrift1Zchn">
    <w:name w:val="Überschrift 1 Zchn"/>
    <w:basedOn w:val="Absatz-Standardschriftart"/>
    <w:link w:val="berschrift1"/>
    <w:uiPriority w:val="9"/>
    <w:rsid w:val="006763B8"/>
    <w:rPr>
      <w:rFonts w:asciiTheme="majorHAnsi" w:eastAsiaTheme="majorEastAsia" w:hAnsiTheme="majorHAnsi" w:cstheme="majorBidi"/>
      <w:b/>
      <w:bCs/>
      <w:color w:val="345A8A" w:themeColor="accent1" w:themeShade="B5"/>
      <w:sz w:val="32"/>
      <w:szCs w:val="32"/>
      <w:lang w:eastAsia="en-US"/>
    </w:rPr>
  </w:style>
  <w:style w:type="character" w:customStyle="1" w:styleId="berschrift2Zchn">
    <w:name w:val="Überschrift 2 Zchn"/>
    <w:basedOn w:val="Absatz-Standardschriftart"/>
    <w:link w:val="berschrift2"/>
    <w:uiPriority w:val="9"/>
    <w:semiHidden/>
    <w:rsid w:val="00042FD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9335">
      <w:bodyDiv w:val="1"/>
      <w:marLeft w:val="0"/>
      <w:marRight w:val="0"/>
      <w:marTop w:val="0"/>
      <w:marBottom w:val="0"/>
      <w:divBdr>
        <w:top w:val="none" w:sz="0" w:space="0" w:color="auto"/>
        <w:left w:val="none" w:sz="0" w:space="0" w:color="auto"/>
        <w:bottom w:val="none" w:sz="0" w:space="0" w:color="auto"/>
        <w:right w:val="none" w:sz="0" w:space="0" w:color="auto"/>
      </w:divBdr>
    </w:div>
    <w:div w:id="440809495">
      <w:bodyDiv w:val="1"/>
      <w:marLeft w:val="0"/>
      <w:marRight w:val="0"/>
      <w:marTop w:val="0"/>
      <w:marBottom w:val="0"/>
      <w:divBdr>
        <w:top w:val="none" w:sz="0" w:space="0" w:color="auto"/>
        <w:left w:val="none" w:sz="0" w:space="0" w:color="auto"/>
        <w:bottom w:val="none" w:sz="0" w:space="0" w:color="auto"/>
        <w:right w:val="none" w:sz="0" w:space="0" w:color="auto"/>
      </w:divBdr>
    </w:div>
    <w:div w:id="566382245">
      <w:bodyDiv w:val="1"/>
      <w:marLeft w:val="0"/>
      <w:marRight w:val="0"/>
      <w:marTop w:val="0"/>
      <w:marBottom w:val="0"/>
      <w:divBdr>
        <w:top w:val="none" w:sz="0" w:space="0" w:color="auto"/>
        <w:left w:val="none" w:sz="0" w:space="0" w:color="auto"/>
        <w:bottom w:val="none" w:sz="0" w:space="0" w:color="auto"/>
        <w:right w:val="none" w:sz="0" w:space="0" w:color="auto"/>
      </w:divBdr>
      <w:divsChild>
        <w:div w:id="275215079">
          <w:marLeft w:val="0"/>
          <w:marRight w:val="0"/>
          <w:marTop w:val="0"/>
          <w:marBottom w:val="150"/>
          <w:divBdr>
            <w:top w:val="none" w:sz="0" w:space="0" w:color="auto"/>
            <w:left w:val="none" w:sz="0" w:space="0" w:color="auto"/>
            <w:bottom w:val="none" w:sz="0" w:space="0" w:color="auto"/>
            <w:right w:val="none" w:sz="0" w:space="0" w:color="auto"/>
          </w:divBdr>
          <w:divsChild>
            <w:div w:id="59259011">
              <w:marLeft w:val="0"/>
              <w:marRight w:val="0"/>
              <w:marTop w:val="0"/>
              <w:marBottom w:val="0"/>
              <w:divBdr>
                <w:top w:val="none" w:sz="0" w:space="0" w:color="auto"/>
                <w:left w:val="none" w:sz="0" w:space="0" w:color="auto"/>
                <w:bottom w:val="none" w:sz="0" w:space="0" w:color="auto"/>
                <w:right w:val="none" w:sz="0" w:space="0" w:color="auto"/>
              </w:divBdr>
              <w:divsChild>
                <w:div w:id="5284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80654">
      <w:bodyDiv w:val="1"/>
      <w:marLeft w:val="0"/>
      <w:marRight w:val="0"/>
      <w:marTop w:val="0"/>
      <w:marBottom w:val="0"/>
      <w:divBdr>
        <w:top w:val="none" w:sz="0" w:space="0" w:color="auto"/>
        <w:left w:val="none" w:sz="0" w:space="0" w:color="auto"/>
        <w:bottom w:val="none" w:sz="0" w:space="0" w:color="auto"/>
        <w:right w:val="none" w:sz="0" w:space="0" w:color="auto"/>
      </w:divBdr>
    </w:div>
    <w:div w:id="1215579980">
      <w:bodyDiv w:val="1"/>
      <w:marLeft w:val="0"/>
      <w:marRight w:val="0"/>
      <w:marTop w:val="0"/>
      <w:marBottom w:val="0"/>
      <w:divBdr>
        <w:top w:val="none" w:sz="0" w:space="0" w:color="auto"/>
        <w:left w:val="none" w:sz="0" w:space="0" w:color="auto"/>
        <w:bottom w:val="none" w:sz="0" w:space="0" w:color="auto"/>
        <w:right w:val="none" w:sz="0" w:space="0" w:color="auto"/>
      </w:divBdr>
    </w:div>
    <w:div w:id="1238245931">
      <w:bodyDiv w:val="1"/>
      <w:marLeft w:val="0"/>
      <w:marRight w:val="0"/>
      <w:marTop w:val="0"/>
      <w:marBottom w:val="0"/>
      <w:divBdr>
        <w:top w:val="none" w:sz="0" w:space="0" w:color="auto"/>
        <w:left w:val="none" w:sz="0" w:space="0" w:color="auto"/>
        <w:bottom w:val="none" w:sz="0" w:space="0" w:color="auto"/>
        <w:right w:val="none" w:sz="0" w:space="0" w:color="auto"/>
      </w:divBdr>
    </w:div>
    <w:div w:id="1285035663">
      <w:bodyDiv w:val="1"/>
      <w:marLeft w:val="0"/>
      <w:marRight w:val="0"/>
      <w:marTop w:val="0"/>
      <w:marBottom w:val="0"/>
      <w:divBdr>
        <w:top w:val="none" w:sz="0" w:space="0" w:color="auto"/>
        <w:left w:val="none" w:sz="0" w:space="0" w:color="auto"/>
        <w:bottom w:val="none" w:sz="0" w:space="0" w:color="auto"/>
        <w:right w:val="none" w:sz="0" w:space="0" w:color="auto"/>
      </w:divBdr>
    </w:div>
    <w:div w:id="1342662416">
      <w:bodyDiv w:val="1"/>
      <w:marLeft w:val="0"/>
      <w:marRight w:val="0"/>
      <w:marTop w:val="0"/>
      <w:marBottom w:val="0"/>
      <w:divBdr>
        <w:top w:val="none" w:sz="0" w:space="0" w:color="auto"/>
        <w:left w:val="none" w:sz="0" w:space="0" w:color="auto"/>
        <w:bottom w:val="none" w:sz="0" w:space="0" w:color="auto"/>
        <w:right w:val="none" w:sz="0" w:space="0" w:color="auto"/>
      </w:divBdr>
    </w:div>
    <w:div w:id="1476944301">
      <w:bodyDiv w:val="1"/>
      <w:marLeft w:val="0"/>
      <w:marRight w:val="0"/>
      <w:marTop w:val="0"/>
      <w:marBottom w:val="0"/>
      <w:divBdr>
        <w:top w:val="none" w:sz="0" w:space="0" w:color="auto"/>
        <w:left w:val="none" w:sz="0" w:space="0" w:color="auto"/>
        <w:bottom w:val="none" w:sz="0" w:space="0" w:color="auto"/>
        <w:right w:val="none" w:sz="0" w:space="0" w:color="auto"/>
      </w:divBdr>
    </w:div>
    <w:div w:id="1635137879">
      <w:bodyDiv w:val="1"/>
      <w:marLeft w:val="0"/>
      <w:marRight w:val="0"/>
      <w:marTop w:val="0"/>
      <w:marBottom w:val="0"/>
      <w:divBdr>
        <w:top w:val="none" w:sz="0" w:space="0" w:color="auto"/>
        <w:left w:val="none" w:sz="0" w:space="0" w:color="auto"/>
        <w:bottom w:val="none" w:sz="0" w:space="0" w:color="auto"/>
        <w:right w:val="none" w:sz="0" w:space="0" w:color="auto"/>
      </w:divBdr>
    </w:div>
    <w:div w:id="1652129717">
      <w:bodyDiv w:val="1"/>
      <w:marLeft w:val="0"/>
      <w:marRight w:val="0"/>
      <w:marTop w:val="0"/>
      <w:marBottom w:val="0"/>
      <w:divBdr>
        <w:top w:val="none" w:sz="0" w:space="0" w:color="auto"/>
        <w:left w:val="none" w:sz="0" w:space="0" w:color="auto"/>
        <w:bottom w:val="none" w:sz="0" w:space="0" w:color="auto"/>
        <w:right w:val="none" w:sz="0" w:space="0" w:color="auto"/>
      </w:divBdr>
    </w:div>
    <w:div w:id="1828016429">
      <w:bodyDiv w:val="1"/>
      <w:marLeft w:val="0"/>
      <w:marRight w:val="0"/>
      <w:marTop w:val="0"/>
      <w:marBottom w:val="0"/>
      <w:divBdr>
        <w:top w:val="none" w:sz="0" w:space="0" w:color="auto"/>
        <w:left w:val="none" w:sz="0" w:space="0" w:color="auto"/>
        <w:bottom w:val="none" w:sz="0" w:space="0" w:color="auto"/>
        <w:right w:val="none" w:sz="0" w:space="0" w:color="auto"/>
      </w:divBdr>
    </w:div>
    <w:div w:id="1985427956">
      <w:bodyDiv w:val="1"/>
      <w:marLeft w:val="0"/>
      <w:marRight w:val="0"/>
      <w:marTop w:val="0"/>
      <w:marBottom w:val="0"/>
      <w:divBdr>
        <w:top w:val="none" w:sz="0" w:space="0" w:color="auto"/>
        <w:left w:val="none" w:sz="0" w:space="0" w:color="auto"/>
        <w:bottom w:val="none" w:sz="0" w:space="0" w:color="auto"/>
        <w:right w:val="none" w:sz="0" w:space="0" w:color="auto"/>
      </w:divBdr>
    </w:div>
    <w:div w:id="2098282628">
      <w:bodyDiv w:val="1"/>
      <w:marLeft w:val="0"/>
      <w:marRight w:val="0"/>
      <w:marTop w:val="0"/>
      <w:marBottom w:val="0"/>
      <w:divBdr>
        <w:top w:val="none" w:sz="0" w:space="0" w:color="auto"/>
        <w:left w:val="none" w:sz="0" w:space="0" w:color="auto"/>
        <w:bottom w:val="none" w:sz="0" w:space="0" w:color="auto"/>
        <w:right w:val="none" w:sz="0" w:space="0" w:color="auto"/>
      </w:divBdr>
    </w:div>
    <w:div w:id="2133938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nsomalawi.mw/images/stories/data_on_line/demography/MDHS2010/MDHS2010%20report.pdf" TargetMode="External"/><Relationship Id="rId2" Type="http://schemas.openxmlformats.org/officeDocument/2006/relationships/hyperlink" Target="http://www.bnltimes.com/index.php/malawi-news/headlines/national/11656-schools-reject-rastafarian-pupils" TargetMode="External"/><Relationship Id="rId1" Type="http://schemas.openxmlformats.org/officeDocument/2006/relationships/hyperlink" Target="http://www.refworld.org/cgi-bin/texis/vtx/rwmain?page=country&amp;category=LEGAL&amp;publisher=&amp;type=LEGISLATION&amp;coi=MWI&amp;rid=456d621e2&amp;docid=3ae6b5b110&amp;skip=0" TargetMode="External"/><Relationship Id="rId4" Type="http://schemas.openxmlformats.org/officeDocument/2006/relationships/hyperlink" Target="http://www.un.org/millennium/declaration/ares55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7D11-B4FB-4791-8C42-66E59B13C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9D1368-F707-4DC0-B68D-E9A5A78050A5}">
  <ds:schemaRefs>
    <ds:schemaRef ds:uri="http://schemas.microsoft.com/sharepoint/v3/contenttype/forms"/>
  </ds:schemaRefs>
</ds:datastoreItem>
</file>

<file path=customXml/itemProps3.xml><?xml version="1.0" encoding="utf-8"?>
<ds:datastoreItem xmlns:ds="http://schemas.openxmlformats.org/officeDocument/2006/customXml" ds:itemID="{50653AC6-488F-43E4-B9BF-50B3059CE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7999F0-A540-43FB-B409-F076028D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2894</Words>
  <Characters>18237</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IGLHRC</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bdecktor</dc:creator>
  <cp:lastModifiedBy>allacher</cp:lastModifiedBy>
  <cp:revision>2</cp:revision>
  <cp:lastPrinted>2013-04-26T00:06:00Z</cp:lastPrinted>
  <dcterms:created xsi:type="dcterms:W3CDTF">2013-11-29T11:46:00Z</dcterms:created>
  <dcterms:modified xsi:type="dcterms:W3CDTF">2013-11-29T11:46:00Z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