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2DD" w:rsidRDefault="00420D51">
      <w:pPr>
        <w:pStyle w:val="Corps"/>
        <w:tabs>
          <w:tab w:val="left" w:pos="3585"/>
          <w:tab w:val="right" w:pos="9612"/>
        </w:tabs>
        <w:rPr>
          <w:rFonts w:ascii="Times New Roman"/>
          <w:b/>
          <w:bCs/>
          <w:sz w:val="24"/>
          <w:szCs w:val="24"/>
          <w:lang w:val="en-GB"/>
        </w:rPr>
      </w:pPr>
      <w:bookmarkStart w:id="0" w:name="_GoBack"/>
      <w:bookmarkEnd w:id="0"/>
    </w:p>
    <w:p w:rsidR="00B43D1C" w:rsidRDefault="00420D51">
      <w:pPr>
        <w:pStyle w:val="Corps"/>
        <w:tabs>
          <w:tab w:val="left" w:pos="3585"/>
          <w:tab w:val="right" w:pos="9612"/>
        </w:tabs>
        <w:rPr>
          <w:rFonts w:ascii="Times New Roman"/>
          <w:b/>
          <w:bCs/>
          <w:sz w:val="24"/>
          <w:szCs w:val="24"/>
          <w:lang w:val="en-GB"/>
        </w:rPr>
      </w:pPr>
    </w:p>
    <w:p w:rsidR="00B43D1C" w:rsidRDefault="00420D51">
      <w:pPr>
        <w:pStyle w:val="Corps"/>
        <w:tabs>
          <w:tab w:val="left" w:pos="3585"/>
          <w:tab w:val="right" w:pos="9612"/>
        </w:tabs>
        <w:rPr>
          <w:rFonts w:ascii="Times New Roman"/>
          <w:b/>
          <w:bCs/>
          <w:sz w:val="24"/>
          <w:szCs w:val="24"/>
          <w:lang w:val="en-GB"/>
        </w:rPr>
      </w:pPr>
    </w:p>
    <w:p w:rsidR="00B43D1C" w:rsidRDefault="00420D51">
      <w:pPr>
        <w:pStyle w:val="Corps"/>
        <w:tabs>
          <w:tab w:val="left" w:pos="3585"/>
          <w:tab w:val="right" w:pos="9612"/>
        </w:tabs>
        <w:rPr>
          <w:rFonts w:ascii="Times New Roman"/>
          <w:b/>
          <w:bCs/>
          <w:sz w:val="24"/>
          <w:szCs w:val="24"/>
          <w:lang w:val="en-GB"/>
        </w:rPr>
      </w:pPr>
    </w:p>
    <w:p w:rsidR="00B43D1C" w:rsidRPr="00B43D1C" w:rsidRDefault="00420D51">
      <w:pPr>
        <w:pStyle w:val="Corps"/>
        <w:tabs>
          <w:tab w:val="left" w:pos="3585"/>
          <w:tab w:val="right" w:pos="9612"/>
        </w:tabs>
        <w:rPr>
          <w:rFonts w:ascii="Times New Roman"/>
          <w:b/>
          <w:bCs/>
          <w:sz w:val="24"/>
          <w:szCs w:val="24"/>
          <w:lang w:val="en-GB"/>
        </w:rPr>
      </w:pPr>
    </w:p>
    <w:p w:rsidR="00A162DD" w:rsidRPr="00B43D1C" w:rsidRDefault="00EF3100">
      <w:pPr>
        <w:pStyle w:val="Corps"/>
        <w:tabs>
          <w:tab w:val="left" w:pos="3585"/>
          <w:tab w:val="right" w:pos="9612"/>
        </w:tabs>
        <w:rPr>
          <w:rFonts w:ascii="Times New Roman" w:eastAsia="Times New Roman" w:hAnsi="Times New Roman" w:cs="Times New Roman"/>
          <w:b/>
          <w:bCs/>
          <w:sz w:val="24"/>
          <w:szCs w:val="24"/>
          <w:lang w:val="en-GB"/>
        </w:rPr>
      </w:pPr>
      <w:r w:rsidRPr="00B43D1C">
        <w:rPr>
          <w:rFonts w:ascii="Times New Roman"/>
          <w:b/>
          <w:bCs/>
          <w:sz w:val="24"/>
          <w:szCs w:val="24"/>
          <w:lang w:val="en-GB"/>
        </w:rPr>
        <w:tab/>
      </w:r>
      <w:r w:rsidRPr="00B43D1C">
        <w:rPr>
          <w:rFonts w:ascii="Times New Roman"/>
          <w:b/>
          <w:bCs/>
          <w:sz w:val="24"/>
          <w:szCs w:val="24"/>
          <w:lang w:val="en-GB"/>
        </w:rPr>
        <w:tab/>
      </w:r>
      <w:r>
        <w:rPr>
          <w:rFonts w:ascii="Times New Roman"/>
          <w:b/>
          <w:bCs/>
          <w:sz w:val="24"/>
          <w:szCs w:val="24"/>
          <w:lang w:val="en-GB"/>
        </w:rPr>
        <w:t>5</w:t>
      </w:r>
      <w:r w:rsidRPr="00B43D1C">
        <w:rPr>
          <w:rFonts w:ascii="Times New Roman"/>
          <w:b/>
          <w:bCs/>
          <w:sz w:val="24"/>
          <w:szCs w:val="24"/>
          <w:lang w:val="en-GB"/>
        </w:rPr>
        <w:t xml:space="preserve"> August 2015</w:t>
      </w:r>
    </w:p>
    <w:p w:rsidR="00E23FD1" w:rsidRPr="00B43D1C" w:rsidRDefault="00420D51">
      <w:pPr>
        <w:pStyle w:val="Corps"/>
        <w:spacing w:before="360" w:after="360"/>
        <w:jc w:val="center"/>
        <w:rPr>
          <w:rFonts w:ascii="Times New Roman" w:eastAsia="Times New Roman" w:hAnsi="Times New Roman" w:cs="Times New Roman"/>
          <w:b/>
          <w:bCs/>
          <w:sz w:val="32"/>
          <w:szCs w:val="32"/>
          <w:lang w:val="en-GB"/>
        </w:rPr>
      </w:pPr>
    </w:p>
    <w:p w:rsidR="00A162DD" w:rsidRPr="00B43D1C" w:rsidRDefault="00EF3100">
      <w:pPr>
        <w:pStyle w:val="Corps"/>
        <w:spacing w:before="360" w:after="360"/>
        <w:jc w:val="center"/>
        <w:rPr>
          <w:rFonts w:ascii="Times New Roman" w:eastAsia="Times New Roman" w:hAnsi="Times New Roman" w:cs="Times New Roman"/>
          <w:b/>
          <w:bCs/>
          <w:sz w:val="32"/>
          <w:szCs w:val="32"/>
          <w:lang w:val="en-GB"/>
        </w:rPr>
      </w:pPr>
      <w:r w:rsidRPr="00B43D1C">
        <w:rPr>
          <w:rFonts w:ascii="Times New Roman"/>
          <w:b/>
          <w:bCs/>
          <w:sz w:val="32"/>
          <w:szCs w:val="32"/>
          <w:lang w:val="en-GB"/>
        </w:rPr>
        <w:t xml:space="preserve">Submission to the UN Human Rights Committee </w:t>
      </w:r>
    </w:p>
    <w:p w:rsidR="00A162DD" w:rsidRPr="00B43D1C" w:rsidRDefault="00EF3100">
      <w:pPr>
        <w:pStyle w:val="Corps"/>
        <w:spacing w:after="0"/>
        <w:jc w:val="center"/>
        <w:rPr>
          <w:rFonts w:ascii="Times New Roman" w:eastAsia="Times New Roman" w:hAnsi="Times New Roman" w:cs="Times New Roman"/>
          <w:b/>
          <w:bCs/>
          <w:sz w:val="32"/>
          <w:szCs w:val="32"/>
          <w:lang w:val="en-GB"/>
        </w:rPr>
      </w:pPr>
      <w:r w:rsidRPr="00B43D1C">
        <w:rPr>
          <w:rFonts w:ascii="Times New Roman"/>
          <w:b/>
          <w:bCs/>
          <w:sz w:val="32"/>
          <w:szCs w:val="32"/>
          <w:lang w:val="en-GB"/>
        </w:rPr>
        <w:t xml:space="preserve">Prior to the Adoption of the </w:t>
      </w:r>
      <w:r w:rsidRPr="00B43D1C">
        <w:rPr>
          <w:rFonts w:ascii="Times New Roman"/>
          <w:b/>
          <w:bCs/>
          <w:i/>
          <w:sz w:val="32"/>
          <w:szCs w:val="32"/>
          <w:lang w:val="en-GB"/>
        </w:rPr>
        <w:t>List of Issues</w:t>
      </w:r>
      <w:r w:rsidRPr="00B43D1C">
        <w:rPr>
          <w:rFonts w:ascii="Times New Roman"/>
          <w:b/>
          <w:bCs/>
          <w:sz w:val="32"/>
          <w:szCs w:val="32"/>
          <w:lang w:val="en-GB"/>
        </w:rPr>
        <w:t xml:space="preserve"> </w:t>
      </w:r>
    </w:p>
    <w:p w:rsidR="00A162DD" w:rsidRPr="00B43D1C" w:rsidRDefault="00EF3100">
      <w:pPr>
        <w:pStyle w:val="Corps"/>
        <w:spacing w:after="0"/>
        <w:jc w:val="center"/>
        <w:rPr>
          <w:rFonts w:ascii="Times New Roman" w:eastAsia="Times New Roman" w:hAnsi="Times New Roman" w:cs="Times New Roman"/>
          <w:b/>
          <w:bCs/>
          <w:sz w:val="24"/>
          <w:szCs w:val="24"/>
          <w:lang w:val="en-GB"/>
        </w:rPr>
      </w:pPr>
      <w:r w:rsidRPr="00B43D1C">
        <w:rPr>
          <w:rFonts w:ascii="Times New Roman"/>
          <w:b/>
          <w:bCs/>
          <w:sz w:val="24"/>
          <w:szCs w:val="24"/>
          <w:lang w:val="en-GB"/>
        </w:rPr>
        <w:t>(</w:t>
      </w:r>
      <w:r w:rsidRPr="00B43D1C">
        <w:rPr>
          <w:rFonts w:ascii="Times New Roman"/>
          <w:b/>
          <w:bCs/>
          <w:i/>
          <w:iCs/>
          <w:sz w:val="24"/>
          <w:szCs w:val="24"/>
          <w:lang w:val="en-GB"/>
        </w:rPr>
        <w:t>11</w:t>
      </w:r>
      <w:r>
        <w:rPr>
          <w:rFonts w:ascii="Times New Roman"/>
          <w:b/>
          <w:bCs/>
          <w:i/>
          <w:iCs/>
          <w:sz w:val="24"/>
          <w:szCs w:val="24"/>
          <w:lang w:val="en-GB"/>
        </w:rPr>
        <w:t>5th</w:t>
      </w:r>
      <w:r w:rsidRPr="00B43D1C">
        <w:rPr>
          <w:rFonts w:ascii="Times New Roman"/>
          <w:b/>
          <w:bCs/>
          <w:i/>
          <w:iCs/>
          <w:sz w:val="24"/>
          <w:szCs w:val="24"/>
          <w:lang w:val="en-GB"/>
        </w:rPr>
        <w:t xml:space="preserve"> Session </w:t>
      </w:r>
      <w:r w:rsidRPr="00B43D1C">
        <w:rPr>
          <w:rFonts w:hAnsi="Arial Unicode MS"/>
          <w:b/>
          <w:bCs/>
          <w:i/>
          <w:iCs/>
          <w:sz w:val="24"/>
          <w:szCs w:val="24"/>
          <w:lang w:val="en-GB"/>
        </w:rPr>
        <w:t>–</w:t>
      </w:r>
      <w:r w:rsidRPr="00B43D1C">
        <w:rPr>
          <w:rFonts w:hAnsi="Arial Unicode MS"/>
          <w:b/>
          <w:bCs/>
          <w:i/>
          <w:iCs/>
          <w:sz w:val="24"/>
          <w:szCs w:val="24"/>
          <w:lang w:val="en-GB"/>
        </w:rPr>
        <w:t xml:space="preserve"> </w:t>
      </w:r>
      <w:r w:rsidRPr="00B43D1C">
        <w:rPr>
          <w:rFonts w:ascii="Times New Roman"/>
          <w:b/>
          <w:bCs/>
          <w:i/>
          <w:iCs/>
          <w:sz w:val="24"/>
          <w:szCs w:val="24"/>
          <w:lang w:val="en-GB"/>
        </w:rPr>
        <w:t xml:space="preserve">12 October </w:t>
      </w:r>
      <w:r w:rsidRPr="00B43D1C">
        <w:rPr>
          <w:rFonts w:hAnsi="Arial Unicode MS"/>
          <w:b/>
          <w:bCs/>
          <w:i/>
          <w:iCs/>
          <w:sz w:val="24"/>
          <w:szCs w:val="24"/>
          <w:lang w:val="en-GB"/>
        </w:rPr>
        <w:t>–</w:t>
      </w:r>
      <w:r w:rsidRPr="00B43D1C">
        <w:rPr>
          <w:rFonts w:hAnsi="Arial Unicode MS"/>
          <w:b/>
          <w:bCs/>
          <w:i/>
          <w:iCs/>
          <w:sz w:val="24"/>
          <w:szCs w:val="24"/>
          <w:lang w:val="en-GB"/>
        </w:rPr>
        <w:t xml:space="preserve"> </w:t>
      </w:r>
      <w:r w:rsidRPr="00B43D1C">
        <w:rPr>
          <w:rFonts w:ascii="Times New Roman"/>
          <w:b/>
          <w:bCs/>
          <w:i/>
          <w:iCs/>
          <w:sz w:val="24"/>
          <w:szCs w:val="24"/>
          <w:lang w:val="en-GB"/>
        </w:rPr>
        <w:t>30 October 2015</w:t>
      </w:r>
      <w:r w:rsidRPr="00B43D1C">
        <w:rPr>
          <w:rFonts w:ascii="Times New Roman"/>
          <w:b/>
          <w:bCs/>
          <w:sz w:val="24"/>
          <w:szCs w:val="24"/>
          <w:lang w:val="en-GB"/>
        </w:rPr>
        <w:t>)</w:t>
      </w:r>
    </w:p>
    <w:p w:rsidR="00A162DD" w:rsidRPr="00B43D1C" w:rsidRDefault="00420D51">
      <w:pPr>
        <w:pStyle w:val="Corps"/>
        <w:spacing w:after="0"/>
        <w:rPr>
          <w:rFonts w:ascii="Times New Roman" w:eastAsia="Times New Roman" w:hAnsi="Times New Roman" w:cs="Times New Roman"/>
          <w:b/>
          <w:bCs/>
          <w:sz w:val="24"/>
          <w:szCs w:val="24"/>
          <w:lang w:val="en-GB"/>
        </w:rPr>
      </w:pPr>
    </w:p>
    <w:p w:rsidR="00A162DD" w:rsidRPr="00B43D1C" w:rsidRDefault="00EF3100">
      <w:pPr>
        <w:pStyle w:val="Corps"/>
        <w:spacing w:before="360" w:after="360"/>
        <w:jc w:val="center"/>
        <w:rPr>
          <w:rFonts w:ascii="Times New Roman" w:eastAsia="Times New Roman" w:hAnsi="Times New Roman" w:cs="Times New Roman"/>
          <w:b/>
          <w:bCs/>
          <w:sz w:val="24"/>
          <w:szCs w:val="24"/>
          <w:lang w:val="en-GB"/>
        </w:rPr>
      </w:pPr>
      <w:r w:rsidRPr="00B43D1C">
        <w:rPr>
          <w:rFonts w:ascii="Times New Roman"/>
          <w:b/>
          <w:bCs/>
          <w:sz w:val="24"/>
          <w:szCs w:val="24"/>
          <w:lang w:val="en-GB"/>
        </w:rPr>
        <w:t>Second periodic report pursuant to article 40 of the Covenant</w:t>
      </w:r>
    </w:p>
    <w:p w:rsidR="00A162DD" w:rsidRPr="00B43D1C" w:rsidRDefault="00EF3100">
      <w:pPr>
        <w:pStyle w:val="Corps"/>
        <w:spacing w:before="360" w:after="360"/>
        <w:jc w:val="center"/>
        <w:rPr>
          <w:rFonts w:ascii="Times New Roman" w:eastAsia="Times New Roman" w:hAnsi="Times New Roman" w:cs="Times New Roman"/>
          <w:b/>
          <w:bCs/>
          <w:sz w:val="56"/>
          <w:szCs w:val="56"/>
          <w:lang w:val="en-GB"/>
        </w:rPr>
      </w:pPr>
      <w:r w:rsidRPr="00B43D1C">
        <w:rPr>
          <w:rFonts w:ascii="Times New Roman"/>
          <w:b/>
          <w:bCs/>
          <w:spacing w:val="40"/>
          <w:sz w:val="56"/>
          <w:szCs w:val="56"/>
          <w:lang w:val="en-GB"/>
        </w:rPr>
        <w:t>Kazakhstan</w:t>
      </w:r>
    </w:p>
    <w:p w:rsidR="00A162DD" w:rsidRPr="00B43D1C" w:rsidRDefault="00EF3100">
      <w:pPr>
        <w:pStyle w:val="Corps"/>
        <w:spacing w:before="120"/>
        <w:jc w:val="center"/>
        <w:rPr>
          <w:rFonts w:ascii="Times New Roman" w:eastAsia="Times New Roman" w:hAnsi="Times New Roman" w:cs="Times New Roman"/>
          <w:b/>
          <w:bCs/>
          <w:sz w:val="24"/>
          <w:szCs w:val="24"/>
          <w:lang w:val="en-GB"/>
        </w:rPr>
      </w:pPr>
      <w:r w:rsidRPr="00B43D1C">
        <w:rPr>
          <w:rFonts w:ascii="Times New Roman"/>
          <w:b/>
          <w:bCs/>
          <w:sz w:val="24"/>
          <w:szCs w:val="24"/>
          <w:lang w:val="en-GB"/>
        </w:rPr>
        <w:t>(116</w:t>
      </w:r>
      <w:r>
        <w:rPr>
          <w:rFonts w:ascii="Times New Roman"/>
          <w:b/>
          <w:bCs/>
          <w:sz w:val="24"/>
          <w:szCs w:val="24"/>
          <w:lang w:val="en-GB"/>
        </w:rPr>
        <w:t>th</w:t>
      </w:r>
      <w:r w:rsidRPr="00B43D1C">
        <w:rPr>
          <w:rFonts w:ascii="Times New Roman"/>
          <w:b/>
          <w:bCs/>
          <w:sz w:val="24"/>
          <w:szCs w:val="24"/>
          <w:lang w:val="en-GB"/>
        </w:rPr>
        <w:t xml:space="preserve"> Session of the Human Rights Committee, 7 </w:t>
      </w:r>
      <w:r w:rsidRPr="00B43D1C">
        <w:rPr>
          <w:rFonts w:hAnsi="Arial Unicode MS"/>
          <w:b/>
          <w:bCs/>
          <w:sz w:val="24"/>
          <w:szCs w:val="24"/>
          <w:lang w:val="en-GB"/>
        </w:rPr>
        <w:t>–</w:t>
      </w:r>
      <w:r w:rsidRPr="00B43D1C">
        <w:rPr>
          <w:rFonts w:hAnsi="Arial Unicode MS"/>
          <w:b/>
          <w:bCs/>
          <w:sz w:val="24"/>
          <w:szCs w:val="24"/>
          <w:lang w:val="en-GB"/>
        </w:rPr>
        <w:t xml:space="preserve"> </w:t>
      </w:r>
      <w:r w:rsidRPr="00B43D1C">
        <w:rPr>
          <w:rFonts w:ascii="Times New Roman"/>
          <w:b/>
          <w:bCs/>
          <w:sz w:val="24"/>
          <w:szCs w:val="24"/>
          <w:lang w:val="en-GB"/>
        </w:rPr>
        <w:t>24 March 2016)</w:t>
      </w:r>
    </w:p>
    <w:p w:rsidR="00A162DD" w:rsidRPr="00B43D1C" w:rsidRDefault="00420D51">
      <w:pPr>
        <w:pStyle w:val="Corps"/>
        <w:spacing w:before="120" w:after="0"/>
        <w:jc w:val="center"/>
        <w:rPr>
          <w:rFonts w:ascii="Times New Roman" w:eastAsia="Times New Roman" w:hAnsi="Times New Roman" w:cs="Times New Roman"/>
          <w:b/>
          <w:bCs/>
          <w:lang w:val="en-GB"/>
        </w:rPr>
      </w:pPr>
    </w:p>
    <w:p w:rsidR="00A162DD" w:rsidRPr="00B43D1C" w:rsidRDefault="00EF3100">
      <w:pPr>
        <w:pStyle w:val="Corps"/>
        <w:tabs>
          <w:tab w:val="left" w:pos="6450"/>
          <w:tab w:val="left" w:pos="6571"/>
          <w:tab w:val="left" w:pos="7232"/>
        </w:tabs>
        <w:spacing w:before="120"/>
        <w:rPr>
          <w:rFonts w:ascii="Times New Roman" w:eastAsia="Times New Roman" w:hAnsi="Times New Roman" w:cs="Times New Roman"/>
          <w:b/>
          <w:bCs/>
          <w:lang w:val="en-GB"/>
        </w:rPr>
      </w:pPr>
      <w:r w:rsidRPr="00B43D1C">
        <w:rPr>
          <w:rFonts w:ascii="Times New Roman" w:eastAsia="Times New Roman" w:hAnsi="Times New Roman" w:cs="Times New Roman"/>
          <w:b/>
          <w:bCs/>
          <w:lang w:val="en-GB"/>
        </w:rPr>
        <w:tab/>
      </w:r>
    </w:p>
    <w:p w:rsidR="00A162DD" w:rsidRPr="00B43D1C" w:rsidRDefault="00EF3100">
      <w:pPr>
        <w:pStyle w:val="Corps"/>
        <w:tabs>
          <w:tab w:val="center" w:pos="1800"/>
          <w:tab w:val="center" w:pos="7200"/>
        </w:tabs>
        <w:spacing w:before="240" w:after="0"/>
        <w:rPr>
          <w:rFonts w:ascii="Times New Roman" w:eastAsia="Times New Roman" w:hAnsi="Times New Roman" w:cs="Times New Roman"/>
          <w:b/>
          <w:bCs/>
          <w:lang w:val="en-GB"/>
        </w:rPr>
      </w:pPr>
      <w:r w:rsidRPr="00B43D1C">
        <w:rPr>
          <w:rFonts w:ascii="Times New Roman" w:eastAsia="Times New Roman" w:hAnsi="Times New Roman" w:cs="Times New Roman"/>
          <w:b/>
          <w:bCs/>
          <w:noProof/>
          <w:lang w:val="de-AT" w:eastAsia="de-AT"/>
        </w:rPr>
        <w:drawing>
          <wp:anchor distT="0" distB="0" distL="0" distR="0" simplePos="0" relativeHeight="251658240" behindDoc="0" locked="0" layoutInCell="1" allowOverlap="1">
            <wp:simplePos x="0" y="0"/>
            <wp:positionH relativeFrom="column">
              <wp:posOffset>1419860</wp:posOffset>
            </wp:positionH>
            <wp:positionV relativeFrom="line">
              <wp:posOffset>7271384</wp:posOffset>
            </wp:positionV>
            <wp:extent cx="901065" cy="593725"/>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11"/>
                    <a:stretch>
                      <a:fillRect/>
                    </a:stretch>
                  </pic:blipFill>
                  <pic:spPr>
                    <a:xfrm>
                      <a:off x="0" y="0"/>
                      <a:ext cx="901065" cy="593725"/>
                    </a:xfrm>
                    <a:prstGeom prst="rect">
                      <a:avLst/>
                    </a:prstGeom>
                    <a:ln w="12700">
                      <a:noFill/>
                      <a:miter lim="400000"/>
                    </a:ln>
                  </pic:spPr>
                </pic:pic>
              </a:graphicData>
            </a:graphic>
          </wp:anchor>
        </w:drawing>
      </w:r>
      <w:r w:rsidRPr="00B43D1C">
        <w:rPr>
          <w:rFonts w:ascii="Times New Roman" w:eastAsia="Times New Roman" w:hAnsi="Times New Roman" w:cs="Times New Roman"/>
          <w:b/>
          <w:bCs/>
          <w:lang w:val="en-GB"/>
        </w:rPr>
        <w:tab/>
      </w:r>
    </w:p>
    <w:p w:rsidR="00A162DD" w:rsidRPr="00B43D1C" w:rsidRDefault="00420D51">
      <w:pPr>
        <w:pStyle w:val="Corps"/>
        <w:tabs>
          <w:tab w:val="center" w:pos="1800"/>
          <w:tab w:val="center" w:pos="7200"/>
        </w:tabs>
        <w:spacing w:before="240" w:after="0"/>
        <w:rPr>
          <w:rFonts w:ascii="Times New Roman" w:eastAsia="Times New Roman" w:hAnsi="Times New Roman" w:cs="Times New Roman"/>
          <w:b/>
          <w:bCs/>
          <w:lang w:val="en-GB"/>
        </w:rPr>
      </w:pPr>
    </w:p>
    <w:p w:rsidR="00A162DD" w:rsidRPr="00B43D1C" w:rsidRDefault="00EF3100">
      <w:pPr>
        <w:pStyle w:val="Corps"/>
        <w:tabs>
          <w:tab w:val="center" w:pos="1800"/>
          <w:tab w:val="center" w:pos="7200"/>
        </w:tabs>
        <w:spacing w:before="120" w:after="0"/>
        <w:rPr>
          <w:rFonts w:ascii="Times New Roman" w:eastAsia="Times New Roman" w:hAnsi="Times New Roman" w:cs="Times New Roman"/>
          <w:lang w:val="en-GB"/>
        </w:rPr>
      </w:pPr>
      <w:r w:rsidRPr="00B43D1C">
        <w:rPr>
          <w:rFonts w:ascii="Times New Roman" w:eastAsia="Times New Roman" w:hAnsi="Times New Roman" w:cs="Times New Roman"/>
          <w:lang w:val="en-GB"/>
        </w:rPr>
        <w:tab/>
        <w:t xml:space="preserve">    </w:t>
      </w:r>
    </w:p>
    <w:p w:rsidR="00A162DD" w:rsidRPr="00B43D1C" w:rsidRDefault="00420D51">
      <w:pPr>
        <w:pStyle w:val="Corps"/>
        <w:tabs>
          <w:tab w:val="center" w:pos="1800"/>
          <w:tab w:val="center" w:pos="7200"/>
        </w:tabs>
        <w:spacing w:after="0"/>
        <w:jc w:val="right"/>
        <w:rPr>
          <w:rFonts w:ascii="Times New Roman" w:eastAsia="Times New Roman" w:hAnsi="Times New Roman" w:cs="Times New Roman"/>
          <w:lang w:val="en-GB"/>
        </w:rPr>
      </w:pPr>
    </w:p>
    <w:p w:rsidR="00A162DD" w:rsidRPr="00B43D1C" w:rsidRDefault="00420D51">
      <w:pPr>
        <w:pStyle w:val="Corps"/>
        <w:tabs>
          <w:tab w:val="right" w:pos="8363"/>
        </w:tabs>
        <w:spacing w:after="0"/>
        <w:jc w:val="center"/>
        <w:rPr>
          <w:rFonts w:ascii="Times New Roman" w:eastAsia="Times New Roman" w:hAnsi="Times New Roman" w:cs="Times New Roman"/>
          <w:b/>
          <w:bCs/>
          <w:lang w:val="en-GB"/>
        </w:rPr>
      </w:pPr>
    </w:p>
    <w:p w:rsidR="00A162DD" w:rsidRPr="00B43D1C" w:rsidRDefault="00EF3100">
      <w:pPr>
        <w:pStyle w:val="Corps"/>
        <w:tabs>
          <w:tab w:val="right" w:pos="8363"/>
        </w:tabs>
        <w:spacing w:before="480" w:after="0" w:line="240" w:lineRule="auto"/>
        <w:jc w:val="center"/>
        <w:rPr>
          <w:rFonts w:ascii="Times New Roman" w:eastAsia="Times New Roman" w:hAnsi="Times New Roman" w:cs="Times New Roman"/>
          <w:lang w:val="en-GB"/>
        </w:rPr>
      </w:pPr>
      <w:r w:rsidRPr="00B43D1C">
        <w:rPr>
          <w:rFonts w:ascii="Times New Roman"/>
          <w:lang w:val="en-GB"/>
        </w:rPr>
        <w:t>Contact address in Belgium: Rue d</w:t>
      </w:r>
      <w:r>
        <w:rPr>
          <w:rFonts w:ascii="Times New Roman"/>
          <w:lang w:val="en-GB"/>
        </w:rPr>
        <w:t>’</w:t>
      </w:r>
      <w:r w:rsidRPr="00B43D1C">
        <w:rPr>
          <w:rFonts w:ascii="Times New Roman"/>
          <w:lang w:val="en-GB"/>
        </w:rPr>
        <w:t>Argile 60, 1950 Kraainem,</w:t>
      </w:r>
    </w:p>
    <w:p w:rsidR="00A162DD" w:rsidRPr="00B43D1C" w:rsidRDefault="00EF3100">
      <w:pPr>
        <w:pStyle w:val="Corps"/>
        <w:spacing w:before="60" w:after="0" w:line="240" w:lineRule="auto"/>
        <w:jc w:val="center"/>
        <w:rPr>
          <w:rFonts w:ascii="Times New Roman" w:eastAsia="Times New Roman" w:hAnsi="Times New Roman" w:cs="Times New Roman"/>
          <w:lang w:val="en-GB"/>
        </w:rPr>
      </w:pPr>
      <w:r w:rsidRPr="00B43D1C">
        <w:rPr>
          <w:rFonts w:ascii="Times New Roman"/>
          <w:lang w:val="en-GB"/>
        </w:rPr>
        <w:t>Tel.: ++ 32-2-782 00 15 - Fax: ++ 32-2-782 08 11 - E-mail: legal.be@jw.org</w:t>
      </w:r>
    </w:p>
    <w:p w:rsidR="00A162DD" w:rsidRPr="00B43D1C" w:rsidRDefault="00EF3100">
      <w:pPr>
        <w:pStyle w:val="Corps"/>
        <w:spacing w:before="60" w:after="0" w:line="240" w:lineRule="auto"/>
        <w:jc w:val="center"/>
        <w:rPr>
          <w:rFonts w:ascii="Times New Roman" w:eastAsia="Times New Roman" w:hAnsi="Times New Roman" w:cs="Times New Roman"/>
          <w:i/>
          <w:iCs/>
          <w:lang w:val="en-GB"/>
        </w:rPr>
      </w:pPr>
      <w:r w:rsidRPr="00B43D1C">
        <w:rPr>
          <w:rFonts w:ascii="Times New Roman"/>
          <w:i/>
          <w:iCs/>
          <w:lang w:val="en-GB"/>
        </w:rPr>
        <w:t>Contact in New York: Philip Brumley, General Counsel for Jehovah</w:t>
      </w:r>
      <w:r w:rsidRPr="00B43D1C">
        <w:rPr>
          <w:rFonts w:hAnsi="Arial Unicode MS"/>
          <w:i/>
          <w:iCs/>
          <w:lang w:val="en-GB"/>
        </w:rPr>
        <w:t>’</w:t>
      </w:r>
      <w:r w:rsidRPr="00B43D1C">
        <w:rPr>
          <w:rFonts w:ascii="Times New Roman"/>
          <w:i/>
          <w:iCs/>
          <w:lang w:val="en-GB"/>
        </w:rPr>
        <w:t>s Witnesses: ++ 845 306 0711</w:t>
      </w:r>
    </w:p>
    <w:p w:rsidR="00A162DD" w:rsidRPr="00B43D1C" w:rsidRDefault="00420D51">
      <w:pPr>
        <w:pStyle w:val="Corps"/>
        <w:spacing w:before="60" w:after="0" w:line="240" w:lineRule="auto"/>
        <w:jc w:val="center"/>
        <w:rPr>
          <w:rFonts w:ascii="Times New Roman" w:eastAsia="Times New Roman" w:hAnsi="Times New Roman" w:cs="Times New Roman"/>
          <w:i/>
          <w:iCs/>
          <w:lang w:val="en-GB"/>
        </w:rPr>
      </w:pPr>
    </w:p>
    <w:p w:rsidR="00A162DD" w:rsidRPr="00B43D1C" w:rsidRDefault="00420D51">
      <w:pPr>
        <w:pStyle w:val="Corps"/>
        <w:spacing w:before="60" w:after="0" w:line="240" w:lineRule="auto"/>
        <w:jc w:val="center"/>
        <w:rPr>
          <w:lang w:val="en-GB"/>
        </w:rPr>
        <w:sectPr w:rsidR="00A162DD" w:rsidRPr="00B43D1C" w:rsidSect="00675C7C">
          <w:footerReference w:type="default" r:id="rId12"/>
          <w:headerReference w:type="first" r:id="rId13"/>
          <w:pgSz w:w="11900" w:h="16840"/>
          <w:pgMar w:top="238" w:right="920" w:bottom="250" w:left="1134" w:header="0" w:footer="0" w:gutter="0"/>
          <w:pgNumType w:start="0"/>
          <w:cols w:space="720"/>
          <w:titlePg/>
        </w:sectPr>
      </w:pPr>
    </w:p>
    <w:p w:rsidR="00A162DD" w:rsidRPr="003E7154" w:rsidRDefault="00EF3100" w:rsidP="003E7154">
      <w:pPr>
        <w:pStyle w:val="Inhaltsverzeichnisberschrift"/>
        <w:spacing w:after="360"/>
        <w:jc w:val="center"/>
        <w:rPr>
          <w:color w:val="000000"/>
          <w:sz w:val="24"/>
          <w:szCs w:val="24"/>
          <w:u w:color="000000"/>
          <w:lang w:val="en-GB"/>
        </w:rPr>
      </w:pPr>
      <w:r w:rsidRPr="003E7154">
        <w:rPr>
          <w:rFonts w:ascii="Times New Roman"/>
          <w:color w:val="000000"/>
          <w:sz w:val="24"/>
          <w:szCs w:val="24"/>
          <w:u w:color="000000"/>
          <w:lang w:val="en-GB"/>
        </w:rPr>
        <w:lastRenderedPageBreak/>
        <w:t>TABLE OF CONTENTS</w:t>
      </w:r>
      <w:r w:rsidRPr="003E7154">
        <w:rPr>
          <w:rFonts w:ascii="Times New Roman" w:eastAsia="Times New Roman" w:hAnsi="Times New Roman" w:cs="Times New Roman"/>
          <w:sz w:val="24"/>
          <w:szCs w:val="24"/>
          <w:lang w:val="en-GB"/>
        </w:rPr>
        <w:fldChar w:fldCharType="begin"/>
      </w:r>
      <w:r w:rsidRPr="003E7154">
        <w:rPr>
          <w:rFonts w:ascii="Times New Roman" w:eastAsia="Times New Roman" w:hAnsi="Times New Roman" w:cs="Times New Roman"/>
          <w:sz w:val="24"/>
          <w:szCs w:val="24"/>
          <w:lang w:val="en-GB"/>
        </w:rPr>
        <w:instrText xml:space="preserve"> TOC \t "En-tête, 1"</w:instrText>
      </w:r>
      <w:r w:rsidRPr="003E7154">
        <w:rPr>
          <w:rFonts w:ascii="Times New Roman" w:eastAsia="Times New Roman" w:hAnsi="Times New Roman" w:cs="Times New Roman"/>
          <w:sz w:val="24"/>
          <w:szCs w:val="24"/>
          <w:lang w:val="en-GB"/>
        </w:rPr>
        <w:fldChar w:fldCharType="separate"/>
      </w:r>
    </w:p>
    <w:p w:rsidR="00A162DD" w:rsidRPr="003E7154" w:rsidRDefault="00EF3100" w:rsidP="00675C7C">
      <w:pPr>
        <w:pStyle w:val="Verzeichnis1"/>
        <w:tabs>
          <w:tab w:val="clear" w:pos="9214"/>
          <w:tab w:val="right" w:leader="dot" w:pos="9450"/>
        </w:tabs>
        <w:spacing w:before="0" w:after="0"/>
        <w:ind w:right="812"/>
        <w:rPr>
          <w:sz w:val="24"/>
          <w:szCs w:val="24"/>
          <w:lang w:val="en-GB"/>
        </w:rPr>
      </w:pPr>
      <w:r w:rsidRPr="003E7154">
        <w:rPr>
          <w:rFonts w:eastAsia="Arial Unicode MS"/>
          <w:sz w:val="24"/>
          <w:szCs w:val="24"/>
          <w:lang w:val="en-GB"/>
        </w:rPr>
        <w:t>I. Introduction</w:t>
      </w:r>
      <w:r w:rsidRPr="003E7154">
        <w:rPr>
          <w:rFonts w:eastAsia="Arial Unicode MS"/>
          <w:sz w:val="24"/>
          <w:szCs w:val="24"/>
          <w:lang w:val="en-GB"/>
        </w:rPr>
        <w:tab/>
        <w:t>3</w:t>
      </w:r>
    </w:p>
    <w:p w:rsidR="007B79C3" w:rsidRPr="003E7154" w:rsidRDefault="00420D51" w:rsidP="007B79C3">
      <w:pPr>
        <w:pStyle w:val="Verzeichnis1"/>
        <w:spacing w:before="0" w:after="0"/>
        <w:ind w:right="812"/>
        <w:rPr>
          <w:sz w:val="24"/>
          <w:szCs w:val="24"/>
          <w:lang w:val="en-GB"/>
        </w:rPr>
      </w:pPr>
    </w:p>
    <w:p w:rsidR="007B79C3" w:rsidRPr="003E7154" w:rsidRDefault="00EF3100" w:rsidP="00675C7C">
      <w:pPr>
        <w:pStyle w:val="Verzeichnis1"/>
        <w:tabs>
          <w:tab w:val="clear" w:pos="9214"/>
          <w:tab w:val="right" w:leader="dot" w:pos="9450"/>
        </w:tabs>
        <w:spacing w:before="0" w:after="0"/>
        <w:ind w:right="812"/>
        <w:rPr>
          <w:rFonts w:eastAsia="Arial Unicode MS"/>
          <w:sz w:val="24"/>
          <w:szCs w:val="24"/>
          <w:lang w:val="en-GB"/>
        </w:rPr>
      </w:pPr>
      <w:r w:rsidRPr="003E7154">
        <w:rPr>
          <w:rFonts w:eastAsia="Arial Unicode MS"/>
          <w:sz w:val="24"/>
          <w:szCs w:val="24"/>
          <w:lang w:val="en-GB"/>
        </w:rPr>
        <w:t>II. Alleged Violations of the International Covenant on Civil and Political Rights (ICCPR – Articles 12, 13, 18, 19, 21, 26</w:t>
      </w:r>
      <w:r>
        <w:rPr>
          <w:rFonts w:eastAsia="Arial Unicode MS"/>
          <w:sz w:val="24"/>
          <w:szCs w:val="24"/>
          <w:lang w:val="en-GB"/>
        </w:rPr>
        <w:t>,</w:t>
      </w:r>
      <w:r w:rsidRPr="003E7154">
        <w:rPr>
          <w:rFonts w:eastAsia="Arial Unicode MS"/>
          <w:sz w:val="24"/>
          <w:szCs w:val="24"/>
          <w:lang w:val="en-GB"/>
        </w:rPr>
        <w:t xml:space="preserve"> and 27)</w:t>
      </w:r>
      <w:r w:rsidRPr="003E7154">
        <w:rPr>
          <w:rFonts w:eastAsia="Arial Unicode MS"/>
          <w:sz w:val="24"/>
          <w:szCs w:val="24"/>
          <w:lang w:val="en-GB"/>
        </w:rPr>
        <w:tab/>
      </w:r>
      <w:r w:rsidRPr="003E7154">
        <w:rPr>
          <w:rFonts w:eastAsia="Arial Unicode MS"/>
          <w:sz w:val="24"/>
          <w:szCs w:val="24"/>
          <w:lang w:val="en-GB"/>
        </w:rPr>
        <w:fldChar w:fldCharType="begin"/>
      </w:r>
      <w:r w:rsidRPr="003E7154">
        <w:rPr>
          <w:rFonts w:eastAsia="Arial Unicode MS"/>
          <w:sz w:val="24"/>
          <w:szCs w:val="24"/>
          <w:lang w:val="en-GB"/>
        </w:rPr>
        <w:instrText xml:space="preserve"> PAGEREF _Toc1 \h </w:instrText>
      </w:r>
      <w:r w:rsidRPr="003E7154">
        <w:rPr>
          <w:rFonts w:eastAsia="Arial Unicode MS"/>
          <w:sz w:val="24"/>
          <w:szCs w:val="24"/>
          <w:lang w:val="en-GB"/>
        </w:rPr>
      </w:r>
      <w:r w:rsidRPr="003E7154">
        <w:rPr>
          <w:rFonts w:eastAsia="Arial Unicode MS"/>
          <w:sz w:val="24"/>
          <w:szCs w:val="24"/>
          <w:lang w:val="en-GB"/>
        </w:rPr>
        <w:fldChar w:fldCharType="separate"/>
      </w:r>
      <w:r>
        <w:rPr>
          <w:rFonts w:eastAsia="Arial Unicode MS"/>
          <w:noProof/>
          <w:sz w:val="24"/>
          <w:szCs w:val="24"/>
          <w:lang w:val="en-GB"/>
        </w:rPr>
        <w:t>3</w:t>
      </w:r>
      <w:r w:rsidRPr="003E7154">
        <w:rPr>
          <w:rFonts w:eastAsia="Arial Unicode MS"/>
          <w:sz w:val="24"/>
          <w:szCs w:val="24"/>
          <w:lang w:val="en-GB"/>
        </w:rPr>
        <w:fldChar w:fldCharType="end"/>
      </w:r>
    </w:p>
    <w:p w:rsidR="00B43D1C" w:rsidRPr="003E7154" w:rsidRDefault="00420D51" w:rsidP="00F15274">
      <w:pPr>
        <w:pStyle w:val="Verzeichnis1"/>
        <w:spacing w:before="0" w:after="0"/>
        <w:ind w:right="812"/>
        <w:rPr>
          <w:rFonts w:eastAsia="Arial Unicode MS"/>
          <w:sz w:val="24"/>
          <w:szCs w:val="24"/>
          <w:lang w:val="en-GB"/>
        </w:rPr>
      </w:pPr>
    </w:p>
    <w:p w:rsidR="007B79C3" w:rsidRPr="003E7154" w:rsidRDefault="00EF3100" w:rsidP="00B43D1C">
      <w:pPr>
        <w:pStyle w:val="Corps"/>
        <w:numPr>
          <w:ilvl w:val="1"/>
          <w:numId w:val="39"/>
        </w:numPr>
        <w:spacing w:after="80"/>
        <w:ind w:left="994" w:right="806"/>
        <w:jc w:val="both"/>
        <w:rPr>
          <w:rFonts w:ascii="Times New Roman" w:eastAsia="Arial Unicode MS" w:hAnsi="Times New Roman" w:cs="Times New Roman"/>
          <w:b/>
          <w:bCs/>
          <w:sz w:val="24"/>
          <w:szCs w:val="24"/>
          <w:lang w:val="en-GB"/>
        </w:rPr>
      </w:pPr>
      <w:r w:rsidRPr="003E7154">
        <w:rPr>
          <w:rFonts w:ascii="Times New Roman" w:eastAsia="Arial Unicode MS" w:hAnsi="Times New Roman" w:cs="Times New Roman"/>
          <w:b/>
          <w:bCs/>
          <w:sz w:val="24"/>
          <w:szCs w:val="24"/>
          <w:lang w:val="en-GB"/>
        </w:rPr>
        <w:t>Censorship and banning of religious literature (Articles 18, 19, 21</w:t>
      </w:r>
      <w:r>
        <w:rPr>
          <w:rFonts w:ascii="Times New Roman" w:eastAsia="Arial Unicode MS" w:hAnsi="Times New Roman" w:cs="Times New Roman"/>
          <w:b/>
          <w:bCs/>
          <w:sz w:val="24"/>
          <w:szCs w:val="24"/>
          <w:lang w:val="en-GB"/>
        </w:rPr>
        <w:t>,</w:t>
      </w:r>
      <w:r w:rsidRPr="003E7154">
        <w:rPr>
          <w:rFonts w:ascii="Times New Roman" w:eastAsia="Arial Unicode MS" w:hAnsi="Times New Roman" w:cs="Times New Roman"/>
          <w:b/>
          <w:bCs/>
          <w:sz w:val="24"/>
          <w:szCs w:val="24"/>
          <w:lang w:val="en-GB"/>
        </w:rPr>
        <w:t xml:space="preserve"> and 26)</w:t>
      </w:r>
    </w:p>
    <w:p w:rsidR="007B79C3" w:rsidRPr="003E7154" w:rsidRDefault="00EF3100" w:rsidP="00B43D1C">
      <w:pPr>
        <w:pStyle w:val="Corps"/>
        <w:numPr>
          <w:ilvl w:val="1"/>
          <w:numId w:val="39"/>
        </w:numPr>
        <w:spacing w:after="80"/>
        <w:ind w:left="994" w:right="806"/>
        <w:jc w:val="both"/>
        <w:rPr>
          <w:rFonts w:ascii="Times New Roman" w:hAnsi="Times New Roman" w:cs="Times New Roman"/>
          <w:b/>
          <w:sz w:val="24"/>
          <w:szCs w:val="24"/>
          <w:lang w:val="en-GB"/>
        </w:rPr>
      </w:pPr>
      <w:r w:rsidRPr="003E7154">
        <w:rPr>
          <w:rFonts w:ascii="Times New Roman" w:hAnsi="Times New Roman" w:cs="Times New Roman"/>
          <w:b/>
          <w:sz w:val="24"/>
          <w:szCs w:val="24"/>
          <w:lang w:val="en-GB"/>
        </w:rPr>
        <w:t>Police raids on religious meetings (Articles 18, 19, 21</w:t>
      </w:r>
      <w:r>
        <w:rPr>
          <w:rFonts w:ascii="Times New Roman" w:hAnsi="Times New Roman" w:cs="Times New Roman"/>
          <w:b/>
          <w:sz w:val="24"/>
          <w:szCs w:val="24"/>
          <w:lang w:val="en-GB"/>
        </w:rPr>
        <w:t>,</w:t>
      </w:r>
      <w:r w:rsidRPr="003E7154">
        <w:rPr>
          <w:rFonts w:ascii="Times New Roman" w:hAnsi="Times New Roman" w:cs="Times New Roman"/>
          <w:b/>
          <w:sz w:val="24"/>
          <w:szCs w:val="24"/>
          <w:lang w:val="en-GB"/>
        </w:rPr>
        <w:t xml:space="preserve"> and 27)</w:t>
      </w:r>
    </w:p>
    <w:p w:rsidR="007B79C3" w:rsidRPr="003E7154" w:rsidRDefault="00EF3100" w:rsidP="00B43D1C">
      <w:pPr>
        <w:pStyle w:val="Corps"/>
        <w:numPr>
          <w:ilvl w:val="1"/>
          <w:numId w:val="39"/>
        </w:numPr>
        <w:spacing w:after="80"/>
        <w:ind w:left="994" w:right="806"/>
        <w:jc w:val="both"/>
        <w:rPr>
          <w:rFonts w:ascii="Times New Roman" w:hAnsi="Times New Roman" w:cs="Times New Roman"/>
          <w:b/>
          <w:sz w:val="24"/>
          <w:szCs w:val="24"/>
          <w:lang w:val="en-GB"/>
        </w:rPr>
      </w:pPr>
      <w:r w:rsidRPr="003E7154">
        <w:rPr>
          <w:rFonts w:ascii="Times New Roman" w:hAnsi="Times New Roman" w:cs="Times New Roman"/>
          <w:b/>
          <w:sz w:val="24"/>
          <w:szCs w:val="24"/>
          <w:lang w:val="en-GB"/>
        </w:rPr>
        <w:t>Arrests and conviction of Kazakhstan citizens for “missionary activity” (Articles 18, 19, 21</w:t>
      </w:r>
      <w:r>
        <w:rPr>
          <w:rFonts w:ascii="Times New Roman" w:hAnsi="Times New Roman" w:cs="Times New Roman"/>
          <w:b/>
          <w:sz w:val="24"/>
          <w:szCs w:val="24"/>
          <w:lang w:val="en-GB"/>
        </w:rPr>
        <w:t>,</w:t>
      </w:r>
      <w:r w:rsidRPr="003E7154">
        <w:rPr>
          <w:rFonts w:ascii="Times New Roman" w:hAnsi="Times New Roman" w:cs="Times New Roman"/>
          <w:b/>
          <w:sz w:val="24"/>
          <w:szCs w:val="24"/>
          <w:lang w:val="en-GB"/>
        </w:rPr>
        <w:t xml:space="preserve"> and 27)</w:t>
      </w:r>
    </w:p>
    <w:p w:rsidR="007B79C3" w:rsidRPr="003E7154" w:rsidRDefault="00EF3100" w:rsidP="00B43D1C">
      <w:pPr>
        <w:pStyle w:val="Corps"/>
        <w:numPr>
          <w:ilvl w:val="1"/>
          <w:numId w:val="39"/>
        </w:numPr>
        <w:spacing w:after="80"/>
        <w:ind w:left="994" w:right="806"/>
        <w:jc w:val="both"/>
        <w:rPr>
          <w:rFonts w:ascii="Times New Roman" w:hAnsi="Times New Roman" w:cs="Times New Roman"/>
          <w:b/>
          <w:sz w:val="24"/>
          <w:szCs w:val="24"/>
          <w:lang w:val="en-GB"/>
        </w:rPr>
      </w:pPr>
      <w:r w:rsidRPr="003E7154">
        <w:rPr>
          <w:rFonts w:ascii="Times New Roman" w:hAnsi="Times New Roman" w:cs="Times New Roman"/>
          <w:b/>
          <w:sz w:val="24"/>
          <w:szCs w:val="24"/>
          <w:lang w:val="en-GB"/>
        </w:rPr>
        <w:t>Arrests, conviction, and deportation of foreign citizens for “missionary activity” (Articles 12, 13, 18, 19, 2</w:t>
      </w:r>
      <w:r>
        <w:rPr>
          <w:rFonts w:ascii="Times New Roman" w:hAnsi="Times New Roman" w:cs="Times New Roman"/>
          <w:b/>
          <w:sz w:val="24"/>
          <w:szCs w:val="24"/>
          <w:lang w:val="en-GB"/>
        </w:rPr>
        <w:t>,</w:t>
      </w:r>
      <w:r w:rsidRPr="003E7154">
        <w:rPr>
          <w:rFonts w:ascii="Times New Roman" w:hAnsi="Times New Roman" w:cs="Times New Roman"/>
          <w:b/>
          <w:sz w:val="24"/>
          <w:szCs w:val="24"/>
          <w:lang w:val="en-GB"/>
        </w:rPr>
        <w:t>1 and 27)</w:t>
      </w:r>
    </w:p>
    <w:p w:rsidR="00BC0775" w:rsidRPr="00BC0775" w:rsidRDefault="00EF3100" w:rsidP="00BC0775">
      <w:pPr>
        <w:pStyle w:val="Corps"/>
        <w:numPr>
          <w:ilvl w:val="1"/>
          <w:numId w:val="39"/>
        </w:numPr>
        <w:spacing w:after="80"/>
        <w:ind w:left="994" w:right="806"/>
        <w:jc w:val="both"/>
        <w:rPr>
          <w:rFonts w:ascii="Times New Roman" w:hAnsi="Times New Roman" w:cs="Times New Roman"/>
          <w:b/>
          <w:sz w:val="24"/>
          <w:szCs w:val="24"/>
          <w:lang w:val="en-GB"/>
        </w:rPr>
      </w:pPr>
      <w:r w:rsidRPr="00B43D1C">
        <w:rPr>
          <w:rFonts w:ascii="Times New Roman" w:hAnsi="Times New Roman" w:cs="Times New Roman"/>
          <w:b/>
          <w:sz w:val="24"/>
          <w:szCs w:val="24"/>
          <w:lang w:val="en-GB"/>
        </w:rPr>
        <w:t xml:space="preserve">Reaction of the authorities </w:t>
      </w:r>
      <w:r>
        <w:rPr>
          <w:rFonts w:ascii="Times New Roman" w:hAnsi="Times New Roman" w:cs="Times New Roman"/>
          <w:b/>
          <w:sz w:val="24"/>
          <w:szCs w:val="24"/>
          <w:lang w:val="en-GB"/>
        </w:rPr>
        <w:t xml:space="preserve">to </w:t>
      </w:r>
      <w:r w:rsidRPr="00B43D1C">
        <w:rPr>
          <w:rFonts w:ascii="Times New Roman" w:hAnsi="Times New Roman" w:cs="Times New Roman"/>
          <w:b/>
          <w:sz w:val="24"/>
          <w:szCs w:val="24"/>
          <w:lang w:val="en-GB"/>
        </w:rPr>
        <w:t xml:space="preserve">slander </w:t>
      </w:r>
      <w:r>
        <w:rPr>
          <w:rFonts w:ascii="Times New Roman" w:hAnsi="Times New Roman" w:cs="Times New Roman"/>
          <w:b/>
          <w:sz w:val="24"/>
          <w:szCs w:val="24"/>
          <w:lang w:val="en-GB"/>
        </w:rPr>
        <w:t xml:space="preserve">expressed </w:t>
      </w:r>
      <w:r w:rsidRPr="00B43D1C">
        <w:rPr>
          <w:rFonts w:ascii="Times New Roman" w:hAnsi="Times New Roman" w:cs="Times New Roman"/>
          <w:b/>
          <w:sz w:val="24"/>
          <w:szCs w:val="24"/>
          <w:lang w:val="en-GB"/>
        </w:rPr>
        <w:t>by officials</w:t>
      </w:r>
    </w:p>
    <w:p w:rsidR="007B79C3" w:rsidRPr="003E7154" w:rsidRDefault="00420D51" w:rsidP="007B79C3">
      <w:pPr>
        <w:pStyle w:val="Corps"/>
        <w:spacing w:after="0"/>
        <w:ind w:left="994" w:right="812"/>
        <w:jc w:val="both"/>
        <w:rPr>
          <w:rFonts w:ascii="Times New Roman" w:hAnsi="Times New Roman" w:cs="Times New Roman"/>
          <w:b/>
          <w:sz w:val="24"/>
          <w:szCs w:val="24"/>
          <w:lang w:val="en-GB"/>
        </w:rPr>
      </w:pPr>
    </w:p>
    <w:p w:rsidR="00403FFE" w:rsidRPr="003E7154" w:rsidRDefault="00EF3100" w:rsidP="00675C7C">
      <w:pPr>
        <w:pStyle w:val="Verzeichnis1"/>
        <w:tabs>
          <w:tab w:val="clear" w:pos="9214"/>
          <w:tab w:val="right" w:leader="dot" w:pos="9450"/>
        </w:tabs>
        <w:spacing w:before="0" w:after="0"/>
        <w:ind w:right="812"/>
        <w:rPr>
          <w:sz w:val="24"/>
          <w:szCs w:val="24"/>
          <w:lang w:val="en-GB"/>
        </w:rPr>
      </w:pPr>
      <w:r w:rsidRPr="003E7154">
        <w:rPr>
          <w:rFonts w:eastAsia="Arial Unicode MS"/>
          <w:sz w:val="24"/>
          <w:szCs w:val="24"/>
          <w:lang w:val="en-GB"/>
        </w:rPr>
        <w:t>III. Pending Communications against Kazakhstan</w:t>
      </w:r>
      <w:r w:rsidRPr="003E7154">
        <w:rPr>
          <w:rFonts w:eastAsia="Arial Unicode MS"/>
          <w:sz w:val="24"/>
          <w:szCs w:val="24"/>
          <w:lang w:val="en-GB"/>
        </w:rPr>
        <w:tab/>
      </w:r>
      <w:r w:rsidRPr="003E7154">
        <w:rPr>
          <w:sz w:val="24"/>
          <w:szCs w:val="24"/>
          <w:lang w:val="en-GB"/>
        </w:rPr>
        <w:fldChar w:fldCharType="begin"/>
      </w:r>
      <w:r w:rsidRPr="003E7154">
        <w:rPr>
          <w:sz w:val="24"/>
          <w:szCs w:val="24"/>
          <w:lang w:val="en-GB"/>
        </w:rPr>
        <w:instrText xml:space="preserve"> PAGEREF _Toc2 \h </w:instrText>
      </w:r>
      <w:r w:rsidRPr="003E7154">
        <w:rPr>
          <w:sz w:val="24"/>
          <w:szCs w:val="24"/>
          <w:lang w:val="en-GB"/>
        </w:rPr>
      </w:r>
      <w:r w:rsidRPr="003E7154">
        <w:rPr>
          <w:sz w:val="24"/>
          <w:szCs w:val="24"/>
          <w:lang w:val="en-GB"/>
        </w:rPr>
        <w:fldChar w:fldCharType="separate"/>
      </w:r>
      <w:r>
        <w:rPr>
          <w:noProof/>
          <w:sz w:val="24"/>
          <w:szCs w:val="24"/>
          <w:lang w:val="en-GB"/>
        </w:rPr>
        <w:t>10</w:t>
      </w:r>
      <w:r w:rsidRPr="003E7154">
        <w:rPr>
          <w:sz w:val="24"/>
          <w:szCs w:val="24"/>
          <w:lang w:val="en-GB"/>
        </w:rPr>
        <w:fldChar w:fldCharType="end"/>
      </w:r>
    </w:p>
    <w:p w:rsidR="007B79C3" w:rsidRPr="003E7154" w:rsidRDefault="00420D51" w:rsidP="007B79C3">
      <w:pPr>
        <w:pStyle w:val="Verzeichnis1"/>
        <w:spacing w:before="0" w:after="0"/>
        <w:ind w:right="812"/>
        <w:rPr>
          <w:sz w:val="24"/>
          <w:szCs w:val="24"/>
          <w:lang w:val="en-GB"/>
        </w:rPr>
      </w:pPr>
    </w:p>
    <w:p w:rsidR="00A162DD" w:rsidRPr="003E7154" w:rsidRDefault="00EF3100" w:rsidP="00675C7C">
      <w:pPr>
        <w:pStyle w:val="Verzeichnis1"/>
        <w:tabs>
          <w:tab w:val="clear" w:pos="9214"/>
          <w:tab w:val="right" w:leader="dot" w:pos="9450"/>
        </w:tabs>
        <w:spacing w:before="0" w:after="0"/>
        <w:ind w:right="812"/>
        <w:rPr>
          <w:sz w:val="24"/>
          <w:szCs w:val="24"/>
          <w:lang w:val="en-GB"/>
        </w:rPr>
      </w:pPr>
      <w:r w:rsidRPr="003E7154">
        <w:rPr>
          <w:rFonts w:eastAsia="Arial Unicode MS"/>
          <w:sz w:val="24"/>
          <w:szCs w:val="24"/>
          <w:lang w:val="en-GB"/>
        </w:rPr>
        <w:t>IV. Conclusions and Recommendations</w:t>
      </w:r>
      <w:r w:rsidRPr="003E7154">
        <w:rPr>
          <w:rFonts w:eastAsia="Arial Unicode MS"/>
          <w:sz w:val="24"/>
          <w:szCs w:val="24"/>
          <w:lang w:val="en-GB"/>
        </w:rPr>
        <w:tab/>
      </w:r>
      <w:r w:rsidRPr="003E7154">
        <w:rPr>
          <w:sz w:val="24"/>
          <w:szCs w:val="24"/>
          <w:lang w:val="en-GB"/>
        </w:rPr>
        <w:fldChar w:fldCharType="begin"/>
      </w:r>
      <w:r w:rsidRPr="003E7154">
        <w:rPr>
          <w:sz w:val="24"/>
          <w:szCs w:val="24"/>
          <w:lang w:val="en-GB"/>
        </w:rPr>
        <w:instrText xml:space="preserve"> PAGEREF _Toc2 \h </w:instrText>
      </w:r>
      <w:r w:rsidRPr="003E7154">
        <w:rPr>
          <w:sz w:val="24"/>
          <w:szCs w:val="24"/>
          <w:lang w:val="en-GB"/>
        </w:rPr>
      </w:r>
      <w:r w:rsidRPr="003E7154">
        <w:rPr>
          <w:sz w:val="24"/>
          <w:szCs w:val="24"/>
          <w:lang w:val="en-GB"/>
        </w:rPr>
        <w:fldChar w:fldCharType="separate"/>
      </w:r>
      <w:r>
        <w:rPr>
          <w:noProof/>
          <w:sz w:val="24"/>
          <w:szCs w:val="24"/>
          <w:lang w:val="en-GB"/>
        </w:rPr>
        <w:t>10</w:t>
      </w:r>
      <w:r w:rsidRPr="003E7154">
        <w:rPr>
          <w:sz w:val="24"/>
          <w:szCs w:val="24"/>
          <w:lang w:val="en-GB"/>
        </w:rPr>
        <w:fldChar w:fldCharType="end"/>
      </w:r>
    </w:p>
    <w:p w:rsidR="00B43D1C" w:rsidRPr="00B43D1C" w:rsidRDefault="00EF3100" w:rsidP="007B79C3">
      <w:pPr>
        <w:pStyle w:val="Corps"/>
        <w:spacing w:after="0"/>
        <w:ind w:right="812"/>
        <w:jc w:val="both"/>
        <w:rPr>
          <w:rFonts w:ascii="Times New Roman" w:eastAsia="Times New Roman" w:hAnsi="Times New Roman" w:cs="Times New Roman"/>
          <w:sz w:val="24"/>
          <w:szCs w:val="24"/>
          <w:lang w:val="en-GB"/>
        </w:rPr>
      </w:pPr>
      <w:r w:rsidRPr="003E7154">
        <w:rPr>
          <w:rFonts w:ascii="Times New Roman" w:eastAsia="Times New Roman" w:hAnsi="Times New Roman" w:cs="Times New Roman"/>
          <w:b/>
          <w:sz w:val="24"/>
          <w:szCs w:val="24"/>
          <w:lang w:val="en-GB"/>
        </w:rPr>
        <w:fldChar w:fldCharType="end"/>
      </w:r>
    </w:p>
    <w:p w:rsidR="00B43D1C" w:rsidRPr="00B43D1C" w:rsidRDefault="00EF3100" w:rsidP="00B43D1C">
      <w:pPr>
        <w:pStyle w:val="Verzeichnis1"/>
        <w:jc w:val="center"/>
        <w:rPr>
          <w:rStyle w:val="Hyperlink"/>
          <w:color w:val="auto"/>
          <w:sz w:val="24"/>
          <w:szCs w:val="24"/>
          <w:lang w:val="en-GB"/>
        </w:rPr>
      </w:pPr>
      <w:r w:rsidRPr="00B43D1C">
        <w:rPr>
          <w:rStyle w:val="Hyperlink"/>
          <w:color w:val="auto"/>
          <w:sz w:val="24"/>
          <w:szCs w:val="24"/>
          <w:lang w:val="en-GB"/>
        </w:rPr>
        <w:t>APPENDICES</w:t>
      </w:r>
    </w:p>
    <w:p w:rsidR="00B43D1C" w:rsidRPr="003E7154" w:rsidRDefault="00EF3100" w:rsidP="003E7154">
      <w:pPr>
        <w:pStyle w:val="Verzeichnis1"/>
        <w:ind w:left="1710" w:hanging="1440"/>
        <w:rPr>
          <w:rStyle w:val="Hyperlink"/>
          <w:b w:val="0"/>
          <w:color w:val="auto"/>
          <w:sz w:val="24"/>
          <w:szCs w:val="24"/>
          <w:u w:val="none"/>
          <w:lang w:val="en-GB"/>
        </w:rPr>
      </w:pPr>
      <w:r w:rsidRPr="003E7154">
        <w:rPr>
          <w:rStyle w:val="Hyperlink"/>
          <w:color w:val="auto"/>
          <w:sz w:val="24"/>
          <w:szCs w:val="24"/>
          <w:u w:val="none"/>
          <w:lang w:val="en-GB"/>
        </w:rPr>
        <w:t>Appendix 1</w:t>
      </w:r>
      <w:r w:rsidRPr="003E7154">
        <w:rPr>
          <w:rStyle w:val="Hyperlink"/>
          <w:b w:val="0"/>
          <w:color w:val="auto"/>
          <w:sz w:val="24"/>
          <w:szCs w:val="24"/>
          <w:u w:val="none"/>
          <w:lang w:val="en-GB"/>
        </w:rPr>
        <w:t xml:space="preserve"> – Letters dated 28 March and 16 May 2013 from the Kazakhstan’s state Agency on Religious Affairs (CRA)</w:t>
      </w:r>
    </w:p>
    <w:p w:rsidR="00B43D1C" w:rsidRPr="003E7154" w:rsidRDefault="00EF3100" w:rsidP="003E7154">
      <w:pPr>
        <w:pStyle w:val="Verzeichnis1"/>
        <w:ind w:left="1710" w:hanging="1440"/>
        <w:rPr>
          <w:rStyle w:val="Hyperlink"/>
          <w:color w:val="auto"/>
          <w:sz w:val="24"/>
          <w:szCs w:val="24"/>
          <w:u w:val="none"/>
          <w:lang w:val="en-GB"/>
        </w:rPr>
      </w:pPr>
      <w:r w:rsidRPr="003E7154">
        <w:rPr>
          <w:rStyle w:val="Hyperlink"/>
          <w:color w:val="auto"/>
          <w:sz w:val="24"/>
          <w:szCs w:val="24"/>
          <w:u w:val="none"/>
          <w:lang w:val="en-GB"/>
        </w:rPr>
        <w:t xml:space="preserve">Appendix 2 - </w:t>
      </w:r>
      <w:r w:rsidRPr="003E7154">
        <w:rPr>
          <w:rStyle w:val="Hyperlink"/>
          <w:b w:val="0"/>
          <w:color w:val="auto"/>
          <w:sz w:val="24"/>
          <w:szCs w:val="24"/>
          <w:u w:val="none"/>
          <w:lang w:val="en-GB"/>
        </w:rPr>
        <w:t xml:space="preserve">Observations of the Republic of Kazakhstan on the complaint of </w:t>
      </w:r>
      <w:r w:rsidRPr="003E7154">
        <w:rPr>
          <w:rStyle w:val="Hyperlink"/>
          <w:b w:val="0"/>
          <w:i/>
          <w:color w:val="auto"/>
          <w:sz w:val="24"/>
          <w:szCs w:val="24"/>
          <w:u w:val="none"/>
          <w:lang w:val="en-GB"/>
        </w:rPr>
        <w:t>Yury Toporov v. Kazakhstan</w:t>
      </w:r>
      <w:r w:rsidRPr="003E7154">
        <w:rPr>
          <w:rStyle w:val="Hyperlink"/>
          <w:b w:val="0"/>
          <w:color w:val="auto"/>
          <w:sz w:val="24"/>
          <w:szCs w:val="24"/>
          <w:u w:val="none"/>
          <w:lang w:val="en-GB"/>
        </w:rPr>
        <w:t xml:space="preserve"> - 2504/2014</w:t>
      </w:r>
    </w:p>
    <w:p w:rsidR="00B43D1C" w:rsidRPr="003E7154" w:rsidRDefault="00EF3100" w:rsidP="003E7154">
      <w:pPr>
        <w:pStyle w:val="Verzeichnis1"/>
        <w:ind w:left="1710" w:hanging="1440"/>
        <w:rPr>
          <w:rStyle w:val="Hyperlink"/>
          <w:color w:val="auto"/>
          <w:sz w:val="24"/>
          <w:szCs w:val="24"/>
          <w:u w:val="none"/>
          <w:lang w:val="en-GB"/>
        </w:rPr>
      </w:pPr>
      <w:r w:rsidRPr="003E7154">
        <w:rPr>
          <w:rStyle w:val="Hyperlink"/>
          <w:color w:val="auto"/>
          <w:sz w:val="24"/>
          <w:szCs w:val="24"/>
          <w:u w:val="none"/>
          <w:lang w:val="en-GB"/>
        </w:rPr>
        <w:t xml:space="preserve">Appendix 3 – </w:t>
      </w:r>
      <w:r>
        <w:rPr>
          <w:rStyle w:val="Hyperlink"/>
          <w:b w:val="0"/>
          <w:color w:val="auto"/>
          <w:sz w:val="24"/>
          <w:szCs w:val="24"/>
          <w:u w:val="none"/>
          <w:lang w:val="en-GB"/>
        </w:rPr>
        <w:t>Replies to the o</w:t>
      </w:r>
      <w:r w:rsidRPr="003E7154">
        <w:rPr>
          <w:rStyle w:val="Hyperlink"/>
          <w:b w:val="0"/>
          <w:color w:val="auto"/>
          <w:sz w:val="24"/>
          <w:szCs w:val="24"/>
          <w:u w:val="none"/>
          <w:lang w:val="en-GB"/>
        </w:rPr>
        <w:t xml:space="preserve">bservations of the Republic of Kazakhstan on the complaint of </w:t>
      </w:r>
      <w:r w:rsidRPr="003E7154">
        <w:rPr>
          <w:rStyle w:val="Hyperlink"/>
          <w:b w:val="0"/>
          <w:i/>
          <w:color w:val="auto"/>
          <w:sz w:val="24"/>
          <w:szCs w:val="24"/>
          <w:u w:val="none"/>
          <w:lang w:val="en-GB"/>
        </w:rPr>
        <w:t>Yury Toporov v. Kazakhstan</w:t>
      </w:r>
      <w:r w:rsidRPr="003E7154">
        <w:rPr>
          <w:rStyle w:val="Hyperlink"/>
          <w:b w:val="0"/>
          <w:color w:val="auto"/>
          <w:sz w:val="24"/>
          <w:szCs w:val="24"/>
          <w:u w:val="none"/>
          <w:lang w:val="en-GB"/>
        </w:rPr>
        <w:t xml:space="preserve"> - 2504/2014</w:t>
      </w:r>
    </w:p>
    <w:p w:rsidR="00B43D1C" w:rsidRPr="003E7154" w:rsidRDefault="00EF3100" w:rsidP="003E7154">
      <w:pPr>
        <w:pStyle w:val="Verzeichnis1"/>
        <w:ind w:left="1710" w:hanging="1440"/>
        <w:rPr>
          <w:rStyle w:val="Hyperlink"/>
          <w:color w:val="auto"/>
          <w:u w:val="none"/>
          <w:lang w:val="en-GB"/>
        </w:rPr>
      </w:pPr>
      <w:r w:rsidRPr="003E7154">
        <w:rPr>
          <w:rStyle w:val="Hyperlink"/>
          <w:color w:val="auto"/>
          <w:sz w:val="24"/>
          <w:szCs w:val="24"/>
          <w:u w:val="none"/>
          <w:lang w:val="en-GB"/>
        </w:rPr>
        <w:t xml:space="preserve">Appendix 4 – </w:t>
      </w:r>
      <w:r w:rsidRPr="003E7154">
        <w:rPr>
          <w:rStyle w:val="Hyperlink"/>
          <w:b w:val="0"/>
          <w:color w:val="auto"/>
          <w:sz w:val="24"/>
          <w:szCs w:val="24"/>
          <w:u w:val="none"/>
          <w:lang w:val="en-GB"/>
        </w:rPr>
        <w:t>Questionnaire was distributed in the Eastern Kazakhstan region</w:t>
      </w:r>
    </w:p>
    <w:p w:rsidR="00B43D1C" w:rsidRPr="00B43D1C" w:rsidRDefault="00420D51" w:rsidP="007B79C3">
      <w:pPr>
        <w:pStyle w:val="Corps"/>
        <w:spacing w:after="0"/>
        <w:ind w:right="812"/>
        <w:jc w:val="both"/>
        <w:rPr>
          <w:rFonts w:ascii="Times New Roman" w:hAnsi="Times New Roman" w:cs="Times New Roman"/>
          <w:b/>
          <w:bCs/>
          <w:sz w:val="24"/>
          <w:szCs w:val="24"/>
          <w:u w:val="single"/>
          <w:lang w:val="en-GB"/>
        </w:rPr>
      </w:pPr>
    </w:p>
    <w:p w:rsidR="00A162DD" w:rsidRPr="00B43D1C" w:rsidRDefault="00420D51">
      <w:pPr>
        <w:pStyle w:val="Corps"/>
        <w:jc w:val="both"/>
        <w:rPr>
          <w:rFonts w:ascii="Times New Roman" w:eastAsia="Times New Roman" w:hAnsi="Times New Roman" w:cs="Times New Roman"/>
          <w:sz w:val="24"/>
          <w:szCs w:val="24"/>
          <w:lang w:val="en-GB"/>
        </w:rPr>
      </w:pPr>
    </w:p>
    <w:p w:rsidR="00A162DD" w:rsidRPr="00B43D1C" w:rsidRDefault="00420D51">
      <w:pPr>
        <w:pStyle w:val="Corps"/>
        <w:rPr>
          <w:rFonts w:ascii="Times New Roman" w:hAnsi="Times New Roman" w:cs="Times New Roman"/>
          <w:sz w:val="24"/>
          <w:szCs w:val="24"/>
          <w:lang w:val="en-GB"/>
        </w:rPr>
        <w:sectPr w:rsidR="00A162DD" w:rsidRPr="00B43D1C" w:rsidSect="005F589B">
          <w:headerReference w:type="default" r:id="rId14"/>
          <w:footerReference w:type="default" r:id="rId15"/>
          <w:headerReference w:type="first" r:id="rId16"/>
          <w:footerReference w:type="first" r:id="rId17"/>
          <w:pgSz w:w="11900" w:h="16840"/>
          <w:pgMar w:top="1134" w:right="1100" w:bottom="1134" w:left="1134" w:header="0" w:footer="0" w:gutter="0"/>
          <w:cols w:space="720"/>
          <w:titlePg/>
        </w:sectPr>
      </w:pPr>
    </w:p>
    <w:tbl>
      <w:tblPr>
        <w:tblW w:w="935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6"/>
      </w:tblGrid>
      <w:tr w:rsidR="00D75070" w:rsidTr="005F589B">
        <w:trPr>
          <w:trHeight w:val="9692"/>
          <w:jc w:val="center"/>
        </w:trPr>
        <w:tc>
          <w:tcPr>
            <w:tcW w:w="9356" w:type="dxa"/>
            <w:tcBorders>
              <w:top w:val="single" w:sz="8" w:space="0" w:color="7BA0CD"/>
              <w:left w:val="single" w:sz="8" w:space="0" w:color="7BA0CD"/>
              <w:bottom w:val="single" w:sz="8" w:space="0" w:color="7BA0CD"/>
              <w:right w:val="single" w:sz="8" w:space="0" w:color="7BA0CD"/>
            </w:tcBorders>
            <w:shd w:val="clear" w:color="auto" w:fill="D3DFEE"/>
            <w:tcMar>
              <w:top w:w="80" w:type="dxa"/>
              <w:left w:w="477" w:type="dxa"/>
              <w:bottom w:w="80" w:type="dxa"/>
              <w:right w:w="80" w:type="dxa"/>
            </w:tcMar>
          </w:tcPr>
          <w:p w:rsidR="00A162DD" w:rsidRPr="00B43D1C" w:rsidRDefault="00EF3100">
            <w:pPr>
              <w:pStyle w:val="En-tte"/>
              <w:spacing w:before="360"/>
              <w:jc w:val="center"/>
              <w:rPr>
                <w:rFonts w:ascii="Times New Roman" w:eastAsia="Times New Roman" w:hAnsi="Times New Roman" w:cs="Times New Roman"/>
                <w:b w:val="0"/>
                <w:bCs w:val="0"/>
                <w:color w:val="000000"/>
                <w:sz w:val="24"/>
                <w:szCs w:val="24"/>
                <w:u w:color="000000"/>
                <w:lang w:val="en-GB"/>
              </w:rPr>
            </w:pPr>
            <w:r w:rsidRPr="00B43D1C">
              <w:rPr>
                <w:rFonts w:ascii="Times New Roman" w:hAnsi="Times New Roman" w:cs="Times New Roman"/>
                <w:b w:val="0"/>
                <w:bCs w:val="0"/>
                <w:color w:val="000000"/>
                <w:sz w:val="24"/>
                <w:szCs w:val="24"/>
                <w:u w:color="000000"/>
                <w:lang w:val="en-GB"/>
              </w:rPr>
              <w:lastRenderedPageBreak/>
              <w:t>SUMMARY OF THE SUBMISSION</w:t>
            </w:r>
          </w:p>
          <w:p w:rsidR="00A162DD" w:rsidRPr="00B43D1C" w:rsidRDefault="00EF3100" w:rsidP="00E23FD1">
            <w:pPr>
              <w:topLinePunct/>
              <w:spacing w:after="240"/>
              <w:ind w:right="213"/>
              <w:jc w:val="both"/>
              <w:rPr>
                <w:rFonts w:eastAsia="Malgun Gothic"/>
                <w:bCs/>
                <w:kern w:val="2"/>
                <w:lang w:val="en-GB"/>
              </w:rPr>
            </w:pPr>
            <w:r w:rsidRPr="00B43D1C">
              <w:rPr>
                <w:rFonts w:eastAsia="Malgun Gothic"/>
                <w:bCs/>
                <w:kern w:val="2"/>
                <w:lang w:val="en-GB"/>
              </w:rPr>
              <w:t xml:space="preserve">This submission to the Human Rights Committee (CCPR) on the Republic of Kazakhstan highlights violations of the provisions of the International Covenant on Civil and Political Rights (“ICCPR”) prior to the adoption of the </w:t>
            </w:r>
            <w:r w:rsidRPr="00B43D1C">
              <w:rPr>
                <w:rFonts w:eastAsia="Malgun Gothic"/>
                <w:bCs/>
                <w:i/>
                <w:kern w:val="2"/>
                <w:lang w:val="en-GB"/>
              </w:rPr>
              <w:t xml:space="preserve">List of </w:t>
            </w:r>
            <w:r>
              <w:rPr>
                <w:rFonts w:eastAsia="Malgun Gothic"/>
                <w:bCs/>
                <w:i/>
                <w:kern w:val="2"/>
                <w:lang w:val="en-GB"/>
              </w:rPr>
              <w:t>I</w:t>
            </w:r>
            <w:r w:rsidRPr="00B43D1C">
              <w:rPr>
                <w:rFonts w:eastAsia="Malgun Gothic"/>
                <w:bCs/>
                <w:i/>
                <w:kern w:val="2"/>
                <w:lang w:val="en-GB"/>
              </w:rPr>
              <w:t>ssues</w:t>
            </w:r>
            <w:r w:rsidRPr="00B43D1C">
              <w:rPr>
                <w:rFonts w:eastAsia="Malgun Gothic"/>
                <w:bCs/>
                <w:kern w:val="2"/>
                <w:lang w:val="en-GB"/>
              </w:rPr>
              <w:t xml:space="preserve"> to be taken up in connection with the consideration of the second periodic report of the Republic of Kazakhstan (CCPR/C/KAZ/2).</w:t>
            </w:r>
          </w:p>
          <w:p w:rsidR="00A162DD" w:rsidRPr="00B43D1C" w:rsidRDefault="00EF3100" w:rsidP="00E23FD1">
            <w:pPr>
              <w:topLinePunct/>
              <w:spacing w:after="240"/>
              <w:ind w:right="213"/>
              <w:jc w:val="both"/>
              <w:rPr>
                <w:rFonts w:eastAsia="Malgun Gothic"/>
                <w:bCs/>
                <w:kern w:val="2"/>
                <w:lang w:val="en-GB"/>
              </w:rPr>
            </w:pPr>
            <w:r w:rsidRPr="00B43D1C">
              <w:rPr>
                <w:rFonts w:eastAsia="Malgun Gothic"/>
                <w:bCs/>
                <w:kern w:val="2"/>
                <w:lang w:val="en-GB"/>
              </w:rPr>
              <w:t>As described below, serious issues of concern persist. Jehovah’s Witnesses in Kazakhstan, and as a worldwide organization, respectfully request the government of Kazakhstan to:</w:t>
            </w:r>
          </w:p>
          <w:p w:rsidR="00BC0775" w:rsidRPr="00BC0775" w:rsidRDefault="00EF3100" w:rsidP="00BC0775">
            <w:pPr>
              <w:pStyle w:val="Listenabsatz"/>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 xml:space="preserve">Discontinue the censorship exercised through the requirement </w:t>
            </w:r>
            <w:r>
              <w:rPr>
                <w:rFonts w:ascii="Times New Roman" w:eastAsia="Malgun Gothic" w:hAnsi="Times New Roman" w:cs="Times New Roman"/>
                <w:bCs/>
                <w:color w:val="auto"/>
                <w:kern w:val="2"/>
                <w:sz w:val="24"/>
                <w:szCs w:val="24"/>
                <w:lang w:val="en-GB" w:eastAsia="en-US"/>
              </w:rPr>
              <w:t xml:space="preserve">that </w:t>
            </w:r>
            <w:r w:rsidRPr="00B43D1C">
              <w:rPr>
                <w:rFonts w:ascii="Times New Roman" w:eastAsia="Malgun Gothic" w:hAnsi="Times New Roman" w:cs="Times New Roman"/>
                <w:bCs/>
                <w:color w:val="auto"/>
                <w:kern w:val="2"/>
                <w:sz w:val="24"/>
                <w:szCs w:val="24"/>
                <w:lang w:val="en-GB" w:eastAsia="en-US"/>
              </w:rPr>
              <w:t xml:space="preserve">their religious literature </w:t>
            </w:r>
            <w:r>
              <w:rPr>
                <w:rFonts w:ascii="Times New Roman" w:eastAsia="Malgun Gothic" w:hAnsi="Times New Roman" w:cs="Times New Roman"/>
                <w:bCs/>
                <w:color w:val="auto"/>
                <w:kern w:val="2"/>
                <w:sz w:val="24"/>
                <w:szCs w:val="24"/>
                <w:lang w:val="en-GB" w:eastAsia="en-US"/>
              </w:rPr>
              <w:t xml:space="preserve">must first </w:t>
            </w:r>
            <w:r w:rsidRPr="00B43D1C">
              <w:rPr>
                <w:rFonts w:ascii="Times New Roman" w:eastAsia="Malgun Gothic" w:hAnsi="Times New Roman" w:cs="Times New Roman"/>
                <w:bCs/>
                <w:color w:val="auto"/>
                <w:kern w:val="2"/>
                <w:sz w:val="24"/>
                <w:szCs w:val="24"/>
                <w:lang w:val="en-GB" w:eastAsia="en-US"/>
              </w:rPr>
              <w:t>be approved by a religious expert before it can be used or imported in Kazakhstan;</w:t>
            </w:r>
          </w:p>
          <w:p w:rsidR="00A162DD" w:rsidRPr="00B43D1C" w:rsidRDefault="00EF3100" w:rsidP="00BC0775">
            <w:pPr>
              <w:pStyle w:val="Listenabsatz"/>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 xml:space="preserve">Allow the free distribution of religious literature in </w:t>
            </w:r>
            <w:r>
              <w:rPr>
                <w:rFonts w:ascii="Times New Roman" w:eastAsia="Malgun Gothic" w:hAnsi="Times New Roman" w:cs="Times New Roman"/>
                <w:bCs/>
                <w:color w:val="auto"/>
                <w:kern w:val="2"/>
                <w:sz w:val="24"/>
                <w:szCs w:val="24"/>
                <w:lang w:val="en-GB" w:eastAsia="en-US"/>
              </w:rPr>
              <w:t>locations</w:t>
            </w:r>
            <w:r w:rsidRPr="00B43D1C">
              <w:rPr>
                <w:rFonts w:ascii="Times New Roman" w:eastAsia="Malgun Gothic" w:hAnsi="Times New Roman" w:cs="Times New Roman"/>
                <w:bCs/>
                <w:color w:val="auto"/>
                <w:kern w:val="2"/>
                <w:sz w:val="24"/>
                <w:szCs w:val="24"/>
                <w:lang w:val="en-GB" w:eastAsia="en-US"/>
              </w:rPr>
              <w:t xml:space="preserve"> other than places of worship and places authorized by the local authorities</w:t>
            </w:r>
            <w:r>
              <w:rPr>
                <w:rFonts w:ascii="Times New Roman" w:eastAsia="Malgun Gothic" w:hAnsi="Times New Roman" w:cs="Times New Roman"/>
                <w:bCs/>
                <w:color w:val="auto"/>
                <w:kern w:val="2"/>
                <w:sz w:val="24"/>
                <w:szCs w:val="24"/>
                <w:lang w:val="en-GB" w:eastAsia="en-US"/>
              </w:rPr>
              <w:t>;</w:t>
            </w:r>
          </w:p>
          <w:p w:rsidR="00A162DD" w:rsidRPr="00B43D1C" w:rsidRDefault="00EF3100" w:rsidP="00BC0775">
            <w:pPr>
              <w:pStyle w:val="Listenabsatz"/>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Stop the arrest, prosecution, deportation</w:t>
            </w:r>
            <w:r>
              <w:rPr>
                <w:rFonts w:ascii="Times New Roman" w:eastAsia="Malgun Gothic" w:hAnsi="Times New Roman" w:cs="Times New Roman"/>
                <w:bCs/>
                <w:color w:val="auto"/>
                <w:kern w:val="2"/>
                <w:sz w:val="24"/>
                <w:szCs w:val="24"/>
                <w:lang w:val="en-GB" w:eastAsia="en-US"/>
              </w:rPr>
              <w:t>,</w:t>
            </w:r>
            <w:r w:rsidRPr="00B43D1C">
              <w:rPr>
                <w:rFonts w:ascii="Times New Roman" w:eastAsia="Malgun Gothic" w:hAnsi="Times New Roman" w:cs="Times New Roman"/>
                <w:bCs/>
                <w:color w:val="auto"/>
                <w:kern w:val="2"/>
                <w:sz w:val="24"/>
                <w:szCs w:val="24"/>
                <w:lang w:val="en-GB" w:eastAsia="en-US"/>
              </w:rPr>
              <w:t xml:space="preserve"> and harassment of Jehovah’s Witnesses for so-called unregistered “missionary activity”;</w:t>
            </w:r>
          </w:p>
          <w:p w:rsidR="00A162DD" w:rsidRPr="00B43D1C" w:rsidRDefault="00EF3100" w:rsidP="00BC0775">
            <w:pPr>
              <w:pStyle w:val="Listenabsatz"/>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Annul the measure of deportation that ha</w:t>
            </w:r>
            <w:r>
              <w:rPr>
                <w:rFonts w:ascii="Times New Roman" w:eastAsia="Malgun Gothic" w:hAnsi="Times New Roman" w:cs="Times New Roman"/>
                <w:bCs/>
                <w:color w:val="auto"/>
                <w:kern w:val="2"/>
                <w:sz w:val="24"/>
                <w:szCs w:val="24"/>
                <w:lang w:val="en-GB" w:eastAsia="en-US"/>
              </w:rPr>
              <w:t>s</w:t>
            </w:r>
            <w:r w:rsidRPr="00B43D1C">
              <w:rPr>
                <w:rFonts w:ascii="Times New Roman" w:eastAsia="Malgun Gothic" w:hAnsi="Times New Roman" w:cs="Times New Roman"/>
                <w:bCs/>
                <w:color w:val="auto"/>
                <w:kern w:val="2"/>
                <w:sz w:val="24"/>
                <w:szCs w:val="24"/>
                <w:lang w:val="en-GB" w:eastAsia="en-US"/>
              </w:rPr>
              <w:t xml:space="preserve"> been applied to foreign</w:t>
            </w:r>
            <w:r>
              <w:rPr>
                <w:rFonts w:ascii="Times New Roman" w:eastAsia="Malgun Gothic" w:hAnsi="Times New Roman" w:cs="Times New Roman"/>
                <w:bCs/>
                <w:color w:val="auto"/>
                <w:kern w:val="2"/>
                <w:sz w:val="24"/>
                <w:szCs w:val="24"/>
                <w:lang w:val="en-GB" w:eastAsia="en-US"/>
              </w:rPr>
              <w:t>-</w:t>
            </w:r>
            <w:r w:rsidRPr="00B43D1C">
              <w:rPr>
                <w:rFonts w:ascii="Times New Roman" w:eastAsia="Malgun Gothic" w:hAnsi="Times New Roman" w:cs="Times New Roman"/>
                <w:bCs/>
                <w:color w:val="auto"/>
                <w:kern w:val="2"/>
                <w:sz w:val="24"/>
                <w:szCs w:val="24"/>
                <w:lang w:val="en-GB" w:eastAsia="en-US"/>
              </w:rPr>
              <w:t>citizen Jehovah’s Witnesses for unregistered “missionary activity”;</w:t>
            </w:r>
          </w:p>
          <w:p w:rsidR="00A162DD" w:rsidRPr="00B43D1C" w:rsidRDefault="00EF3100" w:rsidP="00BC0775">
            <w:pPr>
              <w:pStyle w:val="Listenabsatz"/>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Stop the intimidation and the police raids conducted against peaceful gatherings of Jehovah’s Witnesses;</w:t>
            </w:r>
          </w:p>
          <w:p w:rsidR="00C14B63" w:rsidRPr="00B43D1C" w:rsidRDefault="00EF3100" w:rsidP="00BC0775">
            <w:pPr>
              <w:pStyle w:val="Listenabsatz"/>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 xml:space="preserve">Encourage officials to avoid </w:t>
            </w:r>
            <w:r>
              <w:rPr>
                <w:rFonts w:ascii="Times New Roman" w:eastAsia="Malgun Gothic" w:hAnsi="Times New Roman" w:cs="Times New Roman"/>
                <w:bCs/>
                <w:color w:val="auto"/>
                <w:kern w:val="2"/>
                <w:sz w:val="24"/>
                <w:szCs w:val="24"/>
                <w:lang w:val="en-GB" w:eastAsia="en-US"/>
              </w:rPr>
              <w:t>making</w:t>
            </w:r>
            <w:r w:rsidRPr="00B43D1C">
              <w:rPr>
                <w:rFonts w:ascii="Times New Roman" w:eastAsia="Malgun Gothic" w:hAnsi="Times New Roman" w:cs="Times New Roman"/>
                <w:bCs/>
                <w:color w:val="auto"/>
                <w:kern w:val="2"/>
                <w:sz w:val="24"/>
                <w:szCs w:val="24"/>
                <w:lang w:val="en-GB" w:eastAsia="en-US"/>
              </w:rPr>
              <w:t xml:space="preserve"> disparaging and discriminatory comments presenting Jehovah’s Witnesses in a negative light</w:t>
            </w:r>
            <w:r>
              <w:rPr>
                <w:rFonts w:ascii="Times New Roman" w:eastAsia="Malgun Gothic" w:hAnsi="Times New Roman" w:cs="Times New Roman"/>
                <w:bCs/>
                <w:color w:val="auto"/>
                <w:kern w:val="2"/>
                <w:sz w:val="24"/>
                <w:szCs w:val="24"/>
                <w:lang w:val="en-GB" w:eastAsia="en-US"/>
              </w:rPr>
              <w:t>;</w:t>
            </w:r>
          </w:p>
          <w:p w:rsidR="00A162DD" w:rsidRPr="00B43D1C" w:rsidRDefault="00EF3100" w:rsidP="00BC0775">
            <w:pPr>
              <w:pStyle w:val="Listenabsatz"/>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Abide by the recommendations contained in the 31 January 2014 join</w:t>
            </w:r>
            <w:r>
              <w:rPr>
                <w:rFonts w:ascii="Times New Roman" w:eastAsia="Malgun Gothic" w:hAnsi="Times New Roman" w:cs="Times New Roman"/>
                <w:bCs/>
                <w:color w:val="auto"/>
                <w:kern w:val="2"/>
                <w:sz w:val="24"/>
                <w:szCs w:val="24"/>
                <w:lang w:val="en-GB" w:eastAsia="en-US"/>
              </w:rPr>
              <w:t>t</w:t>
            </w:r>
            <w:r w:rsidRPr="00B43D1C">
              <w:rPr>
                <w:rFonts w:ascii="Times New Roman" w:eastAsia="Malgun Gothic" w:hAnsi="Times New Roman" w:cs="Times New Roman"/>
                <w:bCs/>
                <w:color w:val="auto"/>
                <w:kern w:val="2"/>
                <w:sz w:val="24"/>
                <w:szCs w:val="24"/>
                <w:lang w:val="en-GB" w:eastAsia="en-US"/>
              </w:rPr>
              <w:t xml:space="preserve"> letter issued by five Special Rapporteurs and the Independent Expert on Minority Issues of the United Nations Human Rights Council calling on it to stop the arrests of Jehovah’s Witnesses for “missionary activity”;</w:t>
            </w:r>
          </w:p>
          <w:p w:rsidR="00A162DD" w:rsidRPr="00B43D1C" w:rsidRDefault="00EF3100" w:rsidP="00BC0775">
            <w:pPr>
              <w:pStyle w:val="Listenabsatz"/>
              <w:numPr>
                <w:ilvl w:val="0"/>
                <w:numId w:val="2"/>
              </w:numPr>
              <w:topLinePunct/>
              <w:spacing w:after="240" w:line="240" w:lineRule="auto"/>
              <w:ind w:right="227"/>
              <w:jc w:val="both"/>
              <w:rPr>
                <w:rFonts w:ascii="Times New Roman" w:eastAsia="Times New Roman" w:hAnsi="Times New Roman" w:cs="Times New Roman"/>
                <w:sz w:val="24"/>
                <w:szCs w:val="24"/>
                <w:lang w:val="en-GB"/>
              </w:rPr>
            </w:pPr>
            <w:r w:rsidRPr="00B43D1C">
              <w:rPr>
                <w:rFonts w:ascii="Times New Roman" w:eastAsia="Malgun Gothic" w:hAnsi="Times New Roman" w:cs="Times New Roman"/>
                <w:bCs/>
                <w:color w:val="auto"/>
                <w:kern w:val="2"/>
                <w:sz w:val="24"/>
                <w:szCs w:val="24"/>
                <w:lang w:val="en-GB" w:eastAsia="en-US"/>
              </w:rPr>
              <w:t>Abide by their commitment to uphold the fundamental freedoms guaranteed by the Constitution of Kazakhstan and the ICCPR, for all citizens, including Jehovah’s Witnesses.</w:t>
            </w:r>
          </w:p>
        </w:tc>
      </w:tr>
    </w:tbl>
    <w:p w:rsidR="00E23FD1" w:rsidRPr="00B43D1C" w:rsidRDefault="00420D51">
      <w:pPr>
        <w:pStyle w:val="Corps"/>
        <w:widowControl w:val="0"/>
        <w:spacing w:line="240" w:lineRule="auto"/>
        <w:jc w:val="center"/>
        <w:rPr>
          <w:rFonts w:ascii="Times New Roman" w:eastAsia="Times New Roman" w:hAnsi="Times New Roman" w:cs="Times New Roman"/>
          <w:sz w:val="24"/>
          <w:szCs w:val="24"/>
          <w:lang w:val="en-GB"/>
        </w:rPr>
      </w:pPr>
    </w:p>
    <w:p w:rsidR="00A162DD" w:rsidRPr="00B43D1C" w:rsidRDefault="00EF3100" w:rsidP="0068384F">
      <w:pPr>
        <w:pStyle w:val="Corps"/>
        <w:numPr>
          <w:ilvl w:val="0"/>
          <w:numId w:val="42"/>
        </w:numPr>
        <w:rPr>
          <w:rFonts w:ascii="Times New Roman" w:hAnsi="Times New Roman" w:cs="Times New Roman"/>
          <w:b/>
          <w:sz w:val="24"/>
          <w:szCs w:val="24"/>
          <w:lang w:val="en-GB"/>
        </w:rPr>
      </w:pPr>
      <w:r w:rsidRPr="00B43D1C">
        <w:rPr>
          <w:rFonts w:ascii="Times New Roman" w:eastAsia="Times New Roman" w:hAnsi="Times New Roman" w:cs="Times New Roman"/>
          <w:sz w:val="24"/>
          <w:szCs w:val="24"/>
          <w:lang w:val="en-GB"/>
        </w:rPr>
        <w:br w:type="column"/>
      </w:r>
      <w:bookmarkStart w:id="1" w:name="_Toc"/>
      <w:r w:rsidRPr="00B43D1C">
        <w:rPr>
          <w:rFonts w:ascii="Times New Roman" w:hAnsi="Times New Roman" w:cs="Times New Roman"/>
          <w:b/>
          <w:sz w:val="24"/>
          <w:szCs w:val="24"/>
          <w:lang w:val="en-GB"/>
        </w:rPr>
        <w:lastRenderedPageBreak/>
        <w:t>Introduction</w:t>
      </w:r>
      <w:bookmarkEnd w:id="1"/>
    </w:p>
    <w:p w:rsidR="00A162DD" w:rsidRPr="00B43D1C" w:rsidRDefault="00EF3100" w:rsidP="00E23FD1">
      <w:pPr>
        <w:pStyle w:val="Listenabsatz"/>
        <w:numPr>
          <w:ilvl w:val="1"/>
          <w:numId w:val="5"/>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 European Association of Jehovah’s Christian Witnesses (EAJCW) is a charity registered in the United Kingdom. It assist</w:t>
      </w:r>
      <w:r>
        <w:rPr>
          <w:rFonts w:ascii="Times New Roman" w:eastAsia="Times New Roman" w:hAnsi="Times New Roman" w:cs="Times New Roman"/>
          <w:color w:val="auto"/>
          <w:sz w:val="24"/>
          <w:szCs w:val="24"/>
          <w:lang w:val="en-GB" w:eastAsia="en-US"/>
        </w:rPr>
        <w:t xml:space="preserve">s </w:t>
      </w:r>
      <w:r w:rsidRPr="00B43D1C">
        <w:rPr>
          <w:rFonts w:ascii="Times New Roman" w:eastAsia="Times New Roman" w:hAnsi="Times New Roman" w:cs="Times New Roman"/>
          <w:color w:val="auto"/>
          <w:sz w:val="24"/>
          <w:szCs w:val="24"/>
          <w:lang w:val="en-GB" w:eastAsia="en-US"/>
        </w:rPr>
        <w:t>the adherents of the faith of Jehovah’s Witnesses in various areas of the world.</w:t>
      </w:r>
    </w:p>
    <w:p w:rsidR="00A162DD" w:rsidRPr="00B43D1C" w:rsidRDefault="00EF3100" w:rsidP="00E23FD1">
      <w:pPr>
        <w:pStyle w:val="Listenabsatz"/>
        <w:numPr>
          <w:ilvl w:val="1"/>
          <w:numId w:val="5"/>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 Christian community of Jehovah’s Witnesses has been present in Kazakhstan since the early 1940s. After the fall of the Soviet regime, Jehovah’s Witnesses were first registered in 1992. They renewed their registration in January 2013 pursuant to the new Religion law of 2011. For more than 20 years after their first registration, they were able to carry out their worship without serious interference from State officials. They were thankful for being allowed to peacefully attend religious meetings and conventions, and engage in their religious community service without major obstacles.</w:t>
      </w:r>
    </w:p>
    <w:p w:rsidR="00A162DD" w:rsidRPr="00B43D1C" w:rsidRDefault="00EF3100" w:rsidP="00E23FD1">
      <w:pPr>
        <w:pStyle w:val="Listenabsatz"/>
        <w:numPr>
          <w:ilvl w:val="1"/>
          <w:numId w:val="5"/>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However, on 11 October 2011 Kazakhstan adopted the law “On Religious Activity and Religious Associations” (2011 Religion law) which has introduced severe restrictions on religious freedom. The law imposes inter alia:</w:t>
      </w:r>
    </w:p>
    <w:p w:rsidR="00A162DD" w:rsidRPr="00B43D1C" w:rsidRDefault="00EF3100" w:rsidP="00E23FD1">
      <w:pPr>
        <w:pStyle w:val="Listenabsatz"/>
        <w:numPr>
          <w:ilvl w:val="0"/>
          <w:numId w:val="8"/>
        </w:numPr>
        <w:tabs>
          <w:tab w:val="clear" w:pos="720"/>
        </w:tabs>
        <w:spacing w:after="120" w:line="240" w:lineRule="auto"/>
        <w:ind w:left="1440" w:hanging="330"/>
        <w:jc w:val="both"/>
        <w:rPr>
          <w:rFonts w:ascii="Times New Roman" w:eastAsia="Times New Roman" w:hAnsi="Times New Roman" w:cs="Times New Roman"/>
          <w:sz w:val="24"/>
          <w:szCs w:val="24"/>
          <w:lang w:val="en-GB"/>
        </w:rPr>
      </w:pPr>
      <w:r w:rsidRPr="00B43D1C">
        <w:rPr>
          <w:rFonts w:ascii="Times New Roman" w:hAnsi="Times New Roman" w:cs="Times New Roman"/>
          <w:sz w:val="24"/>
          <w:szCs w:val="24"/>
          <w:lang w:val="en-GB"/>
        </w:rPr>
        <w:t>The requirement that all religious literature must first be approved by a religious expert before it can be used or imported into Kazakhstan.—Articles 6(1) and 9(3).</w:t>
      </w:r>
    </w:p>
    <w:p w:rsidR="00A162DD" w:rsidRPr="00B43D1C" w:rsidRDefault="00EF3100" w:rsidP="00E23FD1">
      <w:pPr>
        <w:pStyle w:val="Listenabsatz"/>
        <w:numPr>
          <w:ilvl w:val="0"/>
          <w:numId w:val="9"/>
        </w:numPr>
        <w:tabs>
          <w:tab w:val="clear" w:pos="720"/>
        </w:tabs>
        <w:spacing w:after="120" w:line="240" w:lineRule="auto"/>
        <w:ind w:left="1440" w:hanging="330"/>
        <w:jc w:val="both"/>
        <w:rPr>
          <w:rFonts w:ascii="Times New Roman" w:eastAsia="Times New Roman" w:hAnsi="Times New Roman" w:cs="Times New Roman"/>
          <w:sz w:val="24"/>
          <w:szCs w:val="24"/>
          <w:lang w:val="en-GB"/>
        </w:rPr>
      </w:pPr>
      <w:r w:rsidRPr="00B43D1C">
        <w:rPr>
          <w:rFonts w:ascii="Times New Roman" w:hAnsi="Times New Roman" w:cs="Times New Roman"/>
          <w:sz w:val="24"/>
          <w:szCs w:val="24"/>
          <w:lang w:val="en-GB"/>
        </w:rPr>
        <w:t>A ban on the public distribution of religious literature outside places of worship and other places authorized by the local authorities, even if the literature has passed religious expert study.—Article 9(2)</w:t>
      </w:r>
      <w:r>
        <w:rPr>
          <w:rFonts w:ascii="Times New Roman" w:hAnsi="Times New Roman" w:cs="Times New Roman"/>
          <w:sz w:val="24"/>
          <w:szCs w:val="24"/>
          <w:lang w:val="en-GB"/>
        </w:rPr>
        <w:t>.</w:t>
      </w:r>
    </w:p>
    <w:p w:rsidR="00A162DD" w:rsidRPr="00B43D1C" w:rsidRDefault="00EF3100" w:rsidP="00E23FD1">
      <w:pPr>
        <w:pStyle w:val="Listenabsatz"/>
        <w:numPr>
          <w:ilvl w:val="0"/>
          <w:numId w:val="10"/>
        </w:numPr>
        <w:tabs>
          <w:tab w:val="clear" w:pos="720"/>
        </w:tabs>
        <w:spacing w:after="120" w:line="240" w:lineRule="auto"/>
        <w:ind w:left="1440" w:hanging="330"/>
        <w:jc w:val="both"/>
        <w:rPr>
          <w:rFonts w:ascii="Times New Roman" w:eastAsia="Times New Roman" w:hAnsi="Times New Roman" w:cs="Times New Roman"/>
          <w:sz w:val="24"/>
          <w:szCs w:val="24"/>
          <w:lang w:val="en-GB"/>
        </w:rPr>
      </w:pPr>
      <w:r w:rsidRPr="00B43D1C">
        <w:rPr>
          <w:rFonts w:ascii="Times New Roman" w:hAnsi="Times New Roman" w:cs="Times New Roman"/>
          <w:sz w:val="24"/>
          <w:szCs w:val="24"/>
          <w:lang w:val="en-GB"/>
        </w:rPr>
        <w:t>The prohibition on so-called unregistered “missionary activity” both for foreigners as well as for Kazakh citizens</w:t>
      </w:r>
      <w:r>
        <w:rPr>
          <w:rFonts w:ascii="Times New Roman" w:hAnsi="Times New Roman" w:cs="Times New Roman"/>
          <w:sz w:val="24"/>
          <w:szCs w:val="24"/>
          <w:lang w:val="en-GB"/>
        </w:rPr>
        <w:t>.</w:t>
      </w:r>
      <w:r w:rsidRPr="00B43D1C">
        <w:rPr>
          <w:rFonts w:ascii="Times New Roman" w:hAnsi="Times New Roman" w:cs="Times New Roman"/>
          <w:sz w:val="24"/>
          <w:szCs w:val="24"/>
          <w:lang w:val="en-GB"/>
        </w:rPr>
        <w:t>—Articles 1(5) and 8(1).</w:t>
      </w:r>
    </w:p>
    <w:p w:rsidR="00A162DD" w:rsidRPr="00B43D1C" w:rsidRDefault="00EF3100" w:rsidP="00E23FD1">
      <w:pPr>
        <w:pStyle w:val="Listenabsatz"/>
        <w:numPr>
          <w:ilvl w:val="1"/>
          <w:numId w:val="5"/>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 2011 Religion Law, as applied, has served as a means for government officials to significantly restrict and violate human rights provisions guaranteed by both the Constitution of the Republic of Kazakhstan and the International Covenant on Civil and Political Rights (ICCPR).</w:t>
      </w:r>
    </w:p>
    <w:p w:rsidR="00A162DD" w:rsidRPr="00B43D1C" w:rsidRDefault="00EF3100" w:rsidP="00E23FD1">
      <w:pPr>
        <w:pStyle w:val="Listenabsatz"/>
        <w:numPr>
          <w:ilvl w:val="1"/>
          <w:numId w:val="5"/>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Article 375 § 3 of the Code of Administrative Offences of Kazakhstan (CAO) or Article 490 (3) of the new CAO since 2015 punishes unregistered “missionary activity” by a fine of up to “one hundred times the monthly calculation index” (fine of 185,200 tenge (EUR 760) or 198,200 tenge (EUR 994</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since 2015). For foreign citizens, unregistered “missionary activity” is punishable by a fine and deportation.</w:t>
      </w:r>
    </w:p>
    <w:p w:rsidR="0078750C" w:rsidRPr="00B43D1C" w:rsidRDefault="00EF3100" w:rsidP="0078750C">
      <w:pPr>
        <w:pStyle w:val="Listenabsatz"/>
        <w:numPr>
          <w:ilvl w:val="1"/>
          <w:numId w:val="5"/>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This submission focuses on the blatant violations of the rights protected under articles 12, 13, 18, 19, 21, 26</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and 27 of the ICCPR.</w:t>
      </w:r>
    </w:p>
    <w:p w:rsidR="00085712" w:rsidRPr="00B43D1C" w:rsidRDefault="00EF3100" w:rsidP="0068384F">
      <w:pPr>
        <w:pStyle w:val="Corps"/>
        <w:numPr>
          <w:ilvl w:val="0"/>
          <w:numId w:val="42"/>
        </w:numPr>
        <w:rPr>
          <w:rFonts w:ascii="Times New Roman" w:hAnsi="Times New Roman" w:cs="Times New Roman"/>
          <w:b/>
          <w:sz w:val="24"/>
          <w:szCs w:val="24"/>
          <w:lang w:val="en-GB"/>
        </w:rPr>
      </w:pPr>
      <w:bookmarkStart w:id="2" w:name="_Toc1"/>
      <w:r w:rsidRPr="00B43D1C">
        <w:rPr>
          <w:rFonts w:ascii="Times New Roman" w:hAnsi="Times New Roman" w:cs="Times New Roman"/>
          <w:b/>
          <w:sz w:val="24"/>
          <w:szCs w:val="24"/>
          <w:lang w:val="en-GB"/>
        </w:rPr>
        <w:t>Alleged Violations of the International Covenant on Civil and Political Rights (ICCPR – Articles 12, 13, 18, 19, 21, 26</w:t>
      </w:r>
      <w:r>
        <w:rPr>
          <w:rFonts w:ascii="Times New Roman" w:hAnsi="Times New Roman" w:cs="Times New Roman"/>
          <w:b/>
          <w:sz w:val="24"/>
          <w:szCs w:val="24"/>
          <w:lang w:val="en-GB"/>
        </w:rPr>
        <w:t>,</w:t>
      </w:r>
      <w:r w:rsidRPr="00B43D1C">
        <w:rPr>
          <w:rFonts w:ascii="Times New Roman" w:hAnsi="Times New Roman" w:cs="Times New Roman"/>
          <w:b/>
          <w:sz w:val="24"/>
          <w:szCs w:val="24"/>
          <w:lang w:val="en-GB"/>
        </w:rPr>
        <w:t xml:space="preserve"> and 27)</w:t>
      </w:r>
      <w:bookmarkEnd w:id="2"/>
    </w:p>
    <w:p w:rsidR="00A162DD" w:rsidRPr="00B43D1C" w:rsidRDefault="00EF3100" w:rsidP="0068384F">
      <w:pPr>
        <w:pStyle w:val="Corps"/>
        <w:numPr>
          <w:ilvl w:val="1"/>
          <w:numId w:val="42"/>
        </w:numPr>
        <w:ind w:left="990"/>
        <w:rPr>
          <w:rFonts w:ascii="Times New Roman" w:hAnsi="Times New Roman" w:cs="Times New Roman"/>
          <w:b/>
          <w:sz w:val="24"/>
          <w:szCs w:val="24"/>
          <w:lang w:val="en-GB"/>
        </w:rPr>
      </w:pPr>
      <w:r w:rsidRPr="00B43D1C">
        <w:rPr>
          <w:rFonts w:ascii="Times New Roman" w:hAnsi="Times New Roman" w:cs="Times New Roman"/>
          <w:b/>
          <w:sz w:val="24"/>
          <w:szCs w:val="24"/>
          <w:lang w:val="en-GB"/>
        </w:rPr>
        <w:t>Censorship and banning of religious literature (Articles 18, 19, 21</w:t>
      </w:r>
      <w:r>
        <w:rPr>
          <w:rFonts w:ascii="Times New Roman" w:hAnsi="Times New Roman" w:cs="Times New Roman"/>
          <w:b/>
          <w:sz w:val="24"/>
          <w:szCs w:val="24"/>
          <w:lang w:val="en-GB"/>
        </w:rPr>
        <w:t>,</w:t>
      </w:r>
      <w:r w:rsidRPr="00B43D1C">
        <w:rPr>
          <w:rFonts w:ascii="Times New Roman" w:hAnsi="Times New Roman" w:cs="Times New Roman"/>
          <w:b/>
          <w:sz w:val="24"/>
          <w:szCs w:val="24"/>
          <w:lang w:val="en-GB"/>
        </w:rPr>
        <w:t xml:space="preserve"> and 26)</w:t>
      </w:r>
    </w:p>
    <w:p w:rsidR="00A162DD" w:rsidRPr="00B43D1C" w:rsidRDefault="00EF3100" w:rsidP="00085712">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Article 20 (1) of the Kazakhstan Constitution states that “censorship is prohibited.” However, according to Kazakhstan’s 2011 Religion Law, in Articles 6(1) and 9(3), it is illegal to import any literature into Kazakhstan without first obtaining approval of that religious literature by the Committee for Religious affairs (CRA), previously known as Agency for </w:t>
      </w:r>
      <w:r>
        <w:rPr>
          <w:rFonts w:ascii="Times New Roman" w:eastAsia="Times New Roman" w:hAnsi="Times New Roman" w:cs="Times New Roman"/>
          <w:color w:val="auto"/>
          <w:sz w:val="24"/>
          <w:szCs w:val="24"/>
          <w:lang w:val="en-GB" w:eastAsia="en-US"/>
        </w:rPr>
        <w:t>R</w:t>
      </w:r>
      <w:r w:rsidRPr="00B43D1C">
        <w:rPr>
          <w:rFonts w:ascii="Times New Roman" w:eastAsia="Times New Roman" w:hAnsi="Times New Roman" w:cs="Times New Roman"/>
          <w:color w:val="auto"/>
          <w:sz w:val="24"/>
          <w:szCs w:val="24"/>
          <w:lang w:val="en-GB" w:eastAsia="en-US"/>
        </w:rPr>
        <w:t>eligious Affairs (ARA) and sub</w:t>
      </w:r>
      <w:r>
        <w:rPr>
          <w:rFonts w:ascii="Times New Roman" w:eastAsia="Times New Roman" w:hAnsi="Times New Roman" w:cs="Times New Roman"/>
          <w:color w:val="auto"/>
          <w:sz w:val="24"/>
          <w:szCs w:val="24"/>
          <w:lang w:val="en-GB" w:eastAsia="en-US"/>
        </w:rPr>
        <w:t xml:space="preserve">jecting </w:t>
      </w:r>
      <w:r w:rsidRPr="00B43D1C">
        <w:rPr>
          <w:rFonts w:ascii="Times New Roman" w:eastAsia="Times New Roman" w:hAnsi="Times New Roman" w:cs="Times New Roman"/>
          <w:color w:val="auto"/>
          <w:sz w:val="24"/>
          <w:szCs w:val="24"/>
          <w:lang w:val="en-GB" w:eastAsia="en-US"/>
        </w:rPr>
        <w:t xml:space="preserve">it to an “expert study.” The requirement that a religious organization must obtain approval from the CRA on the content of a religious publication before it can be imported for use by the organization members is a violation of the right to freedom of </w:t>
      </w:r>
      <w:r w:rsidRPr="00B43D1C">
        <w:rPr>
          <w:rFonts w:ascii="Times New Roman" w:eastAsia="Times New Roman" w:hAnsi="Times New Roman" w:cs="Times New Roman"/>
          <w:color w:val="auto"/>
          <w:sz w:val="24"/>
          <w:szCs w:val="24"/>
          <w:lang w:val="en-GB" w:eastAsia="en-US"/>
        </w:rPr>
        <w:lastRenderedPageBreak/>
        <w:t>religion and freedom of expression guaranteed by Articles 18 and 19 of the ICCPR as Kazakhstan cannot assess the “legitimacy” of one’s religious beliefs.</w:t>
      </w:r>
    </w:p>
    <w:p w:rsidR="00A162DD" w:rsidRPr="00B43D1C" w:rsidRDefault="00EF3100" w:rsidP="00085712">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For instance, in three decisions dated 31 January 2013 the CRA refused permission to import </w:t>
      </w:r>
      <w:r>
        <w:rPr>
          <w:rFonts w:ascii="Times New Roman" w:eastAsia="Times New Roman" w:hAnsi="Times New Roman" w:cs="Times New Roman"/>
          <w:color w:val="auto"/>
          <w:sz w:val="24"/>
          <w:szCs w:val="24"/>
          <w:lang w:val="en-GB" w:eastAsia="en-US"/>
        </w:rPr>
        <w:t>ten</w:t>
      </w:r>
      <w:r w:rsidRPr="00B43D1C">
        <w:rPr>
          <w:rFonts w:ascii="Times New Roman" w:eastAsia="Times New Roman" w:hAnsi="Times New Roman" w:cs="Times New Roman"/>
          <w:color w:val="auto"/>
          <w:sz w:val="24"/>
          <w:szCs w:val="24"/>
          <w:lang w:val="en-GB" w:eastAsia="en-US"/>
        </w:rPr>
        <w:t xml:space="preserve"> religious publications. The CRA claimed that the publications contained beliefs of Jehovah’s Witnesses that could offend members of other churches and that the publications discouraged secular education and work. In fact, the publications contained no such statements and it is widely known that Jehovah’s Witnesses encourage a balanced view towards education and secular work. On 3 July 2013 the Astana Economic Court rejected an appeal, upholding the CRA’s ban. On 4 September 2014 the Supreme Court of K</w:t>
      </w:r>
      <w:r>
        <w:rPr>
          <w:rFonts w:ascii="Times New Roman" w:eastAsia="Times New Roman" w:hAnsi="Times New Roman" w:cs="Times New Roman"/>
          <w:color w:val="auto"/>
          <w:sz w:val="24"/>
          <w:szCs w:val="24"/>
          <w:lang w:val="en-GB" w:eastAsia="en-US"/>
        </w:rPr>
        <w:t>azakhstan, by a panel of three j</w:t>
      </w:r>
      <w:r w:rsidRPr="00B43D1C">
        <w:rPr>
          <w:rFonts w:ascii="Times New Roman" w:eastAsia="Times New Roman" w:hAnsi="Times New Roman" w:cs="Times New Roman"/>
          <w:color w:val="auto"/>
          <w:sz w:val="24"/>
          <w:szCs w:val="24"/>
          <w:lang w:val="en-GB" w:eastAsia="en-US"/>
        </w:rPr>
        <w:t xml:space="preserve">udges, denied granting a revision hearing by a full Supreme Court Supervisory panel of </w:t>
      </w:r>
      <w:r>
        <w:rPr>
          <w:rFonts w:ascii="Times New Roman" w:eastAsia="Times New Roman" w:hAnsi="Times New Roman" w:cs="Times New Roman"/>
          <w:color w:val="auto"/>
          <w:sz w:val="24"/>
          <w:szCs w:val="24"/>
          <w:lang w:val="en-GB" w:eastAsia="en-US"/>
        </w:rPr>
        <w:t>j</w:t>
      </w:r>
      <w:r w:rsidRPr="00B43D1C">
        <w:rPr>
          <w:rFonts w:ascii="Times New Roman" w:eastAsia="Times New Roman" w:hAnsi="Times New Roman" w:cs="Times New Roman"/>
          <w:color w:val="auto"/>
          <w:sz w:val="24"/>
          <w:szCs w:val="24"/>
          <w:lang w:val="en-GB" w:eastAsia="en-US"/>
        </w:rPr>
        <w:t>udges. On 27 March 2015 an appeal was filed with the UN Human rights Committee.</w:t>
      </w:r>
    </w:p>
    <w:p w:rsidR="00A162DD" w:rsidRPr="00B43D1C" w:rsidRDefault="00EF3100" w:rsidP="00085712">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On 31 December 2013 the CRA refused permission to import the booklet </w:t>
      </w:r>
      <w:r w:rsidRPr="00D0470A">
        <w:rPr>
          <w:rFonts w:ascii="Times New Roman" w:eastAsia="Times New Roman" w:hAnsi="Times New Roman" w:cs="Times New Roman"/>
          <w:i/>
          <w:color w:val="auto"/>
          <w:sz w:val="24"/>
          <w:szCs w:val="24"/>
          <w:lang w:val="en-GB" w:eastAsia="en-US"/>
        </w:rPr>
        <w:t>Examining the Scriptures Daily—2014</w:t>
      </w:r>
      <w:r w:rsidRPr="00B43D1C">
        <w:rPr>
          <w:rFonts w:ascii="Times New Roman" w:eastAsia="Times New Roman" w:hAnsi="Times New Roman" w:cs="Times New Roman"/>
          <w:color w:val="auto"/>
          <w:sz w:val="24"/>
          <w:szCs w:val="24"/>
          <w:lang w:val="en-GB" w:eastAsia="en-US"/>
        </w:rPr>
        <w:t>, which Jehovah’s Witnesses use each day to consider the practical application of a Bible scripture during their personal and family worship. On 3 June 2014 the Astana Economic Court rejected the appeal and upheld the CRA’s ban of four publications.</w:t>
      </w:r>
      <w:r>
        <w:rPr>
          <w:rFonts w:ascii="Times New Roman" w:eastAsia="Times New Roman" w:hAnsi="Times New Roman" w:cs="Times New Roman"/>
          <w:color w:val="auto"/>
          <w:sz w:val="24"/>
          <w:szCs w:val="24"/>
          <w:lang w:val="en-GB" w:eastAsia="en-US"/>
        </w:rPr>
        <w:t xml:space="preserve"> On 1 April 2015 the Cassation C</w:t>
      </w:r>
      <w:r w:rsidRPr="00B43D1C">
        <w:rPr>
          <w:rFonts w:ascii="Times New Roman" w:eastAsia="Times New Roman" w:hAnsi="Times New Roman" w:cs="Times New Roman"/>
          <w:color w:val="auto"/>
          <w:sz w:val="24"/>
          <w:szCs w:val="24"/>
          <w:lang w:val="en-GB" w:eastAsia="en-US"/>
        </w:rPr>
        <w:t>ollegium of the Astana City Court left the banning decisions unchanged. An appeal is being prepared to be filed with the Supreme Court.</w:t>
      </w:r>
    </w:p>
    <w:p w:rsidR="00A162DD" w:rsidRPr="00B43D1C" w:rsidRDefault="00EF3100" w:rsidP="00085712">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Pr>
          <w:rFonts w:ascii="Times New Roman" w:eastAsia="Times New Roman" w:hAnsi="Times New Roman" w:cs="Times New Roman"/>
          <w:color w:val="auto"/>
          <w:sz w:val="24"/>
          <w:szCs w:val="24"/>
          <w:lang w:val="en-GB" w:eastAsia="en-US"/>
        </w:rPr>
        <w:t>Of</w:t>
      </w:r>
      <w:r w:rsidRPr="00B43D1C">
        <w:rPr>
          <w:rFonts w:ascii="Times New Roman" w:eastAsia="Times New Roman" w:hAnsi="Times New Roman" w:cs="Times New Roman"/>
          <w:color w:val="auto"/>
          <w:sz w:val="24"/>
          <w:szCs w:val="24"/>
          <w:lang w:val="en-GB" w:eastAsia="en-US"/>
        </w:rPr>
        <w:t xml:space="preserve"> the 13 publications of Jehovah’s Witnesses </w:t>
      </w:r>
      <w:r>
        <w:rPr>
          <w:rFonts w:ascii="Times New Roman" w:eastAsia="Times New Roman" w:hAnsi="Times New Roman" w:cs="Times New Roman"/>
          <w:color w:val="auto"/>
          <w:sz w:val="24"/>
          <w:szCs w:val="24"/>
          <w:lang w:val="en-GB" w:eastAsia="en-US"/>
        </w:rPr>
        <w:t>that</w:t>
      </w:r>
      <w:r w:rsidRPr="00B43D1C">
        <w:rPr>
          <w:rFonts w:ascii="Times New Roman" w:eastAsia="Times New Roman" w:hAnsi="Times New Roman" w:cs="Times New Roman"/>
          <w:color w:val="auto"/>
          <w:sz w:val="24"/>
          <w:szCs w:val="24"/>
          <w:lang w:val="en-GB" w:eastAsia="en-US"/>
        </w:rPr>
        <w:t xml:space="preserve"> the CRA has banned during September </w:t>
      </w:r>
      <w:r>
        <w:rPr>
          <w:rFonts w:ascii="Times New Roman" w:eastAsia="Times New Roman" w:hAnsi="Times New Roman" w:cs="Times New Roman"/>
          <w:color w:val="auto"/>
          <w:sz w:val="24"/>
          <w:szCs w:val="24"/>
          <w:lang w:val="en-GB" w:eastAsia="en-US"/>
        </w:rPr>
        <w:t xml:space="preserve">through </w:t>
      </w:r>
      <w:r w:rsidRPr="00B43D1C">
        <w:rPr>
          <w:rFonts w:ascii="Times New Roman" w:eastAsia="Times New Roman" w:hAnsi="Times New Roman" w:cs="Times New Roman"/>
          <w:color w:val="auto"/>
          <w:sz w:val="24"/>
          <w:szCs w:val="24"/>
          <w:lang w:val="en-GB" w:eastAsia="en-US"/>
        </w:rPr>
        <w:t>November 2014, virtually all of the passages to which the CRA has objected are either direct quotations from the Bible or are the Witnesses’ sincere explanation of what they understand these passages from the Bible to mean.</w:t>
      </w:r>
    </w:p>
    <w:p w:rsidR="003B4950" w:rsidRPr="00B43D1C" w:rsidRDefault="00EF3100" w:rsidP="00085712">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The appeal court hearing regarding those 13 banned publications took place on </w:t>
      </w:r>
      <w:r>
        <w:rPr>
          <w:rFonts w:ascii="Times New Roman" w:eastAsia="Times New Roman" w:hAnsi="Times New Roman" w:cs="Times New Roman"/>
          <w:color w:val="auto"/>
          <w:sz w:val="24"/>
          <w:szCs w:val="24"/>
          <w:lang w:val="en-GB" w:eastAsia="en-US"/>
        </w:rPr>
        <w:t>24 and 27 </w:t>
      </w:r>
      <w:r w:rsidRPr="00B43D1C">
        <w:rPr>
          <w:rFonts w:ascii="Times New Roman" w:eastAsia="Times New Roman" w:hAnsi="Times New Roman" w:cs="Times New Roman"/>
          <w:color w:val="auto"/>
          <w:sz w:val="24"/>
          <w:szCs w:val="24"/>
          <w:lang w:val="en-GB" w:eastAsia="en-US"/>
        </w:rPr>
        <w:t xml:space="preserve">April 2015 at the Appeal Collegium of Astana City Court. The appeal judge of the Astana City Court rejected the appeal against the </w:t>
      </w:r>
      <w:r>
        <w:rPr>
          <w:rFonts w:ascii="Times New Roman" w:eastAsia="Times New Roman" w:hAnsi="Times New Roman" w:cs="Times New Roman"/>
          <w:color w:val="auto"/>
          <w:sz w:val="24"/>
          <w:szCs w:val="24"/>
          <w:lang w:val="en-GB" w:eastAsia="en-US"/>
        </w:rPr>
        <w:t>Court of F</w:t>
      </w:r>
      <w:r w:rsidRPr="00B43D1C">
        <w:rPr>
          <w:rFonts w:ascii="Times New Roman" w:eastAsia="Times New Roman" w:hAnsi="Times New Roman" w:cs="Times New Roman"/>
          <w:color w:val="auto"/>
          <w:sz w:val="24"/>
          <w:szCs w:val="24"/>
          <w:lang w:val="en-GB" w:eastAsia="en-US"/>
        </w:rPr>
        <w:t xml:space="preserve">irst </w:t>
      </w:r>
      <w:r>
        <w:rPr>
          <w:rFonts w:ascii="Times New Roman" w:eastAsia="Times New Roman" w:hAnsi="Times New Roman" w:cs="Times New Roman"/>
          <w:color w:val="auto"/>
          <w:sz w:val="24"/>
          <w:szCs w:val="24"/>
          <w:lang w:val="en-GB" w:eastAsia="en-US"/>
        </w:rPr>
        <w:t>I</w:t>
      </w:r>
      <w:r w:rsidRPr="00B43D1C">
        <w:rPr>
          <w:rFonts w:ascii="Times New Roman" w:eastAsia="Times New Roman" w:hAnsi="Times New Roman" w:cs="Times New Roman"/>
          <w:color w:val="auto"/>
          <w:sz w:val="24"/>
          <w:szCs w:val="24"/>
          <w:lang w:val="en-GB" w:eastAsia="en-US"/>
        </w:rPr>
        <w:t xml:space="preserve">nstance Ruling of </w:t>
      </w:r>
      <w:r>
        <w:rPr>
          <w:rFonts w:ascii="Times New Roman" w:eastAsia="Times New Roman" w:hAnsi="Times New Roman" w:cs="Times New Roman"/>
          <w:color w:val="auto"/>
          <w:sz w:val="24"/>
          <w:szCs w:val="24"/>
          <w:lang w:val="en-GB" w:eastAsia="en-US"/>
        </w:rPr>
        <w:t xml:space="preserve">20 </w:t>
      </w:r>
      <w:r w:rsidRPr="00B43D1C">
        <w:rPr>
          <w:rFonts w:ascii="Times New Roman" w:eastAsia="Times New Roman" w:hAnsi="Times New Roman" w:cs="Times New Roman"/>
          <w:color w:val="auto"/>
          <w:sz w:val="24"/>
          <w:szCs w:val="24"/>
          <w:lang w:val="en-GB" w:eastAsia="en-US"/>
        </w:rPr>
        <w:t>February 2015</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which terminated the case without considering the merits. The main argument of the </w:t>
      </w:r>
      <w:r>
        <w:rPr>
          <w:rFonts w:ascii="Times New Roman" w:eastAsia="Times New Roman" w:hAnsi="Times New Roman" w:cs="Times New Roman"/>
          <w:color w:val="auto"/>
          <w:sz w:val="24"/>
          <w:szCs w:val="24"/>
          <w:lang w:val="en-GB" w:eastAsia="en-US"/>
        </w:rPr>
        <w:t>t</w:t>
      </w:r>
      <w:r w:rsidRPr="00B43D1C">
        <w:rPr>
          <w:rFonts w:ascii="Times New Roman" w:eastAsia="Times New Roman" w:hAnsi="Times New Roman" w:cs="Times New Roman"/>
          <w:color w:val="auto"/>
          <w:sz w:val="24"/>
          <w:szCs w:val="24"/>
          <w:lang w:val="en-GB" w:eastAsia="en-US"/>
        </w:rPr>
        <w:t xml:space="preserve">rial </w:t>
      </w:r>
      <w:r>
        <w:rPr>
          <w:rFonts w:ascii="Times New Roman" w:eastAsia="Times New Roman" w:hAnsi="Times New Roman" w:cs="Times New Roman"/>
          <w:color w:val="auto"/>
          <w:sz w:val="24"/>
          <w:szCs w:val="24"/>
          <w:lang w:val="en-GB" w:eastAsia="en-US"/>
        </w:rPr>
        <w:t>c</w:t>
      </w:r>
      <w:r w:rsidRPr="00B43D1C">
        <w:rPr>
          <w:rFonts w:ascii="Times New Roman" w:eastAsia="Times New Roman" w:hAnsi="Times New Roman" w:cs="Times New Roman"/>
          <w:color w:val="auto"/>
          <w:sz w:val="24"/>
          <w:szCs w:val="24"/>
          <w:lang w:val="en-GB" w:eastAsia="en-US"/>
        </w:rPr>
        <w:t>ourt for terminating the case without considering the merits was the wording of the CRA’s decisions. The CRA d</w:t>
      </w:r>
      <w:r>
        <w:rPr>
          <w:rFonts w:ascii="Times New Roman" w:eastAsia="Times New Roman" w:hAnsi="Times New Roman" w:cs="Times New Roman"/>
          <w:color w:val="auto"/>
          <w:sz w:val="24"/>
          <w:szCs w:val="24"/>
          <w:lang w:val="en-GB" w:eastAsia="en-US"/>
        </w:rPr>
        <w:t>id not state</w:t>
      </w:r>
      <w:r w:rsidRPr="00B43D1C">
        <w:rPr>
          <w:rFonts w:ascii="Times New Roman" w:eastAsia="Times New Roman" w:hAnsi="Times New Roman" w:cs="Times New Roman"/>
          <w:color w:val="auto"/>
          <w:sz w:val="24"/>
          <w:szCs w:val="24"/>
          <w:lang w:val="en-GB" w:eastAsia="en-US"/>
        </w:rPr>
        <w:t xml:space="preserve"> that the import is prohibited. Instead, it </w:t>
      </w:r>
      <w:r>
        <w:rPr>
          <w:rFonts w:ascii="Times New Roman" w:eastAsia="Times New Roman" w:hAnsi="Times New Roman" w:cs="Times New Roman"/>
          <w:color w:val="auto"/>
          <w:sz w:val="24"/>
          <w:szCs w:val="24"/>
          <w:lang w:val="en-GB" w:eastAsia="en-US"/>
        </w:rPr>
        <w:t>stated that</w:t>
      </w:r>
      <w:r w:rsidRPr="00B43D1C">
        <w:rPr>
          <w:rFonts w:ascii="Times New Roman" w:eastAsia="Times New Roman" w:hAnsi="Times New Roman" w:cs="Times New Roman"/>
          <w:color w:val="auto"/>
          <w:sz w:val="24"/>
          <w:szCs w:val="24"/>
          <w:lang w:val="en-GB" w:eastAsia="en-US"/>
        </w:rPr>
        <w:t xml:space="preserve"> the import of such publications “is not recommended.” Based on that, the </w:t>
      </w:r>
      <w:r>
        <w:rPr>
          <w:rFonts w:ascii="Times New Roman" w:eastAsia="Times New Roman" w:hAnsi="Times New Roman" w:cs="Times New Roman"/>
          <w:color w:val="auto"/>
          <w:sz w:val="24"/>
          <w:szCs w:val="24"/>
          <w:lang w:val="en-GB" w:eastAsia="en-US"/>
        </w:rPr>
        <w:t>t</w:t>
      </w:r>
      <w:r w:rsidRPr="00B43D1C">
        <w:rPr>
          <w:rFonts w:ascii="Times New Roman" w:eastAsia="Times New Roman" w:hAnsi="Times New Roman" w:cs="Times New Roman"/>
          <w:color w:val="auto"/>
          <w:sz w:val="24"/>
          <w:szCs w:val="24"/>
          <w:lang w:val="en-GB" w:eastAsia="en-US"/>
        </w:rPr>
        <w:t xml:space="preserve">rial </w:t>
      </w:r>
      <w:r>
        <w:rPr>
          <w:rFonts w:ascii="Times New Roman" w:eastAsia="Times New Roman" w:hAnsi="Times New Roman" w:cs="Times New Roman"/>
          <w:color w:val="auto"/>
          <w:sz w:val="24"/>
          <w:szCs w:val="24"/>
          <w:lang w:val="en-GB" w:eastAsia="en-US"/>
        </w:rPr>
        <w:t>c</w:t>
      </w:r>
      <w:r w:rsidRPr="00B43D1C">
        <w:rPr>
          <w:rFonts w:ascii="Times New Roman" w:eastAsia="Times New Roman" w:hAnsi="Times New Roman" w:cs="Times New Roman"/>
          <w:color w:val="auto"/>
          <w:sz w:val="24"/>
          <w:szCs w:val="24"/>
          <w:lang w:val="en-GB" w:eastAsia="en-US"/>
        </w:rPr>
        <w:t>ourt concluded that the CRA’s decisions are simply letters of recommendation, which are not binding. However, the official letters from the CRA with their consent</w:t>
      </w:r>
      <w:r w:rsidRPr="00904D99">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or their refusal are</w:t>
      </w:r>
      <w:r w:rsidRPr="00B43D1C">
        <w:rPr>
          <w:rFonts w:ascii="Times New Roman" w:eastAsia="Times New Roman" w:hAnsi="Times New Roman" w:cs="Times New Roman"/>
          <w:color w:val="auto"/>
          <w:sz w:val="24"/>
          <w:szCs w:val="24"/>
          <w:lang w:val="en-GB" w:eastAsia="en-US"/>
        </w:rPr>
        <w:t xml:space="preserve"> final documents (decisions)</w:t>
      </w:r>
      <w:r>
        <w:rPr>
          <w:rFonts w:ascii="Times New Roman" w:eastAsia="Times New Roman" w:hAnsi="Times New Roman" w:cs="Times New Roman"/>
          <w:color w:val="auto"/>
          <w:sz w:val="24"/>
          <w:szCs w:val="24"/>
          <w:lang w:val="en-GB" w:eastAsia="en-US"/>
        </w:rPr>
        <w:t xml:space="preserve">. The latter can be appealed </w:t>
      </w:r>
      <w:r w:rsidRPr="00B43D1C">
        <w:rPr>
          <w:rFonts w:ascii="Times New Roman" w:eastAsia="Times New Roman" w:hAnsi="Times New Roman" w:cs="Times New Roman"/>
          <w:color w:val="auto"/>
          <w:sz w:val="24"/>
          <w:szCs w:val="24"/>
          <w:lang w:val="en-GB" w:eastAsia="en-US"/>
        </w:rPr>
        <w:t>to a court. A Cassation appeal is pending.</w:t>
      </w:r>
    </w:p>
    <w:p w:rsidR="00A162DD" w:rsidRPr="00D16B33" w:rsidRDefault="00EF3100" w:rsidP="00D16B33">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No criterion whatsoever has been listed in the law that would make a publication objectionable</w:t>
      </w:r>
      <w:r>
        <w:rPr>
          <w:rFonts w:ascii="Times New Roman" w:eastAsia="Times New Roman" w:hAnsi="Times New Roman" w:cs="Times New Roman"/>
          <w:color w:val="auto"/>
          <w:sz w:val="24"/>
          <w:szCs w:val="24"/>
          <w:lang w:val="en-GB" w:eastAsia="en-US"/>
        </w:rPr>
        <w:t>. T</w:t>
      </w:r>
      <w:r w:rsidRPr="00D16B33">
        <w:rPr>
          <w:rFonts w:ascii="Times New Roman" w:eastAsia="Times New Roman" w:hAnsi="Times New Roman" w:cs="Times New Roman"/>
          <w:color w:val="auto"/>
          <w:sz w:val="24"/>
          <w:szCs w:val="24"/>
          <w:lang w:val="en-GB" w:eastAsia="en-US"/>
        </w:rPr>
        <w:t>herefore</w:t>
      </w:r>
      <w:r>
        <w:rPr>
          <w:rFonts w:ascii="Times New Roman" w:eastAsia="Times New Roman" w:hAnsi="Times New Roman" w:cs="Times New Roman"/>
          <w:color w:val="auto"/>
          <w:sz w:val="24"/>
          <w:szCs w:val="24"/>
          <w:lang w:val="en-GB" w:eastAsia="en-US"/>
        </w:rPr>
        <w:t>,</w:t>
      </w:r>
      <w:r w:rsidRPr="00D16B33">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 xml:space="preserve">there is </w:t>
      </w:r>
      <w:r w:rsidRPr="00D16B33">
        <w:rPr>
          <w:rFonts w:ascii="Times New Roman" w:eastAsia="Times New Roman" w:hAnsi="Times New Roman" w:cs="Times New Roman"/>
          <w:color w:val="auto"/>
          <w:sz w:val="24"/>
          <w:szCs w:val="24"/>
          <w:lang w:val="en-GB" w:eastAsia="en-US"/>
        </w:rPr>
        <w:t xml:space="preserve">no foreseeability on the value </w:t>
      </w:r>
      <w:r>
        <w:rPr>
          <w:rFonts w:ascii="Times New Roman" w:eastAsia="Times New Roman" w:hAnsi="Times New Roman" w:cs="Times New Roman"/>
          <w:color w:val="auto"/>
          <w:sz w:val="24"/>
          <w:szCs w:val="24"/>
          <w:lang w:val="en-GB" w:eastAsia="en-US"/>
        </w:rPr>
        <w:t xml:space="preserve">of the </w:t>
      </w:r>
      <w:r w:rsidRPr="00D16B33">
        <w:rPr>
          <w:rFonts w:ascii="Times New Roman" w:eastAsia="Times New Roman" w:hAnsi="Times New Roman" w:cs="Times New Roman"/>
          <w:color w:val="auto"/>
          <w:sz w:val="24"/>
          <w:szCs w:val="24"/>
          <w:lang w:val="en-GB" w:eastAsia="en-US"/>
        </w:rPr>
        <w:t>decision “the experts” will make.</w:t>
      </w:r>
    </w:p>
    <w:p w:rsidR="00085712" w:rsidRPr="00B43D1C" w:rsidRDefault="00EF3100" w:rsidP="00085712">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In violation of the prohibition on religious discrimination in Article 26 of the ICCPR, the CRA has adopted two contradictory and discriminatory approaches. </w:t>
      </w:r>
      <w:r>
        <w:rPr>
          <w:rFonts w:ascii="Times New Roman" w:eastAsia="Times New Roman" w:hAnsi="Times New Roman" w:cs="Times New Roman"/>
          <w:color w:val="auto"/>
          <w:sz w:val="24"/>
          <w:szCs w:val="24"/>
          <w:lang w:val="en-GB" w:eastAsia="en-US"/>
        </w:rPr>
        <w:t>I</w:t>
      </w:r>
      <w:r w:rsidRPr="00B43D1C">
        <w:rPr>
          <w:rFonts w:ascii="Times New Roman" w:eastAsia="Times New Roman" w:hAnsi="Times New Roman" w:cs="Times New Roman"/>
          <w:color w:val="auto"/>
          <w:sz w:val="24"/>
          <w:szCs w:val="24"/>
          <w:lang w:val="en-GB" w:eastAsia="en-US"/>
        </w:rPr>
        <w:t xml:space="preserve">t has taken an extreme approach </w:t>
      </w:r>
      <w:r>
        <w:rPr>
          <w:rFonts w:ascii="Times New Roman" w:eastAsia="Times New Roman" w:hAnsi="Times New Roman" w:cs="Times New Roman"/>
          <w:color w:val="auto"/>
          <w:sz w:val="24"/>
          <w:szCs w:val="24"/>
          <w:lang w:val="en-GB" w:eastAsia="en-US"/>
        </w:rPr>
        <w:t xml:space="preserve">on </w:t>
      </w:r>
      <w:r w:rsidRPr="00B43D1C">
        <w:rPr>
          <w:rFonts w:ascii="Times New Roman" w:eastAsia="Times New Roman" w:hAnsi="Times New Roman" w:cs="Times New Roman"/>
          <w:color w:val="auto"/>
          <w:sz w:val="24"/>
          <w:szCs w:val="24"/>
          <w:lang w:val="en-GB" w:eastAsia="en-US"/>
        </w:rPr>
        <w:t xml:space="preserve">Jehovah’s Witnesses and banned </w:t>
      </w:r>
      <w:r>
        <w:rPr>
          <w:rFonts w:ascii="Times New Roman" w:eastAsia="Times New Roman" w:hAnsi="Times New Roman" w:cs="Times New Roman"/>
          <w:color w:val="auto"/>
          <w:sz w:val="24"/>
          <w:szCs w:val="24"/>
          <w:lang w:val="en-GB" w:eastAsia="en-US"/>
        </w:rPr>
        <w:t xml:space="preserve">their </w:t>
      </w:r>
      <w:r w:rsidRPr="00B43D1C">
        <w:rPr>
          <w:rFonts w:ascii="Times New Roman" w:eastAsia="Times New Roman" w:hAnsi="Times New Roman" w:cs="Times New Roman"/>
          <w:color w:val="auto"/>
          <w:sz w:val="24"/>
          <w:szCs w:val="24"/>
          <w:lang w:val="en-GB" w:eastAsia="en-US"/>
        </w:rPr>
        <w:t xml:space="preserve">import </w:t>
      </w:r>
      <w:r>
        <w:rPr>
          <w:rFonts w:ascii="Times New Roman" w:eastAsia="Times New Roman" w:hAnsi="Times New Roman" w:cs="Times New Roman"/>
          <w:color w:val="auto"/>
          <w:sz w:val="24"/>
          <w:szCs w:val="24"/>
          <w:lang w:val="en-GB" w:eastAsia="en-US"/>
        </w:rPr>
        <w:t>of</w:t>
      </w:r>
      <w:r w:rsidRPr="00B43D1C">
        <w:rPr>
          <w:rFonts w:ascii="Times New Roman" w:eastAsia="Times New Roman" w:hAnsi="Times New Roman" w:cs="Times New Roman"/>
          <w:color w:val="auto"/>
          <w:sz w:val="24"/>
          <w:szCs w:val="24"/>
          <w:lang w:val="en-GB" w:eastAsia="en-US"/>
        </w:rPr>
        <w:t xml:space="preserve"> publications because it takes exception to their religious beliefs in those publications. However, the CRA freely permits</w:t>
      </w:r>
      <w:r>
        <w:rPr>
          <w:rFonts w:ascii="Times New Roman" w:eastAsia="Times New Roman" w:hAnsi="Times New Roman" w:cs="Times New Roman"/>
          <w:color w:val="auto"/>
          <w:sz w:val="24"/>
          <w:szCs w:val="24"/>
          <w:lang w:val="en-GB" w:eastAsia="en-US"/>
        </w:rPr>
        <w:t xml:space="preserve"> the import of S</w:t>
      </w:r>
      <w:r w:rsidRPr="00B43D1C">
        <w:rPr>
          <w:rFonts w:ascii="Times New Roman" w:eastAsia="Times New Roman" w:hAnsi="Times New Roman" w:cs="Times New Roman"/>
          <w:color w:val="auto"/>
          <w:sz w:val="24"/>
          <w:szCs w:val="24"/>
          <w:lang w:val="en-GB" w:eastAsia="en-US"/>
        </w:rPr>
        <w:t>tate-approved Islam and the Russian Orthodox Church</w:t>
      </w:r>
      <w:r w:rsidRPr="0018397E">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publications</w:t>
      </w:r>
      <w:r w:rsidRPr="00B43D1C">
        <w:rPr>
          <w:rFonts w:ascii="Times New Roman" w:eastAsia="Times New Roman" w:hAnsi="Times New Roman" w:cs="Times New Roman"/>
          <w:color w:val="auto"/>
          <w:sz w:val="24"/>
          <w:szCs w:val="24"/>
          <w:lang w:val="en-GB" w:eastAsia="en-US"/>
        </w:rPr>
        <w:t>.</w:t>
      </w:r>
    </w:p>
    <w:p w:rsidR="00A162DD" w:rsidRPr="00B43D1C" w:rsidRDefault="00EF3100" w:rsidP="0068384F">
      <w:pPr>
        <w:pStyle w:val="Corps"/>
        <w:numPr>
          <w:ilvl w:val="1"/>
          <w:numId w:val="42"/>
        </w:numPr>
        <w:ind w:left="990"/>
        <w:rPr>
          <w:rFonts w:ascii="Times New Roman" w:hAnsi="Times New Roman" w:cs="Times New Roman"/>
          <w:b/>
          <w:sz w:val="24"/>
          <w:szCs w:val="24"/>
          <w:lang w:val="en-GB"/>
        </w:rPr>
      </w:pPr>
      <w:r w:rsidRPr="00B43D1C">
        <w:rPr>
          <w:rFonts w:ascii="Times New Roman" w:eastAsia="Times New Roman" w:hAnsi="Times New Roman" w:cs="Times New Roman"/>
          <w:color w:val="auto"/>
          <w:sz w:val="24"/>
          <w:szCs w:val="24"/>
          <w:lang w:val="en-GB" w:eastAsia="en-US"/>
        </w:rPr>
        <w:br w:type="column"/>
      </w:r>
      <w:r w:rsidRPr="00B43D1C">
        <w:rPr>
          <w:rFonts w:ascii="Times New Roman" w:hAnsi="Times New Roman" w:cs="Times New Roman"/>
          <w:b/>
          <w:sz w:val="24"/>
          <w:szCs w:val="24"/>
          <w:lang w:val="en-GB"/>
        </w:rPr>
        <w:lastRenderedPageBreak/>
        <w:t>Police raids on religious meetings (Articles 18, 19, 21</w:t>
      </w:r>
      <w:r>
        <w:rPr>
          <w:rFonts w:ascii="Times New Roman" w:hAnsi="Times New Roman" w:cs="Times New Roman"/>
          <w:b/>
          <w:sz w:val="24"/>
          <w:szCs w:val="24"/>
          <w:lang w:val="en-GB"/>
        </w:rPr>
        <w:t>,</w:t>
      </w:r>
      <w:r w:rsidRPr="00B43D1C">
        <w:rPr>
          <w:rFonts w:ascii="Times New Roman" w:hAnsi="Times New Roman" w:cs="Times New Roman"/>
          <w:b/>
          <w:sz w:val="24"/>
          <w:szCs w:val="24"/>
          <w:lang w:val="en-GB"/>
        </w:rPr>
        <w:t xml:space="preserve"> and 27)</w:t>
      </w:r>
    </w:p>
    <w:p w:rsidR="00A162DD" w:rsidRPr="00B43D1C" w:rsidRDefault="00EF3100" w:rsidP="00085712">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Pr>
          <w:rFonts w:ascii="Times New Roman" w:eastAsia="Times New Roman" w:hAnsi="Times New Roman" w:cs="Times New Roman"/>
          <w:color w:val="auto"/>
          <w:sz w:val="24"/>
          <w:szCs w:val="24"/>
          <w:lang w:val="en-GB" w:eastAsia="en-US"/>
        </w:rPr>
        <w:t>Since</w:t>
      </w:r>
      <w:r w:rsidRPr="00B43D1C">
        <w:rPr>
          <w:rFonts w:ascii="Times New Roman" w:eastAsia="Times New Roman" w:hAnsi="Times New Roman" w:cs="Times New Roman"/>
          <w:color w:val="auto"/>
          <w:sz w:val="24"/>
          <w:szCs w:val="24"/>
          <w:lang w:val="en-GB" w:eastAsia="en-US"/>
        </w:rPr>
        <w:t xml:space="preserve"> January 2013, police have raided at least nine religious meetings of Jehovah’s Witnesses in the cities of Esil, Karazhal, Karabalyk, Kentau, Makinsk, Sarykol, Aktau, Bobrovka, and Kurchatov </w:t>
      </w:r>
      <w:r>
        <w:rPr>
          <w:rFonts w:ascii="Times New Roman" w:eastAsia="Times New Roman" w:hAnsi="Times New Roman" w:cs="Times New Roman"/>
          <w:color w:val="auto"/>
          <w:sz w:val="24"/>
          <w:szCs w:val="24"/>
          <w:lang w:val="en-GB" w:eastAsia="en-US"/>
        </w:rPr>
        <w:t xml:space="preserve">even though </w:t>
      </w:r>
      <w:r w:rsidRPr="00B43D1C">
        <w:rPr>
          <w:rFonts w:ascii="Times New Roman" w:eastAsia="Times New Roman" w:hAnsi="Times New Roman" w:cs="Times New Roman"/>
          <w:color w:val="auto"/>
          <w:sz w:val="24"/>
          <w:szCs w:val="24"/>
          <w:lang w:val="en-GB" w:eastAsia="en-US"/>
        </w:rPr>
        <w:t>Jehovah’s Witnesses have legal registration in each of these regions of Kazakhstan. For example:</w:t>
      </w:r>
    </w:p>
    <w:p w:rsidR="003F5667" w:rsidRPr="00B43D1C" w:rsidRDefault="00EF3100" w:rsidP="00D0470A">
      <w:pPr>
        <w:pStyle w:val="Listenabsatz"/>
        <w:numPr>
          <w:ilvl w:val="0"/>
          <w:numId w:val="8"/>
        </w:numPr>
        <w:tabs>
          <w:tab w:val="clear" w:pos="720"/>
        </w:tabs>
        <w:spacing w:after="120" w:line="240" w:lineRule="auto"/>
        <w:ind w:left="1440" w:hanging="330"/>
        <w:jc w:val="both"/>
        <w:rPr>
          <w:rFonts w:ascii="Times New Roman" w:eastAsia="Times New Roman" w:hAnsi="Times New Roman" w:cs="Times New Roman"/>
          <w:color w:val="auto"/>
          <w:sz w:val="24"/>
          <w:szCs w:val="24"/>
          <w:lang w:val="en-GB" w:eastAsia="en-US"/>
        </w:rPr>
      </w:pPr>
      <w:r w:rsidRPr="00D0470A">
        <w:rPr>
          <w:rFonts w:ascii="Times New Roman" w:hAnsi="Times New Roman" w:cs="Times New Roman"/>
          <w:sz w:val="24"/>
          <w:szCs w:val="24"/>
          <w:lang w:val="en-GB"/>
        </w:rPr>
        <w:t>Karabalyk, Kostanay Region. On 6 April 2013 approximately 40 of Jehovah’s Witnesses gathered for religious worship at the house of Eduard and Irina Malykhin, a married couple. Without warrant or permission, 20 law enforcement officials entered and interrupted the religious service. The police questioned and filmed everyone in attendance. They searched the house and seized the Bibles and religious literature of some in attendance as well as the Malykhins’ entire personal religious library. In total, more than 900 religious publications were seized. The raid lasted three hours. The Malykhins and two of their guests were later charged and convicted of “missionary activity” simply for participating in that religious meeting. The Malykhins filed a complaint with the CCPR on 29 August 2013, which was communicated to Kazakhstan on 12 December 2013. On 30 January 2015, Kazakhstan responded back to the CCPR, insisting on its initial illegal “missionary” accusations.</w:t>
      </w:r>
    </w:p>
    <w:p w:rsidR="00A162DD" w:rsidRPr="00B43D1C" w:rsidRDefault="00EF3100" w:rsidP="00085712">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Additionally, in 2014, police have interrupted a number of religious services of Jehovah’s Witnesses. The following are examples of what occurred in 2014:</w:t>
      </w:r>
    </w:p>
    <w:p w:rsidR="00A162DD" w:rsidRPr="00B43D1C" w:rsidRDefault="00EF3100" w:rsidP="00085712">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 xml:space="preserve">Arkalyk, Kostanay Region (2 February 2014): the police brought a bus to the site of the religious service and required all of the persons in attendance to get on the bus. They were then taken to the police station for questioning. Their goal </w:t>
      </w:r>
      <w:r>
        <w:rPr>
          <w:rFonts w:ascii="Times New Roman" w:hAnsi="Times New Roman" w:cs="Times New Roman"/>
          <w:sz w:val="24"/>
          <w:szCs w:val="24"/>
          <w:lang w:val="en-GB"/>
        </w:rPr>
        <w:t>was</w:t>
      </w:r>
      <w:r w:rsidRPr="00B43D1C">
        <w:rPr>
          <w:rFonts w:ascii="Times New Roman" w:hAnsi="Times New Roman" w:cs="Times New Roman"/>
          <w:sz w:val="24"/>
          <w:szCs w:val="24"/>
          <w:lang w:val="en-GB"/>
        </w:rPr>
        <w:t xml:space="preserve"> to create the impression among relatives, friends, neighbours, and others who observed the police actions</w:t>
      </w:r>
      <w:r>
        <w:rPr>
          <w:rFonts w:ascii="Times New Roman" w:hAnsi="Times New Roman" w:cs="Times New Roman"/>
          <w:sz w:val="24"/>
          <w:szCs w:val="24"/>
          <w:lang w:val="en-GB"/>
        </w:rPr>
        <w:t>,</w:t>
      </w:r>
      <w:r w:rsidRPr="00B43D1C">
        <w:rPr>
          <w:rFonts w:ascii="Times New Roman" w:hAnsi="Times New Roman" w:cs="Times New Roman"/>
          <w:sz w:val="24"/>
          <w:szCs w:val="24"/>
          <w:lang w:val="en-GB"/>
        </w:rPr>
        <w:t xml:space="preserve"> that the religious activity of Jehovah’s Witnesses is illegal and </w:t>
      </w:r>
      <w:r>
        <w:rPr>
          <w:rFonts w:ascii="Times New Roman" w:hAnsi="Times New Roman" w:cs="Times New Roman"/>
          <w:sz w:val="24"/>
          <w:szCs w:val="24"/>
          <w:lang w:val="en-GB"/>
        </w:rPr>
        <w:t>should</w:t>
      </w:r>
      <w:r w:rsidRPr="00B43D1C">
        <w:rPr>
          <w:rFonts w:ascii="Times New Roman" w:hAnsi="Times New Roman" w:cs="Times New Roman"/>
          <w:sz w:val="24"/>
          <w:szCs w:val="24"/>
          <w:lang w:val="en-GB"/>
        </w:rPr>
        <w:t xml:space="preserve"> be avoided.</w:t>
      </w:r>
    </w:p>
    <w:p w:rsidR="00A162DD" w:rsidRPr="00B43D1C" w:rsidRDefault="00EF3100" w:rsidP="00085712">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Ushtobe, Almaty Region (7 and 13 April 2014): at the end of the religious service, police demanded identification documents of everyone present and copied their personal data. The police then searched the home where the Witnesses were meeting.</w:t>
      </w:r>
    </w:p>
    <w:p w:rsidR="00A162DD" w:rsidRPr="00B43D1C" w:rsidRDefault="00EF3100" w:rsidP="00085712">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Merke, Zhambyl Region (25 April 2014)</w:t>
      </w:r>
      <w:r>
        <w:rPr>
          <w:rFonts w:ascii="Times New Roman" w:hAnsi="Times New Roman" w:cs="Times New Roman"/>
          <w:sz w:val="24"/>
          <w:szCs w:val="24"/>
          <w:lang w:val="en-GB"/>
        </w:rPr>
        <w:t>: police detained and questioned Jehovah’s Witnesses immediately after the conclusion of their religious service.</w:t>
      </w:r>
    </w:p>
    <w:p w:rsidR="00A162DD" w:rsidRPr="00B43D1C" w:rsidRDefault="00EF3100" w:rsidP="00085712">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Atbasar, Akmolinsky Region (6 May 2014): police interrupted the religious service to conduct a passport check on all persons in attendance.</w:t>
      </w:r>
    </w:p>
    <w:p w:rsidR="00A162DD" w:rsidRPr="00B43D1C" w:rsidRDefault="00EF3100" w:rsidP="00085712">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Esil, North Kazakhstan region (17 November 2014): police interrupted the religious service to conduct a passport check on all persons in attendance.</w:t>
      </w:r>
    </w:p>
    <w:p w:rsidR="00FB76E3" w:rsidRPr="00B43D1C" w:rsidRDefault="00420D51" w:rsidP="00FB76E3">
      <w:pPr>
        <w:jc w:val="both"/>
        <w:rPr>
          <w:lang w:val="en-GB"/>
        </w:rPr>
      </w:pPr>
    </w:p>
    <w:p w:rsidR="003F5667" w:rsidRPr="00B43D1C" w:rsidRDefault="00EF3100" w:rsidP="0068384F">
      <w:pPr>
        <w:pStyle w:val="Corps"/>
        <w:numPr>
          <w:ilvl w:val="1"/>
          <w:numId w:val="42"/>
        </w:numPr>
        <w:ind w:left="990"/>
        <w:rPr>
          <w:rFonts w:ascii="Times New Roman" w:hAnsi="Times New Roman" w:cs="Times New Roman"/>
          <w:b/>
          <w:sz w:val="24"/>
          <w:szCs w:val="24"/>
          <w:lang w:val="en-GB"/>
        </w:rPr>
      </w:pPr>
      <w:r w:rsidRPr="00B43D1C">
        <w:rPr>
          <w:rFonts w:ascii="Times New Roman" w:hAnsi="Times New Roman" w:cs="Times New Roman"/>
          <w:b/>
          <w:sz w:val="24"/>
          <w:szCs w:val="24"/>
          <w:lang w:val="en-GB"/>
        </w:rPr>
        <w:t>Arrests and conviction of Kazakhstan citizens for “missionary activity” (Articles 18, 19, 21</w:t>
      </w:r>
      <w:r>
        <w:rPr>
          <w:rFonts w:ascii="Times New Roman" w:hAnsi="Times New Roman" w:cs="Times New Roman"/>
          <w:b/>
          <w:sz w:val="24"/>
          <w:szCs w:val="24"/>
          <w:lang w:val="en-GB"/>
        </w:rPr>
        <w:t>,</w:t>
      </w:r>
      <w:r w:rsidRPr="00B43D1C">
        <w:rPr>
          <w:rFonts w:ascii="Times New Roman" w:hAnsi="Times New Roman" w:cs="Times New Roman"/>
          <w:b/>
          <w:sz w:val="24"/>
          <w:szCs w:val="24"/>
          <w:lang w:val="en-GB"/>
        </w:rPr>
        <w:t xml:space="preserve"> and 27)</w:t>
      </w:r>
    </w:p>
    <w:p w:rsidR="00A162DD" w:rsidRPr="00B43D1C" w:rsidRDefault="00EF3100" w:rsidP="00FB76E3">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Pr>
          <w:rFonts w:ascii="Times New Roman" w:eastAsia="Times New Roman" w:hAnsi="Times New Roman" w:cs="Times New Roman"/>
          <w:color w:val="auto"/>
          <w:sz w:val="24"/>
          <w:szCs w:val="24"/>
          <w:lang w:val="en-GB" w:eastAsia="en-US"/>
        </w:rPr>
        <w:t xml:space="preserve">The CRA, in their </w:t>
      </w:r>
      <w:r w:rsidRPr="00B43D1C">
        <w:rPr>
          <w:rFonts w:ascii="Times New Roman" w:eastAsia="Times New Roman" w:hAnsi="Times New Roman" w:cs="Times New Roman"/>
          <w:color w:val="auto"/>
          <w:sz w:val="24"/>
          <w:szCs w:val="24"/>
          <w:lang w:val="en-GB" w:eastAsia="en-US"/>
        </w:rPr>
        <w:t>letters dated 28 March 2013 and 16 May 2013 (</w:t>
      </w:r>
      <w:r w:rsidRPr="00B43D1C">
        <w:rPr>
          <w:rFonts w:ascii="Times New Roman" w:eastAsia="Times New Roman" w:hAnsi="Times New Roman" w:cs="Times New Roman"/>
          <w:sz w:val="24"/>
          <w:szCs w:val="24"/>
          <w:lang w:val="en-GB" w:eastAsia="en-US"/>
        </w:rPr>
        <w:t>Appendix 1</w:t>
      </w:r>
      <w:r w:rsidRPr="00B43D1C">
        <w:rPr>
          <w:rFonts w:ascii="Times New Roman" w:eastAsia="Times New Roman" w:hAnsi="Times New Roman" w:cs="Times New Roman"/>
          <w:color w:val="auto"/>
          <w:sz w:val="24"/>
          <w:szCs w:val="24"/>
          <w:lang w:val="en-GB" w:eastAsia="en-US"/>
        </w:rPr>
        <w:t xml:space="preserve">), directed the Christian Center of Jehovah’s Witnesses to instruct the more than 17,000 Jehovah’s Witnesses </w:t>
      </w:r>
      <w:r>
        <w:rPr>
          <w:rFonts w:ascii="Times New Roman" w:eastAsia="Times New Roman" w:hAnsi="Times New Roman" w:cs="Times New Roman"/>
          <w:color w:val="auto"/>
          <w:sz w:val="24"/>
          <w:szCs w:val="24"/>
          <w:lang w:val="en-GB" w:eastAsia="en-US"/>
        </w:rPr>
        <w:t>to</w:t>
      </w:r>
      <w:r w:rsidRPr="00B43D1C">
        <w:rPr>
          <w:rFonts w:ascii="Times New Roman" w:eastAsia="Times New Roman" w:hAnsi="Times New Roman" w:cs="Times New Roman"/>
          <w:color w:val="auto"/>
          <w:sz w:val="24"/>
          <w:szCs w:val="24"/>
          <w:lang w:val="en-GB" w:eastAsia="en-US"/>
        </w:rPr>
        <w:t xml:space="preserve"> “comply” with the total ban on unregistered “missionary activity.”</w:t>
      </w:r>
    </w:p>
    <w:p w:rsidR="00A162DD" w:rsidRPr="00B43D1C" w:rsidRDefault="00EF3100" w:rsidP="00FB76E3">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 CRA claims that without first obtaining registration as “missionaries” it is illegal for Jehovah’s Witnesses to share their Bible-based beliefs with friends, neighbours, and other interested persons and to participate in religious services at their registered places of worship.</w:t>
      </w:r>
    </w:p>
    <w:p w:rsidR="008D6D66" w:rsidRPr="00B43D1C" w:rsidRDefault="00EF3100" w:rsidP="00FB76E3">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This restriction applies to both foreigners and citizens of Kazakhstan.</w:t>
      </w:r>
    </w:p>
    <w:p w:rsidR="00A162DD" w:rsidRPr="00B43D1C" w:rsidRDefault="00EF3100" w:rsidP="00FB76E3">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Pr>
          <w:rFonts w:ascii="Times New Roman" w:eastAsia="Times New Roman" w:hAnsi="Times New Roman" w:cs="Times New Roman"/>
          <w:color w:val="auto"/>
          <w:sz w:val="24"/>
          <w:szCs w:val="24"/>
          <w:lang w:val="en-GB" w:eastAsia="en-US"/>
        </w:rPr>
        <w:lastRenderedPageBreak/>
        <w:t>Even if the Witnesses register as “missionaries,” the registration lasts only one year and the Witnesses’ activity is restricted to a specific region.</w:t>
      </w:r>
    </w:p>
    <w:p w:rsidR="008D6D66" w:rsidRPr="00B43D1C" w:rsidRDefault="00EF3100" w:rsidP="00FB76E3">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To date, about 70</w:t>
      </w:r>
      <w:r>
        <w:rPr>
          <w:rFonts w:ascii="Times New Roman" w:eastAsia="Times New Roman" w:hAnsi="Times New Roman" w:cs="Times New Roman"/>
          <w:color w:val="auto"/>
          <w:sz w:val="24"/>
          <w:szCs w:val="24"/>
          <w:lang w:val="en-GB" w:eastAsia="en-US"/>
        </w:rPr>
        <w:t xml:space="preserve"> of</w:t>
      </w:r>
      <w:r w:rsidRPr="00B43D1C">
        <w:rPr>
          <w:rFonts w:ascii="Times New Roman" w:eastAsia="Times New Roman" w:hAnsi="Times New Roman" w:cs="Times New Roman"/>
          <w:color w:val="auto"/>
          <w:sz w:val="24"/>
          <w:szCs w:val="24"/>
          <w:lang w:val="en-GB" w:eastAsia="en-US"/>
        </w:rPr>
        <w:t xml:space="preserve"> Jehovah’s Witnesses have been arrested and convicted of “missionary activity” under Article 375(3) of the RK Code of Administrative Offences (CAO) or Article 490 (3) of the new CAO since 2015. All have been ordered to pay the maximum fine of </w:t>
      </w:r>
      <w:r>
        <w:rPr>
          <w:rFonts w:ascii="Times New Roman" w:eastAsia="Times New Roman" w:hAnsi="Times New Roman" w:cs="Times New Roman"/>
          <w:color w:val="auto"/>
          <w:sz w:val="24"/>
          <w:szCs w:val="24"/>
          <w:lang w:val="en-GB" w:eastAsia="en-US"/>
        </w:rPr>
        <w:t>KZT</w:t>
      </w:r>
      <w:r w:rsidRPr="00B43D1C">
        <w:rPr>
          <w:rFonts w:ascii="Times New Roman" w:eastAsia="Times New Roman" w:hAnsi="Times New Roman" w:cs="Times New Roman"/>
          <w:color w:val="auto"/>
          <w:sz w:val="24"/>
          <w:szCs w:val="24"/>
          <w:lang w:val="en-GB" w:eastAsia="en-US"/>
        </w:rPr>
        <w:t>185,200</w:t>
      </w:r>
      <w:r>
        <w:rPr>
          <w:rFonts w:ascii="Times New Roman" w:eastAsia="Times New Roman" w:hAnsi="Times New Roman" w:cs="Times New Roman"/>
          <w:color w:val="auto"/>
          <w:sz w:val="24"/>
          <w:szCs w:val="24"/>
          <w:lang w:val="en-GB" w:eastAsia="en-US"/>
        </w:rPr>
        <w:t>.00</w:t>
      </w:r>
      <w:r w:rsidRPr="00B43D1C">
        <w:rPr>
          <w:rFonts w:ascii="Times New Roman" w:eastAsia="Times New Roman" w:hAnsi="Times New Roman" w:cs="Times New Roman"/>
          <w:color w:val="auto"/>
          <w:sz w:val="24"/>
          <w:szCs w:val="24"/>
          <w:lang w:val="en-GB" w:eastAsia="en-US"/>
        </w:rPr>
        <w:t xml:space="preserve"> tenge (EUR 760) </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or 198,200</w:t>
      </w:r>
      <w:r>
        <w:rPr>
          <w:rFonts w:ascii="Times New Roman" w:eastAsia="Times New Roman" w:hAnsi="Times New Roman" w:cs="Times New Roman"/>
          <w:color w:val="auto"/>
          <w:sz w:val="24"/>
          <w:szCs w:val="24"/>
          <w:lang w:val="en-GB" w:eastAsia="en-US"/>
        </w:rPr>
        <w:t>.00</w:t>
      </w:r>
      <w:r w:rsidRPr="00B43D1C">
        <w:rPr>
          <w:rFonts w:ascii="Times New Roman" w:eastAsia="Times New Roman" w:hAnsi="Times New Roman" w:cs="Times New Roman"/>
          <w:color w:val="auto"/>
          <w:sz w:val="24"/>
          <w:szCs w:val="24"/>
          <w:lang w:val="en-GB" w:eastAsia="en-US"/>
        </w:rPr>
        <w:t xml:space="preserve"> tenge (EUR 994) since 2015</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The total amount of fines that have been charged is currently of</w:t>
      </w:r>
      <w:r>
        <w:rPr>
          <w:rFonts w:ascii="Times New Roman" w:eastAsia="Times New Roman" w:hAnsi="Times New Roman" w:cs="Times New Roman"/>
          <w:color w:val="auto"/>
          <w:sz w:val="24"/>
          <w:szCs w:val="24"/>
          <w:lang w:val="en-GB" w:eastAsia="en-US"/>
        </w:rPr>
        <w:t xml:space="preserve"> KZT</w:t>
      </w:r>
      <w:r w:rsidRPr="002E0D72">
        <w:rPr>
          <w:rFonts w:ascii="Times New Roman" w:eastAsia="Times New Roman" w:hAnsi="Times New Roman" w:cs="Times New Roman"/>
          <w:color w:val="auto"/>
          <w:sz w:val="24"/>
          <w:szCs w:val="24"/>
          <w:lang w:eastAsia="en-US"/>
        </w:rPr>
        <w:t>3</w:t>
      </w:r>
      <w:r>
        <w:rPr>
          <w:rFonts w:ascii="Times New Roman" w:eastAsia="Times New Roman" w:hAnsi="Times New Roman" w:cs="Times New Roman"/>
          <w:color w:val="auto"/>
          <w:sz w:val="24"/>
          <w:szCs w:val="24"/>
          <w:lang w:eastAsia="en-US"/>
        </w:rPr>
        <w:t>,</w:t>
      </w:r>
      <w:r w:rsidRPr="002E0D72">
        <w:rPr>
          <w:rFonts w:ascii="Times New Roman" w:eastAsia="Times New Roman" w:hAnsi="Times New Roman" w:cs="Times New Roman"/>
          <w:color w:val="auto"/>
          <w:sz w:val="24"/>
          <w:szCs w:val="24"/>
          <w:lang w:eastAsia="en-US"/>
        </w:rPr>
        <w:t>889</w:t>
      </w:r>
      <w:r>
        <w:rPr>
          <w:rFonts w:ascii="Times New Roman" w:eastAsia="Times New Roman" w:hAnsi="Times New Roman" w:cs="Times New Roman"/>
          <w:color w:val="auto"/>
          <w:sz w:val="24"/>
          <w:szCs w:val="24"/>
          <w:lang w:eastAsia="en-US"/>
        </w:rPr>
        <w:t>,</w:t>
      </w:r>
      <w:r w:rsidRPr="002E0D72">
        <w:rPr>
          <w:rFonts w:ascii="Times New Roman" w:eastAsia="Times New Roman" w:hAnsi="Times New Roman" w:cs="Times New Roman"/>
          <w:color w:val="auto"/>
          <w:sz w:val="24"/>
          <w:szCs w:val="24"/>
          <w:lang w:eastAsia="en-US"/>
        </w:rPr>
        <w:t>200</w:t>
      </w:r>
      <w:r>
        <w:rPr>
          <w:rFonts w:ascii="Times New Roman" w:eastAsia="Times New Roman" w:hAnsi="Times New Roman" w:cs="Times New Roman"/>
          <w:color w:val="auto"/>
          <w:sz w:val="24"/>
          <w:szCs w:val="24"/>
          <w:lang w:eastAsia="en-US"/>
        </w:rPr>
        <w:t>.00,</w:t>
      </w:r>
      <w:r w:rsidRPr="002E0D72">
        <w:rPr>
          <w:rFonts w:ascii="Times New Roman" w:eastAsia="Times New Roman" w:hAnsi="Times New Roman" w:cs="Times New Roman"/>
          <w:color w:val="auto"/>
          <w:sz w:val="24"/>
          <w:szCs w:val="24"/>
          <w:lang w:eastAsia="en-US"/>
        </w:rPr>
        <w:t xml:space="preserve"> </w:t>
      </w:r>
      <w:r>
        <w:rPr>
          <w:rFonts w:ascii="Times New Roman" w:eastAsia="Times New Roman" w:hAnsi="Times New Roman" w:cs="Times New Roman"/>
          <w:color w:val="auto"/>
          <w:sz w:val="24"/>
          <w:szCs w:val="24"/>
          <w:lang w:val="en-GB" w:eastAsia="en-US"/>
        </w:rPr>
        <w:t>nearly EUR19,000.00.</w:t>
      </w:r>
      <w:r w:rsidRPr="00B43D1C">
        <w:rPr>
          <w:rFonts w:ascii="Times New Roman" w:eastAsia="Times New Roman" w:hAnsi="Times New Roman" w:cs="Times New Roman"/>
          <w:color w:val="auto"/>
          <w:sz w:val="24"/>
          <w:szCs w:val="24"/>
          <w:lang w:val="en-GB" w:eastAsia="en-US"/>
        </w:rPr>
        <w:t xml:space="preserve"> </w:t>
      </w:r>
    </w:p>
    <w:p w:rsidR="008D6D66" w:rsidRPr="00B43D1C" w:rsidRDefault="00EF3100" w:rsidP="00FB76E3">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Several Witnesses have been arrested and convicted twice, and on their second conviction </w:t>
      </w:r>
      <w:r>
        <w:rPr>
          <w:rFonts w:ascii="Times New Roman" w:eastAsia="Times New Roman" w:hAnsi="Times New Roman" w:cs="Times New Roman"/>
          <w:color w:val="auto"/>
          <w:sz w:val="24"/>
          <w:szCs w:val="24"/>
          <w:lang w:val="en-GB" w:eastAsia="en-US"/>
        </w:rPr>
        <w:t>the fine was doubled</w:t>
      </w:r>
      <w:r w:rsidRPr="00B43D1C">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EUR 1,520). Complaints have been filed with the United Nations Human Rights Committee (CCPR) on behalf of the first 47 Jehovah’s Witnesses convicted of “missionary activity.”</w:t>
      </w:r>
    </w:p>
    <w:p w:rsidR="00A162DD" w:rsidRPr="00B43D1C" w:rsidRDefault="00EF3100" w:rsidP="00FB76E3">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 following are just a few examples of Jehovah’s Witnesses convicted under CAO section 375 § 3 for exercising their rights to freedom of association and assembly:</w:t>
      </w:r>
    </w:p>
    <w:p w:rsidR="00A162DD" w:rsidRPr="00B43D1C" w:rsidRDefault="00EF3100" w:rsidP="00FB76E3">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4 December 2012: Dmitriy Bukin, a citizen of Kazakhstan, was convicted for “missionary activity” for participating in a two-day religious assembly of Jehovah’s Witnesses in Astana. The assembly was organized by the registered religious organization of Jehovah’s Witnesses in the capital city of Astana. The court ordered Mr.</w:t>
      </w:r>
      <w:r>
        <w:rPr>
          <w:rFonts w:ascii="Times New Roman" w:hAnsi="Times New Roman" w:cs="Times New Roman"/>
          <w:sz w:val="24"/>
          <w:szCs w:val="24"/>
          <w:lang w:val="en-GB"/>
        </w:rPr>
        <w:t> Bukin to pay the maximum fine.</w:t>
      </w:r>
    </w:p>
    <w:p w:rsidR="00A162DD" w:rsidRPr="00B43D1C" w:rsidRDefault="00EF3100" w:rsidP="00FB76E3">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4 and 5 July 2013: Eduard Malykhin and Irina Malykhina, a married couple who are citizens of Kazakhstan, were convicted for “missionary activity” for participating in a regular weekly service of Jehovah’s Witnesses at their home in the Kostanay region. Among the 40 persons in attendance</w:t>
      </w:r>
      <w:r>
        <w:rPr>
          <w:rFonts w:ascii="Times New Roman" w:hAnsi="Times New Roman" w:cs="Times New Roman"/>
          <w:sz w:val="24"/>
          <w:szCs w:val="24"/>
          <w:lang w:val="en-GB"/>
        </w:rPr>
        <w:t xml:space="preserve">, </w:t>
      </w:r>
      <w:r w:rsidRPr="00B43D1C">
        <w:rPr>
          <w:rFonts w:ascii="Times New Roman" w:hAnsi="Times New Roman" w:cs="Times New Roman"/>
          <w:sz w:val="24"/>
          <w:szCs w:val="24"/>
          <w:lang w:val="en-GB"/>
        </w:rPr>
        <w:t>three persons were not Jehovah’s Witnesses. The court concluded the Malykhins were guilty of “propagandizing” their faith because three “nonbelievers were present at the meeting.” The court ordered the Malykhins to each pay the maximum fine.</w:t>
      </w:r>
    </w:p>
    <w:p w:rsidR="00A162DD" w:rsidRPr="00B43D1C" w:rsidRDefault="00EF3100" w:rsidP="00FB76E3">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18 November 2013: Robert Panczukowski, a citizen of Poland with a permanent residence permit to Kazakhstan, was convicted of “missionary activity” for participating in a religious convention of Jehovah’s Witnesses at their registered place of worship in Aktau. More than 500 persons were in attendance. According to the trial court, Mr Panczukowski was guilty because he delivered a religious sermon in which he “promoted the religious beliefs of Jehovah’s Witnesses.” The court ordered Mr Panczukowski to pay the maximum fine and ordered h</w:t>
      </w:r>
      <w:r>
        <w:rPr>
          <w:rFonts w:ascii="Times New Roman" w:hAnsi="Times New Roman" w:cs="Times New Roman"/>
          <w:sz w:val="24"/>
          <w:szCs w:val="24"/>
          <w:lang w:val="en-GB"/>
        </w:rPr>
        <w:t>is deportation from Kazakhstan.</w:t>
      </w:r>
    </w:p>
    <w:p w:rsidR="00A162DD" w:rsidRPr="00B43D1C" w:rsidRDefault="00EF3100" w:rsidP="00FB76E3">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 xml:space="preserve">7 March 2014: Akhmet Alseitov and Ruslan Balashanov, citizens of Kazakhstan, were convicted for “missionary activity” for participating in a weekly religious service of Jehovah’s Witnesses in the Kostanay region. The court concluded that both men were guilty because a few persons who are not Jehovah’s Witnesses </w:t>
      </w:r>
      <w:r>
        <w:rPr>
          <w:rFonts w:ascii="Times New Roman" w:hAnsi="Times New Roman" w:cs="Times New Roman"/>
          <w:sz w:val="24"/>
          <w:szCs w:val="24"/>
          <w:lang w:val="en-GB"/>
        </w:rPr>
        <w:t>attended</w:t>
      </w:r>
      <w:r w:rsidRPr="00B43D1C">
        <w:rPr>
          <w:rFonts w:ascii="Times New Roman" w:hAnsi="Times New Roman" w:cs="Times New Roman"/>
          <w:sz w:val="24"/>
          <w:szCs w:val="24"/>
          <w:lang w:val="en-GB"/>
        </w:rPr>
        <w:t xml:space="preserve"> that religious service. The court ordered Messrs</w:t>
      </w:r>
      <w:r>
        <w:rPr>
          <w:rFonts w:ascii="Times New Roman" w:hAnsi="Times New Roman" w:cs="Times New Roman"/>
          <w:sz w:val="24"/>
          <w:szCs w:val="24"/>
          <w:lang w:val="en-GB"/>
        </w:rPr>
        <w:t>.</w:t>
      </w:r>
      <w:r w:rsidRPr="00B43D1C">
        <w:rPr>
          <w:rFonts w:ascii="Times New Roman" w:hAnsi="Times New Roman" w:cs="Times New Roman"/>
          <w:sz w:val="24"/>
          <w:szCs w:val="24"/>
          <w:lang w:val="en-GB"/>
        </w:rPr>
        <w:t xml:space="preserve"> Alseitov and Balanshov to each pay the maximum fine.</w:t>
      </w:r>
    </w:p>
    <w:p w:rsidR="004416FE" w:rsidRPr="00B43D1C" w:rsidRDefault="00EF3100" w:rsidP="00FB76E3">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According to </w:t>
      </w:r>
      <w:r>
        <w:rPr>
          <w:rFonts w:ascii="Times New Roman" w:eastAsia="Times New Roman" w:hAnsi="Times New Roman" w:cs="Times New Roman"/>
          <w:color w:val="auto"/>
          <w:sz w:val="24"/>
          <w:szCs w:val="24"/>
          <w:lang w:val="en-GB" w:eastAsia="en-US"/>
        </w:rPr>
        <w:t>A</w:t>
      </w:r>
      <w:r w:rsidRPr="00B43D1C">
        <w:rPr>
          <w:rFonts w:ascii="Times New Roman" w:eastAsia="Times New Roman" w:hAnsi="Times New Roman" w:cs="Times New Roman"/>
          <w:color w:val="auto"/>
          <w:sz w:val="24"/>
          <w:szCs w:val="24"/>
          <w:lang w:val="en-GB" w:eastAsia="en-US"/>
        </w:rPr>
        <w:t>rt</w:t>
      </w:r>
      <w:r>
        <w:rPr>
          <w:rFonts w:ascii="Times New Roman" w:eastAsia="Times New Roman" w:hAnsi="Times New Roman" w:cs="Times New Roman"/>
          <w:color w:val="auto"/>
          <w:sz w:val="24"/>
          <w:szCs w:val="24"/>
          <w:lang w:val="en-GB" w:eastAsia="en-US"/>
        </w:rPr>
        <w:t>icle</w:t>
      </w:r>
      <w:r w:rsidRPr="00B43D1C">
        <w:rPr>
          <w:rFonts w:ascii="Times New Roman" w:eastAsia="Times New Roman" w:hAnsi="Times New Roman" w:cs="Times New Roman"/>
          <w:color w:val="auto"/>
          <w:sz w:val="24"/>
          <w:szCs w:val="24"/>
          <w:lang w:val="en-GB" w:eastAsia="en-US"/>
        </w:rPr>
        <w:t xml:space="preserve"> 8 of the Constitution of Republic of Kazakhstan, the </w:t>
      </w:r>
      <w:r>
        <w:rPr>
          <w:rFonts w:ascii="Times New Roman" w:eastAsia="Times New Roman" w:hAnsi="Times New Roman" w:cs="Times New Roman"/>
          <w:color w:val="auto"/>
          <w:sz w:val="24"/>
          <w:szCs w:val="24"/>
          <w:lang w:val="en-GB" w:eastAsia="en-US"/>
        </w:rPr>
        <w:t>S</w:t>
      </w:r>
      <w:r w:rsidRPr="00B43D1C">
        <w:rPr>
          <w:rFonts w:ascii="Times New Roman" w:eastAsia="Times New Roman" w:hAnsi="Times New Roman" w:cs="Times New Roman"/>
          <w:color w:val="auto"/>
          <w:sz w:val="24"/>
          <w:szCs w:val="24"/>
          <w:lang w:val="en-GB" w:eastAsia="en-US"/>
        </w:rPr>
        <w:t xml:space="preserve">tate respects principles and standards of the international law. Special Rapporteur on </w:t>
      </w:r>
      <w:r>
        <w:rPr>
          <w:rFonts w:ascii="Times New Roman" w:eastAsia="Times New Roman" w:hAnsi="Times New Roman" w:cs="Times New Roman"/>
          <w:color w:val="auto"/>
          <w:sz w:val="24"/>
          <w:szCs w:val="24"/>
          <w:lang w:val="en-GB" w:eastAsia="en-US"/>
        </w:rPr>
        <w:t xml:space="preserve">the </w:t>
      </w:r>
      <w:r w:rsidRPr="00B43D1C">
        <w:rPr>
          <w:rFonts w:ascii="Times New Roman" w:eastAsia="Times New Roman" w:hAnsi="Times New Roman" w:cs="Times New Roman"/>
          <w:color w:val="auto"/>
          <w:sz w:val="24"/>
          <w:szCs w:val="24"/>
          <w:lang w:val="en-GB" w:eastAsia="en-US"/>
        </w:rPr>
        <w:t xml:space="preserve">Freedom of Religion or Belief Heiner Bielefeldt wrote in his report on mission to Kazakhstan in March 2014 regarding the implementation of the </w:t>
      </w:r>
      <w:r>
        <w:rPr>
          <w:rFonts w:ascii="Times New Roman" w:eastAsia="Times New Roman" w:hAnsi="Times New Roman" w:cs="Times New Roman"/>
          <w:color w:val="auto"/>
          <w:sz w:val="24"/>
          <w:szCs w:val="24"/>
          <w:lang w:val="en-GB" w:eastAsia="en-US"/>
        </w:rPr>
        <w:t xml:space="preserve">Article </w:t>
      </w:r>
      <w:r w:rsidRPr="00B43D1C">
        <w:rPr>
          <w:rFonts w:ascii="Times New Roman" w:eastAsia="Times New Roman" w:hAnsi="Times New Roman" w:cs="Times New Roman"/>
          <w:color w:val="auto"/>
          <w:sz w:val="24"/>
          <w:szCs w:val="24"/>
          <w:lang w:val="en-GB" w:eastAsia="en-US"/>
        </w:rPr>
        <w:t>18 of the ICCPR: “According to international standards, freedom of religion or belief unequivocally includes the right to bear witness to one’s conviction, to communicate within and across religious and denominational boundaries and to try to persuade others non-coercively” (UN document A/HRC/28/66/Add.1, par. 36).</w:t>
      </w:r>
    </w:p>
    <w:p w:rsidR="00A162DD" w:rsidRPr="00B43D1C" w:rsidRDefault="00EF3100" w:rsidP="00FB76E3">
      <w:pPr>
        <w:pStyle w:val="Listenabsatz"/>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lastRenderedPageBreak/>
        <w:t xml:space="preserve">On </w:t>
      </w:r>
      <w:r>
        <w:rPr>
          <w:rFonts w:ascii="Times New Roman" w:eastAsia="Times New Roman" w:hAnsi="Times New Roman" w:cs="Times New Roman"/>
          <w:color w:val="auto"/>
          <w:sz w:val="24"/>
          <w:szCs w:val="24"/>
          <w:lang w:val="en-GB" w:eastAsia="en-US"/>
        </w:rPr>
        <w:t xml:space="preserve">15 </w:t>
      </w:r>
      <w:r w:rsidRPr="00B43D1C">
        <w:rPr>
          <w:rFonts w:ascii="Times New Roman" w:eastAsia="Times New Roman" w:hAnsi="Times New Roman" w:cs="Times New Roman"/>
          <w:color w:val="auto"/>
          <w:sz w:val="24"/>
          <w:szCs w:val="24"/>
          <w:lang w:val="en-GB" w:eastAsia="en-US"/>
        </w:rPr>
        <w:t>January 2015 the UN HRC made a decision on the complaint of Victor Leven, who was made liable under the administrative code by the Yesil district court of the Akmolinsk region, for conducting so-called “unregistered missionary activities” (case CCPR/C/112/D/2131/2012). The HRC has established that Kazakhstan violated Mr. Levin</w:t>
      </w:r>
      <w:r>
        <w:rPr>
          <w:rFonts w:ascii="Times New Roman" w:eastAsia="Times New Roman" w:hAnsi="Times New Roman" w:cs="Times New Roman"/>
          <w:color w:val="auto"/>
          <w:sz w:val="24"/>
          <w:szCs w:val="24"/>
          <w:lang w:val="en-GB" w:eastAsia="en-US"/>
        </w:rPr>
        <w:t>’s rights</w:t>
      </w:r>
      <w:r w:rsidRPr="00B43D1C">
        <w:rPr>
          <w:rFonts w:ascii="Times New Roman" w:eastAsia="Times New Roman" w:hAnsi="Times New Roman" w:cs="Times New Roman"/>
          <w:color w:val="auto"/>
          <w:sz w:val="24"/>
          <w:szCs w:val="24"/>
          <w:lang w:val="en-GB" w:eastAsia="en-US"/>
        </w:rPr>
        <w:t xml:space="preserve"> guaranteed by the </w:t>
      </w:r>
      <w:r>
        <w:rPr>
          <w:rFonts w:ascii="Times New Roman" w:eastAsia="Times New Roman" w:hAnsi="Times New Roman" w:cs="Times New Roman"/>
          <w:color w:val="auto"/>
          <w:sz w:val="24"/>
          <w:szCs w:val="24"/>
          <w:lang w:val="en-GB" w:eastAsia="en-US"/>
        </w:rPr>
        <w:t>A</w:t>
      </w:r>
      <w:r w:rsidRPr="00B43D1C">
        <w:rPr>
          <w:rFonts w:ascii="Times New Roman" w:eastAsia="Times New Roman" w:hAnsi="Times New Roman" w:cs="Times New Roman"/>
          <w:color w:val="auto"/>
          <w:sz w:val="24"/>
          <w:szCs w:val="24"/>
          <w:lang w:val="en-GB" w:eastAsia="en-US"/>
        </w:rPr>
        <w:t>rticle</w:t>
      </w:r>
      <w:r>
        <w:rPr>
          <w:rFonts w:ascii="Times New Roman" w:eastAsia="Times New Roman" w:hAnsi="Times New Roman" w:cs="Times New Roman"/>
          <w:color w:val="auto"/>
          <w:sz w:val="24"/>
          <w:szCs w:val="24"/>
          <w:lang w:val="en-GB" w:eastAsia="en-US"/>
        </w:rPr>
        <w:t xml:space="preserve"> 18</w:t>
      </w:r>
      <w:r w:rsidRPr="00B43D1C">
        <w:rPr>
          <w:rFonts w:ascii="Times New Roman" w:eastAsia="Times New Roman" w:hAnsi="Times New Roman" w:cs="Times New Roman"/>
          <w:color w:val="auto"/>
          <w:sz w:val="24"/>
          <w:szCs w:val="24"/>
          <w:lang w:val="en-GB" w:eastAsia="en-US"/>
        </w:rPr>
        <w:t xml:space="preserve"> of the ICCPR. </w:t>
      </w:r>
      <w:r>
        <w:rPr>
          <w:rFonts w:ascii="Times New Roman" w:eastAsia="Times New Roman" w:hAnsi="Times New Roman" w:cs="Times New Roman"/>
          <w:color w:val="auto"/>
          <w:sz w:val="24"/>
          <w:szCs w:val="24"/>
          <w:lang w:val="en-GB" w:eastAsia="en-US"/>
        </w:rPr>
        <w:t xml:space="preserve">In its </w:t>
      </w:r>
      <w:r w:rsidRPr="00B43D1C">
        <w:rPr>
          <w:rFonts w:ascii="Times New Roman" w:eastAsia="Times New Roman" w:hAnsi="Times New Roman" w:cs="Times New Roman"/>
          <w:color w:val="auto"/>
          <w:sz w:val="24"/>
          <w:szCs w:val="24"/>
          <w:lang w:val="en-GB" w:eastAsia="en-US"/>
        </w:rPr>
        <w:t xml:space="preserve">decision, </w:t>
      </w:r>
      <w:r>
        <w:rPr>
          <w:rFonts w:ascii="Times New Roman" w:eastAsia="Times New Roman" w:hAnsi="Times New Roman" w:cs="Times New Roman"/>
          <w:color w:val="auto"/>
          <w:sz w:val="24"/>
          <w:szCs w:val="24"/>
          <w:lang w:val="en-GB" w:eastAsia="en-US"/>
        </w:rPr>
        <w:t xml:space="preserve">the </w:t>
      </w:r>
      <w:r w:rsidRPr="00B43D1C">
        <w:rPr>
          <w:rFonts w:ascii="Times New Roman" w:eastAsia="Times New Roman" w:hAnsi="Times New Roman" w:cs="Times New Roman"/>
          <w:color w:val="auto"/>
          <w:sz w:val="24"/>
          <w:szCs w:val="24"/>
          <w:lang w:val="en-GB" w:eastAsia="en-US"/>
        </w:rPr>
        <w:t xml:space="preserve">HRC not only </w:t>
      </w:r>
      <w:r>
        <w:rPr>
          <w:rFonts w:ascii="Times New Roman" w:eastAsia="Times New Roman" w:hAnsi="Times New Roman" w:cs="Times New Roman"/>
          <w:color w:val="auto"/>
          <w:sz w:val="24"/>
          <w:szCs w:val="24"/>
          <w:lang w:val="en-GB" w:eastAsia="en-US"/>
        </w:rPr>
        <w:t>required</w:t>
      </w:r>
      <w:r w:rsidRPr="00B43D1C">
        <w:rPr>
          <w:rFonts w:ascii="Times New Roman" w:eastAsia="Times New Roman" w:hAnsi="Times New Roman" w:cs="Times New Roman"/>
          <w:color w:val="auto"/>
          <w:sz w:val="24"/>
          <w:szCs w:val="24"/>
          <w:lang w:val="en-GB" w:eastAsia="en-US"/>
        </w:rPr>
        <w:t xml:space="preserve"> Kazakhstan to review the case in supervisory order but also </w:t>
      </w:r>
      <w:r>
        <w:rPr>
          <w:rFonts w:ascii="Times New Roman" w:eastAsia="Times New Roman" w:hAnsi="Times New Roman" w:cs="Times New Roman"/>
          <w:color w:val="auto"/>
          <w:sz w:val="24"/>
          <w:szCs w:val="24"/>
          <w:lang w:val="en-GB" w:eastAsia="en-US"/>
        </w:rPr>
        <w:t>obligated K</w:t>
      </w:r>
      <w:r w:rsidRPr="00B43D1C">
        <w:rPr>
          <w:rFonts w:ascii="Times New Roman" w:eastAsia="Times New Roman" w:hAnsi="Times New Roman" w:cs="Times New Roman"/>
          <w:color w:val="auto"/>
          <w:sz w:val="24"/>
          <w:szCs w:val="24"/>
          <w:lang w:val="en-GB" w:eastAsia="en-US"/>
        </w:rPr>
        <w:t>azakhstan “to not allow such violations in the future</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w:t>
      </w:r>
      <w:r>
        <w:rPr>
          <w:rFonts w:ascii="Times New Roman" w:eastAsia="Times New Roman" w:hAnsi="Times New Roman" w:cs="Times New Roman"/>
          <w:color w:val="auto"/>
          <w:sz w:val="24"/>
          <w:szCs w:val="24"/>
          <w:lang w:val="en-GB" w:eastAsia="en-US"/>
        </w:rPr>
        <w:t xml:space="preserve"> Kazakhstan must</w:t>
      </w:r>
      <w:r w:rsidRPr="00B43D1C">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 xml:space="preserve">provide the HRC with a report on the measures taken </w:t>
      </w:r>
      <w:r w:rsidRPr="00B43D1C">
        <w:rPr>
          <w:rFonts w:ascii="Times New Roman" w:eastAsia="Times New Roman" w:hAnsi="Times New Roman" w:cs="Times New Roman"/>
          <w:color w:val="auto"/>
          <w:sz w:val="24"/>
          <w:szCs w:val="24"/>
          <w:lang w:val="en-GB" w:eastAsia="en-US"/>
        </w:rPr>
        <w:t>within 6 months.</w:t>
      </w:r>
    </w:p>
    <w:p w:rsidR="00A162DD" w:rsidRPr="00B43D1C" w:rsidRDefault="00EF3100" w:rsidP="0068384F">
      <w:pPr>
        <w:pStyle w:val="Corps"/>
        <w:numPr>
          <w:ilvl w:val="1"/>
          <w:numId w:val="42"/>
        </w:numPr>
        <w:ind w:left="990"/>
        <w:rPr>
          <w:rFonts w:ascii="Times New Roman" w:hAnsi="Times New Roman" w:cs="Times New Roman"/>
          <w:b/>
          <w:sz w:val="24"/>
          <w:szCs w:val="24"/>
          <w:lang w:val="en-GB"/>
        </w:rPr>
      </w:pPr>
      <w:r w:rsidRPr="00B43D1C">
        <w:rPr>
          <w:rFonts w:ascii="Times New Roman" w:hAnsi="Times New Roman" w:cs="Times New Roman"/>
          <w:b/>
          <w:sz w:val="24"/>
          <w:szCs w:val="24"/>
          <w:lang w:val="en-GB"/>
        </w:rPr>
        <w:t>Arrests, conviction, and deportation of foreign citizens for “missionary activity” (Articles 12, 13, 18, 19, 21</w:t>
      </w:r>
      <w:r>
        <w:rPr>
          <w:rFonts w:ascii="Times New Roman" w:hAnsi="Times New Roman" w:cs="Times New Roman"/>
          <w:b/>
          <w:sz w:val="24"/>
          <w:szCs w:val="24"/>
          <w:lang w:val="en-GB"/>
        </w:rPr>
        <w:t>,</w:t>
      </w:r>
      <w:r w:rsidRPr="00B43D1C">
        <w:rPr>
          <w:rFonts w:ascii="Times New Roman" w:hAnsi="Times New Roman" w:cs="Times New Roman"/>
          <w:b/>
          <w:sz w:val="24"/>
          <w:szCs w:val="24"/>
          <w:lang w:val="en-GB"/>
        </w:rPr>
        <w:t xml:space="preserve"> and 27)</w:t>
      </w:r>
    </w:p>
    <w:p w:rsidR="00A162DD" w:rsidRPr="00B43D1C" w:rsidRDefault="00EF3100">
      <w:pPr>
        <w:pStyle w:val="Listenabsatz"/>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A conviction for “missionary activity” is particularly harsh for foreign citizens. Article 375(3) of the RK CAO prescribes that a foreign citizen is liable for the maximum fine of 185,200 tenge (EUR 760) </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which is 198, 200 tenge (EUR 994) since 2015</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and in all cases is subject to automatic deportation. Since November 2013, three foreign citizens who are Jehovah’s Witnesses have been deported. For example:</w:t>
      </w:r>
    </w:p>
    <w:p w:rsidR="00A162DD" w:rsidRPr="00D0470A" w:rsidRDefault="00EF3100" w:rsidP="00D0470A">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D0470A">
        <w:rPr>
          <w:rFonts w:ascii="Times New Roman" w:hAnsi="Times New Roman" w:cs="Times New Roman"/>
          <w:sz w:val="24"/>
          <w:szCs w:val="24"/>
          <w:lang w:val="en-GB"/>
        </w:rPr>
        <w:t>Yuriy Toporov (citizen of Russia and human rights defender): Mr. Toporov has lived in Kazakhstan for 11 years and has been married to a Kazakhstan citizen for the past seven years. He is a legal representative of the “Christian Centre of Jehovah’s Witnesses” located in Almaty and is well known to senior Kazakhstan officials.</w:t>
      </w:r>
    </w:p>
    <w:p w:rsidR="00A162DD" w:rsidRPr="00D0470A" w:rsidRDefault="00EF3100" w:rsidP="00D0470A">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D0470A">
        <w:rPr>
          <w:rFonts w:ascii="Times New Roman" w:hAnsi="Times New Roman" w:cs="Times New Roman"/>
          <w:sz w:val="24"/>
          <w:szCs w:val="24"/>
          <w:lang w:val="en-GB"/>
        </w:rPr>
        <w:t>On 23 November 2013 Mr. Toporov was arrested in the city of Almaty while giving a religious discourse to a gathering of Jehovah’s Witnesses at their regular place of worship. A large group of police, equipped with video cameras, arrived at the place of worship just minutes after Mr. Toporov began his discourse. Obviously, the police raid was organized in advance with the sole intention of arresting Mr. Toporov.</w:t>
      </w:r>
    </w:p>
    <w:p w:rsidR="00A162DD" w:rsidRPr="00D0470A" w:rsidRDefault="00EF3100" w:rsidP="00D0470A">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D0470A">
        <w:rPr>
          <w:rFonts w:ascii="Times New Roman" w:hAnsi="Times New Roman" w:cs="Times New Roman"/>
          <w:sz w:val="24"/>
          <w:szCs w:val="24"/>
          <w:lang w:val="en-GB"/>
        </w:rPr>
        <w:t>On 3 March 2014 the Specialized Administrative Inter-district Court of the City of Almaty convicted Mr. Toporov of “missionary activity” The court ordered Mr Toporov to pay the maximum fine and ordered his deportation from Kazakhstan.</w:t>
      </w:r>
    </w:p>
    <w:p w:rsidR="00A162DD" w:rsidRPr="00D0470A" w:rsidRDefault="00EF3100" w:rsidP="00D0470A">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D0470A">
        <w:rPr>
          <w:rFonts w:ascii="Times New Roman" w:hAnsi="Times New Roman" w:cs="Times New Roman"/>
          <w:sz w:val="24"/>
          <w:szCs w:val="24"/>
          <w:lang w:val="en-GB"/>
        </w:rPr>
        <w:t>On 15 April 2014 the Almaty City Court denied his appeal. To avoid imprisonment pending his deportation, Mr. Toporov and his wife, a native Kazakh, had no choice but to leave Kazakhstan in May 2014. They currently reside in Russia and live secluded from the family members that are still living in Kazakhstan.</w:t>
      </w:r>
    </w:p>
    <w:p w:rsidR="00A162DD" w:rsidRPr="00D0470A" w:rsidRDefault="00EF3100" w:rsidP="00D0470A">
      <w:pPr>
        <w:pStyle w:val="Listenabsatz"/>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D0470A">
        <w:rPr>
          <w:rFonts w:ascii="Times New Roman" w:hAnsi="Times New Roman" w:cs="Times New Roman"/>
          <w:sz w:val="24"/>
          <w:szCs w:val="24"/>
          <w:lang w:val="en-GB"/>
        </w:rPr>
        <w:t>Enclosed in annex are the observations of the Republic of Kazakhstan on Mr. Toporov’s complaint concerning his being groundlessly brought to administrative accountability for engaging in unregistered “missionary activity” (Appendix 2) as well as the answer that has been provided to the UN Human Rights Committee (Appendix 3).</w:t>
      </w:r>
    </w:p>
    <w:p w:rsidR="00A162DD" w:rsidRDefault="00EF3100" w:rsidP="00D0470A">
      <w:pPr>
        <w:pStyle w:val="Listenabsatz"/>
        <w:numPr>
          <w:ilvl w:val="0"/>
          <w:numId w:val="8"/>
        </w:numPr>
        <w:tabs>
          <w:tab w:val="clear" w:pos="720"/>
        </w:tabs>
        <w:spacing w:after="120" w:line="240" w:lineRule="auto"/>
        <w:ind w:left="1440" w:hanging="330"/>
        <w:jc w:val="both"/>
        <w:rPr>
          <w:rFonts w:ascii="Times New Roman" w:eastAsia="Times New Roman" w:hAnsi="Times New Roman" w:cs="Times New Roman"/>
          <w:color w:val="auto"/>
          <w:sz w:val="24"/>
          <w:szCs w:val="24"/>
          <w:lang w:val="en-GB" w:eastAsia="en-US"/>
        </w:rPr>
      </w:pPr>
      <w:r w:rsidRPr="00D0470A">
        <w:rPr>
          <w:rFonts w:ascii="Times New Roman" w:hAnsi="Times New Roman" w:cs="Times New Roman"/>
          <w:sz w:val="24"/>
          <w:szCs w:val="24"/>
          <w:lang w:val="en-GB"/>
        </w:rPr>
        <w:t>On 31 January 2014 five Special Rapporteurs and the Independent Expert on Minority Issues of the United Nations Human Rights Council sent a joint letter to Kazakhstan calling on it to stop the arrests of Jehovah’s Witnesses for “missionary activity,” the banning of their religious publications (see above section II.1), and the raids of their religious meetings (see above section II.2.). Unfortunately, that communication has largely been ignored by Kazakhstan</w:t>
      </w:r>
      <w:r w:rsidRPr="00B43D1C">
        <w:rPr>
          <w:rFonts w:ascii="Times New Roman" w:eastAsia="Times New Roman" w:hAnsi="Times New Roman" w:cs="Times New Roman"/>
          <w:color w:val="auto"/>
          <w:sz w:val="24"/>
          <w:szCs w:val="24"/>
          <w:lang w:val="en-GB" w:eastAsia="en-US"/>
        </w:rPr>
        <w:t>.</w:t>
      </w:r>
    </w:p>
    <w:p w:rsidR="00BC0775" w:rsidRDefault="00420D51" w:rsidP="00BC0775">
      <w:pPr>
        <w:spacing w:after="240"/>
        <w:ind w:right="181"/>
        <w:jc w:val="both"/>
        <w:rPr>
          <w:rFonts w:eastAsia="Times New Roman"/>
          <w:lang w:val="en-GB"/>
        </w:rPr>
      </w:pPr>
    </w:p>
    <w:p w:rsidR="00BC0775" w:rsidRDefault="00420D51" w:rsidP="00BC0775">
      <w:pPr>
        <w:spacing w:after="240"/>
        <w:ind w:right="181"/>
        <w:jc w:val="both"/>
        <w:rPr>
          <w:rFonts w:eastAsia="Times New Roman"/>
          <w:lang w:val="en-GB"/>
        </w:rPr>
      </w:pPr>
    </w:p>
    <w:p w:rsidR="00BC0775" w:rsidRPr="00BC0775" w:rsidRDefault="00420D51" w:rsidP="00BC0775">
      <w:pPr>
        <w:spacing w:after="240"/>
        <w:ind w:right="181"/>
        <w:jc w:val="both"/>
        <w:rPr>
          <w:rFonts w:eastAsia="Times New Roman"/>
          <w:lang w:val="en-GB"/>
        </w:rPr>
      </w:pPr>
    </w:p>
    <w:p w:rsidR="00A162DD" w:rsidRPr="00B43D1C" w:rsidRDefault="00EF3100" w:rsidP="0068384F">
      <w:pPr>
        <w:pStyle w:val="Corps"/>
        <w:numPr>
          <w:ilvl w:val="1"/>
          <w:numId w:val="42"/>
        </w:numPr>
        <w:ind w:left="990"/>
        <w:rPr>
          <w:rFonts w:ascii="Times New Roman" w:hAnsi="Times New Roman" w:cs="Times New Roman"/>
          <w:b/>
          <w:sz w:val="24"/>
          <w:szCs w:val="24"/>
          <w:lang w:val="en-GB"/>
        </w:rPr>
      </w:pPr>
      <w:r w:rsidRPr="00B43D1C">
        <w:rPr>
          <w:rFonts w:ascii="Times New Roman" w:hAnsi="Times New Roman" w:cs="Times New Roman"/>
          <w:b/>
          <w:sz w:val="24"/>
          <w:szCs w:val="24"/>
          <w:lang w:val="en-GB"/>
        </w:rPr>
        <w:lastRenderedPageBreak/>
        <w:t xml:space="preserve">Reaction of the authorities </w:t>
      </w:r>
      <w:r>
        <w:rPr>
          <w:rFonts w:ascii="Times New Roman" w:hAnsi="Times New Roman" w:cs="Times New Roman"/>
          <w:b/>
          <w:sz w:val="24"/>
          <w:szCs w:val="24"/>
          <w:lang w:val="en-GB"/>
        </w:rPr>
        <w:t xml:space="preserve">to </w:t>
      </w:r>
      <w:r w:rsidRPr="00B43D1C">
        <w:rPr>
          <w:rFonts w:ascii="Times New Roman" w:hAnsi="Times New Roman" w:cs="Times New Roman"/>
          <w:b/>
          <w:sz w:val="24"/>
          <w:szCs w:val="24"/>
          <w:lang w:val="en-GB"/>
        </w:rPr>
        <w:t xml:space="preserve">slander </w:t>
      </w:r>
      <w:r>
        <w:rPr>
          <w:rFonts w:ascii="Times New Roman" w:hAnsi="Times New Roman" w:cs="Times New Roman"/>
          <w:b/>
          <w:sz w:val="24"/>
          <w:szCs w:val="24"/>
          <w:lang w:val="en-GB"/>
        </w:rPr>
        <w:t xml:space="preserve">expressed </w:t>
      </w:r>
      <w:r w:rsidRPr="00B43D1C">
        <w:rPr>
          <w:rFonts w:ascii="Times New Roman" w:hAnsi="Times New Roman" w:cs="Times New Roman"/>
          <w:b/>
          <w:sz w:val="24"/>
          <w:szCs w:val="24"/>
          <w:lang w:val="en-GB"/>
        </w:rPr>
        <w:t>by officials</w:t>
      </w:r>
    </w:p>
    <w:p w:rsidR="000C35F9" w:rsidRPr="00B43D1C" w:rsidRDefault="00420D51">
      <w:pPr>
        <w:pStyle w:val="Corps"/>
        <w:spacing w:before="120" w:after="120" w:line="240" w:lineRule="auto"/>
        <w:rPr>
          <w:rFonts w:ascii="Times New Roman" w:hAnsi="Times New Roman" w:cs="Times New Roman"/>
          <w:b/>
          <w:bCs/>
          <w:i/>
          <w:iCs/>
          <w:sz w:val="24"/>
          <w:szCs w:val="24"/>
          <w:lang w:val="en-GB"/>
        </w:rPr>
      </w:pPr>
    </w:p>
    <w:p w:rsidR="000C35F9" w:rsidRPr="00B43D1C" w:rsidRDefault="00EF3100" w:rsidP="00EE5909">
      <w:pPr>
        <w:pStyle w:val="Listenabsatz"/>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On several occasions, Jehovah’s Witnesses had to file complaints to the relevant authorities when </w:t>
      </w:r>
      <w:r>
        <w:rPr>
          <w:rFonts w:ascii="Times New Roman" w:eastAsia="Times New Roman" w:hAnsi="Times New Roman" w:cs="Times New Roman"/>
          <w:color w:val="auto"/>
          <w:sz w:val="24"/>
          <w:szCs w:val="24"/>
          <w:lang w:val="en-GB" w:eastAsia="en-US"/>
        </w:rPr>
        <w:t xml:space="preserve">they were </w:t>
      </w:r>
      <w:r w:rsidRPr="00B43D1C">
        <w:rPr>
          <w:rFonts w:ascii="Times New Roman" w:eastAsia="Times New Roman" w:hAnsi="Times New Roman" w:cs="Times New Roman"/>
          <w:color w:val="auto"/>
          <w:sz w:val="24"/>
          <w:szCs w:val="24"/>
          <w:lang w:val="en-GB" w:eastAsia="en-US"/>
        </w:rPr>
        <w:t>v</w:t>
      </w:r>
      <w:r>
        <w:rPr>
          <w:rFonts w:ascii="Times New Roman" w:eastAsia="Times New Roman" w:hAnsi="Times New Roman" w:cs="Times New Roman"/>
          <w:color w:val="auto"/>
          <w:sz w:val="24"/>
          <w:szCs w:val="24"/>
          <w:lang w:val="en-GB" w:eastAsia="en-US"/>
        </w:rPr>
        <w:t>ictims of slander in mass media. Although the authorities’</w:t>
      </w:r>
      <w:r w:rsidRPr="00B43D1C">
        <w:rPr>
          <w:rFonts w:ascii="Times New Roman" w:eastAsia="Times New Roman" w:hAnsi="Times New Roman" w:cs="Times New Roman"/>
          <w:color w:val="auto"/>
          <w:sz w:val="24"/>
          <w:szCs w:val="24"/>
          <w:lang w:val="en-GB" w:eastAsia="en-US"/>
        </w:rPr>
        <w:t xml:space="preserve"> intervention </w:t>
      </w:r>
      <w:r>
        <w:rPr>
          <w:rFonts w:ascii="Times New Roman" w:eastAsia="Times New Roman" w:hAnsi="Times New Roman" w:cs="Times New Roman"/>
          <w:color w:val="auto"/>
          <w:sz w:val="24"/>
          <w:szCs w:val="24"/>
          <w:lang w:val="en-GB" w:eastAsia="en-US"/>
        </w:rPr>
        <w:t xml:space="preserve">has </w:t>
      </w:r>
      <w:r w:rsidRPr="00B43D1C">
        <w:rPr>
          <w:rFonts w:ascii="Times New Roman" w:eastAsia="Times New Roman" w:hAnsi="Times New Roman" w:cs="Times New Roman"/>
          <w:color w:val="auto"/>
          <w:sz w:val="24"/>
          <w:szCs w:val="24"/>
          <w:lang w:val="en-GB" w:eastAsia="en-US"/>
        </w:rPr>
        <w:t>helped, some officials</w:t>
      </w:r>
      <w:r>
        <w:rPr>
          <w:rFonts w:ascii="Times New Roman" w:eastAsia="Times New Roman" w:hAnsi="Times New Roman" w:cs="Times New Roman"/>
          <w:color w:val="auto"/>
          <w:sz w:val="24"/>
          <w:szCs w:val="24"/>
          <w:lang w:val="en-GB" w:eastAsia="en-US"/>
        </w:rPr>
        <w:t>’ discriminatory attitude</w:t>
      </w:r>
      <w:r w:rsidRPr="00B43D1C">
        <w:rPr>
          <w:rFonts w:ascii="Times New Roman" w:eastAsia="Times New Roman" w:hAnsi="Times New Roman" w:cs="Times New Roman"/>
          <w:color w:val="auto"/>
          <w:sz w:val="24"/>
          <w:szCs w:val="24"/>
          <w:lang w:val="en-GB" w:eastAsia="en-US"/>
        </w:rPr>
        <w:t xml:space="preserve"> continues to be observed in </w:t>
      </w:r>
      <w:r>
        <w:rPr>
          <w:rFonts w:ascii="Times New Roman" w:eastAsia="Times New Roman" w:hAnsi="Times New Roman" w:cs="Times New Roman"/>
          <w:color w:val="auto"/>
          <w:sz w:val="24"/>
          <w:szCs w:val="24"/>
          <w:lang w:val="en-GB" w:eastAsia="en-US"/>
        </w:rPr>
        <w:t>some</w:t>
      </w:r>
      <w:r w:rsidRPr="00B43D1C">
        <w:rPr>
          <w:rFonts w:ascii="Times New Roman" w:eastAsia="Times New Roman" w:hAnsi="Times New Roman" w:cs="Times New Roman"/>
          <w:color w:val="auto"/>
          <w:sz w:val="24"/>
          <w:szCs w:val="24"/>
          <w:lang w:val="en-GB" w:eastAsia="en-US"/>
        </w:rPr>
        <w:t xml:space="preserve"> regions</w:t>
      </w:r>
      <w:r>
        <w:rPr>
          <w:rFonts w:ascii="Times New Roman" w:eastAsia="Times New Roman" w:hAnsi="Times New Roman" w:cs="Times New Roman"/>
          <w:color w:val="auto"/>
          <w:sz w:val="24"/>
          <w:szCs w:val="24"/>
          <w:lang w:val="en-GB" w:eastAsia="en-US"/>
        </w:rPr>
        <w:t>.</w:t>
      </w:r>
    </w:p>
    <w:p w:rsidR="000C35F9" w:rsidRPr="00B43D1C" w:rsidRDefault="00EF3100" w:rsidP="000C35F9">
      <w:pPr>
        <w:pStyle w:val="Listenabsatz"/>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For instance, a slanderous article was published in a newspaper (“Ayrtauskiye zori”) by </w:t>
      </w:r>
      <w:r>
        <w:rPr>
          <w:rFonts w:ascii="Times New Roman" w:eastAsia="Times New Roman" w:hAnsi="Times New Roman" w:cs="Times New Roman"/>
          <w:color w:val="auto"/>
          <w:sz w:val="24"/>
          <w:szCs w:val="24"/>
          <w:lang w:val="en-GB" w:eastAsia="en-US"/>
        </w:rPr>
        <w:t xml:space="preserve">the </w:t>
      </w:r>
      <w:r w:rsidRPr="00B43D1C">
        <w:rPr>
          <w:rFonts w:ascii="Times New Roman" w:eastAsia="Times New Roman" w:hAnsi="Times New Roman" w:cs="Times New Roman"/>
          <w:color w:val="auto"/>
          <w:sz w:val="24"/>
          <w:szCs w:val="24"/>
          <w:lang w:val="en-GB" w:eastAsia="en-US"/>
        </w:rPr>
        <w:t>Department of Domestic Policy (DDP)</w:t>
      </w:r>
      <w:r>
        <w:rPr>
          <w:rFonts w:ascii="Times New Roman" w:eastAsia="Times New Roman" w:hAnsi="Times New Roman" w:cs="Times New Roman"/>
          <w:color w:val="auto"/>
          <w:sz w:val="24"/>
          <w:szCs w:val="24"/>
          <w:lang w:val="en-GB" w:eastAsia="en-US"/>
        </w:rPr>
        <w:t xml:space="preserve"> of the Ayrtau District Akimat (</w:t>
      </w:r>
      <w:r>
        <w:rPr>
          <w:rFonts w:ascii="Times New Roman" w:eastAsia="Times New Roman" w:hAnsi="Times New Roman" w:cs="Times New Roman"/>
          <w:sz w:val="24"/>
          <w:szCs w:val="24"/>
        </w:rPr>
        <w:t>local municipality</w:t>
      </w:r>
      <w:r>
        <w:rPr>
          <w:rFonts w:ascii="Times New Roman" w:eastAsia="Times New Roman" w:hAnsi="Times New Roman" w:cs="Times New Roman"/>
          <w:color w:val="auto"/>
          <w:sz w:val="24"/>
          <w:szCs w:val="24"/>
          <w:lang w:val="en-GB" w:eastAsia="en-US"/>
        </w:rPr>
        <w:t>), North-Kazakhstan Region</w:t>
      </w:r>
      <w:r w:rsidRPr="00B43D1C">
        <w:rPr>
          <w:rFonts w:ascii="Times New Roman" w:eastAsia="Times New Roman" w:hAnsi="Times New Roman" w:cs="Times New Roman"/>
          <w:color w:val="auto"/>
          <w:sz w:val="24"/>
          <w:szCs w:val="24"/>
          <w:lang w:val="en-GB" w:eastAsia="en-US"/>
        </w:rPr>
        <w:t xml:space="preserve">. The Ombudsman’s office was contacted and intervened with the Agency for State Officials. As a result, the official who initiated the slander was </w:t>
      </w:r>
      <w:r>
        <w:rPr>
          <w:rFonts w:ascii="Times New Roman" w:eastAsia="Times New Roman" w:hAnsi="Times New Roman" w:cs="Times New Roman"/>
          <w:color w:val="auto"/>
          <w:sz w:val="24"/>
          <w:szCs w:val="24"/>
          <w:lang w:val="en-GB" w:eastAsia="en-US"/>
        </w:rPr>
        <w:t>reprimanded</w:t>
      </w:r>
      <w:r w:rsidRPr="00B43D1C">
        <w:rPr>
          <w:rFonts w:ascii="Times New Roman" w:eastAsia="Times New Roman" w:hAnsi="Times New Roman" w:cs="Times New Roman"/>
          <w:color w:val="auto"/>
          <w:sz w:val="24"/>
          <w:szCs w:val="24"/>
          <w:lang w:val="en-GB" w:eastAsia="en-US"/>
        </w:rPr>
        <w:t xml:space="preserve"> by the Agency.</w:t>
      </w:r>
    </w:p>
    <w:p w:rsidR="00765F93" w:rsidRPr="00B43D1C" w:rsidRDefault="00EF3100" w:rsidP="00765F93">
      <w:pPr>
        <w:pStyle w:val="Listenabsatz"/>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In another instance</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a complaint was lodged regarding a defamatory article published by the Department of Domestic Policy (DDP). The Regional Department of the Agency for Civil Service Affairs (RDACSA) of the Akmolinskaya Region provided a written </w:t>
      </w:r>
      <w:r>
        <w:rPr>
          <w:rFonts w:ascii="Times New Roman" w:eastAsia="Times New Roman" w:hAnsi="Times New Roman" w:cs="Times New Roman"/>
          <w:color w:val="auto"/>
          <w:sz w:val="24"/>
          <w:szCs w:val="24"/>
          <w:lang w:val="en-GB" w:eastAsia="en-US"/>
        </w:rPr>
        <w:t>reply stating</w:t>
      </w:r>
      <w:r w:rsidRPr="00B43D1C">
        <w:rPr>
          <w:rFonts w:ascii="Times New Roman" w:eastAsia="Times New Roman" w:hAnsi="Times New Roman" w:cs="Times New Roman"/>
          <w:color w:val="auto"/>
          <w:sz w:val="24"/>
          <w:szCs w:val="24"/>
          <w:lang w:val="en-GB" w:eastAsia="en-US"/>
        </w:rPr>
        <w:t xml:space="preserve"> that the </w:t>
      </w:r>
      <w:r>
        <w:rPr>
          <w:rFonts w:ascii="Times New Roman" w:eastAsia="Times New Roman" w:hAnsi="Times New Roman" w:cs="Times New Roman"/>
          <w:color w:val="auto"/>
          <w:sz w:val="24"/>
          <w:szCs w:val="24"/>
          <w:lang w:val="en-GB" w:eastAsia="en-US"/>
        </w:rPr>
        <w:t>DDP violated the law, and the DDP</w:t>
      </w:r>
      <w:r w:rsidRPr="00B43D1C">
        <w:rPr>
          <w:rFonts w:ascii="Times New Roman" w:eastAsia="Times New Roman" w:hAnsi="Times New Roman" w:cs="Times New Roman"/>
          <w:color w:val="auto"/>
          <w:sz w:val="24"/>
          <w:szCs w:val="24"/>
          <w:lang w:val="en-GB" w:eastAsia="en-US"/>
        </w:rPr>
        <w:t xml:space="preserve"> published an apology in the “Zhana Esil” newspaper. In addition, the </w:t>
      </w:r>
      <w:r>
        <w:rPr>
          <w:rFonts w:ascii="Times New Roman" w:eastAsia="Times New Roman" w:hAnsi="Times New Roman" w:cs="Times New Roman"/>
          <w:color w:val="auto"/>
          <w:sz w:val="24"/>
          <w:szCs w:val="24"/>
          <w:lang w:val="en-GB" w:eastAsia="en-US"/>
        </w:rPr>
        <w:t>RDACSA</w:t>
      </w:r>
      <w:r w:rsidRPr="00B43D1C">
        <w:rPr>
          <w:rFonts w:ascii="Times New Roman" w:eastAsia="Times New Roman" w:hAnsi="Times New Roman" w:cs="Times New Roman"/>
          <w:color w:val="auto"/>
          <w:sz w:val="24"/>
          <w:szCs w:val="24"/>
          <w:lang w:val="en-GB" w:eastAsia="en-US"/>
        </w:rPr>
        <w:t xml:space="preserve"> informed the Administrative Center of Jehovah’s Witnesses that they sent a letter to the Governor’s office </w:t>
      </w:r>
      <w:r>
        <w:rPr>
          <w:rFonts w:ascii="Times New Roman" w:eastAsia="Times New Roman" w:hAnsi="Times New Roman" w:cs="Times New Roman"/>
          <w:color w:val="auto"/>
          <w:sz w:val="24"/>
          <w:szCs w:val="24"/>
          <w:lang w:val="en-GB" w:eastAsia="en-US"/>
        </w:rPr>
        <w:t>directing them</w:t>
      </w:r>
      <w:r w:rsidRPr="00B43D1C">
        <w:rPr>
          <w:rFonts w:ascii="Times New Roman" w:eastAsia="Times New Roman" w:hAnsi="Times New Roman" w:cs="Times New Roman"/>
          <w:color w:val="auto"/>
          <w:sz w:val="24"/>
          <w:szCs w:val="24"/>
          <w:lang w:val="en-GB" w:eastAsia="en-US"/>
        </w:rPr>
        <w:t xml:space="preserve"> to </w:t>
      </w:r>
      <w:r>
        <w:rPr>
          <w:rFonts w:ascii="Times New Roman" w:eastAsia="Times New Roman" w:hAnsi="Times New Roman" w:cs="Times New Roman"/>
          <w:color w:val="auto"/>
          <w:sz w:val="24"/>
          <w:szCs w:val="24"/>
          <w:lang w:val="en-GB" w:eastAsia="en-US"/>
        </w:rPr>
        <w:t>conduct</w:t>
      </w:r>
      <w:r w:rsidRPr="00B43D1C">
        <w:rPr>
          <w:rFonts w:ascii="Times New Roman" w:eastAsia="Times New Roman" w:hAnsi="Times New Roman" w:cs="Times New Roman"/>
          <w:color w:val="auto"/>
          <w:sz w:val="24"/>
          <w:szCs w:val="24"/>
          <w:lang w:val="en-GB" w:eastAsia="en-US"/>
        </w:rPr>
        <w:t xml:space="preserve"> a special staff meeting to prevent such violations in the future and hold the responsible persons liable.</w:t>
      </w:r>
    </w:p>
    <w:p w:rsidR="000C35F9" w:rsidRPr="00B43D1C" w:rsidRDefault="00EF3100" w:rsidP="00765F93">
      <w:pPr>
        <w:pStyle w:val="Listenabsatz"/>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On </w:t>
      </w:r>
      <w:r>
        <w:rPr>
          <w:rFonts w:ascii="Times New Roman" w:eastAsia="Times New Roman" w:hAnsi="Times New Roman" w:cs="Times New Roman"/>
          <w:color w:val="auto"/>
          <w:sz w:val="24"/>
          <w:szCs w:val="24"/>
          <w:lang w:val="en-GB" w:eastAsia="en-US"/>
        </w:rPr>
        <w:t xml:space="preserve">15 </w:t>
      </w:r>
      <w:r w:rsidRPr="00B43D1C">
        <w:rPr>
          <w:rFonts w:ascii="Times New Roman" w:eastAsia="Times New Roman" w:hAnsi="Times New Roman" w:cs="Times New Roman"/>
          <w:color w:val="auto"/>
          <w:sz w:val="24"/>
          <w:szCs w:val="24"/>
          <w:lang w:val="en-GB" w:eastAsia="en-US"/>
        </w:rPr>
        <w:t xml:space="preserve">September 2014 a meeting </w:t>
      </w:r>
      <w:r>
        <w:rPr>
          <w:rFonts w:ascii="Times New Roman" w:eastAsia="Times New Roman" w:hAnsi="Times New Roman" w:cs="Times New Roman"/>
          <w:color w:val="auto"/>
          <w:sz w:val="24"/>
          <w:szCs w:val="24"/>
          <w:lang w:val="en-GB" w:eastAsia="en-US"/>
        </w:rPr>
        <w:t xml:space="preserve">with teachers </w:t>
      </w:r>
      <w:r w:rsidRPr="00B43D1C">
        <w:rPr>
          <w:rFonts w:ascii="Times New Roman" w:eastAsia="Times New Roman" w:hAnsi="Times New Roman" w:cs="Times New Roman"/>
          <w:color w:val="auto"/>
          <w:sz w:val="24"/>
          <w:szCs w:val="24"/>
          <w:lang w:val="en-GB" w:eastAsia="en-US"/>
        </w:rPr>
        <w:t>was organized by the Department of Education of Karaganda</w:t>
      </w:r>
      <w:r>
        <w:rPr>
          <w:rFonts w:ascii="Times New Roman" w:eastAsia="Times New Roman" w:hAnsi="Times New Roman" w:cs="Times New Roman"/>
          <w:color w:val="auto"/>
          <w:sz w:val="24"/>
          <w:szCs w:val="24"/>
          <w:lang w:val="en-GB" w:eastAsia="en-US"/>
        </w:rPr>
        <w:t xml:space="preserve"> (DOE)</w:t>
      </w:r>
      <w:r w:rsidRPr="00B43D1C">
        <w:rPr>
          <w:rFonts w:ascii="Times New Roman" w:eastAsia="Times New Roman" w:hAnsi="Times New Roman" w:cs="Times New Roman"/>
          <w:color w:val="auto"/>
          <w:sz w:val="24"/>
          <w:szCs w:val="24"/>
          <w:lang w:val="en-GB" w:eastAsia="en-US"/>
        </w:rPr>
        <w:t xml:space="preserve"> region. This meeting </w:t>
      </w:r>
      <w:r>
        <w:rPr>
          <w:rFonts w:ascii="Times New Roman" w:eastAsia="Times New Roman" w:hAnsi="Times New Roman" w:cs="Times New Roman"/>
          <w:color w:val="auto"/>
          <w:sz w:val="24"/>
          <w:szCs w:val="24"/>
          <w:lang w:val="en-GB" w:eastAsia="en-US"/>
        </w:rPr>
        <w:t xml:space="preserve">covered </w:t>
      </w:r>
      <w:r w:rsidRPr="00B43D1C">
        <w:rPr>
          <w:rFonts w:ascii="Times New Roman" w:eastAsia="Times New Roman" w:hAnsi="Times New Roman" w:cs="Times New Roman"/>
          <w:color w:val="auto"/>
          <w:sz w:val="24"/>
          <w:szCs w:val="24"/>
          <w:lang w:val="en-GB" w:eastAsia="en-US"/>
        </w:rPr>
        <w:t>counter-acti</w:t>
      </w:r>
      <w:r>
        <w:rPr>
          <w:rFonts w:ascii="Times New Roman" w:eastAsia="Times New Roman" w:hAnsi="Times New Roman" w:cs="Times New Roman"/>
          <w:color w:val="auto"/>
          <w:sz w:val="24"/>
          <w:szCs w:val="24"/>
          <w:lang w:val="en-GB" w:eastAsia="en-US"/>
        </w:rPr>
        <w:t>ng</w:t>
      </w:r>
      <w:r w:rsidRPr="00B43D1C">
        <w:rPr>
          <w:rFonts w:ascii="Times New Roman" w:eastAsia="Times New Roman" w:hAnsi="Times New Roman" w:cs="Times New Roman"/>
          <w:color w:val="auto"/>
          <w:sz w:val="24"/>
          <w:szCs w:val="24"/>
          <w:lang w:val="en-GB" w:eastAsia="en-US"/>
        </w:rPr>
        <w:t xml:space="preserve"> religious extremism and there were defamatory statements </w:t>
      </w:r>
      <w:r>
        <w:rPr>
          <w:rFonts w:ascii="Times New Roman" w:eastAsia="Times New Roman" w:hAnsi="Times New Roman" w:cs="Times New Roman"/>
          <w:color w:val="auto"/>
          <w:sz w:val="24"/>
          <w:szCs w:val="24"/>
          <w:lang w:val="en-GB" w:eastAsia="en-US"/>
        </w:rPr>
        <w:t xml:space="preserve">made </w:t>
      </w:r>
      <w:r w:rsidRPr="00B43D1C">
        <w:rPr>
          <w:rFonts w:ascii="Times New Roman" w:eastAsia="Times New Roman" w:hAnsi="Times New Roman" w:cs="Times New Roman"/>
          <w:color w:val="auto"/>
          <w:sz w:val="24"/>
          <w:szCs w:val="24"/>
          <w:lang w:val="en-GB" w:eastAsia="en-US"/>
        </w:rPr>
        <w:t xml:space="preserve">about Jehovah’s Witnesses by the religious figure </w:t>
      </w:r>
      <w:r>
        <w:rPr>
          <w:rFonts w:ascii="Times New Roman" w:eastAsia="Times New Roman" w:hAnsi="Times New Roman" w:cs="Times New Roman"/>
          <w:color w:val="auto"/>
          <w:sz w:val="24"/>
          <w:szCs w:val="24"/>
          <w:lang w:val="en-GB" w:eastAsia="en-US"/>
        </w:rPr>
        <w:t>invited from</w:t>
      </w:r>
      <w:r w:rsidRPr="00B43D1C">
        <w:rPr>
          <w:rFonts w:ascii="Times New Roman" w:eastAsia="Times New Roman" w:hAnsi="Times New Roman" w:cs="Times New Roman"/>
          <w:color w:val="auto"/>
          <w:sz w:val="24"/>
          <w:szCs w:val="24"/>
          <w:lang w:val="en-GB" w:eastAsia="en-US"/>
        </w:rPr>
        <w:t xml:space="preserve"> the Russian Orthodox Church. </w:t>
      </w:r>
      <w:r>
        <w:rPr>
          <w:rFonts w:ascii="Times New Roman" w:eastAsia="Times New Roman" w:hAnsi="Times New Roman" w:cs="Times New Roman"/>
          <w:color w:val="auto"/>
          <w:sz w:val="24"/>
          <w:szCs w:val="24"/>
          <w:lang w:val="en-GB" w:eastAsia="en-US"/>
        </w:rPr>
        <w:t xml:space="preserve">Jehovah’s Witnesses were described as </w:t>
      </w:r>
      <w:r w:rsidRPr="00B43D1C">
        <w:rPr>
          <w:rFonts w:ascii="Times New Roman" w:eastAsia="Times New Roman" w:hAnsi="Times New Roman" w:cs="Times New Roman"/>
          <w:color w:val="auto"/>
          <w:sz w:val="24"/>
          <w:szCs w:val="24"/>
          <w:lang w:val="en-GB" w:eastAsia="en-US"/>
        </w:rPr>
        <w:t xml:space="preserve">a sect </w:t>
      </w:r>
      <w:r>
        <w:rPr>
          <w:rFonts w:ascii="Times New Roman" w:eastAsia="Times New Roman" w:hAnsi="Times New Roman" w:cs="Times New Roman"/>
          <w:color w:val="auto"/>
          <w:sz w:val="24"/>
          <w:szCs w:val="24"/>
          <w:lang w:val="en-GB" w:eastAsia="en-US"/>
        </w:rPr>
        <w:t xml:space="preserve">that has a </w:t>
      </w:r>
      <w:r w:rsidRPr="00B43D1C">
        <w:rPr>
          <w:rFonts w:ascii="Times New Roman" w:eastAsia="Times New Roman" w:hAnsi="Times New Roman" w:cs="Times New Roman"/>
          <w:color w:val="auto"/>
          <w:sz w:val="24"/>
          <w:szCs w:val="24"/>
          <w:lang w:val="en-GB" w:eastAsia="en-US"/>
        </w:rPr>
        <w:t xml:space="preserve">destructive impact on society. </w:t>
      </w:r>
      <w:r w:rsidRPr="00D0470A">
        <w:rPr>
          <w:rFonts w:ascii="Times New Roman" w:hAnsi="Times New Roman" w:cs="Times New Roman"/>
          <w:sz w:val="24"/>
        </w:rPr>
        <w:t xml:space="preserve">On 3 February 2015 we sent a letter to the DOE </w:t>
      </w:r>
      <w:r w:rsidRPr="00D0470A">
        <w:rPr>
          <w:rFonts w:ascii="Times New Roman" w:hAnsi="Times New Roman" w:cs="Times New Roman"/>
          <w:sz w:val="24"/>
          <w:szCs w:val="24"/>
          <w:lang w:eastAsia="en-US"/>
        </w:rPr>
        <w:t>regarding discriminative statements made at the meeting organized by them</w:t>
      </w:r>
      <w:r w:rsidRPr="00D0470A">
        <w:rPr>
          <w:rFonts w:ascii="Times New Roman" w:hAnsi="Times New Roman" w:cs="Times New Roman"/>
          <w:sz w:val="24"/>
          <w:szCs w:val="24"/>
        </w:rPr>
        <w:t xml:space="preserve">. Since </w:t>
      </w:r>
      <w:r w:rsidRPr="00D0470A">
        <w:rPr>
          <w:rFonts w:ascii="Times New Roman" w:hAnsi="Times New Roman" w:cs="Times New Roman"/>
          <w:sz w:val="24"/>
        </w:rPr>
        <w:t xml:space="preserve">we did not receive any reply in the month of May, we sent a short reminder on 6 May 2015. </w:t>
      </w:r>
      <w:r w:rsidRPr="00B43D1C">
        <w:rPr>
          <w:rFonts w:ascii="Times New Roman" w:eastAsia="Times New Roman" w:hAnsi="Times New Roman" w:cs="Times New Roman"/>
          <w:color w:val="auto"/>
          <w:sz w:val="24"/>
          <w:szCs w:val="24"/>
          <w:lang w:val="en-GB" w:eastAsia="en-US"/>
        </w:rPr>
        <w:t>According to Kazakhstan law, all letters to governmental institutions authorized to receive complaints from individuals and legal entities must be answered within 30 calendar days. The Ministry of Education eventually provided an answer dated</w:t>
      </w:r>
      <w:r>
        <w:rPr>
          <w:rFonts w:ascii="Times New Roman" w:eastAsia="Times New Roman" w:hAnsi="Times New Roman" w:cs="Times New Roman"/>
          <w:color w:val="auto"/>
          <w:sz w:val="24"/>
          <w:szCs w:val="24"/>
          <w:lang w:val="en-GB" w:eastAsia="en-US"/>
        </w:rPr>
        <w:t xml:space="preserve"> 26</w:t>
      </w:r>
      <w:r w:rsidRPr="00B43D1C">
        <w:rPr>
          <w:rFonts w:ascii="Times New Roman" w:eastAsia="Times New Roman" w:hAnsi="Times New Roman" w:cs="Times New Roman"/>
          <w:color w:val="auto"/>
          <w:sz w:val="24"/>
          <w:szCs w:val="24"/>
          <w:lang w:val="en-GB" w:eastAsia="en-US"/>
        </w:rPr>
        <w:t xml:space="preserve"> May 2015. They informed Jehovah</w:t>
      </w:r>
      <w:r>
        <w:rPr>
          <w:rFonts w:ascii="Times New Roman" w:eastAsia="Times New Roman" w:hAnsi="Times New Roman" w:cs="Times New Roman"/>
          <w:color w:val="auto"/>
          <w:sz w:val="24"/>
          <w:szCs w:val="24"/>
          <w:lang w:val="en-GB" w:eastAsia="en-US"/>
        </w:rPr>
        <w:t>’s</w:t>
      </w:r>
      <w:r w:rsidRPr="00B43D1C">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W</w:t>
      </w:r>
      <w:r w:rsidRPr="00B43D1C">
        <w:rPr>
          <w:rFonts w:ascii="Times New Roman" w:eastAsia="Times New Roman" w:hAnsi="Times New Roman" w:cs="Times New Roman"/>
          <w:color w:val="auto"/>
          <w:sz w:val="24"/>
          <w:szCs w:val="24"/>
          <w:lang w:val="en-GB" w:eastAsia="en-US"/>
        </w:rPr>
        <w:t xml:space="preserve">itnesses that they organized a </w:t>
      </w:r>
      <w:r>
        <w:rPr>
          <w:rFonts w:ascii="Times New Roman" w:eastAsia="Times New Roman" w:hAnsi="Times New Roman" w:cs="Times New Roman"/>
          <w:color w:val="auto"/>
          <w:sz w:val="24"/>
          <w:szCs w:val="24"/>
          <w:lang w:val="en-GB" w:eastAsia="en-US"/>
        </w:rPr>
        <w:t xml:space="preserve">joint </w:t>
      </w:r>
      <w:r w:rsidRPr="00B43D1C">
        <w:rPr>
          <w:rFonts w:ascii="Times New Roman" w:eastAsia="Times New Roman" w:hAnsi="Times New Roman" w:cs="Times New Roman"/>
          <w:color w:val="auto"/>
          <w:sz w:val="24"/>
          <w:szCs w:val="24"/>
          <w:lang w:val="en-GB" w:eastAsia="en-US"/>
        </w:rPr>
        <w:t xml:space="preserve">meeting with the clergy of the Russian Orthodox Church of Karaganda and Shakhtinsk Eparchy with the Department of Religious Affairs of Karaganda region. </w:t>
      </w:r>
      <w:r>
        <w:rPr>
          <w:rFonts w:ascii="Times New Roman" w:eastAsia="Times New Roman" w:hAnsi="Times New Roman" w:cs="Times New Roman"/>
          <w:color w:val="auto"/>
          <w:sz w:val="24"/>
          <w:szCs w:val="24"/>
          <w:lang w:val="en-GB" w:eastAsia="en-US"/>
        </w:rPr>
        <w:t>Then, they</w:t>
      </w:r>
      <w:r w:rsidRPr="00B43D1C">
        <w:rPr>
          <w:rFonts w:ascii="Times New Roman" w:eastAsia="Times New Roman" w:hAnsi="Times New Roman" w:cs="Times New Roman"/>
          <w:color w:val="auto"/>
          <w:sz w:val="24"/>
          <w:szCs w:val="24"/>
          <w:lang w:val="en-GB" w:eastAsia="en-US"/>
        </w:rPr>
        <w:t xml:space="preserve"> inform</w:t>
      </w:r>
      <w:r>
        <w:rPr>
          <w:rFonts w:ascii="Times New Roman" w:eastAsia="Times New Roman" w:hAnsi="Times New Roman" w:cs="Times New Roman"/>
          <w:color w:val="auto"/>
          <w:sz w:val="24"/>
          <w:szCs w:val="24"/>
          <w:lang w:val="en-GB" w:eastAsia="en-US"/>
        </w:rPr>
        <w:t>ed the Witnesses</w:t>
      </w:r>
      <w:r w:rsidRPr="00B43D1C">
        <w:rPr>
          <w:rFonts w:ascii="Times New Roman" w:eastAsia="Times New Roman" w:hAnsi="Times New Roman" w:cs="Times New Roman"/>
          <w:color w:val="auto"/>
          <w:sz w:val="24"/>
          <w:szCs w:val="24"/>
          <w:lang w:val="en-GB" w:eastAsia="en-US"/>
        </w:rPr>
        <w:t xml:space="preserve"> that “at this meeting the clergy considered the complaint and will take it into account when conducting meetings on the prevention of extremism in the future.” However</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since such discriminative statements were made </w:t>
      </w:r>
      <w:r>
        <w:rPr>
          <w:rFonts w:ascii="Times New Roman" w:eastAsia="Times New Roman" w:hAnsi="Times New Roman" w:cs="Times New Roman"/>
          <w:color w:val="auto"/>
          <w:sz w:val="24"/>
          <w:szCs w:val="24"/>
          <w:lang w:val="en-GB" w:eastAsia="en-US"/>
        </w:rPr>
        <w:t>at</w:t>
      </w:r>
      <w:r w:rsidRPr="00B43D1C">
        <w:rPr>
          <w:rFonts w:ascii="Times New Roman" w:eastAsia="Times New Roman" w:hAnsi="Times New Roman" w:cs="Times New Roman"/>
          <w:color w:val="auto"/>
          <w:sz w:val="24"/>
          <w:szCs w:val="24"/>
          <w:lang w:val="en-GB" w:eastAsia="en-US"/>
        </w:rPr>
        <w:t xml:space="preserve"> the </w:t>
      </w:r>
      <w:r>
        <w:rPr>
          <w:rFonts w:ascii="Times New Roman" w:eastAsia="Times New Roman" w:hAnsi="Times New Roman" w:cs="Times New Roman"/>
          <w:color w:val="auto"/>
          <w:sz w:val="24"/>
          <w:szCs w:val="24"/>
          <w:lang w:val="en-GB" w:eastAsia="en-US"/>
        </w:rPr>
        <w:t>S</w:t>
      </w:r>
      <w:r w:rsidRPr="00B43D1C">
        <w:rPr>
          <w:rFonts w:ascii="Times New Roman" w:eastAsia="Times New Roman" w:hAnsi="Times New Roman" w:cs="Times New Roman"/>
          <w:color w:val="auto"/>
          <w:sz w:val="24"/>
          <w:szCs w:val="24"/>
          <w:lang w:val="en-GB" w:eastAsia="en-US"/>
        </w:rPr>
        <w:t>tate</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organized event, another letter was sen</w:t>
      </w:r>
      <w:r>
        <w:rPr>
          <w:rFonts w:ascii="Times New Roman" w:eastAsia="Times New Roman" w:hAnsi="Times New Roman" w:cs="Times New Roman"/>
          <w:color w:val="auto"/>
          <w:sz w:val="24"/>
          <w:szCs w:val="24"/>
          <w:lang w:val="en-GB" w:eastAsia="en-US"/>
        </w:rPr>
        <w:t>t</w:t>
      </w:r>
      <w:r w:rsidRPr="00B43D1C">
        <w:rPr>
          <w:rFonts w:ascii="Times New Roman" w:eastAsia="Times New Roman" w:hAnsi="Times New Roman" w:cs="Times New Roman"/>
          <w:color w:val="auto"/>
          <w:sz w:val="24"/>
          <w:szCs w:val="24"/>
          <w:lang w:val="en-GB" w:eastAsia="en-US"/>
        </w:rPr>
        <w:t xml:space="preserve"> to remind the</w:t>
      </w:r>
      <w:r>
        <w:rPr>
          <w:rFonts w:ascii="Times New Roman" w:eastAsia="Times New Roman" w:hAnsi="Times New Roman" w:cs="Times New Roman"/>
          <w:color w:val="auto"/>
          <w:sz w:val="24"/>
          <w:szCs w:val="24"/>
          <w:lang w:val="en-GB" w:eastAsia="en-US"/>
        </w:rPr>
        <w:t>m of the</w:t>
      </w:r>
      <w:r w:rsidRPr="00B43D1C">
        <w:rPr>
          <w:rFonts w:ascii="Times New Roman" w:eastAsia="Times New Roman" w:hAnsi="Times New Roman" w:cs="Times New Roman"/>
          <w:color w:val="auto"/>
          <w:sz w:val="24"/>
          <w:szCs w:val="24"/>
          <w:lang w:val="en-GB" w:eastAsia="en-US"/>
        </w:rPr>
        <w:t xml:space="preserve"> responsibility of the Ministry of Education to control what is said </w:t>
      </w:r>
      <w:r>
        <w:rPr>
          <w:rFonts w:ascii="Times New Roman" w:eastAsia="Times New Roman" w:hAnsi="Times New Roman" w:cs="Times New Roman"/>
          <w:color w:val="auto"/>
          <w:sz w:val="24"/>
          <w:szCs w:val="24"/>
          <w:lang w:val="en-GB" w:eastAsia="en-US"/>
        </w:rPr>
        <w:t>at</w:t>
      </w:r>
      <w:r w:rsidRPr="00B43D1C">
        <w:rPr>
          <w:rFonts w:ascii="Times New Roman" w:eastAsia="Times New Roman" w:hAnsi="Times New Roman" w:cs="Times New Roman"/>
          <w:color w:val="auto"/>
          <w:sz w:val="24"/>
          <w:szCs w:val="24"/>
          <w:lang w:val="en-GB" w:eastAsia="en-US"/>
        </w:rPr>
        <w:t xml:space="preserve"> such meetings.</w:t>
      </w:r>
    </w:p>
    <w:p w:rsidR="005730C1" w:rsidRPr="00B43D1C" w:rsidRDefault="00EF3100" w:rsidP="00FB76E3">
      <w:pPr>
        <w:pStyle w:val="Listenabsatz"/>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During the month of July 2015, </w:t>
      </w:r>
      <w:r>
        <w:rPr>
          <w:rFonts w:ascii="Times New Roman" w:eastAsia="Times New Roman" w:hAnsi="Times New Roman" w:cs="Times New Roman"/>
          <w:color w:val="auto"/>
          <w:sz w:val="24"/>
          <w:szCs w:val="24"/>
          <w:lang w:val="en-GB" w:eastAsia="en-US"/>
        </w:rPr>
        <w:t xml:space="preserve">the “Institute of Analysis and Forecasting” distributed </w:t>
      </w:r>
      <w:r w:rsidRPr="00B43D1C">
        <w:rPr>
          <w:rFonts w:ascii="Times New Roman" w:eastAsia="Times New Roman" w:hAnsi="Times New Roman" w:cs="Times New Roman"/>
          <w:color w:val="auto"/>
          <w:sz w:val="24"/>
          <w:szCs w:val="24"/>
          <w:lang w:val="en-GB" w:eastAsia="en-US"/>
        </w:rPr>
        <w:t>a questionnaire in the Eastern Kazakhstan region (</w:t>
      </w:r>
      <w:r>
        <w:rPr>
          <w:rFonts w:ascii="Times New Roman" w:eastAsia="Times New Roman" w:hAnsi="Times New Roman" w:cs="Times New Roman"/>
          <w:sz w:val="24"/>
          <w:szCs w:val="24"/>
          <w:lang w:val="en-GB" w:eastAsia="en-US"/>
        </w:rPr>
        <w:t>Appendix 4</w:t>
      </w:r>
      <w:r w:rsidRPr="00B43D1C">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 xml:space="preserve">The </w:t>
      </w:r>
      <w:r w:rsidRPr="00B43D1C">
        <w:rPr>
          <w:rFonts w:ascii="Times New Roman" w:eastAsia="Times New Roman" w:hAnsi="Times New Roman" w:cs="Times New Roman"/>
          <w:color w:val="auto"/>
          <w:sz w:val="24"/>
          <w:szCs w:val="24"/>
          <w:lang w:val="en-GB" w:eastAsia="en-US"/>
        </w:rPr>
        <w:t xml:space="preserve">subject </w:t>
      </w:r>
      <w:r>
        <w:rPr>
          <w:rFonts w:ascii="Times New Roman" w:eastAsia="Times New Roman" w:hAnsi="Times New Roman" w:cs="Times New Roman"/>
          <w:color w:val="auto"/>
          <w:sz w:val="24"/>
          <w:szCs w:val="24"/>
          <w:lang w:val="en-GB" w:eastAsia="en-US"/>
        </w:rPr>
        <w:t xml:space="preserve">of the questionnaire was </w:t>
      </w:r>
      <w:r w:rsidRPr="00B43D1C">
        <w:rPr>
          <w:rFonts w:ascii="Times New Roman" w:eastAsia="Times New Roman" w:hAnsi="Times New Roman" w:cs="Times New Roman"/>
          <w:color w:val="auto"/>
          <w:sz w:val="24"/>
          <w:szCs w:val="24"/>
          <w:lang w:val="en-GB" w:eastAsia="en-US"/>
        </w:rPr>
        <w:t>“Extent of Proliferation and Influence of the Destructive Religious Organizations in the East-Kazakhstan region.” This “Institute” is listed on the official site of the Governor’s office as “cooperating institution for sociological reviews” and apparently acts on the order of the Department of Religious Affairs (DRA). Jehovah’s Witnesses are mentioned in this questionnaire in an offensive and discriminatory way. A complaint has been filed with the DRA copied to the CRA.</w:t>
      </w:r>
    </w:p>
    <w:p w:rsidR="003878B0" w:rsidRPr="002A0F1A" w:rsidRDefault="00EF3100" w:rsidP="002A0F1A">
      <w:pPr>
        <w:pStyle w:val="Listenabsatz"/>
        <w:numPr>
          <w:ilvl w:val="1"/>
          <w:numId w:val="29"/>
        </w:numPr>
        <w:tabs>
          <w:tab w:val="clear" w:pos="435"/>
          <w:tab w:val="num" w:pos="399"/>
        </w:tabs>
        <w:autoSpaceDE w:val="0"/>
        <w:autoSpaceDN w:val="0"/>
        <w:adjustRightInd w:val="0"/>
        <w:spacing w:after="240" w:line="240" w:lineRule="auto"/>
        <w:ind w:left="399" w:right="181" w:hanging="399"/>
        <w:jc w:val="both"/>
        <w:rPr>
          <w:rFonts w:eastAsia="Times New Roman"/>
        </w:rPr>
      </w:pPr>
      <w:r>
        <w:rPr>
          <w:rFonts w:ascii="Times New Roman" w:eastAsia="Times New Roman" w:hAnsi="Times New Roman" w:cs="Times New Roman"/>
          <w:color w:val="auto"/>
          <w:sz w:val="24"/>
          <w:szCs w:val="24"/>
          <w:lang w:val="en-GB" w:eastAsia="en-US"/>
        </w:rPr>
        <w:t>T</w:t>
      </w:r>
      <w:r w:rsidRPr="002A0F1A">
        <w:rPr>
          <w:rFonts w:ascii="Times New Roman" w:eastAsia="Times New Roman" w:hAnsi="Times New Roman" w:cs="Times New Roman"/>
          <w:sz w:val="24"/>
          <w:szCs w:val="24"/>
        </w:rPr>
        <w:t xml:space="preserve">he “Center of Survey and Analysis” (CSA), a subdivision of the Department of Religious Affairs of the Almaty City Akimat (local municipality), initiated and </w:t>
      </w:r>
      <w:r>
        <w:rPr>
          <w:rFonts w:ascii="Times New Roman" w:eastAsia="Times New Roman" w:hAnsi="Times New Roman" w:cs="Times New Roman"/>
          <w:sz w:val="24"/>
          <w:szCs w:val="24"/>
        </w:rPr>
        <w:t xml:space="preserve">were </w:t>
      </w:r>
      <w:r w:rsidRPr="002A0F1A">
        <w:rPr>
          <w:rFonts w:ascii="Times New Roman" w:eastAsia="Times New Roman" w:hAnsi="Times New Roman" w:cs="Times New Roman"/>
          <w:sz w:val="24"/>
          <w:szCs w:val="24"/>
        </w:rPr>
        <w:t>further encouraged to participate in its “expert survey”. The purpose of this survey is outlined as “to collect information about methods of proselytism in activities of the religious organizations and methods of missionary activities in Almaty, examining their peculiarities, and elaborating recom</w:t>
      </w:r>
      <w:r w:rsidRPr="002A0F1A">
        <w:rPr>
          <w:rFonts w:ascii="Times New Roman" w:eastAsia="Times New Roman" w:hAnsi="Times New Roman" w:cs="Times New Roman"/>
          <w:sz w:val="24"/>
          <w:szCs w:val="24"/>
        </w:rPr>
        <w:lastRenderedPageBreak/>
        <w:t>mendations in this regard”. However, the question</w:t>
      </w:r>
      <w:r>
        <w:rPr>
          <w:rFonts w:ascii="Times New Roman" w:eastAsia="Times New Roman" w:hAnsi="Times New Roman" w:cs="Times New Roman"/>
          <w:sz w:val="24"/>
          <w:szCs w:val="24"/>
        </w:rPr>
        <w:t xml:space="preserve">naire </w:t>
      </w:r>
      <w:r w:rsidRPr="00B12138">
        <w:rPr>
          <w:rFonts w:ascii="Times New Roman" w:eastAsia="Times New Roman" w:hAnsi="Times New Roman" w:cs="Times New Roman"/>
          <w:sz w:val="24"/>
          <w:szCs w:val="24"/>
        </w:rPr>
        <w:t xml:space="preserve">seems </w:t>
      </w:r>
      <w:r>
        <w:rPr>
          <w:rFonts w:ascii="Times New Roman" w:eastAsia="Times New Roman" w:hAnsi="Times New Roman" w:cs="Times New Roman"/>
          <w:sz w:val="24"/>
          <w:szCs w:val="24"/>
        </w:rPr>
        <w:t xml:space="preserve">to be </w:t>
      </w:r>
      <w:r w:rsidRPr="002A0F1A">
        <w:rPr>
          <w:rFonts w:ascii="Times New Roman" w:eastAsia="Times New Roman" w:hAnsi="Times New Roman" w:cs="Times New Roman"/>
          <w:sz w:val="24"/>
          <w:szCs w:val="24"/>
        </w:rPr>
        <w:t>generalized and do</w:t>
      </w:r>
      <w:r>
        <w:rPr>
          <w:rFonts w:ascii="Times New Roman" w:eastAsia="Times New Roman" w:hAnsi="Times New Roman" w:cs="Times New Roman"/>
          <w:sz w:val="24"/>
          <w:szCs w:val="24"/>
        </w:rPr>
        <w:t>es</w:t>
      </w:r>
      <w:r w:rsidRPr="002A0F1A">
        <w:rPr>
          <w:rFonts w:ascii="Times New Roman" w:eastAsia="Times New Roman" w:hAnsi="Times New Roman" w:cs="Times New Roman"/>
          <w:sz w:val="24"/>
          <w:szCs w:val="24"/>
        </w:rPr>
        <w:t xml:space="preserve"> not take into account the differences between the respondent groups. For instance, some questions are of</w:t>
      </w:r>
      <w:r>
        <w:rPr>
          <w:rFonts w:ascii="Times New Roman" w:eastAsia="Times New Roman" w:hAnsi="Times New Roman" w:cs="Times New Roman"/>
          <w:sz w:val="24"/>
          <w:szCs w:val="24"/>
        </w:rPr>
        <w:t xml:space="preserve"> a pure</w:t>
      </w:r>
      <w:r w:rsidRPr="002A0F1A">
        <w:rPr>
          <w:rFonts w:ascii="Times New Roman" w:eastAsia="Times New Roman" w:hAnsi="Times New Roman" w:cs="Times New Roman"/>
          <w:sz w:val="24"/>
          <w:szCs w:val="24"/>
        </w:rPr>
        <w:t xml:space="preserve"> discriminatory nature. It is also seen that some other questions are included at the possible insistence of anti-cult groups. In these questions they are asking for an opinion on the presence of so-called “destructive religious organization”. </w:t>
      </w:r>
      <w:r>
        <w:rPr>
          <w:rFonts w:ascii="Times New Roman" w:eastAsia="Times New Roman" w:hAnsi="Times New Roman" w:cs="Times New Roman"/>
          <w:sz w:val="24"/>
          <w:szCs w:val="24"/>
        </w:rPr>
        <w:t>I</w:t>
      </w:r>
      <w:r w:rsidRPr="002A0F1A">
        <w:rPr>
          <w:rFonts w:ascii="Times New Roman" w:eastAsia="Times New Roman" w:hAnsi="Times New Roman" w:cs="Times New Roman"/>
          <w:sz w:val="24"/>
          <w:szCs w:val="24"/>
        </w:rPr>
        <w:t xml:space="preserve">ncluding such questions into the wide-spread questionnaire </w:t>
      </w:r>
      <w:r>
        <w:rPr>
          <w:rFonts w:ascii="Times New Roman" w:eastAsia="Times New Roman" w:hAnsi="Times New Roman" w:cs="Times New Roman"/>
          <w:sz w:val="24"/>
          <w:szCs w:val="24"/>
        </w:rPr>
        <w:t xml:space="preserve">does not seem to be </w:t>
      </w:r>
      <w:r w:rsidRPr="002A0F1A">
        <w:rPr>
          <w:rFonts w:ascii="Times New Roman" w:eastAsia="Times New Roman" w:hAnsi="Times New Roman" w:cs="Times New Roman"/>
          <w:sz w:val="24"/>
          <w:szCs w:val="24"/>
        </w:rPr>
        <w:t xml:space="preserve">correct and </w:t>
      </w:r>
      <w:r>
        <w:rPr>
          <w:rFonts w:ascii="Times New Roman" w:eastAsia="Times New Roman" w:hAnsi="Times New Roman" w:cs="Times New Roman"/>
          <w:sz w:val="24"/>
          <w:szCs w:val="24"/>
        </w:rPr>
        <w:t>may</w:t>
      </w:r>
      <w:r w:rsidRPr="002A0F1A">
        <w:rPr>
          <w:rFonts w:ascii="Times New Roman" w:eastAsia="Times New Roman" w:hAnsi="Times New Roman" w:cs="Times New Roman"/>
          <w:sz w:val="24"/>
          <w:szCs w:val="24"/>
        </w:rPr>
        <w:t xml:space="preserve"> only lead to receiving data affected by prejudices, intolerance, and possible religious</w:t>
      </w:r>
      <w:r>
        <w:rPr>
          <w:rFonts w:ascii="Times New Roman" w:eastAsia="Times New Roman" w:hAnsi="Times New Roman" w:cs="Times New Roman"/>
          <w:sz w:val="24"/>
          <w:szCs w:val="24"/>
        </w:rPr>
        <w:t xml:space="preserve"> hate.</w:t>
      </w:r>
    </w:p>
    <w:p w:rsidR="0078750C" w:rsidRPr="00B43D1C" w:rsidRDefault="00EF3100" w:rsidP="0068384F">
      <w:pPr>
        <w:pStyle w:val="Corps"/>
        <w:numPr>
          <w:ilvl w:val="0"/>
          <w:numId w:val="42"/>
        </w:numPr>
        <w:rPr>
          <w:rFonts w:ascii="Times New Roman" w:hAnsi="Times New Roman" w:cs="Times New Roman"/>
          <w:b/>
          <w:sz w:val="24"/>
          <w:szCs w:val="24"/>
          <w:lang w:val="en-GB"/>
        </w:rPr>
      </w:pPr>
      <w:r w:rsidRPr="00B43D1C">
        <w:rPr>
          <w:rFonts w:ascii="Times New Roman" w:hAnsi="Times New Roman" w:cs="Times New Roman"/>
          <w:b/>
          <w:sz w:val="24"/>
          <w:szCs w:val="24"/>
          <w:lang w:val="en-GB"/>
        </w:rPr>
        <w:t>Adopted Views and Pending Communications against Kazakhstan</w:t>
      </w:r>
    </w:p>
    <w:p w:rsidR="00796D1C" w:rsidRPr="00B43D1C" w:rsidRDefault="00EF3100" w:rsidP="00796D1C">
      <w:pPr>
        <w:pStyle w:val="Listenabsatz"/>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There are currently 35 pending communications with the CCPR denouncing human rights violations against Jehovah’s Witnesses</w:t>
      </w:r>
      <w:r>
        <w:rPr>
          <w:rFonts w:ascii="Times New Roman" w:eastAsia="Times New Roman" w:hAnsi="Times New Roman" w:cs="Times New Roman"/>
          <w:color w:val="auto"/>
          <w:sz w:val="24"/>
          <w:szCs w:val="24"/>
          <w:lang w:val="en-GB" w:eastAsia="en-US"/>
        </w:rPr>
        <w:t xml:space="preserve"> in Kazakhstan</w:t>
      </w:r>
      <w:r w:rsidRPr="00B43D1C">
        <w:rPr>
          <w:rFonts w:ascii="Times New Roman" w:eastAsia="Times New Roman" w:hAnsi="Times New Roman" w:cs="Times New Roman"/>
          <w:color w:val="auto"/>
          <w:sz w:val="24"/>
          <w:szCs w:val="24"/>
          <w:lang w:val="en-GB" w:eastAsia="en-US"/>
        </w:rPr>
        <w:t xml:space="preserve">. These communications are related to various issues such as the convictions and punishment of Jehovah’s Witnesses for so-called unregistered “missionary activity” resulting in restrictions on the peaceful religious community service </w:t>
      </w:r>
      <w:r>
        <w:rPr>
          <w:rFonts w:ascii="Times New Roman" w:eastAsia="Times New Roman" w:hAnsi="Times New Roman" w:cs="Times New Roman"/>
          <w:color w:val="auto"/>
          <w:sz w:val="24"/>
          <w:szCs w:val="24"/>
          <w:lang w:val="en-GB" w:eastAsia="en-US"/>
        </w:rPr>
        <w:t>performed</w:t>
      </w:r>
      <w:r w:rsidRPr="00B43D1C">
        <w:rPr>
          <w:rFonts w:ascii="Times New Roman" w:eastAsia="Times New Roman" w:hAnsi="Times New Roman" w:cs="Times New Roman"/>
          <w:color w:val="auto"/>
          <w:sz w:val="24"/>
          <w:szCs w:val="24"/>
          <w:lang w:val="en-GB" w:eastAsia="en-US"/>
        </w:rPr>
        <w:t xml:space="preserve"> by Jehovah’s Witnesses (sharing Bible information with neighbours).</w:t>
      </w:r>
    </w:p>
    <w:p w:rsidR="00796D1C" w:rsidRPr="00B43D1C" w:rsidRDefault="00EF3100" w:rsidP="00796D1C">
      <w:pPr>
        <w:pStyle w:val="Listenabsatz"/>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Jehovah’s Witnesses in Kazakhstan publicly </w:t>
      </w:r>
      <w:r>
        <w:rPr>
          <w:rFonts w:ascii="Times New Roman" w:eastAsia="Times New Roman" w:hAnsi="Times New Roman" w:cs="Times New Roman"/>
          <w:color w:val="auto"/>
          <w:sz w:val="24"/>
          <w:szCs w:val="24"/>
          <w:lang w:val="en-GB" w:eastAsia="en-US"/>
        </w:rPr>
        <w:t xml:space="preserve">have </w:t>
      </w:r>
      <w:r w:rsidRPr="00B43D1C">
        <w:rPr>
          <w:rFonts w:ascii="Times New Roman" w:eastAsia="Times New Roman" w:hAnsi="Times New Roman" w:cs="Times New Roman"/>
          <w:color w:val="auto"/>
          <w:sz w:val="24"/>
          <w:szCs w:val="24"/>
          <w:lang w:val="en-GB" w:eastAsia="en-US"/>
        </w:rPr>
        <w:t>share</w:t>
      </w:r>
      <w:r>
        <w:rPr>
          <w:rFonts w:ascii="Times New Roman" w:eastAsia="Times New Roman" w:hAnsi="Times New Roman" w:cs="Times New Roman"/>
          <w:color w:val="auto"/>
          <w:sz w:val="24"/>
          <w:szCs w:val="24"/>
          <w:lang w:val="en-GB" w:eastAsia="en-US"/>
        </w:rPr>
        <w:t>d</w:t>
      </w:r>
      <w:r w:rsidRPr="00B43D1C">
        <w:rPr>
          <w:rFonts w:ascii="Times New Roman" w:eastAsia="Times New Roman" w:hAnsi="Times New Roman" w:cs="Times New Roman"/>
          <w:color w:val="auto"/>
          <w:sz w:val="24"/>
          <w:szCs w:val="24"/>
          <w:lang w:val="en-GB" w:eastAsia="en-US"/>
        </w:rPr>
        <w:t xml:space="preserve"> their religious beliefs from door</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to</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door and on the streets, as is their religious practice worldwide. Concerning this well-known practice of Jehovah’s Witnesses the European Court of Human Rights held in the seminal case of </w:t>
      </w:r>
      <w:r w:rsidRPr="00B43D1C">
        <w:rPr>
          <w:rFonts w:ascii="Times New Roman" w:eastAsia="Times New Roman" w:hAnsi="Times New Roman" w:cs="Times New Roman"/>
          <w:i/>
          <w:color w:val="auto"/>
          <w:sz w:val="24"/>
          <w:szCs w:val="24"/>
          <w:lang w:val="en-GB" w:eastAsia="en-US"/>
        </w:rPr>
        <w:t>Kokkinakis v. Greece</w:t>
      </w:r>
      <w:r w:rsidRPr="00B43D1C">
        <w:rPr>
          <w:rFonts w:ascii="Times New Roman" w:eastAsia="Times New Roman" w:hAnsi="Times New Roman" w:cs="Times New Roman"/>
          <w:color w:val="auto"/>
          <w:sz w:val="24"/>
          <w:szCs w:val="24"/>
          <w:lang w:val="en-GB" w:eastAsia="en-US"/>
        </w:rPr>
        <w:t xml:space="preserve"> (25 May 1993, § 31, Series A no. 260-A) that the right to freedom of religion “includes in principle the right to try to convince one’s neighbour, for example through ‘teaching’, failing which, moreover, ‘freedom to change [one’s] religion or belief’, enshrined in Article 9 (art. 9), would be likely to remain a dead letter.”</w:t>
      </w:r>
    </w:p>
    <w:p w:rsidR="004C7297" w:rsidRPr="00B43D1C" w:rsidRDefault="00EF3100" w:rsidP="009875FE">
      <w:pPr>
        <w:pStyle w:val="Listenabsatz"/>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The Court underlined that </w:t>
      </w:r>
      <w:r w:rsidRPr="00B43D1C">
        <w:rPr>
          <w:rFonts w:ascii="Times New Roman" w:hAnsi="Times New Roman" w:cs="Times New Roman"/>
          <w:sz w:val="24"/>
          <w:szCs w:val="24"/>
          <w:lang w:val="en-GB"/>
        </w:rPr>
        <w:t>“bearing Christian witness... [is] an essential mission and a responsibility of every Christian and every Church” which has to be distinguished from improper proselytism that takes the form of offering material or social advantages with a view to gaining new members for a church, exerting improper pressure on people in distress or in need or even using violence or brainwashing (§ 48).</w:t>
      </w:r>
    </w:p>
    <w:p w:rsidR="001654BE" w:rsidRPr="00B43D1C" w:rsidRDefault="00EF3100" w:rsidP="0068384F">
      <w:pPr>
        <w:pStyle w:val="Listenabsatz"/>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Action has also been taken against the Kazak</w:t>
      </w:r>
      <w:r>
        <w:rPr>
          <w:rFonts w:ascii="Times New Roman" w:eastAsia="Times New Roman" w:hAnsi="Times New Roman" w:cs="Times New Roman"/>
          <w:color w:val="auto"/>
          <w:sz w:val="24"/>
          <w:szCs w:val="24"/>
          <w:lang w:val="en-GB" w:eastAsia="en-US"/>
        </w:rPr>
        <w:t>hstan</w:t>
      </w:r>
      <w:r w:rsidRPr="00B43D1C">
        <w:rPr>
          <w:rFonts w:ascii="Times New Roman" w:eastAsia="Times New Roman" w:hAnsi="Times New Roman" w:cs="Times New Roman"/>
          <w:color w:val="auto"/>
          <w:sz w:val="24"/>
          <w:szCs w:val="24"/>
          <w:lang w:val="en-GB" w:eastAsia="en-US"/>
        </w:rPr>
        <w:t xml:space="preserve"> authorities for refusing to permit the import of religious publications, which are vital to the personal, family, and congregation worship of the more than 17,500 Jehovah’s Witnesses in Kazakhstan and worldwide (</w:t>
      </w:r>
      <w:r w:rsidRPr="00B43D1C">
        <w:rPr>
          <w:rFonts w:ascii="Times New Roman" w:eastAsia="Times New Roman" w:hAnsi="Times New Roman" w:cs="Times New Roman"/>
          <w:i/>
          <w:color w:val="auto"/>
          <w:sz w:val="24"/>
          <w:szCs w:val="24"/>
          <w:lang w:val="en-GB" w:eastAsia="en-US"/>
        </w:rPr>
        <w:t>Polat Bekzhan et al. v. Kazakhstan</w:t>
      </w:r>
      <w:r w:rsidRPr="00B43D1C">
        <w:rPr>
          <w:rFonts w:ascii="Times New Roman" w:eastAsia="Times New Roman" w:hAnsi="Times New Roman" w:cs="Times New Roman"/>
          <w:color w:val="auto"/>
          <w:sz w:val="24"/>
          <w:szCs w:val="24"/>
          <w:lang w:val="en-GB" w:eastAsia="en-US"/>
        </w:rPr>
        <w:t>).</w:t>
      </w:r>
    </w:p>
    <w:tbl>
      <w:tblPr>
        <w:tblStyle w:val="TableGrid1"/>
        <w:tblW w:w="10246" w:type="dxa"/>
        <w:jc w:val="center"/>
        <w:tblLayout w:type="fixed"/>
        <w:tblLook w:val="04A0" w:firstRow="1" w:lastRow="0" w:firstColumn="1" w:lastColumn="0" w:noHBand="0" w:noVBand="1"/>
      </w:tblPr>
      <w:tblGrid>
        <w:gridCol w:w="378"/>
        <w:gridCol w:w="5920"/>
        <w:gridCol w:w="1653"/>
        <w:gridCol w:w="2295"/>
      </w:tblGrid>
      <w:tr w:rsidR="00D75070" w:rsidTr="001654BE">
        <w:trPr>
          <w:cantSplit/>
          <w:tblHeader/>
          <w:jc w:val="center"/>
        </w:trPr>
        <w:tc>
          <w:tcPr>
            <w:tcW w:w="378" w:type="dxa"/>
            <w:tcBorders>
              <w:top w:val="nil"/>
              <w:left w:val="nil"/>
            </w:tcBorders>
            <w:shd w:val="clear" w:color="auto" w:fill="FFFFFF" w:themeFill="background1"/>
            <w:vAlign w:val="center"/>
          </w:tcPr>
          <w:p w:rsidR="001654BE" w:rsidRPr="00B43D1C" w:rsidRDefault="00420D51" w:rsidP="001654BE">
            <w:pPr>
              <w:spacing w:before="60" w:after="60"/>
              <w:jc w:val="center"/>
              <w:rPr>
                <w:rFonts w:ascii="Times New Roman" w:hAnsi="Times New Roman" w:cs="Times New Roman"/>
                <w:b/>
                <w:lang w:val="en-GB"/>
              </w:rPr>
            </w:pPr>
          </w:p>
        </w:tc>
        <w:tc>
          <w:tcPr>
            <w:tcW w:w="5920" w:type="dxa"/>
            <w:shd w:val="clear" w:color="auto" w:fill="D9D9D9" w:themeFill="background1" w:themeFillShade="D9"/>
            <w:vAlign w:val="center"/>
          </w:tcPr>
          <w:p w:rsidR="001654BE" w:rsidRPr="00B43D1C" w:rsidRDefault="00EF3100" w:rsidP="001654BE">
            <w:pPr>
              <w:spacing w:before="60" w:after="60"/>
              <w:jc w:val="center"/>
              <w:rPr>
                <w:rFonts w:ascii="Times New Roman" w:hAnsi="Times New Roman" w:cs="Times New Roman"/>
                <w:b/>
                <w:lang w:val="en-GB"/>
              </w:rPr>
            </w:pPr>
            <w:r w:rsidRPr="00B43D1C">
              <w:rPr>
                <w:rFonts w:ascii="Times New Roman" w:hAnsi="Times New Roman" w:cs="Times New Roman"/>
                <w:b/>
                <w:lang w:val="en-GB"/>
              </w:rPr>
              <w:t>Communication Name</w:t>
            </w:r>
          </w:p>
        </w:tc>
        <w:tc>
          <w:tcPr>
            <w:tcW w:w="1653" w:type="dxa"/>
            <w:shd w:val="clear" w:color="auto" w:fill="D9D9D9" w:themeFill="background1" w:themeFillShade="D9"/>
            <w:vAlign w:val="center"/>
          </w:tcPr>
          <w:p w:rsidR="001654BE" w:rsidRPr="00B43D1C" w:rsidRDefault="00EF3100" w:rsidP="001654BE">
            <w:pPr>
              <w:spacing w:before="60" w:after="60"/>
              <w:jc w:val="center"/>
              <w:rPr>
                <w:rFonts w:ascii="Times New Roman" w:hAnsi="Times New Roman" w:cs="Times New Roman"/>
                <w:b/>
                <w:lang w:val="en-GB"/>
              </w:rPr>
            </w:pPr>
            <w:r w:rsidRPr="00B43D1C">
              <w:rPr>
                <w:rFonts w:ascii="Times New Roman" w:hAnsi="Times New Roman" w:cs="Times New Roman"/>
                <w:b/>
                <w:lang w:val="en-GB"/>
              </w:rPr>
              <w:t>Date filed</w:t>
            </w:r>
          </w:p>
        </w:tc>
        <w:tc>
          <w:tcPr>
            <w:tcW w:w="2295" w:type="dxa"/>
            <w:shd w:val="clear" w:color="auto" w:fill="D9D9D9" w:themeFill="background1" w:themeFillShade="D9"/>
            <w:vAlign w:val="center"/>
          </w:tcPr>
          <w:p w:rsidR="001654BE" w:rsidRPr="00B43D1C" w:rsidRDefault="00EF3100" w:rsidP="001654BE">
            <w:pPr>
              <w:spacing w:before="60" w:after="60"/>
              <w:jc w:val="center"/>
              <w:rPr>
                <w:rFonts w:ascii="Times New Roman" w:hAnsi="Times New Roman" w:cs="Times New Roman"/>
                <w:b/>
                <w:lang w:val="en-GB"/>
              </w:rPr>
            </w:pPr>
            <w:r w:rsidRPr="00B43D1C">
              <w:rPr>
                <w:rFonts w:ascii="Times New Roman" w:hAnsi="Times New Roman" w:cs="Times New Roman"/>
                <w:b/>
                <w:lang w:val="en-GB"/>
              </w:rPr>
              <w:t>Communication No.</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D0470A" w:rsidRDefault="00EF3100" w:rsidP="001654BE">
            <w:pPr>
              <w:spacing w:before="60" w:after="60"/>
              <w:rPr>
                <w:rFonts w:ascii="Times New Roman" w:hAnsi="Times New Roman" w:cs="Times New Roman"/>
                <w:i/>
                <w:lang w:val="es-ES"/>
              </w:rPr>
            </w:pPr>
            <w:r w:rsidRPr="00D0470A">
              <w:rPr>
                <w:rFonts w:ascii="Times New Roman" w:hAnsi="Times New Roman" w:cs="Times New Roman"/>
                <w:i/>
                <w:lang w:val="es-ES"/>
              </w:rPr>
              <w:t>Natalia Lashova et al v. Kazakhstan</w:t>
            </w:r>
          </w:p>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Note: Originally referred to as Bukin et al v. Kazakhstan</w:t>
            </w:r>
          </w:p>
        </w:tc>
        <w:tc>
          <w:tcPr>
            <w:tcW w:w="1653" w:type="dxa"/>
            <w:vMerge w:val="restart"/>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r w:rsidRPr="00B43D1C">
              <w:rPr>
                <w:rFonts w:ascii="Times New Roman" w:hAnsi="Times New Roman" w:cs="Times New Roman"/>
                <w:lang w:val="en-GB"/>
              </w:rPr>
              <w:t>29 April 2013</w:t>
            </w:r>
          </w:p>
        </w:tc>
        <w:tc>
          <w:tcPr>
            <w:tcW w:w="2295" w:type="dxa"/>
            <w:vMerge w:val="restart"/>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2298/2013</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Valeriy Alexeyev and Nikolay Kokotov v. Kazakhstan</w:t>
            </w:r>
          </w:p>
        </w:tc>
        <w:tc>
          <w:tcPr>
            <w:tcW w:w="1653" w:type="dxa"/>
            <w:vMerge/>
            <w:shd w:val="clear" w:color="auto" w:fill="FFFFFF" w:themeFill="background1"/>
            <w:vAlign w:val="center"/>
          </w:tcPr>
          <w:p w:rsidR="001654BE" w:rsidRPr="00B43D1C" w:rsidRDefault="00420D51" w:rsidP="001654BE">
            <w:pPr>
              <w:spacing w:before="60" w:after="60"/>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420D51" w:rsidP="001654BE">
            <w:pPr>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Dmitriy Bukin v. Kazakhstan</w:t>
            </w:r>
          </w:p>
        </w:tc>
        <w:tc>
          <w:tcPr>
            <w:tcW w:w="1653" w:type="dxa"/>
            <w:vMerge/>
            <w:shd w:val="clear" w:color="auto" w:fill="FFFFFF" w:themeFill="background1"/>
            <w:vAlign w:val="center"/>
          </w:tcPr>
          <w:p w:rsidR="001654BE" w:rsidRPr="00B43D1C" w:rsidRDefault="00420D51" w:rsidP="001654BE">
            <w:pPr>
              <w:spacing w:before="60" w:after="60"/>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420D51" w:rsidP="001654BE">
            <w:pPr>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Nurzhan Aglakov v. Kazakhstan</w:t>
            </w:r>
          </w:p>
        </w:tc>
        <w:tc>
          <w:tcPr>
            <w:tcW w:w="1653" w:type="dxa"/>
            <w:vMerge/>
            <w:shd w:val="clear" w:color="auto" w:fill="FFFFFF" w:themeFill="background1"/>
            <w:vAlign w:val="center"/>
          </w:tcPr>
          <w:p w:rsidR="001654BE" w:rsidRPr="00B43D1C" w:rsidRDefault="00420D51" w:rsidP="001654BE">
            <w:pPr>
              <w:spacing w:before="60" w:after="60"/>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420D51" w:rsidP="001654BE">
            <w:pPr>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Eduard Malykhin et al v. Kazakhstan</w:t>
            </w:r>
          </w:p>
        </w:tc>
        <w:tc>
          <w:tcPr>
            <w:tcW w:w="1653" w:type="dxa"/>
            <w:vMerge w:val="restart"/>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r w:rsidRPr="00B43D1C">
              <w:rPr>
                <w:rFonts w:ascii="Times New Roman" w:hAnsi="Times New Roman" w:cs="Times New Roman"/>
                <w:lang w:val="en-GB"/>
              </w:rPr>
              <w:t>29 Aug 2013</w:t>
            </w:r>
          </w:p>
        </w:tc>
        <w:tc>
          <w:tcPr>
            <w:tcW w:w="2295" w:type="dxa"/>
            <w:vMerge w:val="restart"/>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r w:rsidRPr="00B43D1C">
              <w:rPr>
                <w:rFonts w:ascii="Times New Roman" w:hAnsi="Times New Roman" w:cs="Times New Roman"/>
                <w:lang w:val="en-GB"/>
              </w:rPr>
              <w:t>2319/2013</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Arman Abdullinov and Marat Seleubayev v. Kazakhstan</w:t>
            </w:r>
          </w:p>
        </w:tc>
        <w:tc>
          <w:tcPr>
            <w:tcW w:w="1653" w:type="dxa"/>
            <w:vMerge/>
            <w:shd w:val="clear" w:color="auto" w:fill="FFFFFF" w:themeFill="background1"/>
            <w:vAlign w:val="center"/>
          </w:tcPr>
          <w:p w:rsidR="001654BE" w:rsidRPr="00B43D1C" w:rsidRDefault="00420D51" w:rsidP="001654BE">
            <w:pPr>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420D51"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tcBorders>
              <w:bottom w:val="single" w:sz="4" w:space="0" w:color="auto"/>
            </w:tcBorders>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Lyubov Artamonova and Anissa Tsimfer v. Kazakhstan</w:t>
            </w:r>
          </w:p>
        </w:tc>
        <w:tc>
          <w:tcPr>
            <w:tcW w:w="1653" w:type="dxa"/>
            <w:vMerge/>
            <w:tcBorders>
              <w:bottom w:val="single" w:sz="4" w:space="0" w:color="auto"/>
            </w:tcBorders>
            <w:shd w:val="clear" w:color="auto" w:fill="FFFFFF" w:themeFill="background1"/>
            <w:vAlign w:val="center"/>
          </w:tcPr>
          <w:p w:rsidR="001654BE" w:rsidRPr="00B43D1C" w:rsidRDefault="00420D51" w:rsidP="001654BE">
            <w:pPr>
              <w:jc w:val="center"/>
              <w:rPr>
                <w:rFonts w:ascii="Times New Roman" w:hAnsi="Times New Roman" w:cs="Times New Roman"/>
                <w:lang w:val="en-GB"/>
              </w:rPr>
            </w:pPr>
          </w:p>
        </w:tc>
        <w:tc>
          <w:tcPr>
            <w:tcW w:w="2295" w:type="dxa"/>
            <w:vMerge/>
            <w:tcBorders>
              <w:bottom w:val="single" w:sz="4" w:space="0" w:color="auto"/>
            </w:tcBorders>
            <w:shd w:val="clear" w:color="auto" w:fill="FFFFFF" w:themeFill="background1"/>
            <w:vAlign w:val="center"/>
          </w:tcPr>
          <w:p w:rsidR="001654BE" w:rsidRPr="00B43D1C" w:rsidRDefault="00420D51"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tcBorders>
              <w:top w:val="single" w:sz="4" w:space="0" w:color="auto"/>
            </w:tcBorders>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Zhangazy Biimbetov v. Kazakhstan</w:t>
            </w:r>
          </w:p>
        </w:tc>
        <w:tc>
          <w:tcPr>
            <w:tcW w:w="1653" w:type="dxa"/>
            <w:vMerge w:val="restart"/>
            <w:tcBorders>
              <w:top w:val="single" w:sz="4" w:space="0" w:color="auto"/>
            </w:tcBorders>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r w:rsidRPr="00B43D1C">
              <w:rPr>
                <w:rFonts w:ascii="Times New Roman" w:hAnsi="Times New Roman" w:cs="Times New Roman"/>
                <w:lang w:val="en-GB"/>
              </w:rPr>
              <w:t>29 Aug 2013</w:t>
            </w:r>
          </w:p>
        </w:tc>
        <w:tc>
          <w:tcPr>
            <w:tcW w:w="2295" w:type="dxa"/>
            <w:vMerge w:val="restart"/>
            <w:tcBorders>
              <w:top w:val="single" w:sz="4" w:space="0" w:color="auto"/>
            </w:tcBorders>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r w:rsidRPr="00B43D1C">
              <w:rPr>
                <w:rFonts w:ascii="Times New Roman" w:hAnsi="Times New Roman" w:cs="Times New Roman"/>
                <w:lang w:val="en-GB"/>
              </w:rPr>
              <w:t>2319/2013</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Zarina Burova v. Kazakhstan</w:t>
            </w:r>
          </w:p>
        </w:tc>
        <w:tc>
          <w:tcPr>
            <w:tcW w:w="1653" w:type="dxa"/>
            <w:vMerge/>
            <w:shd w:val="clear" w:color="auto" w:fill="FFFFFF" w:themeFill="background1"/>
            <w:vAlign w:val="center"/>
          </w:tcPr>
          <w:p w:rsidR="001654BE" w:rsidRPr="00B43D1C" w:rsidRDefault="00420D51" w:rsidP="001654BE">
            <w:pPr>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420D51"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Sergey Chuvashkin v. Kazakhstan</w:t>
            </w:r>
          </w:p>
        </w:tc>
        <w:tc>
          <w:tcPr>
            <w:tcW w:w="1653" w:type="dxa"/>
            <w:vMerge/>
            <w:shd w:val="clear" w:color="auto" w:fill="FFFFFF" w:themeFill="background1"/>
            <w:vAlign w:val="center"/>
          </w:tcPr>
          <w:p w:rsidR="001654BE" w:rsidRPr="00B43D1C" w:rsidRDefault="00420D51" w:rsidP="001654BE">
            <w:pPr>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420D51"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Alexandr Folomeyev and Galina Klynina v. Kazakhstan</w:t>
            </w:r>
          </w:p>
        </w:tc>
        <w:tc>
          <w:tcPr>
            <w:tcW w:w="1653" w:type="dxa"/>
            <w:vMerge/>
            <w:shd w:val="clear" w:color="auto" w:fill="FFFFFF" w:themeFill="background1"/>
            <w:vAlign w:val="center"/>
          </w:tcPr>
          <w:p w:rsidR="001654BE" w:rsidRPr="00B43D1C" w:rsidRDefault="00420D51" w:rsidP="001654BE">
            <w:pPr>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420D51"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Andrey Korolev and Andrey Rakin v. Kazakhstan</w:t>
            </w:r>
          </w:p>
        </w:tc>
        <w:tc>
          <w:tcPr>
            <w:tcW w:w="1653" w:type="dxa"/>
            <w:vMerge/>
            <w:shd w:val="clear" w:color="auto" w:fill="FFFFFF" w:themeFill="background1"/>
            <w:vAlign w:val="center"/>
          </w:tcPr>
          <w:p w:rsidR="001654BE" w:rsidRPr="00B43D1C" w:rsidRDefault="00420D51" w:rsidP="001654BE">
            <w:pPr>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420D51"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Andrey Moiseyenko and Ivan Vengelevskiy v. Kazakhstan</w:t>
            </w:r>
          </w:p>
        </w:tc>
        <w:tc>
          <w:tcPr>
            <w:tcW w:w="1653" w:type="dxa"/>
            <w:vMerge/>
            <w:shd w:val="clear" w:color="auto" w:fill="FFFFFF" w:themeFill="background1"/>
            <w:vAlign w:val="center"/>
          </w:tcPr>
          <w:p w:rsidR="001654BE" w:rsidRPr="00B43D1C" w:rsidRDefault="00420D51" w:rsidP="001654BE">
            <w:pPr>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420D51"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bCs/>
                <w:i/>
                <w:lang w:val="en-GB"/>
              </w:rPr>
              <w:t xml:space="preserve">Robert Panczukowski </w:t>
            </w:r>
            <w:r w:rsidRPr="00B43D1C">
              <w:rPr>
                <w:rFonts w:ascii="Times New Roman" w:hAnsi="Times New Roman" w:cs="Times New Roman"/>
                <w:i/>
                <w:lang w:val="en-GB"/>
              </w:rPr>
              <w:t>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bCs/>
                <w:i/>
                <w:lang w:val="en-GB"/>
              </w:rPr>
              <w:t xml:space="preserve">Altynay Ayatova </w:t>
            </w:r>
            <w:r w:rsidRPr="00B43D1C">
              <w:rPr>
                <w:rFonts w:ascii="Times New Roman" w:hAnsi="Times New Roman" w:cs="Times New Roman"/>
                <w:i/>
                <w:lang w:val="en-GB"/>
              </w:rPr>
              <w:t>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Zhansaya Begimbetova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Talgat Belbayev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Anna Merkusheva and Zhanna Nurzhanova.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Galina Mikhailova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Inna Semenova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r w:rsidRPr="00B43D1C">
              <w:rPr>
                <w:rFonts w:ascii="Times New Roman" w:hAnsi="Times New Roman" w:cs="Times New Roman"/>
                <w:lang w:val="en-GB"/>
              </w:rPr>
              <w:br/>
            </w: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Orynkul Tleuzhanova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Pavel Tokarev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Shamurat Toktoraliev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Zhazira Tunguskova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Zakhar Ustimenkov.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Olga Zholnerova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Yury Toporov v. Kazakhstan</w:t>
            </w:r>
          </w:p>
        </w:tc>
        <w:tc>
          <w:tcPr>
            <w:tcW w:w="1653"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2504/2014</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r w:rsidRPr="00B43D1C">
              <w:rPr>
                <w:rFonts w:ascii="Times New Roman" w:hAnsi="Times New Roman" w:cs="Times New Roman"/>
                <w:i/>
                <w:lang w:val="en-GB"/>
              </w:rPr>
              <w:t>O Alexeyeva and T Vongay v. Kazakhstan</w:t>
            </w:r>
          </w:p>
        </w:tc>
        <w:tc>
          <w:tcPr>
            <w:tcW w:w="1653" w:type="dxa"/>
            <w:shd w:val="clear" w:color="auto" w:fill="FFFFFF" w:themeFill="background1"/>
            <w:vAlign w:val="center"/>
          </w:tcPr>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r w:rsidRPr="00B43D1C">
              <w:rPr>
                <w:rFonts w:ascii="Times New Roman" w:hAnsi="Times New Roman" w:cs="Times New Roman"/>
                <w:i/>
                <w:lang w:val="en-GB"/>
              </w:rPr>
              <w:t>Akhmet Alseitov and Ruslan Balashanov v. Kazakhstan,</w:t>
            </w:r>
          </w:p>
        </w:tc>
        <w:tc>
          <w:tcPr>
            <w:tcW w:w="1653" w:type="dxa"/>
            <w:shd w:val="clear" w:color="auto" w:fill="FFFFFF" w:themeFill="background1"/>
            <w:vAlign w:val="center"/>
          </w:tcPr>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2599/2015</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r w:rsidRPr="00B43D1C">
              <w:rPr>
                <w:rFonts w:ascii="Times New Roman" w:hAnsi="Times New Roman" w:cs="Times New Roman"/>
                <w:i/>
                <w:lang w:val="en-GB"/>
              </w:rPr>
              <w:t>Gulsuna Kadenova v. Kazakhstan</w:t>
            </w:r>
          </w:p>
        </w:tc>
        <w:tc>
          <w:tcPr>
            <w:tcW w:w="1653" w:type="dxa"/>
            <w:shd w:val="clear" w:color="auto" w:fill="FFFFFF" w:themeFill="background1"/>
            <w:vAlign w:val="center"/>
          </w:tcPr>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2606/2015</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r w:rsidRPr="00B43D1C">
              <w:rPr>
                <w:rFonts w:ascii="Times New Roman" w:hAnsi="Times New Roman" w:cs="Times New Roman"/>
                <w:i/>
                <w:lang w:val="en-GB"/>
              </w:rPr>
              <w:t>Natalya Kisseleva v. Kazakhstan</w:t>
            </w:r>
          </w:p>
        </w:tc>
        <w:tc>
          <w:tcPr>
            <w:tcW w:w="1653" w:type="dxa"/>
            <w:shd w:val="clear" w:color="auto" w:fill="FFFFFF" w:themeFill="background1"/>
            <w:vAlign w:val="center"/>
          </w:tcPr>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2604/2015</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r w:rsidRPr="00B43D1C">
              <w:rPr>
                <w:rFonts w:ascii="Times New Roman" w:hAnsi="Times New Roman" w:cs="Times New Roman"/>
                <w:i/>
                <w:lang w:val="en-GB"/>
              </w:rPr>
              <w:t>Ainur Kumarbayeva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2598/2015</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r w:rsidRPr="00B43D1C">
              <w:rPr>
                <w:rFonts w:ascii="Times New Roman" w:hAnsi="Times New Roman" w:cs="Times New Roman"/>
                <w:i/>
                <w:lang w:val="en-GB"/>
              </w:rPr>
              <w:t>Madina Nissambekova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r w:rsidRPr="00B43D1C">
              <w:rPr>
                <w:rFonts w:ascii="Times New Roman" w:hAnsi="Times New Roman" w:cs="Times New Roman"/>
                <w:i/>
                <w:lang w:val="en-GB"/>
              </w:rPr>
              <w:t>Akmaral Serikova v. Kazakhstan</w:t>
            </w:r>
          </w:p>
        </w:tc>
        <w:tc>
          <w:tcPr>
            <w:tcW w:w="1653" w:type="dxa"/>
            <w:shd w:val="clear" w:color="auto" w:fill="FFFFFF" w:themeFill="background1"/>
            <w:vAlign w:val="center"/>
          </w:tcPr>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2588/2015</w:t>
            </w:r>
          </w:p>
        </w:tc>
      </w:tr>
      <w:tr w:rsidR="00D75070" w:rsidTr="001654BE">
        <w:trPr>
          <w:cantSplit/>
          <w:jc w:val="center"/>
        </w:trPr>
        <w:tc>
          <w:tcPr>
            <w:tcW w:w="378" w:type="dxa"/>
            <w:shd w:val="clear" w:color="auto" w:fill="D9D9D9" w:themeFill="background1" w:themeFillShade="D9"/>
            <w:vAlign w:val="center"/>
          </w:tcPr>
          <w:p w:rsidR="001654BE" w:rsidRPr="00B43D1C" w:rsidRDefault="00420D51"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r w:rsidRPr="00B43D1C">
              <w:rPr>
                <w:rFonts w:ascii="Times New Roman" w:hAnsi="Times New Roman" w:cs="Times New Roman"/>
                <w:i/>
                <w:lang w:val="en-GB"/>
              </w:rPr>
              <w:t>Polat Bekzhan et al. v. Kazakhstan</w:t>
            </w:r>
          </w:p>
        </w:tc>
        <w:tc>
          <w:tcPr>
            <w:tcW w:w="1653" w:type="dxa"/>
            <w:shd w:val="clear" w:color="auto" w:fill="FFFFFF" w:themeFill="background1"/>
            <w:vAlign w:val="center"/>
          </w:tcPr>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27 March 2015</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bl>
    <w:p w:rsidR="001654BE" w:rsidRPr="00B43D1C" w:rsidRDefault="00420D51" w:rsidP="001654BE">
      <w:pPr>
        <w:spacing w:after="240"/>
        <w:ind w:right="181"/>
        <w:jc w:val="both"/>
        <w:rPr>
          <w:rFonts w:eastAsia="Times New Roman"/>
          <w:lang w:val="en-GB"/>
        </w:rPr>
      </w:pPr>
    </w:p>
    <w:p w:rsidR="00A162DD" w:rsidRPr="00B43D1C" w:rsidRDefault="00EF3100" w:rsidP="0068384F">
      <w:pPr>
        <w:pStyle w:val="Corps"/>
        <w:numPr>
          <w:ilvl w:val="0"/>
          <w:numId w:val="42"/>
        </w:numPr>
        <w:rPr>
          <w:rFonts w:ascii="Times New Roman" w:hAnsi="Times New Roman" w:cs="Times New Roman"/>
          <w:b/>
          <w:sz w:val="24"/>
          <w:szCs w:val="24"/>
          <w:lang w:val="en-GB"/>
        </w:rPr>
      </w:pPr>
      <w:bookmarkStart w:id="3" w:name="_Toc2"/>
      <w:r w:rsidRPr="00B43D1C">
        <w:rPr>
          <w:rFonts w:ascii="Times New Roman" w:hAnsi="Times New Roman" w:cs="Times New Roman"/>
          <w:b/>
          <w:sz w:val="24"/>
          <w:szCs w:val="24"/>
          <w:lang w:val="en-GB"/>
        </w:rPr>
        <w:t>Conclusions and Recommendations</w:t>
      </w:r>
      <w:bookmarkEnd w:id="3"/>
    </w:p>
    <w:p w:rsidR="00A162DD" w:rsidRPr="00B43D1C" w:rsidRDefault="00EF3100" w:rsidP="00FB76E3">
      <w:pPr>
        <w:pStyle w:val="Listenabsatz"/>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lastRenderedPageBreak/>
        <w:t>Jehovah’s Witnesses in Kazakhstan, and as a worldwide organization, express concern for human rights violations as outlined above. They respectfully request the government of Kazakhstan to take the necessary steps to:</w:t>
      </w:r>
    </w:p>
    <w:p w:rsidR="004A692A" w:rsidRPr="00B43D1C" w:rsidRDefault="00EF3100" w:rsidP="00FB76E3">
      <w:pPr>
        <w:pStyle w:val="Listenabsatz"/>
        <w:numPr>
          <w:ilvl w:val="0"/>
          <w:numId w:val="40"/>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 xml:space="preserve">Discontinue the censorship exercised through the requirement </w:t>
      </w:r>
      <w:r>
        <w:rPr>
          <w:rFonts w:ascii="Times New Roman" w:eastAsia="Malgun Gothic" w:hAnsi="Times New Roman" w:cs="Times New Roman"/>
          <w:bCs/>
          <w:color w:val="auto"/>
          <w:kern w:val="2"/>
          <w:sz w:val="24"/>
          <w:szCs w:val="24"/>
          <w:lang w:val="en-GB" w:eastAsia="en-US"/>
        </w:rPr>
        <w:t>that</w:t>
      </w:r>
      <w:r w:rsidRPr="00B43D1C">
        <w:rPr>
          <w:rFonts w:ascii="Times New Roman" w:eastAsia="Malgun Gothic" w:hAnsi="Times New Roman" w:cs="Times New Roman"/>
          <w:bCs/>
          <w:color w:val="auto"/>
          <w:kern w:val="2"/>
          <w:sz w:val="24"/>
          <w:szCs w:val="24"/>
          <w:lang w:val="en-GB" w:eastAsia="en-US"/>
        </w:rPr>
        <w:t xml:space="preserve"> their religious literature </w:t>
      </w:r>
      <w:r>
        <w:rPr>
          <w:rFonts w:ascii="Times New Roman" w:eastAsia="Malgun Gothic" w:hAnsi="Times New Roman" w:cs="Times New Roman"/>
          <w:bCs/>
          <w:color w:val="auto"/>
          <w:kern w:val="2"/>
          <w:sz w:val="24"/>
          <w:szCs w:val="24"/>
          <w:lang w:val="en-GB" w:eastAsia="en-US"/>
        </w:rPr>
        <w:t xml:space="preserve">must </w:t>
      </w:r>
      <w:r w:rsidRPr="00B43D1C">
        <w:rPr>
          <w:rFonts w:ascii="Times New Roman" w:eastAsia="Malgun Gothic" w:hAnsi="Times New Roman" w:cs="Times New Roman"/>
          <w:bCs/>
          <w:color w:val="auto"/>
          <w:kern w:val="2"/>
          <w:sz w:val="24"/>
          <w:szCs w:val="24"/>
          <w:lang w:val="en-GB" w:eastAsia="en-US"/>
        </w:rPr>
        <w:t xml:space="preserve">be approved by a religious expert </w:t>
      </w:r>
      <w:r>
        <w:rPr>
          <w:rFonts w:ascii="Times New Roman" w:eastAsia="Malgun Gothic" w:hAnsi="Times New Roman" w:cs="Times New Roman"/>
          <w:bCs/>
          <w:color w:val="auto"/>
          <w:kern w:val="2"/>
          <w:sz w:val="24"/>
          <w:szCs w:val="24"/>
          <w:lang w:val="en-GB" w:eastAsia="en-US"/>
        </w:rPr>
        <w:t xml:space="preserve"> </w:t>
      </w:r>
      <w:r w:rsidRPr="00B43D1C">
        <w:rPr>
          <w:rFonts w:ascii="Times New Roman" w:eastAsia="Malgun Gothic" w:hAnsi="Times New Roman" w:cs="Times New Roman"/>
          <w:bCs/>
          <w:color w:val="auto"/>
          <w:kern w:val="2"/>
          <w:sz w:val="24"/>
          <w:szCs w:val="24"/>
          <w:lang w:val="en-GB" w:eastAsia="en-US"/>
        </w:rPr>
        <w:t>before it can be used or imported in Kazakhstan;</w:t>
      </w:r>
    </w:p>
    <w:p w:rsidR="004A692A" w:rsidRPr="00B43D1C" w:rsidRDefault="00EF3100" w:rsidP="00FB76E3">
      <w:pPr>
        <w:pStyle w:val="Listenabsatz"/>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 xml:space="preserve">Allow the free distribution of religious literature in </w:t>
      </w:r>
      <w:r>
        <w:rPr>
          <w:rFonts w:ascii="Times New Roman" w:eastAsia="Malgun Gothic" w:hAnsi="Times New Roman" w:cs="Times New Roman"/>
          <w:bCs/>
          <w:color w:val="auto"/>
          <w:kern w:val="2"/>
          <w:sz w:val="24"/>
          <w:szCs w:val="24"/>
          <w:lang w:val="en-GB" w:eastAsia="en-US"/>
        </w:rPr>
        <w:t>locations</w:t>
      </w:r>
      <w:r w:rsidRPr="00B43D1C">
        <w:rPr>
          <w:rFonts w:ascii="Times New Roman" w:eastAsia="Malgun Gothic" w:hAnsi="Times New Roman" w:cs="Times New Roman"/>
          <w:bCs/>
          <w:color w:val="auto"/>
          <w:kern w:val="2"/>
          <w:sz w:val="24"/>
          <w:szCs w:val="24"/>
          <w:lang w:val="en-GB" w:eastAsia="en-US"/>
        </w:rPr>
        <w:t xml:space="preserve"> other than places of worship and places authorized by the local authorities</w:t>
      </w:r>
      <w:r>
        <w:rPr>
          <w:rFonts w:ascii="Times New Roman" w:eastAsia="Malgun Gothic" w:hAnsi="Times New Roman" w:cs="Times New Roman"/>
          <w:bCs/>
          <w:color w:val="auto"/>
          <w:kern w:val="2"/>
          <w:sz w:val="24"/>
          <w:szCs w:val="24"/>
          <w:lang w:val="en-GB" w:eastAsia="en-US"/>
        </w:rPr>
        <w:t>;</w:t>
      </w:r>
    </w:p>
    <w:p w:rsidR="004A692A" w:rsidRPr="00B43D1C" w:rsidRDefault="00EF3100" w:rsidP="00FB76E3">
      <w:pPr>
        <w:pStyle w:val="Listenabsatz"/>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Stop the arrest, prosecution, deportation</w:t>
      </w:r>
      <w:r>
        <w:rPr>
          <w:rFonts w:ascii="Times New Roman" w:eastAsia="Malgun Gothic" w:hAnsi="Times New Roman" w:cs="Times New Roman"/>
          <w:bCs/>
          <w:color w:val="auto"/>
          <w:kern w:val="2"/>
          <w:sz w:val="24"/>
          <w:szCs w:val="24"/>
          <w:lang w:val="en-GB" w:eastAsia="en-US"/>
        </w:rPr>
        <w:t>,</w:t>
      </w:r>
      <w:r w:rsidRPr="00B43D1C">
        <w:rPr>
          <w:rFonts w:ascii="Times New Roman" w:eastAsia="Malgun Gothic" w:hAnsi="Times New Roman" w:cs="Times New Roman"/>
          <w:bCs/>
          <w:color w:val="auto"/>
          <w:kern w:val="2"/>
          <w:sz w:val="24"/>
          <w:szCs w:val="24"/>
          <w:lang w:val="en-GB" w:eastAsia="en-US"/>
        </w:rPr>
        <w:t xml:space="preserve"> and harassment of Jehovah’s Witnesses for so-called unregistered “missionary activity”;</w:t>
      </w:r>
    </w:p>
    <w:p w:rsidR="004A692A" w:rsidRPr="00B43D1C" w:rsidRDefault="00EF3100" w:rsidP="00FB76E3">
      <w:pPr>
        <w:pStyle w:val="Listenabsatz"/>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Annul the measure of deportation that ha</w:t>
      </w:r>
      <w:r>
        <w:rPr>
          <w:rFonts w:ascii="Times New Roman" w:eastAsia="Malgun Gothic" w:hAnsi="Times New Roman" w:cs="Times New Roman"/>
          <w:bCs/>
          <w:color w:val="auto"/>
          <w:kern w:val="2"/>
          <w:sz w:val="24"/>
          <w:szCs w:val="24"/>
          <w:lang w:val="en-GB" w:eastAsia="en-US"/>
        </w:rPr>
        <w:t>s</w:t>
      </w:r>
      <w:r w:rsidRPr="00B43D1C">
        <w:rPr>
          <w:rFonts w:ascii="Times New Roman" w:eastAsia="Malgun Gothic" w:hAnsi="Times New Roman" w:cs="Times New Roman"/>
          <w:bCs/>
          <w:color w:val="auto"/>
          <w:kern w:val="2"/>
          <w:sz w:val="24"/>
          <w:szCs w:val="24"/>
          <w:lang w:val="en-GB" w:eastAsia="en-US"/>
        </w:rPr>
        <w:t xml:space="preserve"> been applied to foreign</w:t>
      </w:r>
      <w:r>
        <w:rPr>
          <w:rFonts w:ascii="Times New Roman" w:eastAsia="Malgun Gothic" w:hAnsi="Times New Roman" w:cs="Times New Roman"/>
          <w:bCs/>
          <w:color w:val="auto"/>
          <w:kern w:val="2"/>
          <w:sz w:val="24"/>
          <w:szCs w:val="24"/>
          <w:lang w:val="en-GB" w:eastAsia="en-US"/>
        </w:rPr>
        <w:t>-</w:t>
      </w:r>
      <w:r w:rsidRPr="00B43D1C">
        <w:rPr>
          <w:rFonts w:ascii="Times New Roman" w:eastAsia="Malgun Gothic" w:hAnsi="Times New Roman" w:cs="Times New Roman"/>
          <w:bCs/>
          <w:color w:val="auto"/>
          <w:kern w:val="2"/>
          <w:sz w:val="24"/>
          <w:szCs w:val="24"/>
          <w:lang w:val="en-GB" w:eastAsia="en-US"/>
        </w:rPr>
        <w:t>citizens Jehovah’s Witnesses for unregistered “missionary activity”;</w:t>
      </w:r>
    </w:p>
    <w:p w:rsidR="004A692A" w:rsidRPr="00B43D1C" w:rsidRDefault="00EF3100" w:rsidP="00FB76E3">
      <w:pPr>
        <w:pStyle w:val="Listenabsatz"/>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Stop the intimidation and the police raids conducted against peaceful gatherings of Jehovah’s Witnesses;</w:t>
      </w:r>
    </w:p>
    <w:p w:rsidR="00C14B63" w:rsidRPr="00B43D1C" w:rsidRDefault="00EF3100" w:rsidP="00FB76E3">
      <w:pPr>
        <w:pStyle w:val="Listenabsatz"/>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 xml:space="preserve">Encourage officials to avoid </w:t>
      </w:r>
      <w:r>
        <w:rPr>
          <w:rFonts w:ascii="Times New Roman" w:eastAsia="Malgun Gothic" w:hAnsi="Times New Roman" w:cs="Times New Roman"/>
          <w:bCs/>
          <w:color w:val="auto"/>
          <w:kern w:val="2"/>
          <w:sz w:val="24"/>
          <w:szCs w:val="24"/>
          <w:lang w:val="en-GB" w:eastAsia="en-US"/>
        </w:rPr>
        <w:t>making</w:t>
      </w:r>
      <w:r w:rsidRPr="00B43D1C">
        <w:rPr>
          <w:rFonts w:ascii="Times New Roman" w:eastAsia="Malgun Gothic" w:hAnsi="Times New Roman" w:cs="Times New Roman"/>
          <w:bCs/>
          <w:color w:val="auto"/>
          <w:kern w:val="2"/>
          <w:sz w:val="24"/>
          <w:szCs w:val="24"/>
          <w:lang w:val="en-GB" w:eastAsia="en-US"/>
        </w:rPr>
        <w:t xml:space="preserve"> disparaging and discriminatory comments presenting Jehovah’s Witnesses in a negative light</w:t>
      </w:r>
      <w:r>
        <w:rPr>
          <w:rFonts w:ascii="Times New Roman" w:eastAsia="Malgun Gothic" w:hAnsi="Times New Roman" w:cs="Times New Roman"/>
          <w:bCs/>
          <w:color w:val="auto"/>
          <w:kern w:val="2"/>
          <w:sz w:val="24"/>
          <w:szCs w:val="24"/>
          <w:lang w:val="en-GB" w:eastAsia="en-US"/>
        </w:rPr>
        <w:t>;</w:t>
      </w:r>
    </w:p>
    <w:p w:rsidR="004A692A" w:rsidRPr="00B43D1C" w:rsidRDefault="00EF3100" w:rsidP="00FB76E3">
      <w:pPr>
        <w:pStyle w:val="Listenabsatz"/>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Abide by the recommendations contained in the 31 January 2014 join</w:t>
      </w:r>
      <w:r>
        <w:rPr>
          <w:rFonts w:ascii="Times New Roman" w:eastAsia="Malgun Gothic" w:hAnsi="Times New Roman" w:cs="Times New Roman"/>
          <w:bCs/>
          <w:color w:val="auto"/>
          <w:kern w:val="2"/>
          <w:sz w:val="24"/>
          <w:szCs w:val="24"/>
          <w:lang w:val="en-GB" w:eastAsia="en-US"/>
        </w:rPr>
        <w:t>t</w:t>
      </w:r>
      <w:r w:rsidRPr="00B43D1C">
        <w:rPr>
          <w:rFonts w:ascii="Times New Roman" w:eastAsia="Malgun Gothic" w:hAnsi="Times New Roman" w:cs="Times New Roman"/>
          <w:bCs/>
          <w:color w:val="auto"/>
          <w:kern w:val="2"/>
          <w:sz w:val="24"/>
          <w:szCs w:val="24"/>
          <w:lang w:val="en-GB" w:eastAsia="en-US"/>
        </w:rPr>
        <w:t xml:space="preserve"> letter issued by five Special Rapporteurs and the Independent Expert on Minority Issues of the United Nations Human Rights Council calling on it to stop the arrests of Jehovah’s Witnesses for “missionary activity”;</w:t>
      </w:r>
    </w:p>
    <w:p w:rsidR="00EE5909" w:rsidRPr="00B43D1C" w:rsidRDefault="00EF3100" w:rsidP="00FB76E3">
      <w:pPr>
        <w:pStyle w:val="Listenabsatz"/>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Abide by their commitment to uphold the fundamental freedoms guaranteed by the Constitution of Kazakhstan and the ICCPR, for all citizens, including Jehovah’s Witnesses.</w:t>
      </w:r>
    </w:p>
    <w:p w:rsidR="00A162DD" w:rsidRPr="00B43D1C" w:rsidRDefault="00EF3100" w:rsidP="00FB76E3">
      <w:pPr>
        <w:pStyle w:val="Listenabsatz"/>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The EAJCW will consider submitting an additional complementary report with the CCPR following the adoption of the </w:t>
      </w:r>
      <w:r w:rsidRPr="00B43D1C">
        <w:rPr>
          <w:rFonts w:ascii="Times New Roman" w:eastAsia="Times New Roman" w:hAnsi="Times New Roman" w:cs="Times New Roman"/>
          <w:i/>
          <w:color w:val="auto"/>
          <w:sz w:val="24"/>
          <w:szCs w:val="24"/>
          <w:lang w:val="en-GB" w:eastAsia="en-US"/>
        </w:rPr>
        <w:t>List of issues</w:t>
      </w:r>
      <w:r w:rsidRPr="00B43D1C">
        <w:rPr>
          <w:rFonts w:ascii="Times New Roman" w:eastAsia="Times New Roman" w:hAnsi="Times New Roman" w:cs="Times New Roman"/>
          <w:color w:val="auto"/>
          <w:sz w:val="24"/>
          <w:szCs w:val="24"/>
          <w:lang w:val="en-GB" w:eastAsia="en-US"/>
        </w:rPr>
        <w:t xml:space="preserve"> to be taken up in connection with the consideration of the second report of the Republic of Kazakhstan (CCPR/C/KAZ/2).</w:t>
      </w:r>
    </w:p>
    <w:sectPr w:rsidR="00A162DD" w:rsidRPr="00B43D1C">
      <w:pgSz w:w="11900" w:h="16840"/>
      <w:pgMar w:top="850" w:right="1138" w:bottom="850" w:left="113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D51" w:rsidRDefault="00420D51">
      <w:r>
        <w:separator/>
      </w:r>
    </w:p>
  </w:endnote>
  <w:endnote w:type="continuationSeparator" w:id="0">
    <w:p w:rsidR="00420D51" w:rsidRDefault="00420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3D" w:rsidRDefault="00EF3100">
    <w:pPr>
      <w:pStyle w:val="Fuzeile"/>
    </w:pPr>
    <w:r>
      <w:rPr>
        <w:noProof/>
        <w:lang w:val="de-AT" w:eastAsia="de-AT"/>
      </w:rPr>
      <w:drawing>
        <wp:inline distT="0" distB="0" distL="0" distR="0">
          <wp:extent cx="7559041" cy="1024256"/>
          <wp:effectExtent l="0" t="0" r="0" b="0"/>
          <wp:docPr id="4" name="officeArt object" descr="eajcwfooter.pdf"/>
          <wp:cNvGraphicFramePr/>
          <a:graphic xmlns:a="http://schemas.openxmlformats.org/drawingml/2006/main">
            <a:graphicData uri="http://schemas.openxmlformats.org/drawingml/2006/picture">
              <pic:pic xmlns:pic="http://schemas.openxmlformats.org/drawingml/2006/picture">
                <pic:nvPicPr>
                  <pic:cNvPr id="1073741825" name="image2.png" descr="eajcwfooter.pdf"/>
                  <pic:cNvPicPr/>
                </pic:nvPicPr>
                <pic:blipFill>
                  <a:blip r:embed="rId1"/>
                  <a:stretch>
                    <a:fillRect/>
                  </a:stretch>
                </pic:blipFill>
                <pic:spPr>
                  <a:xfrm>
                    <a:off x="0" y="0"/>
                    <a:ext cx="7559041" cy="1024256"/>
                  </a:xfrm>
                  <a:prstGeom prst="rect">
                    <a:avLst/>
                  </a:prstGeom>
                  <a:ln w="12700">
                    <a:noFill/>
                    <a:miter lim="400000"/>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3D" w:rsidRDefault="00EF3100">
    <w:pPr>
      <w:pStyle w:val="Fuzeile"/>
      <w:tabs>
        <w:tab w:val="left" w:pos="3829"/>
        <w:tab w:val="center" w:pos="4815"/>
      </w:tabs>
      <w:ind w:right="274"/>
      <w:jc w:val="right"/>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 xml:space="preserve"> PAGE </w:instrText>
    </w:r>
    <w:r>
      <w:rPr>
        <w:rFonts w:ascii="Calibri" w:eastAsia="Calibri" w:hAnsi="Calibri" w:cs="Calibri"/>
        <w:sz w:val="20"/>
        <w:szCs w:val="20"/>
      </w:rPr>
      <w:fldChar w:fldCharType="separate"/>
    </w:r>
    <w:r w:rsidR="00A81F8D">
      <w:rPr>
        <w:rFonts w:ascii="Calibri" w:eastAsia="Calibri" w:hAnsi="Calibri" w:cs="Calibri"/>
        <w:noProof/>
        <w:sz w:val="20"/>
        <w:szCs w:val="20"/>
      </w:rPr>
      <w:t>2</w:t>
    </w:r>
    <w:r>
      <w:rPr>
        <w:rFonts w:ascii="Calibri" w:eastAsia="Calibri" w:hAnsi="Calibri" w:cs="Calibri"/>
        <w:sz w:val="20"/>
        <w:szCs w:val="20"/>
      </w:rPr>
      <w:fldChar w:fldCharType="end"/>
    </w:r>
  </w:p>
  <w:p w:rsidR="00CF653D" w:rsidRDefault="00420D51">
    <w:pPr>
      <w:pStyle w:val="Fuzeile"/>
      <w:tabs>
        <w:tab w:val="left" w:pos="3829"/>
        <w:tab w:val="center" w:pos="4815"/>
      </w:tabs>
      <w:ind w:right="274"/>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3D" w:rsidRDefault="00EF3100">
    <w:pPr>
      <w:pStyle w:val="Fuzeile"/>
      <w:jc w:val="right"/>
    </w:pPr>
    <w:r>
      <w:rPr>
        <w:rFonts w:ascii="Calibri" w:eastAsia="Calibri" w:hAnsi="Calibri" w:cs="Calibri"/>
        <w:sz w:val="20"/>
        <w:szCs w:val="20"/>
      </w:rPr>
      <w:fldChar w:fldCharType="begin"/>
    </w:r>
    <w:r>
      <w:rPr>
        <w:rFonts w:ascii="Calibri" w:eastAsia="Calibri" w:hAnsi="Calibri" w:cs="Calibri"/>
        <w:sz w:val="20"/>
        <w:szCs w:val="20"/>
      </w:rPr>
      <w:instrText xml:space="preserve"> PAGE </w:instrText>
    </w:r>
    <w:r>
      <w:rPr>
        <w:rFonts w:ascii="Calibri" w:eastAsia="Calibri" w:hAnsi="Calibri" w:cs="Calibri"/>
        <w:sz w:val="20"/>
        <w:szCs w:val="20"/>
      </w:rPr>
      <w:fldChar w:fldCharType="separate"/>
    </w:r>
    <w:r w:rsidR="00A81F8D">
      <w:rPr>
        <w:rFonts w:ascii="Calibri" w:eastAsia="Calibri" w:hAnsi="Calibri" w:cs="Calibri"/>
        <w:noProof/>
        <w:sz w:val="20"/>
        <w:szCs w:val="20"/>
      </w:rPr>
      <w:t>1</w:t>
    </w:r>
    <w:r>
      <w:rPr>
        <w:rFonts w:ascii="Calibri" w:eastAsia="Calibri" w:hAnsi="Calibri" w:cs="Calibr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D51" w:rsidRDefault="00420D51">
      <w:r>
        <w:separator/>
      </w:r>
    </w:p>
  </w:footnote>
  <w:footnote w:type="continuationSeparator" w:id="0">
    <w:p w:rsidR="00420D51" w:rsidRDefault="00420D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3D" w:rsidRDefault="00EF3100">
    <w:pPr>
      <w:pStyle w:val="Kopfzeile"/>
    </w:pPr>
    <w:r>
      <w:rPr>
        <w:noProof/>
        <w:lang w:val="de-AT" w:eastAsia="de-AT"/>
      </w:rPr>
      <w:drawing>
        <wp:anchor distT="152400" distB="152400" distL="152400" distR="152400" simplePos="0" relativeHeight="251658240" behindDoc="1" locked="0" layoutInCell="1" allowOverlap="1">
          <wp:simplePos x="0" y="0"/>
          <wp:positionH relativeFrom="page">
            <wp:posOffset>-8572</wp:posOffset>
          </wp:positionH>
          <wp:positionV relativeFrom="page">
            <wp:posOffset>0</wp:posOffset>
          </wp:positionV>
          <wp:extent cx="7573010" cy="2060575"/>
          <wp:effectExtent l="0" t="0" r="0" b="0"/>
          <wp:wrapNone/>
          <wp:docPr id="5" name="officeArt object" descr="eajcwheader.pdf"/>
          <wp:cNvGraphicFramePr/>
          <a:graphic xmlns:a="http://schemas.openxmlformats.org/drawingml/2006/main">
            <a:graphicData uri="http://schemas.openxmlformats.org/drawingml/2006/picture">
              <pic:pic xmlns:pic="http://schemas.openxmlformats.org/drawingml/2006/picture">
                <pic:nvPicPr>
                  <pic:cNvPr id="1073741826" name="image3.png" descr="eajcwheader.pdf"/>
                  <pic:cNvPicPr/>
                </pic:nvPicPr>
                <pic:blipFill>
                  <a:blip r:embed="rId1"/>
                  <a:stretch>
                    <a:fillRect/>
                  </a:stretch>
                </pic:blipFill>
                <pic:spPr>
                  <a:xfrm>
                    <a:off x="0" y="0"/>
                    <a:ext cx="7573010" cy="2060575"/>
                  </a:xfrm>
                  <a:prstGeom prst="rect">
                    <a:avLst/>
                  </a:prstGeom>
                  <a:ln w="12700">
                    <a:noFill/>
                    <a:miter lim="400000"/>
                  </a:ln>
                </pic:spPr>
              </pic:pic>
            </a:graphicData>
          </a:graphic>
        </wp:anchor>
      </w:drawing>
    </w:r>
    <w:r>
      <w:rPr>
        <w:noProof/>
        <w:lang w:val="de-AT" w:eastAsia="de-AT"/>
      </w:rPr>
      <w:drawing>
        <wp:anchor distT="152400" distB="152400" distL="152400" distR="152400" simplePos="0" relativeHeight="251659264" behindDoc="1" locked="0" layoutInCell="1" allowOverlap="1">
          <wp:simplePos x="0" y="0"/>
          <wp:positionH relativeFrom="page">
            <wp:posOffset>95250</wp:posOffset>
          </wp:positionH>
          <wp:positionV relativeFrom="page">
            <wp:posOffset>9639300</wp:posOffset>
          </wp:positionV>
          <wp:extent cx="7573010" cy="1023620"/>
          <wp:effectExtent l="0" t="0" r="0" b="0"/>
          <wp:wrapNone/>
          <wp:docPr id="6" name="officeArt object" descr="eajcwfooter.pdf"/>
          <wp:cNvGraphicFramePr/>
          <a:graphic xmlns:a="http://schemas.openxmlformats.org/drawingml/2006/main">
            <a:graphicData uri="http://schemas.openxmlformats.org/drawingml/2006/picture">
              <pic:pic xmlns:pic="http://schemas.openxmlformats.org/drawingml/2006/picture">
                <pic:nvPicPr>
                  <pic:cNvPr id="1073741827" name="image2.png" descr="eajcwfooter.pdf"/>
                  <pic:cNvPicPr/>
                </pic:nvPicPr>
                <pic:blipFill>
                  <a:blip r:embed="rId2"/>
                  <a:stretch>
                    <a:fillRect/>
                  </a:stretch>
                </pic:blipFill>
                <pic:spPr>
                  <a:xfrm>
                    <a:off x="0" y="0"/>
                    <a:ext cx="7573010" cy="1023620"/>
                  </a:xfrm>
                  <a:prstGeom prst="rect">
                    <a:avLst/>
                  </a:prstGeom>
                  <a:ln w="12700">
                    <a:noFill/>
                    <a:miter lim="400000"/>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3D" w:rsidRDefault="00420D51">
    <w:pPr>
      <w:pStyle w:val="Kopfzeile"/>
      <w:tabs>
        <w:tab w:val="clear" w:pos="4320"/>
        <w:tab w:val="clear" w:pos="8640"/>
        <w:tab w:val="left" w:pos="284"/>
      </w:tabs>
      <w:ind w:left="284"/>
    </w:pPr>
  </w:p>
  <w:p w:rsidR="00CF653D" w:rsidRDefault="00EF3100" w:rsidP="007B79C3">
    <w:pPr>
      <w:pStyle w:val="Kopfzeile"/>
      <w:tabs>
        <w:tab w:val="clear" w:pos="4320"/>
        <w:tab w:val="clear" w:pos="8640"/>
      </w:tabs>
      <w:ind w:left="284"/>
    </w:pPr>
    <w:r>
      <w:t xml:space="preserve">Submission to the UN Human Rights Committee </w:t>
    </w:r>
    <w:r>
      <w:t>–</w:t>
    </w:r>
    <w:r>
      <w:t xml:space="preserve"> 115</w:t>
    </w:r>
    <w:r w:rsidRPr="007B79C3">
      <w:t>th</w:t>
    </w:r>
    <w:r>
      <w:t xml:space="preserve"> Session </w:t>
    </w:r>
    <w:r>
      <w:t>–</w:t>
    </w:r>
    <w:r>
      <w:t xml:space="preserve"> 12 - 30 October 2015</w:t>
    </w:r>
  </w:p>
  <w:p w:rsidR="00CF653D" w:rsidRDefault="00EF3100" w:rsidP="007B79C3">
    <w:pPr>
      <w:pStyle w:val="Kopfzeile"/>
      <w:tabs>
        <w:tab w:val="clear" w:pos="4320"/>
        <w:tab w:val="clear" w:pos="8640"/>
      </w:tabs>
      <w:ind w:left="284"/>
    </w:pPr>
    <w:r>
      <w:t>European Association of Jehovah</w:t>
    </w:r>
    <w:r>
      <w:t>’</w:t>
    </w:r>
    <w:r>
      <w:t xml:space="preserve">s Christian Witnesses </w:t>
    </w:r>
    <w:r>
      <w:t>–</w:t>
    </w:r>
    <w:r>
      <w:t xml:space="preserve"> Republic of Kazakhstan</w:t>
    </w:r>
  </w:p>
  <w:p w:rsidR="00CF653D" w:rsidRDefault="00420D51" w:rsidP="00E23FD1">
    <w:pPr>
      <w:pStyle w:val="Kopfzeile"/>
      <w:tabs>
        <w:tab w:val="clear" w:pos="4320"/>
        <w:tab w:val="clear" w:pos="8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3D" w:rsidRDefault="00420D5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C0756"/>
    <w:multiLevelType w:val="multilevel"/>
    <w:tmpl w:val="3628E562"/>
    <w:lvl w:ilvl="0">
      <w:numFmt w:val="bullet"/>
      <w:lvlText w:val="•"/>
      <w:lvlJc w:val="left"/>
      <w:rPr>
        <w:color w:val="000000"/>
        <w:position w:val="0"/>
        <w:u w:color="000000"/>
        <w:rtl w:val="0"/>
        <w:lang w:val="en-US"/>
      </w:rPr>
    </w:lvl>
    <w:lvl w:ilvl="1">
      <w:start w:val="1"/>
      <w:numFmt w:val="lowerLetter"/>
      <w:lvlText w:val="%2."/>
      <w:lvlJc w:val="left"/>
      <w:rPr>
        <w:color w:val="000000"/>
        <w:position w:val="0"/>
        <w:u w:color="000000"/>
        <w:rtl w:val="0"/>
        <w:lang w:val="en-US"/>
      </w:rPr>
    </w:lvl>
    <w:lvl w:ilvl="2">
      <w:start w:val="1"/>
      <w:numFmt w:val="lowerRoman"/>
      <w:lvlText w:val="%3."/>
      <w:lvlJc w:val="left"/>
      <w:rPr>
        <w:color w:val="000000"/>
        <w:position w:val="0"/>
        <w:u w:color="000000"/>
        <w:rtl w:val="0"/>
        <w:lang w:val="en-US"/>
      </w:rPr>
    </w:lvl>
    <w:lvl w:ilvl="3">
      <w:start w:val="1"/>
      <w:numFmt w:val="decimal"/>
      <w:lvlText w:val="%4."/>
      <w:lvlJc w:val="left"/>
      <w:rPr>
        <w:color w:val="000000"/>
        <w:position w:val="0"/>
        <w:u w:color="000000"/>
        <w:rtl w:val="0"/>
        <w:lang w:val="en-US"/>
      </w:rPr>
    </w:lvl>
    <w:lvl w:ilvl="4">
      <w:start w:val="1"/>
      <w:numFmt w:val="lowerLetter"/>
      <w:lvlText w:val="%5."/>
      <w:lvlJc w:val="left"/>
      <w:rPr>
        <w:color w:val="000000"/>
        <w:position w:val="0"/>
        <w:u w:color="000000"/>
        <w:rtl w:val="0"/>
        <w:lang w:val="en-US"/>
      </w:rPr>
    </w:lvl>
    <w:lvl w:ilvl="5">
      <w:start w:val="1"/>
      <w:numFmt w:val="lowerRoman"/>
      <w:lvlText w:val="%6."/>
      <w:lvlJc w:val="left"/>
      <w:rPr>
        <w:color w:val="000000"/>
        <w:position w:val="0"/>
        <w:u w:color="000000"/>
        <w:rtl w:val="0"/>
        <w:lang w:val="en-US"/>
      </w:rPr>
    </w:lvl>
    <w:lvl w:ilvl="6">
      <w:start w:val="1"/>
      <w:numFmt w:val="decimal"/>
      <w:lvlText w:val="%7."/>
      <w:lvlJc w:val="left"/>
      <w:rPr>
        <w:color w:val="000000"/>
        <w:position w:val="0"/>
        <w:u w:color="000000"/>
        <w:rtl w:val="0"/>
        <w:lang w:val="en-US"/>
      </w:rPr>
    </w:lvl>
    <w:lvl w:ilvl="7">
      <w:start w:val="1"/>
      <w:numFmt w:val="lowerLetter"/>
      <w:lvlText w:val="%8."/>
      <w:lvlJc w:val="left"/>
      <w:rPr>
        <w:color w:val="000000"/>
        <w:position w:val="0"/>
        <w:u w:color="000000"/>
        <w:rtl w:val="0"/>
        <w:lang w:val="en-US"/>
      </w:rPr>
    </w:lvl>
    <w:lvl w:ilvl="8">
      <w:start w:val="1"/>
      <w:numFmt w:val="lowerRoman"/>
      <w:lvlText w:val="%9."/>
      <w:lvlJc w:val="left"/>
      <w:rPr>
        <w:color w:val="000000"/>
        <w:position w:val="0"/>
        <w:u w:color="000000"/>
        <w:rtl w:val="0"/>
        <w:lang w:val="en-US"/>
      </w:rPr>
    </w:lvl>
  </w:abstractNum>
  <w:abstractNum w:abstractNumId="1" w15:restartNumberingAfterBreak="0">
    <w:nsid w:val="06965544"/>
    <w:multiLevelType w:val="multilevel"/>
    <w:tmpl w:val="C1CEB27E"/>
    <w:styleLink w:val="List21"/>
    <w:lvl w:ilvl="0">
      <w:numFmt w:val="bullet"/>
      <w:lvlText w:val="•"/>
      <w:lvlJc w:val="left"/>
      <w:pPr>
        <w:tabs>
          <w:tab w:val="num" w:pos="567"/>
        </w:tabs>
        <w:ind w:left="567" w:hanging="284"/>
      </w:pPr>
      <w:rPr>
        <w:color w:val="000000"/>
        <w:position w:val="0"/>
        <w:sz w:val="20"/>
        <w:szCs w:val="20"/>
        <w:u w:color="000000"/>
        <w:lang w:val="en-US"/>
      </w:rPr>
    </w:lvl>
    <w:lvl w:ilvl="1">
      <w:start w:val="1"/>
      <w:numFmt w:val="lowerLetter"/>
      <w:lvlText w:val="%2."/>
      <w:lvlJc w:val="left"/>
      <w:pPr>
        <w:tabs>
          <w:tab w:val="num" w:pos="1080"/>
        </w:tabs>
        <w:ind w:left="1080" w:hanging="360"/>
      </w:pPr>
      <w:rPr>
        <w:color w:val="000000"/>
        <w:position w:val="0"/>
        <w:sz w:val="24"/>
        <w:szCs w:val="24"/>
        <w:u w:color="000000"/>
        <w:lang w:val="en-US"/>
      </w:rPr>
    </w:lvl>
    <w:lvl w:ilvl="2">
      <w:start w:val="1"/>
      <w:numFmt w:val="lowerRoman"/>
      <w:lvlText w:val="%3."/>
      <w:lvlJc w:val="left"/>
      <w:pPr>
        <w:tabs>
          <w:tab w:val="num" w:pos="1800"/>
        </w:tabs>
        <w:ind w:left="1800" w:hanging="296"/>
      </w:pPr>
      <w:rPr>
        <w:color w:val="000000"/>
        <w:position w:val="0"/>
        <w:sz w:val="24"/>
        <w:szCs w:val="24"/>
        <w:u w:color="000000"/>
        <w:lang w:val="en-US"/>
      </w:rPr>
    </w:lvl>
    <w:lvl w:ilvl="3">
      <w:start w:val="1"/>
      <w:numFmt w:val="decimal"/>
      <w:lvlText w:val="%4."/>
      <w:lvlJc w:val="left"/>
      <w:pPr>
        <w:tabs>
          <w:tab w:val="num" w:pos="2520"/>
        </w:tabs>
        <w:ind w:left="2520" w:hanging="360"/>
      </w:pPr>
      <w:rPr>
        <w:color w:val="000000"/>
        <w:position w:val="0"/>
        <w:sz w:val="24"/>
        <w:szCs w:val="24"/>
        <w:u w:color="000000"/>
        <w:lang w:val="en-US"/>
      </w:rPr>
    </w:lvl>
    <w:lvl w:ilvl="4">
      <w:start w:val="1"/>
      <w:numFmt w:val="lowerLetter"/>
      <w:lvlText w:val="%5."/>
      <w:lvlJc w:val="left"/>
      <w:pPr>
        <w:tabs>
          <w:tab w:val="num" w:pos="3240"/>
        </w:tabs>
        <w:ind w:left="3240" w:hanging="360"/>
      </w:pPr>
      <w:rPr>
        <w:color w:val="000000"/>
        <w:position w:val="0"/>
        <w:sz w:val="24"/>
        <w:szCs w:val="24"/>
        <w:u w:color="000000"/>
        <w:lang w:val="en-US"/>
      </w:rPr>
    </w:lvl>
    <w:lvl w:ilvl="5">
      <w:start w:val="1"/>
      <w:numFmt w:val="lowerRoman"/>
      <w:lvlText w:val="%6."/>
      <w:lvlJc w:val="left"/>
      <w:pPr>
        <w:tabs>
          <w:tab w:val="num" w:pos="3960"/>
        </w:tabs>
        <w:ind w:left="3960" w:hanging="296"/>
      </w:pPr>
      <w:rPr>
        <w:color w:val="000000"/>
        <w:position w:val="0"/>
        <w:sz w:val="24"/>
        <w:szCs w:val="24"/>
        <w:u w:color="000000"/>
        <w:lang w:val="en-US"/>
      </w:rPr>
    </w:lvl>
    <w:lvl w:ilvl="6">
      <w:start w:val="1"/>
      <w:numFmt w:val="decimal"/>
      <w:lvlText w:val="%7."/>
      <w:lvlJc w:val="left"/>
      <w:pPr>
        <w:tabs>
          <w:tab w:val="num" w:pos="4680"/>
        </w:tabs>
        <w:ind w:left="4680" w:hanging="360"/>
      </w:pPr>
      <w:rPr>
        <w:color w:val="000000"/>
        <w:position w:val="0"/>
        <w:sz w:val="24"/>
        <w:szCs w:val="24"/>
        <w:u w:color="000000"/>
        <w:lang w:val="en-US"/>
      </w:rPr>
    </w:lvl>
    <w:lvl w:ilvl="7">
      <w:start w:val="1"/>
      <w:numFmt w:val="lowerLetter"/>
      <w:lvlText w:val="%8."/>
      <w:lvlJc w:val="left"/>
      <w:pPr>
        <w:tabs>
          <w:tab w:val="num" w:pos="5400"/>
        </w:tabs>
        <w:ind w:left="5400" w:hanging="360"/>
      </w:pPr>
      <w:rPr>
        <w:color w:val="000000"/>
        <w:position w:val="0"/>
        <w:sz w:val="24"/>
        <w:szCs w:val="24"/>
        <w:u w:color="000000"/>
        <w:lang w:val="en-US"/>
      </w:rPr>
    </w:lvl>
    <w:lvl w:ilvl="8">
      <w:start w:val="1"/>
      <w:numFmt w:val="lowerRoman"/>
      <w:lvlText w:val="%9."/>
      <w:lvlJc w:val="left"/>
      <w:pPr>
        <w:tabs>
          <w:tab w:val="num" w:pos="6120"/>
        </w:tabs>
        <w:ind w:left="6120" w:hanging="296"/>
      </w:pPr>
      <w:rPr>
        <w:color w:val="000000"/>
        <w:position w:val="0"/>
        <w:sz w:val="24"/>
        <w:szCs w:val="24"/>
        <w:u w:color="000000"/>
        <w:lang w:val="en-US"/>
      </w:rPr>
    </w:lvl>
  </w:abstractNum>
  <w:abstractNum w:abstractNumId="2" w15:restartNumberingAfterBreak="0">
    <w:nsid w:val="09C87D5D"/>
    <w:multiLevelType w:val="multilevel"/>
    <w:tmpl w:val="41D4EC16"/>
    <w:lvl w:ilvl="0">
      <w:start w:val="1"/>
      <w:numFmt w:val="decimal"/>
      <w:lvlText w:val="(%1)"/>
      <w:lvlJc w:val="left"/>
      <w:pPr>
        <w:tabs>
          <w:tab w:val="num" w:pos="720"/>
        </w:tabs>
        <w:ind w:left="720" w:hanging="360"/>
      </w:pPr>
      <w:rPr>
        <w:color w:val="000000"/>
        <w:position w:val="0"/>
        <w:sz w:val="24"/>
        <w:szCs w:val="24"/>
        <w:lang w:val="en-US"/>
      </w:rPr>
    </w:lvl>
    <w:lvl w:ilvl="1">
      <w:start w:val="19"/>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3" w15:restartNumberingAfterBreak="0">
    <w:nsid w:val="0B2F3E56"/>
    <w:multiLevelType w:val="multilevel"/>
    <w:tmpl w:val="451A6D92"/>
    <w:lvl w:ilvl="0">
      <w:start w:val="1"/>
      <w:numFmt w:val="bullet"/>
      <w:lvlText w:val="•"/>
      <w:lvlJc w:val="left"/>
      <w:rPr>
        <w:color w:val="000000"/>
        <w:position w:val="0"/>
        <w:u w:color="000000"/>
        <w:rtl w:val="0"/>
        <w:lang w:val="en-US"/>
      </w:rPr>
    </w:lvl>
    <w:lvl w:ilvl="1">
      <w:start w:val="1"/>
      <w:numFmt w:val="lowerLetter"/>
      <w:lvlText w:val="%2."/>
      <w:lvlJc w:val="left"/>
      <w:rPr>
        <w:color w:val="000000"/>
        <w:position w:val="0"/>
        <w:u w:color="000000"/>
        <w:rtl w:val="0"/>
        <w:lang w:val="en-US"/>
      </w:rPr>
    </w:lvl>
    <w:lvl w:ilvl="2">
      <w:start w:val="1"/>
      <w:numFmt w:val="lowerRoman"/>
      <w:lvlText w:val="%3."/>
      <w:lvlJc w:val="left"/>
      <w:rPr>
        <w:color w:val="000000"/>
        <w:position w:val="0"/>
        <w:u w:color="000000"/>
        <w:rtl w:val="0"/>
        <w:lang w:val="en-US"/>
      </w:rPr>
    </w:lvl>
    <w:lvl w:ilvl="3">
      <w:start w:val="1"/>
      <w:numFmt w:val="decimal"/>
      <w:lvlText w:val="%4."/>
      <w:lvlJc w:val="left"/>
      <w:rPr>
        <w:color w:val="000000"/>
        <w:position w:val="0"/>
        <w:u w:color="000000"/>
        <w:rtl w:val="0"/>
        <w:lang w:val="en-US"/>
      </w:rPr>
    </w:lvl>
    <w:lvl w:ilvl="4">
      <w:start w:val="1"/>
      <w:numFmt w:val="lowerLetter"/>
      <w:lvlText w:val="%5."/>
      <w:lvlJc w:val="left"/>
      <w:rPr>
        <w:color w:val="000000"/>
        <w:position w:val="0"/>
        <w:u w:color="000000"/>
        <w:rtl w:val="0"/>
        <w:lang w:val="en-US"/>
      </w:rPr>
    </w:lvl>
    <w:lvl w:ilvl="5">
      <w:start w:val="1"/>
      <w:numFmt w:val="lowerRoman"/>
      <w:lvlText w:val="%6."/>
      <w:lvlJc w:val="left"/>
      <w:rPr>
        <w:color w:val="000000"/>
        <w:position w:val="0"/>
        <w:u w:color="000000"/>
        <w:rtl w:val="0"/>
        <w:lang w:val="en-US"/>
      </w:rPr>
    </w:lvl>
    <w:lvl w:ilvl="6">
      <w:start w:val="1"/>
      <w:numFmt w:val="decimal"/>
      <w:lvlText w:val="%7."/>
      <w:lvlJc w:val="left"/>
      <w:rPr>
        <w:color w:val="000000"/>
        <w:position w:val="0"/>
        <w:u w:color="000000"/>
        <w:rtl w:val="0"/>
        <w:lang w:val="en-US"/>
      </w:rPr>
    </w:lvl>
    <w:lvl w:ilvl="7">
      <w:start w:val="1"/>
      <w:numFmt w:val="lowerLetter"/>
      <w:lvlText w:val="%8."/>
      <w:lvlJc w:val="left"/>
      <w:rPr>
        <w:color w:val="000000"/>
        <w:position w:val="0"/>
        <w:u w:color="000000"/>
        <w:rtl w:val="0"/>
        <w:lang w:val="en-US"/>
      </w:rPr>
    </w:lvl>
    <w:lvl w:ilvl="8">
      <w:start w:val="1"/>
      <w:numFmt w:val="lowerRoman"/>
      <w:lvlText w:val="%9."/>
      <w:lvlJc w:val="left"/>
      <w:rPr>
        <w:color w:val="000000"/>
        <w:position w:val="0"/>
        <w:u w:color="000000"/>
        <w:rtl w:val="0"/>
        <w:lang w:val="en-US"/>
      </w:rPr>
    </w:lvl>
  </w:abstractNum>
  <w:abstractNum w:abstractNumId="4" w15:restartNumberingAfterBreak="0">
    <w:nsid w:val="0ECF5144"/>
    <w:multiLevelType w:val="multilevel"/>
    <w:tmpl w:val="BEF8B3CE"/>
    <w:lvl w:ilvl="0">
      <w:start w:val="1"/>
      <w:numFmt w:val="decimal"/>
      <w:lvlText w:val="(%1)"/>
      <w:lvlJc w:val="left"/>
      <w:pPr>
        <w:tabs>
          <w:tab w:val="num" w:pos="720"/>
        </w:tabs>
        <w:ind w:left="720" w:hanging="360"/>
      </w:pPr>
      <w:rPr>
        <w:color w:val="000000"/>
        <w:position w:val="0"/>
        <w:sz w:val="24"/>
        <w:szCs w:val="24"/>
        <w:u w:color="FF0000"/>
        <w:lang w:val="en-US"/>
      </w:rPr>
    </w:lvl>
    <w:lvl w:ilvl="1">
      <w:start w:val="1"/>
      <w:numFmt w:val="decimal"/>
      <w:lvlText w:val="%2."/>
      <w:lvlJc w:val="left"/>
      <w:pPr>
        <w:tabs>
          <w:tab w:val="num" w:pos="435"/>
        </w:tabs>
        <w:ind w:left="435" w:hanging="435"/>
      </w:pPr>
      <w:rPr>
        <w:color w:val="000000"/>
        <w:position w:val="0"/>
        <w:sz w:val="24"/>
        <w:szCs w:val="24"/>
        <w:u w:color="FF0000"/>
        <w:lang w:val="en-US"/>
      </w:rPr>
    </w:lvl>
    <w:lvl w:ilvl="2">
      <w:start w:val="1"/>
      <w:numFmt w:val="lowerRoman"/>
      <w:lvlText w:val="%3."/>
      <w:lvlJc w:val="left"/>
      <w:pPr>
        <w:tabs>
          <w:tab w:val="num" w:pos="2160"/>
        </w:tabs>
        <w:ind w:left="2160" w:hanging="296"/>
      </w:pPr>
      <w:rPr>
        <w:color w:val="000000"/>
        <w:position w:val="0"/>
        <w:sz w:val="24"/>
        <w:szCs w:val="24"/>
        <w:u w:color="FF0000"/>
        <w:lang w:val="en-US"/>
      </w:rPr>
    </w:lvl>
    <w:lvl w:ilvl="3">
      <w:numFmt w:val="bullet"/>
      <w:lvlText w:val="-"/>
      <w:lvlJc w:val="left"/>
      <w:pPr>
        <w:tabs>
          <w:tab w:val="num" w:pos="2880"/>
        </w:tabs>
        <w:ind w:left="2880" w:hanging="360"/>
      </w:pPr>
      <w:rPr>
        <w:color w:val="000000"/>
        <w:position w:val="0"/>
        <w:sz w:val="22"/>
        <w:szCs w:val="22"/>
        <w:u w:color="FF0000"/>
        <w:lang w:val="en-US"/>
      </w:rPr>
    </w:lvl>
    <w:lvl w:ilvl="4">
      <w:start w:val="1"/>
      <w:numFmt w:val="lowerLetter"/>
      <w:lvlText w:val="%5."/>
      <w:lvlJc w:val="left"/>
      <w:pPr>
        <w:tabs>
          <w:tab w:val="num" w:pos="3600"/>
        </w:tabs>
        <w:ind w:left="3600" w:hanging="360"/>
      </w:pPr>
      <w:rPr>
        <w:color w:val="000000"/>
        <w:position w:val="0"/>
        <w:sz w:val="24"/>
        <w:szCs w:val="24"/>
        <w:u w:color="FF0000"/>
        <w:lang w:val="en-US"/>
      </w:rPr>
    </w:lvl>
    <w:lvl w:ilvl="5">
      <w:start w:val="1"/>
      <w:numFmt w:val="lowerRoman"/>
      <w:lvlText w:val="%6."/>
      <w:lvlJc w:val="left"/>
      <w:pPr>
        <w:tabs>
          <w:tab w:val="num" w:pos="4320"/>
        </w:tabs>
        <w:ind w:left="4320" w:hanging="296"/>
      </w:pPr>
      <w:rPr>
        <w:color w:val="000000"/>
        <w:position w:val="0"/>
        <w:sz w:val="24"/>
        <w:szCs w:val="24"/>
        <w:u w:color="FF0000"/>
        <w:lang w:val="en-US"/>
      </w:rPr>
    </w:lvl>
    <w:lvl w:ilvl="6">
      <w:start w:val="1"/>
      <w:numFmt w:val="decimal"/>
      <w:lvlText w:val="%7."/>
      <w:lvlJc w:val="left"/>
      <w:pPr>
        <w:tabs>
          <w:tab w:val="num" w:pos="5040"/>
        </w:tabs>
        <w:ind w:left="5040" w:hanging="360"/>
      </w:pPr>
      <w:rPr>
        <w:color w:val="000000"/>
        <w:position w:val="0"/>
        <w:sz w:val="24"/>
        <w:szCs w:val="24"/>
        <w:u w:color="FF0000"/>
        <w:lang w:val="en-US"/>
      </w:rPr>
    </w:lvl>
    <w:lvl w:ilvl="7">
      <w:start w:val="1"/>
      <w:numFmt w:val="lowerLetter"/>
      <w:lvlText w:val="%8."/>
      <w:lvlJc w:val="left"/>
      <w:pPr>
        <w:tabs>
          <w:tab w:val="num" w:pos="5760"/>
        </w:tabs>
        <w:ind w:left="5760" w:hanging="360"/>
      </w:pPr>
      <w:rPr>
        <w:color w:val="000000"/>
        <w:position w:val="0"/>
        <w:sz w:val="24"/>
        <w:szCs w:val="24"/>
        <w:u w:color="FF0000"/>
        <w:lang w:val="en-US"/>
      </w:rPr>
    </w:lvl>
    <w:lvl w:ilvl="8">
      <w:start w:val="1"/>
      <w:numFmt w:val="lowerRoman"/>
      <w:lvlText w:val="%9."/>
      <w:lvlJc w:val="left"/>
      <w:pPr>
        <w:tabs>
          <w:tab w:val="num" w:pos="6480"/>
        </w:tabs>
        <w:ind w:left="6480" w:hanging="296"/>
      </w:pPr>
      <w:rPr>
        <w:color w:val="000000"/>
        <w:position w:val="0"/>
        <w:sz w:val="24"/>
        <w:szCs w:val="24"/>
        <w:u w:color="FF0000"/>
        <w:lang w:val="en-US"/>
      </w:rPr>
    </w:lvl>
  </w:abstractNum>
  <w:abstractNum w:abstractNumId="5" w15:restartNumberingAfterBreak="0">
    <w:nsid w:val="0F5C5E72"/>
    <w:multiLevelType w:val="multilevel"/>
    <w:tmpl w:val="ECF29786"/>
    <w:lvl w:ilvl="0">
      <w:start w:val="1"/>
      <w:numFmt w:val="decimal"/>
      <w:lvlText w:val="(%1)"/>
      <w:lvlJc w:val="left"/>
      <w:pPr>
        <w:tabs>
          <w:tab w:val="num" w:pos="720"/>
        </w:tabs>
        <w:ind w:left="720" w:hanging="360"/>
      </w:pPr>
      <w:rPr>
        <w:color w:val="000000"/>
        <w:position w:val="0"/>
        <w:sz w:val="24"/>
        <w:szCs w:val="24"/>
        <w:lang w:val="en-US"/>
      </w:rPr>
    </w:lvl>
    <w:lvl w:ilvl="1">
      <w:start w:val="16"/>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6" w15:restartNumberingAfterBreak="0">
    <w:nsid w:val="11A05E01"/>
    <w:multiLevelType w:val="multilevel"/>
    <w:tmpl w:val="41AA7632"/>
    <w:lvl w:ilvl="0">
      <w:numFmt w:val="bullet"/>
      <w:lvlText w:val="•"/>
      <w:lvlJc w:val="left"/>
      <w:pPr>
        <w:tabs>
          <w:tab w:val="num" w:pos="567"/>
        </w:tabs>
        <w:ind w:left="567" w:hanging="283"/>
      </w:pPr>
      <w:rPr>
        <w:position w:val="0"/>
        <w:sz w:val="20"/>
        <w:szCs w:val="20"/>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7" w15:restartNumberingAfterBreak="0">
    <w:nsid w:val="11F0577F"/>
    <w:multiLevelType w:val="multilevel"/>
    <w:tmpl w:val="77DCD462"/>
    <w:lvl w:ilvl="0">
      <w:start w:val="1"/>
      <w:numFmt w:val="decimal"/>
      <w:lvlText w:val="(%1)"/>
      <w:lvlJc w:val="left"/>
      <w:pPr>
        <w:tabs>
          <w:tab w:val="num" w:pos="720"/>
        </w:tabs>
        <w:ind w:left="72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1">
      <w:start w:val="1"/>
      <w:numFmt w:val="decimal"/>
      <w:lvlText w:val="%2."/>
      <w:lvlJc w:val="left"/>
      <w:pPr>
        <w:tabs>
          <w:tab w:val="num" w:pos="435"/>
        </w:tabs>
        <w:ind w:left="435" w:hanging="435"/>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2">
      <w:start w:val="1"/>
      <w:numFmt w:val="lowerRoman"/>
      <w:lvlText w:val="%3."/>
      <w:lvlJc w:val="left"/>
      <w:pPr>
        <w:tabs>
          <w:tab w:val="num" w:pos="2160"/>
        </w:tabs>
        <w:ind w:left="216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3">
      <w:start w:val="1"/>
      <w:numFmt w:val="bullet"/>
      <w:lvlText w:val="-"/>
      <w:lvlJc w:val="left"/>
      <w:pPr>
        <w:tabs>
          <w:tab w:val="num" w:pos="2880"/>
        </w:tabs>
        <w:ind w:left="288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4">
      <w:start w:val="1"/>
      <w:numFmt w:val="lowerLetter"/>
      <w:lvlText w:val="%5."/>
      <w:lvlJc w:val="left"/>
      <w:pPr>
        <w:tabs>
          <w:tab w:val="num" w:pos="3600"/>
        </w:tabs>
        <w:ind w:left="360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5">
      <w:start w:val="1"/>
      <w:numFmt w:val="lowerRoman"/>
      <w:lvlText w:val="%6."/>
      <w:lvlJc w:val="left"/>
      <w:pPr>
        <w:tabs>
          <w:tab w:val="num" w:pos="4320"/>
        </w:tabs>
        <w:ind w:left="432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6">
      <w:start w:val="1"/>
      <w:numFmt w:val="decimal"/>
      <w:lvlText w:val="%7."/>
      <w:lvlJc w:val="left"/>
      <w:pPr>
        <w:tabs>
          <w:tab w:val="num" w:pos="5040"/>
        </w:tabs>
        <w:ind w:left="504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7">
      <w:start w:val="1"/>
      <w:numFmt w:val="lowerLetter"/>
      <w:lvlText w:val="%8."/>
      <w:lvlJc w:val="left"/>
      <w:pPr>
        <w:tabs>
          <w:tab w:val="num" w:pos="5760"/>
        </w:tabs>
        <w:ind w:left="576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8">
      <w:start w:val="1"/>
      <w:numFmt w:val="lowerRoman"/>
      <w:lvlText w:val="%9."/>
      <w:lvlJc w:val="left"/>
      <w:pPr>
        <w:tabs>
          <w:tab w:val="num" w:pos="6480"/>
        </w:tabs>
        <w:ind w:left="648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abstractNum>
  <w:abstractNum w:abstractNumId="8" w15:restartNumberingAfterBreak="0">
    <w:nsid w:val="13C17B2B"/>
    <w:multiLevelType w:val="multilevel"/>
    <w:tmpl w:val="D102CA24"/>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9" w15:restartNumberingAfterBreak="0">
    <w:nsid w:val="13CB7FE6"/>
    <w:multiLevelType w:val="multilevel"/>
    <w:tmpl w:val="BDBA361C"/>
    <w:lvl w:ilvl="0">
      <w:start w:val="26"/>
      <w:numFmt w:val="decimal"/>
      <w:lvlText w:val="(%1)"/>
      <w:lvlJc w:val="left"/>
      <w:pPr>
        <w:tabs>
          <w:tab w:val="num" w:pos="720"/>
        </w:tabs>
        <w:ind w:left="720" w:hanging="360"/>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1">
      <w:start w:val="1"/>
      <w:numFmt w:val="decimal"/>
      <w:lvlText w:val="%2."/>
      <w:lvlJc w:val="left"/>
      <w:pPr>
        <w:tabs>
          <w:tab w:val="num" w:pos="435"/>
        </w:tabs>
        <w:ind w:left="435" w:hanging="435"/>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2">
      <w:start w:val="1"/>
      <w:numFmt w:val="lowerRoman"/>
      <w:lvlText w:val="%3."/>
      <w:lvlJc w:val="left"/>
      <w:pPr>
        <w:tabs>
          <w:tab w:val="num" w:pos="2160"/>
        </w:tabs>
        <w:ind w:left="2160" w:hanging="296"/>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3">
      <w:start w:val="1"/>
      <w:numFmt w:val="bullet"/>
      <w:lvlText w:val="-"/>
      <w:lvlJc w:val="left"/>
      <w:pPr>
        <w:tabs>
          <w:tab w:val="num" w:pos="2880"/>
        </w:tabs>
        <w:ind w:left="2880" w:hanging="360"/>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4">
      <w:start w:val="1"/>
      <w:numFmt w:val="lowerLetter"/>
      <w:lvlText w:val="%5."/>
      <w:lvlJc w:val="left"/>
      <w:pPr>
        <w:tabs>
          <w:tab w:val="num" w:pos="3600"/>
        </w:tabs>
        <w:ind w:left="3600" w:hanging="360"/>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5">
      <w:start w:val="1"/>
      <w:numFmt w:val="lowerRoman"/>
      <w:lvlText w:val="%6."/>
      <w:lvlJc w:val="left"/>
      <w:pPr>
        <w:tabs>
          <w:tab w:val="num" w:pos="4320"/>
        </w:tabs>
        <w:ind w:left="4320" w:hanging="296"/>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6">
      <w:start w:val="1"/>
      <w:numFmt w:val="decimal"/>
      <w:lvlText w:val="%7."/>
      <w:lvlJc w:val="left"/>
      <w:pPr>
        <w:tabs>
          <w:tab w:val="num" w:pos="5040"/>
        </w:tabs>
        <w:ind w:left="5040" w:hanging="360"/>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7">
      <w:start w:val="1"/>
      <w:numFmt w:val="lowerLetter"/>
      <w:lvlText w:val="%8."/>
      <w:lvlJc w:val="left"/>
      <w:pPr>
        <w:tabs>
          <w:tab w:val="num" w:pos="5760"/>
        </w:tabs>
        <w:ind w:left="5760" w:hanging="360"/>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8">
      <w:start w:val="1"/>
      <w:numFmt w:val="lowerRoman"/>
      <w:lvlText w:val="%9."/>
      <w:lvlJc w:val="left"/>
      <w:pPr>
        <w:tabs>
          <w:tab w:val="num" w:pos="6480"/>
        </w:tabs>
        <w:ind w:left="6480" w:hanging="296"/>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abstractNum>
  <w:abstractNum w:abstractNumId="10" w15:restartNumberingAfterBreak="0">
    <w:nsid w:val="16BE284D"/>
    <w:multiLevelType w:val="multilevel"/>
    <w:tmpl w:val="9C98FBF8"/>
    <w:lvl w:ilvl="0">
      <w:start w:val="1"/>
      <w:numFmt w:val="decimal"/>
      <w:lvlText w:val="(%1)"/>
      <w:lvlJc w:val="left"/>
      <w:pPr>
        <w:tabs>
          <w:tab w:val="num" w:pos="720"/>
        </w:tabs>
        <w:ind w:left="720" w:hanging="360"/>
      </w:pPr>
      <w:rPr>
        <w:color w:val="000000"/>
        <w:position w:val="0"/>
        <w:sz w:val="24"/>
        <w:szCs w:val="24"/>
        <w:u w:color="FF0000"/>
        <w:lang w:val="en-US"/>
      </w:rPr>
    </w:lvl>
    <w:lvl w:ilvl="1">
      <w:start w:val="1"/>
      <w:numFmt w:val="decimal"/>
      <w:lvlText w:val="%2."/>
      <w:lvlJc w:val="left"/>
      <w:pPr>
        <w:tabs>
          <w:tab w:val="num" w:pos="435"/>
        </w:tabs>
        <w:ind w:left="435" w:hanging="435"/>
      </w:pPr>
      <w:rPr>
        <w:color w:val="000000"/>
        <w:position w:val="0"/>
        <w:sz w:val="24"/>
        <w:szCs w:val="24"/>
        <w:u w:color="FF0000"/>
        <w:lang w:val="en-US"/>
      </w:rPr>
    </w:lvl>
    <w:lvl w:ilvl="2">
      <w:start w:val="1"/>
      <w:numFmt w:val="lowerRoman"/>
      <w:lvlText w:val="%3."/>
      <w:lvlJc w:val="left"/>
      <w:pPr>
        <w:tabs>
          <w:tab w:val="num" w:pos="2160"/>
        </w:tabs>
        <w:ind w:left="2160" w:hanging="296"/>
      </w:pPr>
      <w:rPr>
        <w:color w:val="000000"/>
        <w:position w:val="0"/>
        <w:sz w:val="24"/>
        <w:szCs w:val="24"/>
        <w:u w:color="FF0000"/>
        <w:lang w:val="en-US"/>
      </w:rPr>
    </w:lvl>
    <w:lvl w:ilvl="3">
      <w:numFmt w:val="bullet"/>
      <w:lvlText w:val="-"/>
      <w:lvlJc w:val="left"/>
      <w:pPr>
        <w:tabs>
          <w:tab w:val="num" w:pos="2880"/>
        </w:tabs>
        <w:ind w:left="2880" w:hanging="360"/>
      </w:pPr>
      <w:rPr>
        <w:color w:val="000000"/>
        <w:position w:val="0"/>
        <w:sz w:val="22"/>
        <w:szCs w:val="22"/>
        <w:u w:color="FF0000"/>
        <w:lang w:val="en-US"/>
      </w:rPr>
    </w:lvl>
    <w:lvl w:ilvl="4">
      <w:start w:val="1"/>
      <w:numFmt w:val="lowerLetter"/>
      <w:lvlText w:val="%5."/>
      <w:lvlJc w:val="left"/>
      <w:pPr>
        <w:tabs>
          <w:tab w:val="num" w:pos="3600"/>
        </w:tabs>
        <w:ind w:left="3600" w:hanging="360"/>
      </w:pPr>
      <w:rPr>
        <w:color w:val="000000"/>
        <w:position w:val="0"/>
        <w:sz w:val="24"/>
        <w:szCs w:val="24"/>
        <w:u w:color="FF0000"/>
        <w:lang w:val="en-US"/>
      </w:rPr>
    </w:lvl>
    <w:lvl w:ilvl="5">
      <w:start w:val="1"/>
      <w:numFmt w:val="lowerRoman"/>
      <w:lvlText w:val="%6."/>
      <w:lvlJc w:val="left"/>
      <w:pPr>
        <w:tabs>
          <w:tab w:val="num" w:pos="4320"/>
        </w:tabs>
        <w:ind w:left="4320" w:hanging="296"/>
      </w:pPr>
      <w:rPr>
        <w:color w:val="000000"/>
        <w:position w:val="0"/>
        <w:sz w:val="24"/>
        <w:szCs w:val="24"/>
        <w:u w:color="FF0000"/>
        <w:lang w:val="en-US"/>
      </w:rPr>
    </w:lvl>
    <w:lvl w:ilvl="6">
      <w:start w:val="1"/>
      <w:numFmt w:val="decimal"/>
      <w:lvlText w:val="%7."/>
      <w:lvlJc w:val="left"/>
      <w:pPr>
        <w:tabs>
          <w:tab w:val="num" w:pos="5040"/>
        </w:tabs>
        <w:ind w:left="5040" w:hanging="360"/>
      </w:pPr>
      <w:rPr>
        <w:color w:val="000000"/>
        <w:position w:val="0"/>
        <w:sz w:val="24"/>
        <w:szCs w:val="24"/>
        <w:u w:color="FF0000"/>
        <w:lang w:val="en-US"/>
      </w:rPr>
    </w:lvl>
    <w:lvl w:ilvl="7">
      <w:start w:val="1"/>
      <w:numFmt w:val="lowerLetter"/>
      <w:lvlText w:val="%8."/>
      <w:lvlJc w:val="left"/>
      <w:pPr>
        <w:tabs>
          <w:tab w:val="num" w:pos="5760"/>
        </w:tabs>
        <w:ind w:left="5760" w:hanging="360"/>
      </w:pPr>
      <w:rPr>
        <w:color w:val="000000"/>
        <w:position w:val="0"/>
        <w:sz w:val="24"/>
        <w:szCs w:val="24"/>
        <w:u w:color="FF0000"/>
        <w:lang w:val="en-US"/>
      </w:rPr>
    </w:lvl>
    <w:lvl w:ilvl="8">
      <w:start w:val="1"/>
      <w:numFmt w:val="lowerRoman"/>
      <w:lvlText w:val="%9."/>
      <w:lvlJc w:val="left"/>
      <w:pPr>
        <w:tabs>
          <w:tab w:val="num" w:pos="6480"/>
        </w:tabs>
        <w:ind w:left="6480" w:hanging="296"/>
      </w:pPr>
      <w:rPr>
        <w:color w:val="000000"/>
        <w:position w:val="0"/>
        <w:sz w:val="24"/>
        <w:szCs w:val="24"/>
        <w:u w:color="FF0000"/>
        <w:lang w:val="en-US"/>
      </w:rPr>
    </w:lvl>
  </w:abstractNum>
  <w:abstractNum w:abstractNumId="11" w15:restartNumberingAfterBreak="0">
    <w:nsid w:val="1CB74D3F"/>
    <w:multiLevelType w:val="multilevel"/>
    <w:tmpl w:val="63FAF8FA"/>
    <w:lvl w:ilvl="0">
      <w:start w:val="1"/>
      <w:numFmt w:val="decimal"/>
      <w:lvlText w:val="(%1)"/>
      <w:lvlJc w:val="left"/>
      <w:pPr>
        <w:tabs>
          <w:tab w:val="num" w:pos="720"/>
        </w:tabs>
        <w:ind w:left="720" w:hanging="360"/>
      </w:pPr>
      <w:rPr>
        <w:color w:val="000000"/>
        <w:position w:val="0"/>
        <w:sz w:val="24"/>
        <w:szCs w:val="24"/>
        <w:u w:color="FF0000"/>
        <w:lang w:val="en-US"/>
      </w:rPr>
    </w:lvl>
    <w:lvl w:ilvl="1">
      <w:start w:val="1"/>
      <w:numFmt w:val="decimal"/>
      <w:lvlText w:val="%2."/>
      <w:lvlJc w:val="left"/>
      <w:pPr>
        <w:tabs>
          <w:tab w:val="num" w:pos="435"/>
        </w:tabs>
        <w:ind w:left="435" w:hanging="435"/>
      </w:pPr>
      <w:rPr>
        <w:color w:val="000000"/>
        <w:position w:val="0"/>
        <w:sz w:val="24"/>
        <w:szCs w:val="24"/>
        <w:u w:color="FF0000"/>
        <w:lang w:val="en-US"/>
      </w:rPr>
    </w:lvl>
    <w:lvl w:ilvl="2">
      <w:start w:val="1"/>
      <w:numFmt w:val="lowerRoman"/>
      <w:lvlText w:val="%3."/>
      <w:lvlJc w:val="left"/>
      <w:pPr>
        <w:tabs>
          <w:tab w:val="num" w:pos="2160"/>
        </w:tabs>
        <w:ind w:left="2160" w:hanging="296"/>
      </w:pPr>
      <w:rPr>
        <w:color w:val="000000"/>
        <w:position w:val="0"/>
        <w:sz w:val="24"/>
        <w:szCs w:val="24"/>
        <w:u w:color="FF0000"/>
        <w:lang w:val="en-US"/>
      </w:rPr>
    </w:lvl>
    <w:lvl w:ilvl="3">
      <w:numFmt w:val="bullet"/>
      <w:lvlText w:val="-"/>
      <w:lvlJc w:val="left"/>
      <w:pPr>
        <w:tabs>
          <w:tab w:val="num" w:pos="2880"/>
        </w:tabs>
        <w:ind w:left="2880" w:hanging="360"/>
      </w:pPr>
      <w:rPr>
        <w:color w:val="000000"/>
        <w:position w:val="0"/>
        <w:sz w:val="22"/>
        <w:szCs w:val="22"/>
        <w:u w:color="FF0000"/>
        <w:lang w:val="en-US"/>
      </w:rPr>
    </w:lvl>
    <w:lvl w:ilvl="4">
      <w:start w:val="1"/>
      <w:numFmt w:val="lowerLetter"/>
      <w:lvlText w:val="%5."/>
      <w:lvlJc w:val="left"/>
      <w:pPr>
        <w:tabs>
          <w:tab w:val="num" w:pos="3600"/>
        </w:tabs>
        <w:ind w:left="3600" w:hanging="360"/>
      </w:pPr>
      <w:rPr>
        <w:color w:val="000000"/>
        <w:position w:val="0"/>
        <w:sz w:val="24"/>
        <w:szCs w:val="24"/>
        <w:u w:color="FF0000"/>
        <w:lang w:val="en-US"/>
      </w:rPr>
    </w:lvl>
    <w:lvl w:ilvl="5">
      <w:start w:val="1"/>
      <w:numFmt w:val="lowerRoman"/>
      <w:lvlText w:val="%6."/>
      <w:lvlJc w:val="left"/>
      <w:pPr>
        <w:tabs>
          <w:tab w:val="num" w:pos="4320"/>
        </w:tabs>
        <w:ind w:left="4320" w:hanging="296"/>
      </w:pPr>
      <w:rPr>
        <w:color w:val="000000"/>
        <w:position w:val="0"/>
        <w:sz w:val="24"/>
        <w:szCs w:val="24"/>
        <w:u w:color="FF0000"/>
        <w:lang w:val="en-US"/>
      </w:rPr>
    </w:lvl>
    <w:lvl w:ilvl="6">
      <w:start w:val="1"/>
      <w:numFmt w:val="decimal"/>
      <w:lvlText w:val="%7."/>
      <w:lvlJc w:val="left"/>
      <w:pPr>
        <w:tabs>
          <w:tab w:val="num" w:pos="5040"/>
        </w:tabs>
        <w:ind w:left="5040" w:hanging="360"/>
      </w:pPr>
      <w:rPr>
        <w:color w:val="000000"/>
        <w:position w:val="0"/>
        <w:sz w:val="24"/>
        <w:szCs w:val="24"/>
        <w:u w:color="FF0000"/>
        <w:lang w:val="en-US"/>
      </w:rPr>
    </w:lvl>
    <w:lvl w:ilvl="7">
      <w:start w:val="1"/>
      <w:numFmt w:val="lowerLetter"/>
      <w:lvlText w:val="%8."/>
      <w:lvlJc w:val="left"/>
      <w:pPr>
        <w:tabs>
          <w:tab w:val="num" w:pos="5760"/>
        </w:tabs>
        <w:ind w:left="5760" w:hanging="360"/>
      </w:pPr>
      <w:rPr>
        <w:color w:val="000000"/>
        <w:position w:val="0"/>
        <w:sz w:val="24"/>
        <w:szCs w:val="24"/>
        <w:u w:color="FF0000"/>
        <w:lang w:val="en-US"/>
      </w:rPr>
    </w:lvl>
    <w:lvl w:ilvl="8">
      <w:start w:val="1"/>
      <w:numFmt w:val="lowerRoman"/>
      <w:lvlText w:val="%9."/>
      <w:lvlJc w:val="left"/>
      <w:pPr>
        <w:tabs>
          <w:tab w:val="num" w:pos="6480"/>
        </w:tabs>
        <w:ind w:left="6480" w:hanging="296"/>
      </w:pPr>
      <w:rPr>
        <w:color w:val="000000"/>
        <w:position w:val="0"/>
        <w:sz w:val="24"/>
        <w:szCs w:val="24"/>
        <w:u w:color="FF0000"/>
        <w:lang w:val="en-US"/>
      </w:rPr>
    </w:lvl>
  </w:abstractNum>
  <w:abstractNum w:abstractNumId="12" w15:restartNumberingAfterBreak="0">
    <w:nsid w:val="1D476788"/>
    <w:multiLevelType w:val="multilevel"/>
    <w:tmpl w:val="34F86DDA"/>
    <w:lvl w:ilvl="0">
      <w:numFmt w:val="bullet"/>
      <w:lvlText w:val="•"/>
      <w:lvlJc w:val="left"/>
      <w:pPr>
        <w:tabs>
          <w:tab w:val="num" w:pos="567"/>
        </w:tabs>
        <w:ind w:left="567" w:hanging="283"/>
      </w:pPr>
      <w:rPr>
        <w:position w:val="0"/>
        <w:sz w:val="20"/>
        <w:szCs w:val="20"/>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3" w15:restartNumberingAfterBreak="0">
    <w:nsid w:val="21C670C4"/>
    <w:multiLevelType w:val="multilevel"/>
    <w:tmpl w:val="B696115A"/>
    <w:styleLink w:val="Style2import"/>
    <w:lvl w:ilvl="0">
      <w:start w:val="1"/>
      <w:numFmt w:val="decimal"/>
      <w:lvlText w:val="(%1)"/>
      <w:lvlJc w:val="left"/>
      <w:pPr>
        <w:tabs>
          <w:tab w:val="num" w:pos="720"/>
        </w:tabs>
        <w:ind w:left="720" w:hanging="360"/>
      </w:pPr>
      <w:rPr>
        <w:color w:val="000000"/>
        <w:position w:val="0"/>
        <w:sz w:val="24"/>
        <w:szCs w:val="24"/>
        <w:lang w:val="en-US"/>
      </w:rPr>
    </w:lvl>
    <w:lvl w:ilvl="1">
      <w:start w:val="1"/>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14" w15:restartNumberingAfterBreak="0">
    <w:nsid w:val="22944668"/>
    <w:multiLevelType w:val="multilevel"/>
    <w:tmpl w:val="94C49B48"/>
    <w:lvl w:ilvl="0">
      <w:start w:val="1"/>
      <w:numFmt w:val="decimal"/>
      <w:lvlText w:val="(%1)"/>
      <w:lvlJc w:val="left"/>
      <w:pPr>
        <w:tabs>
          <w:tab w:val="num" w:pos="720"/>
        </w:tabs>
        <w:ind w:left="720" w:hanging="360"/>
      </w:pPr>
      <w:rPr>
        <w:color w:val="000000"/>
        <w:position w:val="0"/>
        <w:sz w:val="24"/>
        <w:szCs w:val="24"/>
        <w:lang w:val="en-US"/>
      </w:rPr>
    </w:lvl>
    <w:lvl w:ilvl="1">
      <w:start w:val="1"/>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15" w15:restartNumberingAfterBreak="0">
    <w:nsid w:val="2A8B49B1"/>
    <w:multiLevelType w:val="multilevel"/>
    <w:tmpl w:val="8668D4FE"/>
    <w:styleLink w:val="List41"/>
    <w:lvl w:ilvl="0">
      <w:start w:val="1"/>
      <w:numFmt w:val="decimal"/>
      <w:lvlText w:val="(%1)"/>
      <w:lvlJc w:val="left"/>
      <w:pPr>
        <w:tabs>
          <w:tab w:val="num" w:pos="720"/>
        </w:tabs>
        <w:ind w:left="720" w:hanging="360"/>
      </w:pPr>
      <w:rPr>
        <w:color w:val="000000"/>
        <w:kern w:val="2"/>
        <w:position w:val="0"/>
        <w:sz w:val="24"/>
        <w:szCs w:val="24"/>
      </w:rPr>
    </w:lvl>
    <w:lvl w:ilvl="1">
      <w:start w:val="1"/>
      <w:numFmt w:val="decimal"/>
      <w:lvlText w:val="%2."/>
      <w:lvlJc w:val="left"/>
      <w:pPr>
        <w:tabs>
          <w:tab w:val="num" w:pos="435"/>
        </w:tabs>
        <w:ind w:left="435" w:hanging="435"/>
      </w:pPr>
      <w:rPr>
        <w:color w:val="000000"/>
        <w:kern w:val="2"/>
        <w:position w:val="0"/>
        <w:sz w:val="24"/>
        <w:szCs w:val="24"/>
      </w:rPr>
    </w:lvl>
    <w:lvl w:ilvl="2">
      <w:start w:val="1"/>
      <w:numFmt w:val="lowerRoman"/>
      <w:lvlText w:val="%3."/>
      <w:lvlJc w:val="left"/>
      <w:pPr>
        <w:tabs>
          <w:tab w:val="num" w:pos="2160"/>
        </w:tabs>
        <w:ind w:left="2160" w:hanging="296"/>
      </w:pPr>
      <w:rPr>
        <w:color w:val="000000"/>
        <w:kern w:val="2"/>
        <w:position w:val="0"/>
        <w:sz w:val="24"/>
        <w:szCs w:val="24"/>
      </w:rPr>
    </w:lvl>
    <w:lvl w:ilvl="3">
      <w:start w:val="1"/>
      <w:numFmt w:val="decimal"/>
      <w:lvlText w:val="%4."/>
      <w:lvlJc w:val="left"/>
      <w:pPr>
        <w:tabs>
          <w:tab w:val="num" w:pos="2880"/>
        </w:tabs>
        <w:ind w:left="2880" w:hanging="360"/>
      </w:pPr>
      <w:rPr>
        <w:color w:val="000000"/>
        <w:kern w:val="2"/>
        <w:position w:val="0"/>
        <w:sz w:val="24"/>
        <w:szCs w:val="24"/>
      </w:rPr>
    </w:lvl>
    <w:lvl w:ilvl="4">
      <w:start w:val="1"/>
      <w:numFmt w:val="lowerLetter"/>
      <w:lvlText w:val="%5."/>
      <w:lvlJc w:val="left"/>
      <w:pPr>
        <w:tabs>
          <w:tab w:val="num" w:pos="3600"/>
        </w:tabs>
        <w:ind w:left="3600" w:hanging="360"/>
      </w:pPr>
      <w:rPr>
        <w:color w:val="000000"/>
        <w:kern w:val="2"/>
        <w:position w:val="0"/>
        <w:sz w:val="24"/>
        <w:szCs w:val="24"/>
      </w:rPr>
    </w:lvl>
    <w:lvl w:ilvl="5">
      <w:start w:val="1"/>
      <w:numFmt w:val="lowerRoman"/>
      <w:lvlText w:val="%6."/>
      <w:lvlJc w:val="left"/>
      <w:pPr>
        <w:tabs>
          <w:tab w:val="num" w:pos="4320"/>
        </w:tabs>
        <w:ind w:left="4320" w:hanging="296"/>
      </w:pPr>
      <w:rPr>
        <w:color w:val="000000"/>
        <w:kern w:val="2"/>
        <w:position w:val="0"/>
        <w:sz w:val="24"/>
        <w:szCs w:val="24"/>
      </w:rPr>
    </w:lvl>
    <w:lvl w:ilvl="6">
      <w:start w:val="1"/>
      <w:numFmt w:val="decimal"/>
      <w:lvlText w:val="%7."/>
      <w:lvlJc w:val="left"/>
      <w:pPr>
        <w:tabs>
          <w:tab w:val="num" w:pos="5040"/>
        </w:tabs>
        <w:ind w:left="5040" w:hanging="360"/>
      </w:pPr>
      <w:rPr>
        <w:color w:val="000000"/>
        <w:kern w:val="2"/>
        <w:position w:val="0"/>
        <w:sz w:val="24"/>
        <w:szCs w:val="24"/>
      </w:rPr>
    </w:lvl>
    <w:lvl w:ilvl="7">
      <w:start w:val="1"/>
      <w:numFmt w:val="lowerLetter"/>
      <w:lvlText w:val="%8."/>
      <w:lvlJc w:val="left"/>
      <w:pPr>
        <w:tabs>
          <w:tab w:val="num" w:pos="5760"/>
        </w:tabs>
        <w:ind w:left="5760" w:hanging="360"/>
      </w:pPr>
      <w:rPr>
        <w:color w:val="000000"/>
        <w:kern w:val="2"/>
        <w:position w:val="0"/>
        <w:sz w:val="24"/>
        <w:szCs w:val="24"/>
      </w:rPr>
    </w:lvl>
    <w:lvl w:ilvl="8">
      <w:start w:val="1"/>
      <w:numFmt w:val="lowerRoman"/>
      <w:lvlText w:val="%9."/>
      <w:lvlJc w:val="left"/>
      <w:pPr>
        <w:tabs>
          <w:tab w:val="num" w:pos="6480"/>
        </w:tabs>
        <w:ind w:left="6480" w:hanging="296"/>
      </w:pPr>
      <w:rPr>
        <w:color w:val="000000"/>
        <w:kern w:val="2"/>
        <w:position w:val="0"/>
        <w:sz w:val="24"/>
        <w:szCs w:val="24"/>
      </w:rPr>
    </w:lvl>
  </w:abstractNum>
  <w:abstractNum w:abstractNumId="16" w15:restartNumberingAfterBreak="0">
    <w:nsid w:val="2F784DD2"/>
    <w:multiLevelType w:val="multilevel"/>
    <w:tmpl w:val="59D602D6"/>
    <w:lvl w:ilvl="0">
      <w:start w:val="1"/>
      <w:numFmt w:val="decimal"/>
      <w:lvlText w:val="(%1)"/>
      <w:lvlJc w:val="left"/>
      <w:pPr>
        <w:tabs>
          <w:tab w:val="num" w:pos="720"/>
        </w:tabs>
        <w:ind w:left="720" w:hanging="360"/>
      </w:pPr>
      <w:rPr>
        <w:color w:val="000000"/>
        <w:position w:val="0"/>
        <w:sz w:val="24"/>
        <w:szCs w:val="24"/>
        <w:lang w:val="en-US"/>
      </w:rPr>
    </w:lvl>
    <w:lvl w:ilvl="1">
      <w:start w:val="13"/>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17" w15:restartNumberingAfterBreak="0">
    <w:nsid w:val="311C2994"/>
    <w:multiLevelType w:val="multilevel"/>
    <w:tmpl w:val="7E449BBE"/>
    <w:lvl w:ilvl="0">
      <w:numFmt w:val="bullet"/>
      <w:lvlText w:val="•"/>
      <w:lvlJc w:val="left"/>
      <w:rPr>
        <w:color w:val="000000"/>
        <w:position w:val="0"/>
        <w:u w:color="000000"/>
        <w:rtl w:val="0"/>
        <w:lang w:val="en-US"/>
      </w:rPr>
    </w:lvl>
    <w:lvl w:ilvl="1">
      <w:start w:val="1"/>
      <w:numFmt w:val="lowerLetter"/>
      <w:lvlText w:val="%2."/>
      <w:lvlJc w:val="left"/>
      <w:rPr>
        <w:color w:val="000000"/>
        <w:position w:val="0"/>
        <w:u w:color="000000"/>
        <w:rtl w:val="0"/>
        <w:lang w:val="en-US"/>
      </w:rPr>
    </w:lvl>
    <w:lvl w:ilvl="2">
      <w:start w:val="1"/>
      <w:numFmt w:val="lowerRoman"/>
      <w:lvlText w:val="%3."/>
      <w:lvlJc w:val="left"/>
      <w:rPr>
        <w:color w:val="000000"/>
        <w:position w:val="0"/>
        <w:u w:color="000000"/>
        <w:rtl w:val="0"/>
        <w:lang w:val="en-US"/>
      </w:rPr>
    </w:lvl>
    <w:lvl w:ilvl="3">
      <w:start w:val="1"/>
      <w:numFmt w:val="decimal"/>
      <w:lvlText w:val="%4."/>
      <w:lvlJc w:val="left"/>
      <w:rPr>
        <w:color w:val="000000"/>
        <w:position w:val="0"/>
        <w:u w:color="000000"/>
        <w:rtl w:val="0"/>
        <w:lang w:val="en-US"/>
      </w:rPr>
    </w:lvl>
    <w:lvl w:ilvl="4">
      <w:start w:val="1"/>
      <w:numFmt w:val="lowerLetter"/>
      <w:lvlText w:val="%5."/>
      <w:lvlJc w:val="left"/>
      <w:rPr>
        <w:color w:val="000000"/>
        <w:position w:val="0"/>
        <w:u w:color="000000"/>
        <w:rtl w:val="0"/>
        <w:lang w:val="en-US"/>
      </w:rPr>
    </w:lvl>
    <w:lvl w:ilvl="5">
      <w:start w:val="1"/>
      <w:numFmt w:val="lowerRoman"/>
      <w:lvlText w:val="%6."/>
      <w:lvlJc w:val="left"/>
      <w:rPr>
        <w:color w:val="000000"/>
        <w:position w:val="0"/>
        <w:u w:color="000000"/>
        <w:rtl w:val="0"/>
        <w:lang w:val="en-US"/>
      </w:rPr>
    </w:lvl>
    <w:lvl w:ilvl="6">
      <w:start w:val="1"/>
      <w:numFmt w:val="decimal"/>
      <w:lvlText w:val="%7."/>
      <w:lvlJc w:val="left"/>
      <w:rPr>
        <w:color w:val="000000"/>
        <w:position w:val="0"/>
        <w:u w:color="000000"/>
        <w:rtl w:val="0"/>
        <w:lang w:val="en-US"/>
      </w:rPr>
    </w:lvl>
    <w:lvl w:ilvl="7">
      <w:start w:val="1"/>
      <w:numFmt w:val="lowerLetter"/>
      <w:lvlText w:val="%8."/>
      <w:lvlJc w:val="left"/>
      <w:rPr>
        <w:color w:val="000000"/>
        <w:position w:val="0"/>
        <w:u w:color="000000"/>
        <w:rtl w:val="0"/>
        <w:lang w:val="en-US"/>
      </w:rPr>
    </w:lvl>
    <w:lvl w:ilvl="8">
      <w:start w:val="1"/>
      <w:numFmt w:val="lowerRoman"/>
      <w:lvlText w:val="%9."/>
      <w:lvlJc w:val="left"/>
      <w:rPr>
        <w:color w:val="000000"/>
        <w:position w:val="0"/>
        <w:u w:color="000000"/>
        <w:rtl w:val="0"/>
        <w:lang w:val="en-US"/>
      </w:rPr>
    </w:lvl>
  </w:abstractNum>
  <w:abstractNum w:abstractNumId="18" w15:restartNumberingAfterBreak="0">
    <w:nsid w:val="327E519D"/>
    <w:multiLevelType w:val="multilevel"/>
    <w:tmpl w:val="660AF8EC"/>
    <w:lvl w:ilvl="0">
      <w:start w:val="1"/>
      <w:numFmt w:val="upperRoman"/>
      <w:lvlText w:val="%1."/>
      <w:lvlJc w:val="left"/>
      <w:rPr>
        <w:position w:val="0"/>
      </w:rPr>
    </w:lvl>
    <w:lvl w:ilvl="1">
      <w:start w:val="1"/>
      <w:numFmt w:val="upperLetter"/>
      <w:lvlText w:val="%2."/>
      <w:lvlJc w:val="left"/>
      <w:rPr>
        <w:position w:val="0"/>
      </w:rPr>
    </w:lvl>
    <w:lvl w:ilvl="2">
      <w:start w:val="1"/>
      <w:numFmt w:val="decimal"/>
      <w:lvlText w:val="%3."/>
      <w:lvlJc w:val="left"/>
      <w:rPr>
        <w:position w:val="0"/>
      </w:rPr>
    </w:lvl>
    <w:lvl w:ilvl="3">
      <w:start w:val="1"/>
      <w:numFmt w:val="lowerLetter"/>
      <w:lvlText w:val="%4."/>
      <w:lvlJc w:val="left"/>
      <w:rPr>
        <w:position w:val="0"/>
      </w:rPr>
    </w:lvl>
    <w:lvl w:ilvl="4">
      <w:start w:val="1"/>
      <w:numFmt w:val="lowerRoman"/>
      <w:lvlText w:val="%5."/>
      <w:lvlJc w:val="left"/>
      <w:rPr>
        <w:position w:val="0"/>
      </w:rPr>
    </w:lvl>
    <w:lvl w:ilvl="5">
      <w:start w:val="1"/>
      <w:numFmt w:val="decimal"/>
      <w:lvlText w:val="%6."/>
      <w:lvlJc w:val="left"/>
      <w:rPr>
        <w:position w:val="0"/>
      </w:rPr>
    </w:lvl>
    <w:lvl w:ilvl="6">
      <w:start w:val="1"/>
      <w:numFmt w:val="lowerLetter"/>
      <w:lvlText w:val="(%7)"/>
      <w:lvlJc w:val="left"/>
      <w:rPr>
        <w:position w:val="0"/>
      </w:rPr>
    </w:lvl>
    <w:lvl w:ilvl="7">
      <w:start w:val="1"/>
      <w:numFmt w:val="lowerRoman"/>
      <w:lvlText w:val="(%8)"/>
      <w:lvlJc w:val="left"/>
      <w:rPr>
        <w:position w:val="0"/>
      </w:rPr>
    </w:lvl>
    <w:lvl w:ilvl="8">
      <w:start w:val="1"/>
      <w:numFmt w:val="lowerLetter"/>
      <w:lvlText w:val="(%9)"/>
      <w:lvlJc w:val="left"/>
      <w:rPr>
        <w:position w:val="0"/>
      </w:rPr>
    </w:lvl>
  </w:abstractNum>
  <w:abstractNum w:abstractNumId="19" w15:restartNumberingAfterBreak="0">
    <w:nsid w:val="3D89000D"/>
    <w:multiLevelType w:val="multilevel"/>
    <w:tmpl w:val="44D4D772"/>
    <w:lvl w:ilvl="0">
      <w:start w:val="1"/>
      <w:numFmt w:val="decimal"/>
      <w:lvlText w:val="(%1)"/>
      <w:lvlJc w:val="left"/>
      <w:pPr>
        <w:tabs>
          <w:tab w:val="num" w:pos="720"/>
        </w:tabs>
        <w:ind w:left="720" w:hanging="360"/>
      </w:pPr>
      <w:rPr>
        <w:color w:val="000000"/>
        <w:position w:val="0"/>
        <w:sz w:val="24"/>
        <w:szCs w:val="24"/>
        <w:lang w:val="en-US"/>
      </w:rPr>
    </w:lvl>
    <w:lvl w:ilvl="1">
      <w:start w:val="1"/>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20" w15:restartNumberingAfterBreak="0">
    <w:nsid w:val="42672DD1"/>
    <w:multiLevelType w:val="multilevel"/>
    <w:tmpl w:val="C34CEA1A"/>
    <w:lvl w:ilvl="0">
      <w:start w:val="1"/>
      <w:numFmt w:val="bullet"/>
      <w:lvlText w:val="•"/>
      <w:lvlJc w:val="left"/>
      <w:pPr>
        <w:tabs>
          <w:tab w:val="num" w:pos="567"/>
        </w:tabs>
        <w:ind w:left="567" w:hanging="283"/>
      </w:pPr>
      <w:rPr>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1" w15:restartNumberingAfterBreak="0">
    <w:nsid w:val="438D45C9"/>
    <w:multiLevelType w:val="multilevel"/>
    <w:tmpl w:val="2730AA8E"/>
    <w:lvl w:ilvl="0">
      <w:start w:val="1"/>
      <w:numFmt w:val="decimal"/>
      <w:lvlText w:val="(%1)"/>
      <w:lvlJc w:val="left"/>
      <w:pPr>
        <w:tabs>
          <w:tab w:val="num" w:pos="720"/>
        </w:tabs>
        <w:ind w:left="720" w:hanging="360"/>
      </w:pPr>
      <w:rPr>
        <w:rFonts w:hint="default"/>
        <w:color w:val="000000"/>
        <w:position w:val="0"/>
        <w:sz w:val="24"/>
        <w:szCs w:val="24"/>
        <w:lang w:val="en-US"/>
      </w:rPr>
    </w:lvl>
    <w:lvl w:ilvl="1">
      <w:start w:val="7"/>
      <w:numFmt w:val="decimal"/>
      <w:lvlText w:val="%2."/>
      <w:lvlJc w:val="left"/>
      <w:pPr>
        <w:tabs>
          <w:tab w:val="num" w:pos="435"/>
        </w:tabs>
        <w:ind w:left="435" w:hanging="435"/>
      </w:pPr>
      <w:rPr>
        <w:rFonts w:hint="default"/>
        <w:color w:val="000000"/>
        <w:position w:val="0"/>
        <w:sz w:val="24"/>
        <w:szCs w:val="24"/>
        <w:lang w:val="en-US"/>
      </w:rPr>
    </w:lvl>
    <w:lvl w:ilvl="2">
      <w:start w:val="1"/>
      <w:numFmt w:val="lowerRoman"/>
      <w:lvlText w:val="%3."/>
      <w:lvlJc w:val="left"/>
      <w:pPr>
        <w:tabs>
          <w:tab w:val="num" w:pos="2160"/>
        </w:tabs>
        <w:ind w:left="2160" w:hanging="296"/>
      </w:pPr>
      <w:rPr>
        <w:rFonts w:hint="default"/>
        <w:color w:val="000000"/>
        <w:position w:val="0"/>
        <w:sz w:val="24"/>
        <w:szCs w:val="24"/>
        <w:lang w:val="en-US"/>
      </w:rPr>
    </w:lvl>
    <w:lvl w:ilvl="3">
      <w:start w:val="1"/>
      <w:numFmt w:val="bullet"/>
      <w:lvlText w:val="-"/>
      <w:lvlJc w:val="left"/>
      <w:pPr>
        <w:tabs>
          <w:tab w:val="num" w:pos="2880"/>
        </w:tabs>
        <w:ind w:left="2880" w:hanging="360"/>
      </w:pPr>
      <w:rPr>
        <w:rFonts w:hint="default"/>
        <w:color w:val="000000"/>
        <w:position w:val="0"/>
        <w:sz w:val="24"/>
        <w:szCs w:val="24"/>
        <w:lang w:val="en-US"/>
      </w:rPr>
    </w:lvl>
    <w:lvl w:ilvl="4">
      <w:start w:val="1"/>
      <w:numFmt w:val="lowerLetter"/>
      <w:lvlText w:val="%5."/>
      <w:lvlJc w:val="left"/>
      <w:pPr>
        <w:tabs>
          <w:tab w:val="num" w:pos="3600"/>
        </w:tabs>
        <w:ind w:left="3600" w:hanging="360"/>
      </w:pPr>
      <w:rPr>
        <w:rFonts w:hint="default"/>
        <w:color w:val="000000"/>
        <w:position w:val="0"/>
        <w:sz w:val="24"/>
        <w:szCs w:val="24"/>
        <w:lang w:val="en-US"/>
      </w:rPr>
    </w:lvl>
    <w:lvl w:ilvl="5">
      <w:start w:val="1"/>
      <w:numFmt w:val="lowerRoman"/>
      <w:lvlText w:val="%6."/>
      <w:lvlJc w:val="left"/>
      <w:pPr>
        <w:tabs>
          <w:tab w:val="num" w:pos="4320"/>
        </w:tabs>
        <w:ind w:left="4320" w:hanging="296"/>
      </w:pPr>
      <w:rPr>
        <w:rFonts w:hint="default"/>
        <w:color w:val="000000"/>
        <w:position w:val="0"/>
        <w:sz w:val="24"/>
        <w:szCs w:val="24"/>
        <w:lang w:val="en-US"/>
      </w:rPr>
    </w:lvl>
    <w:lvl w:ilvl="6">
      <w:start w:val="1"/>
      <w:numFmt w:val="decimal"/>
      <w:lvlText w:val="%7."/>
      <w:lvlJc w:val="left"/>
      <w:pPr>
        <w:tabs>
          <w:tab w:val="num" w:pos="5040"/>
        </w:tabs>
        <w:ind w:left="5040" w:hanging="360"/>
      </w:pPr>
      <w:rPr>
        <w:rFonts w:hint="default"/>
        <w:color w:val="000000"/>
        <w:position w:val="0"/>
        <w:sz w:val="24"/>
        <w:szCs w:val="24"/>
        <w:lang w:val="en-US"/>
      </w:rPr>
    </w:lvl>
    <w:lvl w:ilvl="7">
      <w:start w:val="1"/>
      <w:numFmt w:val="lowerLetter"/>
      <w:lvlText w:val="%8."/>
      <w:lvlJc w:val="left"/>
      <w:pPr>
        <w:tabs>
          <w:tab w:val="num" w:pos="5760"/>
        </w:tabs>
        <w:ind w:left="5760" w:hanging="360"/>
      </w:pPr>
      <w:rPr>
        <w:rFonts w:hint="default"/>
        <w:color w:val="000000"/>
        <w:position w:val="0"/>
        <w:sz w:val="24"/>
        <w:szCs w:val="24"/>
        <w:lang w:val="en-US"/>
      </w:rPr>
    </w:lvl>
    <w:lvl w:ilvl="8">
      <w:start w:val="1"/>
      <w:numFmt w:val="lowerRoman"/>
      <w:lvlText w:val="%9."/>
      <w:lvlJc w:val="left"/>
      <w:pPr>
        <w:tabs>
          <w:tab w:val="num" w:pos="6480"/>
        </w:tabs>
        <w:ind w:left="6480" w:hanging="296"/>
      </w:pPr>
      <w:rPr>
        <w:rFonts w:hint="default"/>
        <w:color w:val="000000"/>
        <w:position w:val="0"/>
        <w:sz w:val="24"/>
        <w:szCs w:val="24"/>
        <w:lang w:val="en-US"/>
      </w:rPr>
    </w:lvl>
  </w:abstractNum>
  <w:abstractNum w:abstractNumId="22" w15:restartNumberingAfterBreak="0">
    <w:nsid w:val="44C632A5"/>
    <w:multiLevelType w:val="multilevel"/>
    <w:tmpl w:val="525E3F02"/>
    <w:styleLink w:val="List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3" w15:restartNumberingAfterBreak="0">
    <w:nsid w:val="4B0D6BC6"/>
    <w:multiLevelType w:val="multilevel"/>
    <w:tmpl w:val="9B300986"/>
    <w:lvl w:ilvl="0">
      <w:start w:val="1"/>
      <w:numFmt w:val="decimal"/>
      <w:lvlText w:val="(%1)"/>
      <w:lvlJc w:val="left"/>
      <w:pPr>
        <w:tabs>
          <w:tab w:val="num" w:pos="720"/>
        </w:tabs>
        <w:ind w:left="72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1">
      <w:start w:val="1"/>
      <w:numFmt w:val="decimal"/>
      <w:lvlText w:val="%2."/>
      <w:lvlJc w:val="left"/>
      <w:pPr>
        <w:tabs>
          <w:tab w:val="num" w:pos="435"/>
        </w:tabs>
        <w:ind w:left="435" w:hanging="435"/>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2">
      <w:start w:val="1"/>
      <w:numFmt w:val="lowerRoman"/>
      <w:lvlText w:val="%3."/>
      <w:lvlJc w:val="left"/>
      <w:pPr>
        <w:tabs>
          <w:tab w:val="num" w:pos="2160"/>
        </w:tabs>
        <w:ind w:left="216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3">
      <w:start w:val="1"/>
      <w:numFmt w:val="bullet"/>
      <w:lvlText w:val="-"/>
      <w:lvlJc w:val="left"/>
      <w:pPr>
        <w:tabs>
          <w:tab w:val="num" w:pos="2880"/>
        </w:tabs>
        <w:ind w:left="288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4">
      <w:start w:val="1"/>
      <w:numFmt w:val="lowerLetter"/>
      <w:lvlText w:val="%5."/>
      <w:lvlJc w:val="left"/>
      <w:pPr>
        <w:tabs>
          <w:tab w:val="num" w:pos="3600"/>
        </w:tabs>
        <w:ind w:left="360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5">
      <w:start w:val="1"/>
      <w:numFmt w:val="lowerRoman"/>
      <w:lvlText w:val="%6."/>
      <w:lvlJc w:val="left"/>
      <w:pPr>
        <w:tabs>
          <w:tab w:val="num" w:pos="4320"/>
        </w:tabs>
        <w:ind w:left="432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6">
      <w:start w:val="1"/>
      <w:numFmt w:val="decimal"/>
      <w:lvlText w:val="%7."/>
      <w:lvlJc w:val="left"/>
      <w:pPr>
        <w:tabs>
          <w:tab w:val="num" w:pos="5040"/>
        </w:tabs>
        <w:ind w:left="504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7">
      <w:start w:val="1"/>
      <w:numFmt w:val="lowerLetter"/>
      <w:lvlText w:val="%8."/>
      <w:lvlJc w:val="left"/>
      <w:pPr>
        <w:tabs>
          <w:tab w:val="num" w:pos="5760"/>
        </w:tabs>
        <w:ind w:left="576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8">
      <w:start w:val="1"/>
      <w:numFmt w:val="lowerRoman"/>
      <w:lvlText w:val="%9."/>
      <w:lvlJc w:val="left"/>
      <w:pPr>
        <w:tabs>
          <w:tab w:val="num" w:pos="6480"/>
        </w:tabs>
        <w:ind w:left="648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abstractNum>
  <w:abstractNum w:abstractNumId="24" w15:restartNumberingAfterBreak="0">
    <w:nsid w:val="4E3A40FB"/>
    <w:multiLevelType w:val="hybridMultilevel"/>
    <w:tmpl w:val="3BC8DF3A"/>
    <w:lvl w:ilvl="0" w:tplc="B556293E">
      <w:start w:val="1"/>
      <w:numFmt w:val="upperRoman"/>
      <w:lvlText w:val="%1."/>
      <w:lvlJc w:val="right"/>
      <w:pPr>
        <w:ind w:left="1004" w:hanging="360"/>
      </w:pPr>
    </w:lvl>
    <w:lvl w:ilvl="1" w:tplc="7F6A8E88">
      <w:start w:val="1"/>
      <w:numFmt w:val="decimal"/>
      <w:lvlText w:val="%2."/>
      <w:lvlJc w:val="left"/>
      <w:pPr>
        <w:ind w:left="1724" w:hanging="360"/>
      </w:pPr>
    </w:lvl>
    <w:lvl w:ilvl="2" w:tplc="8C6478FE" w:tentative="1">
      <w:start w:val="1"/>
      <w:numFmt w:val="lowerRoman"/>
      <w:lvlText w:val="%3."/>
      <w:lvlJc w:val="right"/>
      <w:pPr>
        <w:ind w:left="2444" w:hanging="180"/>
      </w:pPr>
    </w:lvl>
    <w:lvl w:ilvl="3" w:tplc="181C28F0" w:tentative="1">
      <w:start w:val="1"/>
      <w:numFmt w:val="decimal"/>
      <w:lvlText w:val="%4."/>
      <w:lvlJc w:val="left"/>
      <w:pPr>
        <w:ind w:left="3164" w:hanging="360"/>
      </w:pPr>
    </w:lvl>
    <w:lvl w:ilvl="4" w:tplc="F39E8716" w:tentative="1">
      <w:start w:val="1"/>
      <w:numFmt w:val="lowerLetter"/>
      <w:lvlText w:val="%5."/>
      <w:lvlJc w:val="left"/>
      <w:pPr>
        <w:ind w:left="3884" w:hanging="360"/>
      </w:pPr>
    </w:lvl>
    <w:lvl w:ilvl="5" w:tplc="C9A6835C" w:tentative="1">
      <w:start w:val="1"/>
      <w:numFmt w:val="lowerRoman"/>
      <w:lvlText w:val="%6."/>
      <w:lvlJc w:val="right"/>
      <w:pPr>
        <w:ind w:left="4604" w:hanging="180"/>
      </w:pPr>
    </w:lvl>
    <w:lvl w:ilvl="6" w:tplc="E9BA1C4A" w:tentative="1">
      <w:start w:val="1"/>
      <w:numFmt w:val="decimal"/>
      <w:lvlText w:val="%7."/>
      <w:lvlJc w:val="left"/>
      <w:pPr>
        <w:ind w:left="5324" w:hanging="360"/>
      </w:pPr>
    </w:lvl>
    <w:lvl w:ilvl="7" w:tplc="914803EE" w:tentative="1">
      <w:start w:val="1"/>
      <w:numFmt w:val="lowerLetter"/>
      <w:lvlText w:val="%8."/>
      <w:lvlJc w:val="left"/>
      <w:pPr>
        <w:ind w:left="6044" w:hanging="360"/>
      </w:pPr>
    </w:lvl>
    <w:lvl w:ilvl="8" w:tplc="0FEEA018" w:tentative="1">
      <w:start w:val="1"/>
      <w:numFmt w:val="lowerRoman"/>
      <w:lvlText w:val="%9."/>
      <w:lvlJc w:val="right"/>
      <w:pPr>
        <w:ind w:left="6764" w:hanging="180"/>
      </w:pPr>
    </w:lvl>
  </w:abstractNum>
  <w:abstractNum w:abstractNumId="25" w15:restartNumberingAfterBreak="0">
    <w:nsid w:val="5192042E"/>
    <w:multiLevelType w:val="multilevel"/>
    <w:tmpl w:val="F9E802D0"/>
    <w:lvl w:ilvl="0">
      <w:start w:val="1"/>
      <w:numFmt w:val="decimal"/>
      <w:lvlText w:val="(%1)"/>
      <w:lvlJc w:val="left"/>
      <w:pPr>
        <w:tabs>
          <w:tab w:val="num" w:pos="720"/>
        </w:tabs>
        <w:ind w:left="720" w:hanging="360"/>
      </w:pPr>
      <w:rPr>
        <w:color w:val="000000"/>
        <w:kern w:val="2"/>
        <w:position w:val="0"/>
        <w:sz w:val="24"/>
        <w:szCs w:val="24"/>
      </w:rPr>
    </w:lvl>
    <w:lvl w:ilvl="1">
      <w:start w:val="1"/>
      <w:numFmt w:val="decimal"/>
      <w:lvlText w:val="%2."/>
      <w:lvlJc w:val="left"/>
      <w:pPr>
        <w:tabs>
          <w:tab w:val="num" w:pos="435"/>
        </w:tabs>
        <w:ind w:left="435" w:hanging="435"/>
      </w:pPr>
      <w:rPr>
        <w:color w:val="000000"/>
        <w:kern w:val="2"/>
        <w:position w:val="0"/>
        <w:sz w:val="24"/>
        <w:szCs w:val="24"/>
      </w:rPr>
    </w:lvl>
    <w:lvl w:ilvl="2">
      <w:start w:val="1"/>
      <w:numFmt w:val="lowerRoman"/>
      <w:lvlText w:val="%3."/>
      <w:lvlJc w:val="left"/>
      <w:pPr>
        <w:tabs>
          <w:tab w:val="num" w:pos="2160"/>
        </w:tabs>
        <w:ind w:left="2160" w:hanging="296"/>
      </w:pPr>
      <w:rPr>
        <w:color w:val="000000"/>
        <w:kern w:val="2"/>
        <w:position w:val="0"/>
        <w:sz w:val="24"/>
        <w:szCs w:val="24"/>
      </w:rPr>
    </w:lvl>
    <w:lvl w:ilvl="3">
      <w:start w:val="1"/>
      <w:numFmt w:val="decimal"/>
      <w:lvlText w:val="%4."/>
      <w:lvlJc w:val="left"/>
      <w:pPr>
        <w:tabs>
          <w:tab w:val="num" w:pos="2880"/>
        </w:tabs>
        <w:ind w:left="2880" w:hanging="360"/>
      </w:pPr>
      <w:rPr>
        <w:color w:val="000000"/>
        <w:kern w:val="2"/>
        <w:position w:val="0"/>
        <w:sz w:val="24"/>
        <w:szCs w:val="24"/>
      </w:rPr>
    </w:lvl>
    <w:lvl w:ilvl="4">
      <w:start w:val="1"/>
      <w:numFmt w:val="lowerLetter"/>
      <w:lvlText w:val="%5."/>
      <w:lvlJc w:val="left"/>
      <w:pPr>
        <w:tabs>
          <w:tab w:val="num" w:pos="3600"/>
        </w:tabs>
        <w:ind w:left="3600" w:hanging="360"/>
      </w:pPr>
      <w:rPr>
        <w:color w:val="000000"/>
        <w:kern w:val="2"/>
        <w:position w:val="0"/>
        <w:sz w:val="24"/>
        <w:szCs w:val="24"/>
      </w:rPr>
    </w:lvl>
    <w:lvl w:ilvl="5">
      <w:start w:val="1"/>
      <w:numFmt w:val="lowerRoman"/>
      <w:lvlText w:val="%6."/>
      <w:lvlJc w:val="left"/>
      <w:pPr>
        <w:tabs>
          <w:tab w:val="num" w:pos="4320"/>
        </w:tabs>
        <w:ind w:left="4320" w:hanging="296"/>
      </w:pPr>
      <w:rPr>
        <w:color w:val="000000"/>
        <w:kern w:val="2"/>
        <w:position w:val="0"/>
        <w:sz w:val="24"/>
        <w:szCs w:val="24"/>
      </w:rPr>
    </w:lvl>
    <w:lvl w:ilvl="6">
      <w:start w:val="1"/>
      <w:numFmt w:val="decimal"/>
      <w:lvlText w:val="%7."/>
      <w:lvlJc w:val="left"/>
      <w:pPr>
        <w:tabs>
          <w:tab w:val="num" w:pos="5040"/>
        </w:tabs>
        <w:ind w:left="5040" w:hanging="360"/>
      </w:pPr>
      <w:rPr>
        <w:color w:val="000000"/>
        <w:kern w:val="2"/>
        <w:position w:val="0"/>
        <w:sz w:val="24"/>
        <w:szCs w:val="24"/>
      </w:rPr>
    </w:lvl>
    <w:lvl w:ilvl="7">
      <w:start w:val="1"/>
      <w:numFmt w:val="lowerLetter"/>
      <w:lvlText w:val="%8."/>
      <w:lvlJc w:val="left"/>
      <w:pPr>
        <w:tabs>
          <w:tab w:val="num" w:pos="5760"/>
        </w:tabs>
        <w:ind w:left="5760" w:hanging="360"/>
      </w:pPr>
      <w:rPr>
        <w:color w:val="000000"/>
        <w:kern w:val="2"/>
        <w:position w:val="0"/>
        <w:sz w:val="24"/>
        <w:szCs w:val="24"/>
      </w:rPr>
    </w:lvl>
    <w:lvl w:ilvl="8">
      <w:start w:val="1"/>
      <w:numFmt w:val="lowerRoman"/>
      <w:lvlText w:val="%9."/>
      <w:lvlJc w:val="left"/>
      <w:pPr>
        <w:tabs>
          <w:tab w:val="num" w:pos="6480"/>
        </w:tabs>
        <w:ind w:left="6480" w:hanging="296"/>
      </w:pPr>
      <w:rPr>
        <w:color w:val="000000"/>
        <w:kern w:val="2"/>
        <w:position w:val="0"/>
        <w:sz w:val="24"/>
        <w:szCs w:val="24"/>
      </w:rPr>
    </w:lvl>
  </w:abstractNum>
  <w:abstractNum w:abstractNumId="26" w15:restartNumberingAfterBreak="0">
    <w:nsid w:val="59822A7A"/>
    <w:multiLevelType w:val="hybridMultilevel"/>
    <w:tmpl w:val="A15E058C"/>
    <w:lvl w:ilvl="0" w:tplc="858CC7F2">
      <w:start w:val="1"/>
      <w:numFmt w:val="decimal"/>
      <w:lvlText w:val="%1."/>
      <w:lvlJc w:val="left"/>
      <w:pPr>
        <w:ind w:left="720" w:hanging="360"/>
      </w:pPr>
    </w:lvl>
    <w:lvl w:ilvl="1" w:tplc="22DA7796" w:tentative="1">
      <w:start w:val="1"/>
      <w:numFmt w:val="lowerLetter"/>
      <w:lvlText w:val="%2."/>
      <w:lvlJc w:val="left"/>
      <w:pPr>
        <w:ind w:left="1440" w:hanging="360"/>
      </w:pPr>
    </w:lvl>
    <w:lvl w:ilvl="2" w:tplc="21701A26" w:tentative="1">
      <w:start w:val="1"/>
      <w:numFmt w:val="lowerRoman"/>
      <w:lvlText w:val="%3."/>
      <w:lvlJc w:val="right"/>
      <w:pPr>
        <w:ind w:left="2160" w:hanging="180"/>
      </w:pPr>
    </w:lvl>
    <w:lvl w:ilvl="3" w:tplc="7FE4C092" w:tentative="1">
      <w:start w:val="1"/>
      <w:numFmt w:val="decimal"/>
      <w:lvlText w:val="%4."/>
      <w:lvlJc w:val="left"/>
      <w:pPr>
        <w:ind w:left="2880" w:hanging="360"/>
      </w:pPr>
    </w:lvl>
    <w:lvl w:ilvl="4" w:tplc="3D82315A" w:tentative="1">
      <w:start w:val="1"/>
      <w:numFmt w:val="lowerLetter"/>
      <w:lvlText w:val="%5."/>
      <w:lvlJc w:val="left"/>
      <w:pPr>
        <w:ind w:left="3600" w:hanging="360"/>
      </w:pPr>
    </w:lvl>
    <w:lvl w:ilvl="5" w:tplc="AB06B08A" w:tentative="1">
      <w:start w:val="1"/>
      <w:numFmt w:val="lowerRoman"/>
      <w:lvlText w:val="%6."/>
      <w:lvlJc w:val="right"/>
      <w:pPr>
        <w:ind w:left="4320" w:hanging="180"/>
      </w:pPr>
    </w:lvl>
    <w:lvl w:ilvl="6" w:tplc="41027C0E" w:tentative="1">
      <w:start w:val="1"/>
      <w:numFmt w:val="decimal"/>
      <w:lvlText w:val="%7."/>
      <w:lvlJc w:val="left"/>
      <w:pPr>
        <w:ind w:left="5040" w:hanging="360"/>
      </w:pPr>
    </w:lvl>
    <w:lvl w:ilvl="7" w:tplc="8B8ACEAA" w:tentative="1">
      <w:start w:val="1"/>
      <w:numFmt w:val="lowerLetter"/>
      <w:lvlText w:val="%8."/>
      <w:lvlJc w:val="left"/>
      <w:pPr>
        <w:ind w:left="5760" w:hanging="360"/>
      </w:pPr>
    </w:lvl>
    <w:lvl w:ilvl="8" w:tplc="C9D69394" w:tentative="1">
      <w:start w:val="1"/>
      <w:numFmt w:val="lowerRoman"/>
      <w:lvlText w:val="%9."/>
      <w:lvlJc w:val="right"/>
      <w:pPr>
        <w:ind w:left="6480" w:hanging="180"/>
      </w:pPr>
    </w:lvl>
  </w:abstractNum>
  <w:abstractNum w:abstractNumId="27" w15:restartNumberingAfterBreak="0">
    <w:nsid w:val="59880A2B"/>
    <w:multiLevelType w:val="multilevel"/>
    <w:tmpl w:val="6E8ED1B4"/>
    <w:styleLink w:val="List0"/>
    <w:lvl w:ilvl="0">
      <w:start w:val="1"/>
      <w:numFmt w:val="decimal"/>
      <w:lvlText w:val="(%1)"/>
      <w:lvlJc w:val="left"/>
      <w:pPr>
        <w:tabs>
          <w:tab w:val="num" w:pos="720"/>
        </w:tabs>
        <w:ind w:left="720" w:hanging="360"/>
      </w:pPr>
      <w:rPr>
        <w:color w:val="000000"/>
        <w:position w:val="0"/>
        <w:sz w:val="24"/>
        <w:szCs w:val="24"/>
        <w:lang w:val="en-US"/>
      </w:rPr>
    </w:lvl>
    <w:lvl w:ilvl="1">
      <w:start w:val="25"/>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28" w15:restartNumberingAfterBreak="0">
    <w:nsid w:val="5CA168A9"/>
    <w:multiLevelType w:val="multilevel"/>
    <w:tmpl w:val="E03AA340"/>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lowerRoman"/>
      <w:lvlText w:val="%3."/>
      <w:lvlJc w:val="left"/>
      <w:rPr>
        <w:color w:val="000000"/>
        <w:position w:val="0"/>
      </w:rPr>
    </w:lvl>
    <w:lvl w:ilvl="3">
      <w:start w:val="1"/>
      <w:numFmt w:val="bullet"/>
      <w:lvlText w:val="-"/>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29" w15:restartNumberingAfterBreak="0">
    <w:nsid w:val="5CEA37F6"/>
    <w:multiLevelType w:val="multilevel"/>
    <w:tmpl w:val="0C60F9EE"/>
    <w:lvl w:ilvl="0">
      <w:start w:val="1"/>
      <w:numFmt w:val="decimal"/>
      <w:lvlText w:val="(%1)"/>
      <w:lvlJc w:val="left"/>
      <w:pPr>
        <w:tabs>
          <w:tab w:val="num" w:pos="720"/>
        </w:tabs>
        <w:ind w:left="720" w:hanging="360"/>
      </w:pPr>
      <w:rPr>
        <w:color w:val="000000"/>
        <w:position w:val="0"/>
        <w:sz w:val="24"/>
        <w:szCs w:val="24"/>
        <w:u w:color="FF0000"/>
        <w:lang w:val="en-US"/>
      </w:rPr>
    </w:lvl>
    <w:lvl w:ilvl="1">
      <w:start w:val="1"/>
      <w:numFmt w:val="decimal"/>
      <w:lvlText w:val="%2."/>
      <w:lvlJc w:val="left"/>
      <w:pPr>
        <w:tabs>
          <w:tab w:val="num" w:pos="435"/>
        </w:tabs>
        <w:ind w:left="435" w:hanging="435"/>
      </w:pPr>
      <w:rPr>
        <w:color w:val="000000"/>
        <w:position w:val="0"/>
        <w:sz w:val="24"/>
        <w:szCs w:val="24"/>
        <w:u w:color="FF0000"/>
        <w:lang w:val="en-US"/>
      </w:rPr>
    </w:lvl>
    <w:lvl w:ilvl="2">
      <w:start w:val="1"/>
      <w:numFmt w:val="lowerRoman"/>
      <w:lvlText w:val="%3."/>
      <w:lvlJc w:val="left"/>
      <w:pPr>
        <w:tabs>
          <w:tab w:val="num" w:pos="2160"/>
        </w:tabs>
        <w:ind w:left="2160" w:hanging="296"/>
      </w:pPr>
      <w:rPr>
        <w:color w:val="000000"/>
        <w:position w:val="0"/>
        <w:sz w:val="24"/>
        <w:szCs w:val="24"/>
        <w:u w:color="FF0000"/>
        <w:lang w:val="en-US"/>
      </w:rPr>
    </w:lvl>
    <w:lvl w:ilvl="3">
      <w:numFmt w:val="bullet"/>
      <w:lvlText w:val="-"/>
      <w:lvlJc w:val="left"/>
      <w:pPr>
        <w:tabs>
          <w:tab w:val="num" w:pos="2880"/>
        </w:tabs>
        <w:ind w:left="2880" w:hanging="360"/>
      </w:pPr>
      <w:rPr>
        <w:color w:val="000000"/>
        <w:position w:val="0"/>
        <w:sz w:val="22"/>
        <w:szCs w:val="22"/>
        <w:u w:color="FF0000"/>
        <w:lang w:val="en-US"/>
      </w:rPr>
    </w:lvl>
    <w:lvl w:ilvl="4">
      <w:start w:val="1"/>
      <w:numFmt w:val="lowerLetter"/>
      <w:lvlText w:val="%5."/>
      <w:lvlJc w:val="left"/>
      <w:pPr>
        <w:tabs>
          <w:tab w:val="num" w:pos="3600"/>
        </w:tabs>
        <w:ind w:left="3600" w:hanging="360"/>
      </w:pPr>
      <w:rPr>
        <w:color w:val="000000"/>
        <w:position w:val="0"/>
        <w:sz w:val="24"/>
        <w:szCs w:val="24"/>
        <w:u w:color="FF0000"/>
        <w:lang w:val="en-US"/>
      </w:rPr>
    </w:lvl>
    <w:lvl w:ilvl="5">
      <w:start w:val="1"/>
      <w:numFmt w:val="lowerRoman"/>
      <w:lvlText w:val="%6."/>
      <w:lvlJc w:val="left"/>
      <w:pPr>
        <w:tabs>
          <w:tab w:val="num" w:pos="4320"/>
        </w:tabs>
        <w:ind w:left="4320" w:hanging="296"/>
      </w:pPr>
      <w:rPr>
        <w:color w:val="000000"/>
        <w:position w:val="0"/>
        <w:sz w:val="24"/>
        <w:szCs w:val="24"/>
        <w:u w:color="FF0000"/>
        <w:lang w:val="en-US"/>
      </w:rPr>
    </w:lvl>
    <w:lvl w:ilvl="6">
      <w:start w:val="1"/>
      <w:numFmt w:val="decimal"/>
      <w:lvlText w:val="%7."/>
      <w:lvlJc w:val="left"/>
      <w:pPr>
        <w:tabs>
          <w:tab w:val="num" w:pos="5040"/>
        </w:tabs>
        <w:ind w:left="5040" w:hanging="360"/>
      </w:pPr>
      <w:rPr>
        <w:color w:val="000000"/>
        <w:position w:val="0"/>
        <w:sz w:val="24"/>
        <w:szCs w:val="24"/>
        <w:u w:color="FF0000"/>
        <w:lang w:val="en-US"/>
      </w:rPr>
    </w:lvl>
    <w:lvl w:ilvl="7">
      <w:start w:val="1"/>
      <w:numFmt w:val="lowerLetter"/>
      <w:lvlText w:val="%8."/>
      <w:lvlJc w:val="left"/>
      <w:pPr>
        <w:tabs>
          <w:tab w:val="num" w:pos="5760"/>
        </w:tabs>
        <w:ind w:left="5760" w:hanging="360"/>
      </w:pPr>
      <w:rPr>
        <w:color w:val="000000"/>
        <w:position w:val="0"/>
        <w:sz w:val="24"/>
        <w:szCs w:val="24"/>
        <w:u w:color="FF0000"/>
        <w:lang w:val="en-US"/>
      </w:rPr>
    </w:lvl>
    <w:lvl w:ilvl="8">
      <w:start w:val="1"/>
      <w:numFmt w:val="lowerRoman"/>
      <w:lvlText w:val="%9."/>
      <w:lvlJc w:val="left"/>
      <w:pPr>
        <w:tabs>
          <w:tab w:val="num" w:pos="6480"/>
        </w:tabs>
        <w:ind w:left="6480" w:hanging="296"/>
      </w:pPr>
      <w:rPr>
        <w:color w:val="000000"/>
        <w:position w:val="0"/>
        <w:sz w:val="24"/>
        <w:szCs w:val="24"/>
        <w:u w:color="FF0000"/>
        <w:lang w:val="en-US"/>
      </w:rPr>
    </w:lvl>
  </w:abstractNum>
  <w:abstractNum w:abstractNumId="30" w15:restartNumberingAfterBreak="0">
    <w:nsid w:val="5CEF0616"/>
    <w:multiLevelType w:val="multilevel"/>
    <w:tmpl w:val="5A32A042"/>
    <w:lvl w:ilvl="0">
      <w:start w:val="1"/>
      <w:numFmt w:val="decimal"/>
      <w:lvlText w:val="(%1)"/>
      <w:lvlJc w:val="left"/>
      <w:pPr>
        <w:tabs>
          <w:tab w:val="num" w:pos="720"/>
        </w:tabs>
        <w:ind w:left="720" w:hanging="360"/>
      </w:pPr>
      <w:rPr>
        <w:color w:val="000000"/>
        <w:position w:val="0"/>
        <w:sz w:val="24"/>
        <w:szCs w:val="24"/>
        <w:u w:color="FF0000"/>
        <w:lang w:val="en-US"/>
      </w:rPr>
    </w:lvl>
    <w:lvl w:ilvl="1">
      <w:start w:val="1"/>
      <w:numFmt w:val="decimal"/>
      <w:lvlText w:val="%2."/>
      <w:lvlJc w:val="left"/>
      <w:pPr>
        <w:tabs>
          <w:tab w:val="num" w:pos="435"/>
        </w:tabs>
        <w:ind w:left="435" w:hanging="435"/>
      </w:pPr>
      <w:rPr>
        <w:color w:val="000000"/>
        <w:position w:val="0"/>
        <w:sz w:val="24"/>
        <w:szCs w:val="24"/>
        <w:u w:color="FF0000"/>
        <w:lang w:val="en-US"/>
      </w:rPr>
    </w:lvl>
    <w:lvl w:ilvl="2">
      <w:start w:val="1"/>
      <w:numFmt w:val="lowerRoman"/>
      <w:lvlText w:val="%3."/>
      <w:lvlJc w:val="left"/>
      <w:pPr>
        <w:tabs>
          <w:tab w:val="num" w:pos="2160"/>
        </w:tabs>
        <w:ind w:left="2160" w:hanging="296"/>
      </w:pPr>
      <w:rPr>
        <w:color w:val="000000"/>
        <w:position w:val="0"/>
        <w:sz w:val="24"/>
        <w:szCs w:val="24"/>
        <w:u w:color="FF0000"/>
        <w:lang w:val="en-US"/>
      </w:rPr>
    </w:lvl>
    <w:lvl w:ilvl="3">
      <w:numFmt w:val="bullet"/>
      <w:lvlText w:val="-"/>
      <w:lvlJc w:val="left"/>
      <w:pPr>
        <w:tabs>
          <w:tab w:val="num" w:pos="2880"/>
        </w:tabs>
        <w:ind w:left="2880" w:hanging="360"/>
      </w:pPr>
      <w:rPr>
        <w:color w:val="000000"/>
        <w:position w:val="0"/>
        <w:sz w:val="22"/>
        <w:szCs w:val="22"/>
        <w:u w:color="FF0000"/>
        <w:lang w:val="en-US"/>
      </w:rPr>
    </w:lvl>
    <w:lvl w:ilvl="4">
      <w:start w:val="1"/>
      <w:numFmt w:val="lowerLetter"/>
      <w:lvlText w:val="%5."/>
      <w:lvlJc w:val="left"/>
      <w:pPr>
        <w:tabs>
          <w:tab w:val="num" w:pos="3600"/>
        </w:tabs>
        <w:ind w:left="3600" w:hanging="360"/>
      </w:pPr>
      <w:rPr>
        <w:color w:val="000000"/>
        <w:position w:val="0"/>
        <w:sz w:val="24"/>
        <w:szCs w:val="24"/>
        <w:u w:color="FF0000"/>
        <w:lang w:val="en-US"/>
      </w:rPr>
    </w:lvl>
    <w:lvl w:ilvl="5">
      <w:start w:val="1"/>
      <w:numFmt w:val="lowerRoman"/>
      <w:lvlText w:val="%6."/>
      <w:lvlJc w:val="left"/>
      <w:pPr>
        <w:tabs>
          <w:tab w:val="num" w:pos="4320"/>
        </w:tabs>
        <w:ind w:left="4320" w:hanging="296"/>
      </w:pPr>
      <w:rPr>
        <w:color w:val="000000"/>
        <w:position w:val="0"/>
        <w:sz w:val="24"/>
        <w:szCs w:val="24"/>
        <w:u w:color="FF0000"/>
        <w:lang w:val="en-US"/>
      </w:rPr>
    </w:lvl>
    <w:lvl w:ilvl="6">
      <w:start w:val="1"/>
      <w:numFmt w:val="decimal"/>
      <w:lvlText w:val="%7."/>
      <w:lvlJc w:val="left"/>
      <w:pPr>
        <w:tabs>
          <w:tab w:val="num" w:pos="5040"/>
        </w:tabs>
        <w:ind w:left="5040" w:hanging="360"/>
      </w:pPr>
      <w:rPr>
        <w:color w:val="000000"/>
        <w:position w:val="0"/>
        <w:sz w:val="24"/>
        <w:szCs w:val="24"/>
        <w:u w:color="FF0000"/>
        <w:lang w:val="en-US"/>
      </w:rPr>
    </w:lvl>
    <w:lvl w:ilvl="7">
      <w:start w:val="1"/>
      <w:numFmt w:val="lowerLetter"/>
      <w:lvlText w:val="%8."/>
      <w:lvlJc w:val="left"/>
      <w:pPr>
        <w:tabs>
          <w:tab w:val="num" w:pos="5760"/>
        </w:tabs>
        <w:ind w:left="5760" w:hanging="360"/>
      </w:pPr>
      <w:rPr>
        <w:color w:val="000000"/>
        <w:position w:val="0"/>
        <w:sz w:val="24"/>
        <w:szCs w:val="24"/>
        <w:u w:color="FF0000"/>
        <w:lang w:val="en-US"/>
      </w:rPr>
    </w:lvl>
    <w:lvl w:ilvl="8">
      <w:start w:val="1"/>
      <w:numFmt w:val="lowerRoman"/>
      <w:lvlText w:val="%9."/>
      <w:lvlJc w:val="left"/>
      <w:pPr>
        <w:tabs>
          <w:tab w:val="num" w:pos="6480"/>
        </w:tabs>
        <w:ind w:left="6480" w:hanging="296"/>
      </w:pPr>
      <w:rPr>
        <w:color w:val="000000"/>
        <w:position w:val="0"/>
        <w:sz w:val="24"/>
        <w:szCs w:val="24"/>
        <w:u w:color="FF0000"/>
        <w:lang w:val="en-US"/>
      </w:rPr>
    </w:lvl>
  </w:abstractNum>
  <w:abstractNum w:abstractNumId="31" w15:restartNumberingAfterBreak="0">
    <w:nsid w:val="66A517FF"/>
    <w:multiLevelType w:val="multilevel"/>
    <w:tmpl w:val="6C44F200"/>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2" w15:restartNumberingAfterBreak="0">
    <w:nsid w:val="66AC1DC8"/>
    <w:multiLevelType w:val="multilevel"/>
    <w:tmpl w:val="77DCD462"/>
    <w:lvl w:ilvl="0">
      <w:start w:val="1"/>
      <w:numFmt w:val="decimal"/>
      <w:lvlText w:val="(%1)"/>
      <w:lvlJc w:val="left"/>
      <w:pPr>
        <w:tabs>
          <w:tab w:val="num" w:pos="720"/>
        </w:tabs>
        <w:ind w:left="72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1">
      <w:start w:val="1"/>
      <w:numFmt w:val="decimal"/>
      <w:lvlText w:val="%2."/>
      <w:lvlJc w:val="left"/>
      <w:pPr>
        <w:tabs>
          <w:tab w:val="num" w:pos="435"/>
        </w:tabs>
        <w:ind w:left="435" w:hanging="435"/>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2">
      <w:start w:val="1"/>
      <w:numFmt w:val="lowerRoman"/>
      <w:lvlText w:val="%3."/>
      <w:lvlJc w:val="left"/>
      <w:pPr>
        <w:tabs>
          <w:tab w:val="num" w:pos="2160"/>
        </w:tabs>
        <w:ind w:left="216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3">
      <w:start w:val="1"/>
      <w:numFmt w:val="bullet"/>
      <w:lvlText w:val="-"/>
      <w:lvlJc w:val="left"/>
      <w:pPr>
        <w:tabs>
          <w:tab w:val="num" w:pos="2880"/>
        </w:tabs>
        <w:ind w:left="288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4">
      <w:start w:val="1"/>
      <w:numFmt w:val="lowerLetter"/>
      <w:lvlText w:val="%5."/>
      <w:lvlJc w:val="left"/>
      <w:pPr>
        <w:tabs>
          <w:tab w:val="num" w:pos="3600"/>
        </w:tabs>
        <w:ind w:left="360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5">
      <w:start w:val="1"/>
      <w:numFmt w:val="lowerRoman"/>
      <w:lvlText w:val="%6."/>
      <w:lvlJc w:val="left"/>
      <w:pPr>
        <w:tabs>
          <w:tab w:val="num" w:pos="4320"/>
        </w:tabs>
        <w:ind w:left="432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6">
      <w:start w:val="1"/>
      <w:numFmt w:val="decimal"/>
      <w:lvlText w:val="%7."/>
      <w:lvlJc w:val="left"/>
      <w:pPr>
        <w:tabs>
          <w:tab w:val="num" w:pos="5040"/>
        </w:tabs>
        <w:ind w:left="504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7">
      <w:start w:val="1"/>
      <w:numFmt w:val="lowerLetter"/>
      <w:lvlText w:val="%8."/>
      <w:lvlJc w:val="left"/>
      <w:pPr>
        <w:tabs>
          <w:tab w:val="num" w:pos="5760"/>
        </w:tabs>
        <w:ind w:left="576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8">
      <w:start w:val="1"/>
      <w:numFmt w:val="lowerRoman"/>
      <w:lvlText w:val="%9."/>
      <w:lvlJc w:val="left"/>
      <w:pPr>
        <w:tabs>
          <w:tab w:val="num" w:pos="6480"/>
        </w:tabs>
        <w:ind w:left="648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abstractNum>
  <w:abstractNum w:abstractNumId="33" w15:restartNumberingAfterBreak="0">
    <w:nsid w:val="68426A2B"/>
    <w:multiLevelType w:val="multilevel"/>
    <w:tmpl w:val="A926B960"/>
    <w:lvl w:ilvl="0">
      <w:numFmt w:val="bullet"/>
      <w:lvlText w:val="•"/>
      <w:lvlJc w:val="left"/>
      <w:pPr>
        <w:tabs>
          <w:tab w:val="num" w:pos="567"/>
        </w:tabs>
        <w:ind w:left="567" w:hanging="283"/>
      </w:pPr>
      <w:rPr>
        <w:position w:val="0"/>
        <w:sz w:val="20"/>
        <w:szCs w:val="20"/>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4" w15:restartNumberingAfterBreak="0">
    <w:nsid w:val="71C55FD2"/>
    <w:multiLevelType w:val="hybridMultilevel"/>
    <w:tmpl w:val="3BC8DF3A"/>
    <w:lvl w:ilvl="0" w:tplc="EB5259E2">
      <w:start w:val="1"/>
      <w:numFmt w:val="upperRoman"/>
      <w:lvlText w:val="%1."/>
      <w:lvlJc w:val="right"/>
      <w:pPr>
        <w:ind w:left="1004" w:hanging="360"/>
      </w:pPr>
    </w:lvl>
    <w:lvl w:ilvl="1" w:tplc="B948AF64">
      <w:start w:val="1"/>
      <w:numFmt w:val="decimal"/>
      <w:lvlText w:val="%2."/>
      <w:lvlJc w:val="left"/>
      <w:pPr>
        <w:ind w:left="1724" w:hanging="360"/>
      </w:pPr>
    </w:lvl>
    <w:lvl w:ilvl="2" w:tplc="4508D0E4" w:tentative="1">
      <w:start w:val="1"/>
      <w:numFmt w:val="lowerRoman"/>
      <w:lvlText w:val="%3."/>
      <w:lvlJc w:val="right"/>
      <w:pPr>
        <w:ind w:left="2444" w:hanging="180"/>
      </w:pPr>
    </w:lvl>
    <w:lvl w:ilvl="3" w:tplc="3BDE23EA" w:tentative="1">
      <w:start w:val="1"/>
      <w:numFmt w:val="decimal"/>
      <w:lvlText w:val="%4."/>
      <w:lvlJc w:val="left"/>
      <w:pPr>
        <w:ind w:left="3164" w:hanging="360"/>
      </w:pPr>
    </w:lvl>
    <w:lvl w:ilvl="4" w:tplc="15B0576E" w:tentative="1">
      <w:start w:val="1"/>
      <w:numFmt w:val="lowerLetter"/>
      <w:lvlText w:val="%5."/>
      <w:lvlJc w:val="left"/>
      <w:pPr>
        <w:ind w:left="3884" w:hanging="360"/>
      </w:pPr>
    </w:lvl>
    <w:lvl w:ilvl="5" w:tplc="B31CDFB4" w:tentative="1">
      <w:start w:val="1"/>
      <w:numFmt w:val="lowerRoman"/>
      <w:lvlText w:val="%6."/>
      <w:lvlJc w:val="right"/>
      <w:pPr>
        <w:ind w:left="4604" w:hanging="180"/>
      </w:pPr>
    </w:lvl>
    <w:lvl w:ilvl="6" w:tplc="9C922718" w:tentative="1">
      <w:start w:val="1"/>
      <w:numFmt w:val="decimal"/>
      <w:lvlText w:val="%7."/>
      <w:lvlJc w:val="left"/>
      <w:pPr>
        <w:ind w:left="5324" w:hanging="360"/>
      </w:pPr>
    </w:lvl>
    <w:lvl w:ilvl="7" w:tplc="37366364" w:tentative="1">
      <w:start w:val="1"/>
      <w:numFmt w:val="lowerLetter"/>
      <w:lvlText w:val="%8."/>
      <w:lvlJc w:val="left"/>
      <w:pPr>
        <w:ind w:left="6044" w:hanging="360"/>
      </w:pPr>
    </w:lvl>
    <w:lvl w:ilvl="8" w:tplc="8A9875EE" w:tentative="1">
      <w:start w:val="1"/>
      <w:numFmt w:val="lowerRoman"/>
      <w:lvlText w:val="%9."/>
      <w:lvlJc w:val="right"/>
      <w:pPr>
        <w:ind w:left="6764" w:hanging="180"/>
      </w:pPr>
    </w:lvl>
  </w:abstractNum>
  <w:abstractNum w:abstractNumId="35" w15:restartNumberingAfterBreak="0">
    <w:nsid w:val="76556407"/>
    <w:multiLevelType w:val="multilevel"/>
    <w:tmpl w:val="38768D6C"/>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6" w15:restartNumberingAfterBreak="0">
    <w:nsid w:val="782878AC"/>
    <w:multiLevelType w:val="multilevel"/>
    <w:tmpl w:val="6AB07A80"/>
    <w:lvl w:ilvl="0">
      <w:start w:val="1"/>
      <w:numFmt w:val="bullet"/>
      <w:lvlText w:val="•"/>
      <w:lvlJc w:val="left"/>
      <w:pPr>
        <w:tabs>
          <w:tab w:val="num" w:pos="720"/>
        </w:tabs>
        <w:ind w:left="720" w:hanging="360"/>
      </w:pPr>
      <w:rPr>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7" w15:restartNumberingAfterBreak="0">
    <w:nsid w:val="7A492436"/>
    <w:multiLevelType w:val="hybridMultilevel"/>
    <w:tmpl w:val="C8EEE862"/>
    <w:lvl w:ilvl="0" w:tplc="9BD484BE">
      <w:start w:val="1"/>
      <w:numFmt w:val="decimal"/>
      <w:lvlText w:val="%1."/>
      <w:lvlJc w:val="left"/>
      <w:pPr>
        <w:ind w:left="720" w:hanging="360"/>
      </w:pPr>
    </w:lvl>
    <w:lvl w:ilvl="1" w:tplc="D8B0841A" w:tentative="1">
      <w:start w:val="1"/>
      <w:numFmt w:val="lowerLetter"/>
      <w:lvlText w:val="%2."/>
      <w:lvlJc w:val="left"/>
      <w:pPr>
        <w:ind w:left="1440" w:hanging="360"/>
      </w:pPr>
    </w:lvl>
    <w:lvl w:ilvl="2" w:tplc="686203E4" w:tentative="1">
      <w:start w:val="1"/>
      <w:numFmt w:val="lowerRoman"/>
      <w:lvlText w:val="%3."/>
      <w:lvlJc w:val="right"/>
      <w:pPr>
        <w:ind w:left="2160" w:hanging="180"/>
      </w:pPr>
    </w:lvl>
    <w:lvl w:ilvl="3" w:tplc="A85A1840" w:tentative="1">
      <w:start w:val="1"/>
      <w:numFmt w:val="decimal"/>
      <w:lvlText w:val="%4."/>
      <w:lvlJc w:val="left"/>
      <w:pPr>
        <w:ind w:left="2880" w:hanging="360"/>
      </w:pPr>
    </w:lvl>
    <w:lvl w:ilvl="4" w:tplc="C212DDD2" w:tentative="1">
      <w:start w:val="1"/>
      <w:numFmt w:val="lowerLetter"/>
      <w:lvlText w:val="%5."/>
      <w:lvlJc w:val="left"/>
      <w:pPr>
        <w:ind w:left="3600" w:hanging="360"/>
      </w:pPr>
    </w:lvl>
    <w:lvl w:ilvl="5" w:tplc="80084A80" w:tentative="1">
      <w:start w:val="1"/>
      <w:numFmt w:val="lowerRoman"/>
      <w:lvlText w:val="%6."/>
      <w:lvlJc w:val="right"/>
      <w:pPr>
        <w:ind w:left="4320" w:hanging="180"/>
      </w:pPr>
    </w:lvl>
    <w:lvl w:ilvl="6" w:tplc="8A9E3662" w:tentative="1">
      <w:start w:val="1"/>
      <w:numFmt w:val="decimal"/>
      <w:lvlText w:val="%7."/>
      <w:lvlJc w:val="left"/>
      <w:pPr>
        <w:ind w:left="5040" w:hanging="360"/>
      </w:pPr>
    </w:lvl>
    <w:lvl w:ilvl="7" w:tplc="C6AA150E" w:tentative="1">
      <w:start w:val="1"/>
      <w:numFmt w:val="lowerLetter"/>
      <w:lvlText w:val="%8."/>
      <w:lvlJc w:val="left"/>
      <w:pPr>
        <w:ind w:left="5760" w:hanging="360"/>
      </w:pPr>
    </w:lvl>
    <w:lvl w:ilvl="8" w:tplc="40C8BE7C" w:tentative="1">
      <w:start w:val="1"/>
      <w:numFmt w:val="lowerRoman"/>
      <w:lvlText w:val="%9."/>
      <w:lvlJc w:val="right"/>
      <w:pPr>
        <w:ind w:left="6480" w:hanging="180"/>
      </w:pPr>
    </w:lvl>
  </w:abstractNum>
  <w:abstractNum w:abstractNumId="38" w15:restartNumberingAfterBreak="0">
    <w:nsid w:val="7C5D3C8E"/>
    <w:multiLevelType w:val="hybridMultilevel"/>
    <w:tmpl w:val="9FEA3C38"/>
    <w:lvl w:ilvl="0" w:tplc="FA04EE98">
      <w:start w:val="1"/>
      <w:numFmt w:val="decimal"/>
      <w:lvlText w:val="%1."/>
      <w:lvlJc w:val="left"/>
      <w:pPr>
        <w:ind w:left="720" w:hanging="360"/>
      </w:pPr>
    </w:lvl>
    <w:lvl w:ilvl="1" w:tplc="F822E016" w:tentative="1">
      <w:start w:val="1"/>
      <w:numFmt w:val="lowerLetter"/>
      <w:lvlText w:val="%2."/>
      <w:lvlJc w:val="left"/>
      <w:pPr>
        <w:ind w:left="1440" w:hanging="360"/>
      </w:pPr>
    </w:lvl>
    <w:lvl w:ilvl="2" w:tplc="51D4BADA" w:tentative="1">
      <w:start w:val="1"/>
      <w:numFmt w:val="lowerRoman"/>
      <w:lvlText w:val="%3."/>
      <w:lvlJc w:val="right"/>
      <w:pPr>
        <w:ind w:left="2160" w:hanging="180"/>
      </w:pPr>
    </w:lvl>
    <w:lvl w:ilvl="3" w:tplc="C5249DD0" w:tentative="1">
      <w:start w:val="1"/>
      <w:numFmt w:val="decimal"/>
      <w:lvlText w:val="%4."/>
      <w:lvlJc w:val="left"/>
      <w:pPr>
        <w:ind w:left="2880" w:hanging="360"/>
      </w:pPr>
    </w:lvl>
    <w:lvl w:ilvl="4" w:tplc="C33E9290" w:tentative="1">
      <w:start w:val="1"/>
      <w:numFmt w:val="lowerLetter"/>
      <w:lvlText w:val="%5."/>
      <w:lvlJc w:val="left"/>
      <w:pPr>
        <w:ind w:left="3600" w:hanging="360"/>
      </w:pPr>
    </w:lvl>
    <w:lvl w:ilvl="5" w:tplc="3A38F28E" w:tentative="1">
      <w:start w:val="1"/>
      <w:numFmt w:val="lowerRoman"/>
      <w:lvlText w:val="%6."/>
      <w:lvlJc w:val="right"/>
      <w:pPr>
        <w:ind w:left="4320" w:hanging="180"/>
      </w:pPr>
    </w:lvl>
    <w:lvl w:ilvl="6" w:tplc="EB4C8458" w:tentative="1">
      <w:start w:val="1"/>
      <w:numFmt w:val="decimal"/>
      <w:lvlText w:val="%7."/>
      <w:lvlJc w:val="left"/>
      <w:pPr>
        <w:ind w:left="5040" w:hanging="360"/>
      </w:pPr>
    </w:lvl>
    <w:lvl w:ilvl="7" w:tplc="B86692C0" w:tentative="1">
      <w:start w:val="1"/>
      <w:numFmt w:val="lowerLetter"/>
      <w:lvlText w:val="%8."/>
      <w:lvlJc w:val="left"/>
      <w:pPr>
        <w:ind w:left="5760" w:hanging="360"/>
      </w:pPr>
    </w:lvl>
    <w:lvl w:ilvl="8" w:tplc="5A9A4416" w:tentative="1">
      <w:start w:val="1"/>
      <w:numFmt w:val="lowerRoman"/>
      <w:lvlText w:val="%9."/>
      <w:lvlJc w:val="right"/>
      <w:pPr>
        <w:ind w:left="6480" w:hanging="180"/>
      </w:pPr>
    </w:lvl>
  </w:abstractNum>
  <w:abstractNum w:abstractNumId="39" w15:restartNumberingAfterBreak="0">
    <w:nsid w:val="7EF0064D"/>
    <w:multiLevelType w:val="multilevel"/>
    <w:tmpl w:val="D0B0A9C4"/>
    <w:styleLink w:val="List31"/>
    <w:lvl w:ilvl="0">
      <w:numFmt w:val="bullet"/>
      <w:lvlText w:val="•"/>
      <w:lvlJc w:val="left"/>
      <w:pPr>
        <w:tabs>
          <w:tab w:val="num" w:pos="567"/>
        </w:tabs>
        <w:ind w:left="567" w:hanging="283"/>
      </w:pPr>
      <w:rPr>
        <w:position w:val="0"/>
        <w:sz w:val="20"/>
        <w:szCs w:val="20"/>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40" w15:restartNumberingAfterBreak="0">
    <w:nsid w:val="7F1F0AE8"/>
    <w:multiLevelType w:val="multilevel"/>
    <w:tmpl w:val="424A932E"/>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1" w15:restartNumberingAfterBreak="0">
    <w:nsid w:val="7F232E14"/>
    <w:multiLevelType w:val="hybridMultilevel"/>
    <w:tmpl w:val="CB225F4C"/>
    <w:lvl w:ilvl="0" w:tplc="3E0E31A6">
      <w:start w:val="1"/>
      <w:numFmt w:val="decimal"/>
      <w:lvlText w:val="%1."/>
      <w:lvlJc w:val="left"/>
      <w:pPr>
        <w:ind w:left="720" w:hanging="360"/>
      </w:pPr>
    </w:lvl>
    <w:lvl w:ilvl="1" w:tplc="07C0AE68" w:tentative="1">
      <w:start w:val="1"/>
      <w:numFmt w:val="lowerLetter"/>
      <w:lvlText w:val="%2."/>
      <w:lvlJc w:val="left"/>
      <w:pPr>
        <w:ind w:left="1440" w:hanging="360"/>
      </w:pPr>
    </w:lvl>
    <w:lvl w:ilvl="2" w:tplc="6CBAA798" w:tentative="1">
      <w:start w:val="1"/>
      <w:numFmt w:val="lowerRoman"/>
      <w:lvlText w:val="%3."/>
      <w:lvlJc w:val="right"/>
      <w:pPr>
        <w:ind w:left="2160" w:hanging="180"/>
      </w:pPr>
    </w:lvl>
    <w:lvl w:ilvl="3" w:tplc="DF66E238" w:tentative="1">
      <w:start w:val="1"/>
      <w:numFmt w:val="decimal"/>
      <w:lvlText w:val="%4."/>
      <w:lvlJc w:val="left"/>
      <w:pPr>
        <w:ind w:left="2880" w:hanging="360"/>
      </w:pPr>
    </w:lvl>
    <w:lvl w:ilvl="4" w:tplc="35B26FDA" w:tentative="1">
      <w:start w:val="1"/>
      <w:numFmt w:val="lowerLetter"/>
      <w:lvlText w:val="%5."/>
      <w:lvlJc w:val="left"/>
      <w:pPr>
        <w:ind w:left="3600" w:hanging="360"/>
      </w:pPr>
    </w:lvl>
    <w:lvl w:ilvl="5" w:tplc="96E07966" w:tentative="1">
      <w:start w:val="1"/>
      <w:numFmt w:val="lowerRoman"/>
      <w:lvlText w:val="%6."/>
      <w:lvlJc w:val="right"/>
      <w:pPr>
        <w:ind w:left="4320" w:hanging="180"/>
      </w:pPr>
    </w:lvl>
    <w:lvl w:ilvl="6" w:tplc="D10C40A6" w:tentative="1">
      <w:start w:val="1"/>
      <w:numFmt w:val="decimal"/>
      <w:lvlText w:val="%7."/>
      <w:lvlJc w:val="left"/>
      <w:pPr>
        <w:ind w:left="5040" w:hanging="360"/>
      </w:pPr>
    </w:lvl>
    <w:lvl w:ilvl="7" w:tplc="95DC9374" w:tentative="1">
      <w:start w:val="1"/>
      <w:numFmt w:val="lowerLetter"/>
      <w:lvlText w:val="%8."/>
      <w:lvlJc w:val="left"/>
      <w:pPr>
        <w:ind w:left="5760" w:hanging="360"/>
      </w:pPr>
    </w:lvl>
    <w:lvl w:ilvl="8" w:tplc="6BC0354A" w:tentative="1">
      <w:start w:val="1"/>
      <w:numFmt w:val="lowerRoman"/>
      <w:lvlText w:val="%9."/>
      <w:lvlJc w:val="right"/>
      <w:pPr>
        <w:ind w:left="6480" w:hanging="180"/>
      </w:pPr>
    </w:lvl>
  </w:abstractNum>
  <w:num w:numId="1">
    <w:abstractNumId w:val="23"/>
  </w:num>
  <w:num w:numId="2">
    <w:abstractNumId w:val="32"/>
  </w:num>
  <w:num w:numId="3">
    <w:abstractNumId w:val="14"/>
  </w:num>
  <w:num w:numId="4">
    <w:abstractNumId w:val="28"/>
  </w:num>
  <w:num w:numId="5">
    <w:abstractNumId w:val="19"/>
  </w:num>
  <w:num w:numId="6">
    <w:abstractNumId w:val="36"/>
  </w:num>
  <w:num w:numId="7">
    <w:abstractNumId w:val="40"/>
  </w:num>
  <w:num w:numId="8">
    <w:abstractNumId w:val="35"/>
  </w:num>
  <w:num w:numId="9">
    <w:abstractNumId w:val="31"/>
  </w:num>
  <w:num w:numId="10">
    <w:abstractNumId w:val="22"/>
  </w:num>
  <w:num w:numId="11">
    <w:abstractNumId w:val="30"/>
  </w:num>
  <w:num w:numId="12">
    <w:abstractNumId w:val="21"/>
  </w:num>
  <w:num w:numId="13">
    <w:abstractNumId w:val="4"/>
  </w:num>
  <w:num w:numId="14">
    <w:abstractNumId w:val="16"/>
  </w:num>
  <w:num w:numId="15">
    <w:abstractNumId w:val="3"/>
  </w:num>
  <w:num w:numId="16">
    <w:abstractNumId w:val="0"/>
  </w:num>
  <w:num w:numId="17">
    <w:abstractNumId w:val="17"/>
  </w:num>
  <w:num w:numId="18">
    <w:abstractNumId w:val="13"/>
  </w:num>
  <w:num w:numId="19">
    <w:abstractNumId w:val="1"/>
  </w:num>
  <w:num w:numId="20">
    <w:abstractNumId w:val="11"/>
  </w:num>
  <w:num w:numId="21">
    <w:abstractNumId w:val="5"/>
  </w:num>
  <w:num w:numId="22">
    <w:abstractNumId w:val="20"/>
  </w:num>
  <w:num w:numId="23">
    <w:abstractNumId w:val="18"/>
  </w:num>
  <w:num w:numId="24">
    <w:abstractNumId w:val="12"/>
  </w:num>
  <w:num w:numId="25">
    <w:abstractNumId w:val="33"/>
  </w:num>
  <w:num w:numId="26">
    <w:abstractNumId w:val="6"/>
  </w:num>
  <w:num w:numId="27">
    <w:abstractNumId w:val="39"/>
  </w:num>
  <w:num w:numId="28">
    <w:abstractNumId w:val="10"/>
  </w:num>
  <w:num w:numId="29">
    <w:abstractNumId w:val="2"/>
  </w:num>
  <w:num w:numId="30">
    <w:abstractNumId w:val="29"/>
  </w:num>
  <w:num w:numId="31">
    <w:abstractNumId w:val="27"/>
  </w:num>
  <w:num w:numId="32">
    <w:abstractNumId w:val="25"/>
  </w:num>
  <w:num w:numId="33">
    <w:abstractNumId w:val="8"/>
  </w:num>
  <w:num w:numId="34">
    <w:abstractNumId w:val="15"/>
  </w:num>
  <w:num w:numId="35">
    <w:abstractNumId w:val="41"/>
  </w:num>
  <w:num w:numId="36">
    <w:abstractNumId w:val="9"/>
  </w:num>
  <w:num w:numId="37">
    <w:abstractNumId w:val="38"/>
  </w:num>
  <w:num w:numId="38">
    <w:abstractNumId w:val="26"/>
  </w:num>
  <w:num w:numId="39">
    <w:abstractNumId w:val="24"/>
  </w:num>
  <w:num w:numId="40">
    <w:abstractNumId w:val="7"/>
  </w:num>
  <w:num w:numId="41">
    <w:abstractNumId w:val="37"/>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070"/>
    <w:rsid w:val="001F0DB3"/>
    <w:rsid w:val="00420D51"/>
    <w:rsid w:val="00A81F8D"/>
    <w:rsid w:val="00D75070"/>
    <w:rsid w:val="00EF310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BE" w:eastAsia="fr-B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En-tte">
    <w:name w:val="En-tête"/>
    <w:next w:val="Corps"/>
    <w:pPr>
      <w:keepNext/>
      <w:keepLines/>
      <w:tabs>
        <w:tab w:val="right" w:pos="9020"/>
      </w:tabs>
      <w:spacing w:before="480" w:after="240" w:line="240" w:lineRule="atLeast"/>
      <w:ind w:left="681" w:hanging="397"/>
      <w:jc w:val="both"/>
      <w:outlineLvl w:val="0"/>
    </w:pPr>
    <w:rPr>
      <w:rFonts w:ascii="Calibri" w:eastAsia="Calibri" w:hAnsi="Calibri" w:cs="Calibri"/>
      <w:b/>
      <w:bCs/>
      <w:color w:val="244061"/>
      <w:kern w:val="32"/>
      <w:sz w:val="28"/>
      <w:szCs w:val="28"/>
      <w:u w:color="244061"/>
    </w:rPr>
  </w:style>
  <w:style w:type="paragraph" w:styleId="Fuzeile">
    <w:name w:val="footer"/>
    <w:pPr>
      <w:tabs>
        <w:tab w:val="center" w:pos="4320"/>
        <w:tab w:val="right" w:pos="8640"/>
      </w:tabs>
    </w:pPr>
    <w:rPr>
      <w:rFonts w:hAnsi="Arial Unicode MS" w:cs="Arial Unicode MS"/>
      <w:color w:val="000000"/>
      <w:sz w:val="24"/>
      <w:szCs w:val="24"/>
      <w:u w:color="000000"/>
      <w:lang w:val="en-US"/>
    </w:rPr>
  </w:style>
  <w:style w:type="paragraph" w:styleId="Kopfzeile">
    <w:name w:val="header"/>
    <w:link w:val="KopfzeileZchn"/>
    <w:pPr>
      <w:tabs>
        <w:tab w:val="center" w:pos="4320"/>
        <w:tab w:val="right" w:pos="8640"/>
      </w:tabs>
    </w:pPr>
    <w:rPr>
      <w:rFonts w:hAnsi="Arial Unicode MS" w:cs="Arial Unicode MS"/>
      <w:color w:val="000000"/>
      <w:sz w:val="24"/>
      <w:szCs w:val="24"/>
      <w:u w:color="000000"/>
      <w:lang w:val="en-US"/>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paragraph" w:styleId="Inhaltsverzeichnisberschrift">
    <w:name w:val="TOC Heading"/>
    <w:next w:val="Corps"/>
    <w:pPr>
      <w:keepNext/>
      <w:keepLines/>
      <w:spacing w:before="480" w:line="276" w:lineRule="auto"/>
      <w:ind w:left="681" w:hanging="397"/>
    </w:pPr>
    <w:rPr>
      <w:rFonts w:ascii="Cambria" w:eastAsia="Cambria" w:hAnsi="Cambria" w:cs="Cambria"/>
      <w:b/>
      <w:bCs/>
      <w:color w:val="244061"/>
      <w:sz w:val="28"/>
      <w:szCs w:val="28"/>
      <w:u w:color="244061"/>
      <w:lang w:val="en-US"/>
    </w:rPr>
  </w:style>
  <w:style w:type="paragraph" w:styleId="Verzeichnis1">
    <w:name w:val="toc 1"/>
    <w:pPr>
      <w:tabs>
        <w:tab w:val="right" w:leader="dot" w:pos="9214"/>
      </w:tabs>
      <w:spacing w:before="360" w:after="360" w:line="276" w:lineRule="auto"/>
      <w:ind w:left="567" w:hanging="284"/>
      <w:jc w:val="both"/>
    </w:pPr>
    <w:rPr>
      <w:rFonts w:eastAsia="Times New Roman"/>
      <w:b/>
      <w:bCs/>
      <w:color w:val="000000"/>
      <w:sz w:val="22"/>
      <w:szCs w:val="22"/>
      <w:u w:color="000000"/>
    </w:rPr>
  </w:style>
  <w:style w:type="paragraph" w:styleId="Listenabsatz">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Style2import">
    <w:name w:val="Style 2 importé"/>
    <w:pPr>
      <w:numPr>
        <w:numId w:val="18"/>
      </w:numPr>
    </w:pPr>
  </w:style>
  <w:style w:type="numbering" w:customStyle="1" w:styleId="List0">
    <w:name w:val="List 0"/>
    <w:basedOn w:val="Style2import0"/>
    <w:pPr>
      <w:numPr>
        <w:numId w:val="31"/>
      </w:numPr>
    </w:pPr>
  </w:style>
  <w:style w:type="numbering" w:customStyle="1" w:styleId="Style2import0">
    <w:name w:val="Style 2 importé.0"/>
  </w:style>
  <w:style w:type="paragraph" w:customStyle="1" w:styleId="Pardfaut">
    <w:name w:val="Par défaut"/>
    <w:rPr>
      <w:rFonts w:ascii="Helvetica" w:eastAsia="Helvetica" w:hAnsi="Helvetica" w:cs="Helvetica"/>
      <w:color w:val="000000"/>
      <w:sz w:val="22"/>
      <w:szCs w:val="22"/>
    </w:rPr>
  </w:style>
  <w:style w:type="numbering" w:customStyle="1" w:styleId="List1">
    <w:name w:val="List 1"/>
    <w:basedOn w:val="Style3import"/>
    <w:pPr>
      <w:numPr>
        <w:numId w:val="10"/>
      </w:numPr>
    </w:pPr>
  </w:style>
  <w:style w:type="numbering" w:customStyle="1" w:styleId="Style3import">
    <w:name w:val="Style 3 importé"/>
  </w:style>
  <w:style w:type="paragraph" w:styleId="StandardWeb">
    <w:name w:val="Normal (Web)"/>
    <w:pPr>
      <w:spacing w:before="100" w:after="100"/>
    </w:pPr>
    <w:rPr>
      <w:rFonts w:hAnsi="Arial Unicode MS" w:cs="Arial Unicode MS"/>
      <w:color w:val="000000"/>
      <w:sz w:val="24"/>
      <w:szCs w:val="24"/>
      <w:u w:color="000000"/>
      <w:lang w:val="en-US"/>
    </w:rPr>
  </w:style>
  <w:style w:type="numbering" w:customStyle="1" w:styleId="List21">
    <w:name w:val="List 21"/>
    <w:basedOn w:val="Style2import"/>
    <w:pPr>
      <w:numPr>
        <w:numId w:val="19"/>
      </w:numPr>
    </w:pPr>
  </w:style>
  <w:style w:type="numbering" w:customStyle="1" w:styleId="List31">
    <w:name w:val="List 31"/>
    <w:basedOn w:val="Style1import"/>
    <w:pPr>
      <w:numPr>
        <w:numId w:val="27"/>
      </w:numPr>
    </w:pPr>
  </w:style>
  <w:style w:type="numbering" w:customStyle="1" w:styleId="Style1import">
    <w:name w:val="Style 1 importé"/>
  </w:style>
  <w:style w:type="character" w:customStyle="1" w:styleId="Lien">
    <w:name w:val="Lien"/>
    <w:rPr>
      <w:color w:val="0000FF"/>
      <w:u w:val="single" w:color="0000FF"/>
    </w:rPr>
  </w:style>
  <w:style w:type="character" w:customStyle="1" w:styleId="Hyperlink0">
    <w:name w:val="Hyperlink.0"/>
    <w:basedOn w:val="Lien"/>
    <w:rPr>
      <w:color w:val="0000FF"/>
      <w:sz w:val="24"/>
      <w:szCs w:val="24"/>
      <w:u w:val="single" w:color="0000FF"/>
      <w:lang w:val="en-US"/>
    </w:rPr>
  </w:style>
  <w:style w:type="character" w:customStyle="1" w:styleId="Hyperlink1">
    <w:name w:val="Hyperlink.1"/>
    <w:basedOn w:val="Lien"/>
    <w:rPr>
      <w:color w:val="0000FF"/>
      <w:u w:val="single" w:color="0000FF"/>
      <w:lang w:val="en-US"/>
    </w:rPr>
  </w:style>
  <w:style w:type="character" w:customStyle="1" w:styleId="Aucun">
    <w:name w:val="Aucun"/>
  </w:style>
  <w:style w:type="character" w:customStyle="1" w:styleId="Hyperlink2">
    <w:name w:val="Hyperlink.2"/>
    <w:basedOn w:val="Aucun"/>
    <w:rPr>
      <w:color w:val="0000FF"/>
      <w:sz w:val="19"/>
      <w:szCs w:val="19"/>
      <w:u w:val="single" w:color="0000FF"/>
      <w:vertAlign w:val="superscript"/>
      <w:lang w:val="en-US"/>
    </w:rPr>
  </w:style>
  <w:style w:type="numbering" w:customStyle="1" w:styleId="List41">
    <w:name w:val="List 41"/>
    <w:basedOn w:val="Style5import"/>
    <w:pPr>
      <w:numPr>
        <w:numId w:val="34"/>
      </w:numPr>
    </w:pPr>
  </w:style>
  <w:style w:type="numbering" w:customStyle="1" w:styleId="Style5import">
    <w:name w:val="Style 5 importé"/>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lang w:val="en-US" w:eastAsia="en-US"/>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1437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376D"/>
    <w:rPr>
      <w:rFonts w:ascii="Tahoma" w:hAnsi="Tahoma" w:cs="Tahoma"/>
      <w:sz w:val="16"/>
      <w:szCs w:val="16"/>
      <w:lang w:val="en-US" w:eastAsia="en-US"/>
    </w:rPr>
  </w:style>
  <w:style w:type="paragraph" w:styleId="Kommentarthema">
    <w:name w:val="annotation subject"/>
    <w:basedOn w:val="Kommentartext"/>
    <w:next w:val="Kommentartext"/>
    <w:link w:val="KommentarthemaZchn"/>
    <w:uiPriority w:val="99"/>
    <w:semiHidden/>
    <w:unhideWhenUsed/>
    <w:rsid w:val="00E7264E"/>
    <w:rPr>
      <w:b/>
      <w:bCs/>
    </w:rPr>
  </w:style>
  <w:style w:type="character" w:customStyle="1" w:styleId="KommentarthemaZchn">
    <w:name w:val="Kommentarthema Zchn"/>
    <w:basedOn w:val="KommentartextZchn"/>
    <w:link w:val="Kommentarthema"/>
    <w:uiPriority w:val="99"/>
    <w:semiHidden/>
    <w:rsid w:val="00E7264E"/>
    <w:rPr>
      <w:b/>
      <w:bCs/>
      <w:lang w:val="en-US" w:eastAsia="en-US"/>
    </w:rPr>
  </w:style>
  <w:style w:type="character" w:customStyle="1" w:styleId="KopfzeileZchn">
    <w:name w:val="Kopfzeile Zchn"/>
    <w:link w:val="Kopfzeile"/>
    <w:rsid w:val="007B79C3"/>
    <w:rPr>
      <w:rFonts w:hAnsi="Arial Unicode MS" w:cs="Arial Unicode MS"/>
      <w:color w:val="000000"/>
      <w:sz w:val="24"/>
      <w:szCs w:val="24"/>
      <w:u w:color="000000"/>
      <w:lang w:val="en-US"/>
    </w:rPr>
  </w:style>
  <w:style w:type="table" w:customStyle="1" w:styleId="TableGrid1">
    <w:name w:val="Table Grid1"/>
    <w:basedOn w:val="NormaleTabelle"/>
    <w:next w:val="Tabellenraster"/>
    <w:uiPriority w:val="59"/>
    <w:rsid w:val="001654B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165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7297"/>
    <w:pPr>
      <w:autoSpaceDE w:val="0"/>
      <w:autoSpaceDN w:val="0"/>
      <w:adjustRightInd w:val="0"/>
    </w:pPr>
    <w:rP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F9182-5A87-4C9A-A2E7-2AAB6576FB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A000C2-623A-464C-A4BF-165853F83153}">
  <ds:schemaRefs>
    <ds:schemaRef ds:uri="http://schemas.microsoft.com/sharepoint/v3/contenttype/forms"/>
  </ds:schemaRefs>
</ds:datastoreItem>
</file>

<file path=customXml/itemProps3.xml><?xml version="1.0" encoding="utf-8"?>
<ds:datastoreItem xmlns:ds="http://schemas.openxmlformats.org/officeDocument/2006/customXml" ds:itemID="{4434DC98-82D5-45BB-B180-F5D289FBA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8811B55-2077-43D7-9D48-BC566780A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4213</Words>
  <Characters>26547</Characters>
  <Application>Microsoft Office Word</Application>
  <DocSecurity>0</DocSecurity>
  <Lines>221</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30699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2016-02-04T13:29:00Z</dcterms:created>
  <dcterms:modified xsi:type="dcterms:W3CDTF">2016-02-04T13:29:00Z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