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40C8BC" w14:textId="01C998A1" w:rsidR="006A3EA2" w:rsidRPr="00472919" w:rsidRDefault="00472919" w:rsidP="00472919">
      <w:pPr>
        <w:tabs>
          <w:tab w:val="left" w:pos="656"/>
          <w:tab w:val="center" w:pos="4320"/>
        </w:tabs>
        <w:outlineLvl w:val="0"/>
        <w:rPr>
          <w:rFonts w:ascii="Garamond" w:hAnsi="Garamond"/>
          <w:b/>
          <w:sz w:val="28"/>
          <w:szCs w:val="28"/>
        </w:rPr>
      </w:pPr>
      <w:r w:rsidRPr="00472919">
        <w:rPr>
          <w:rFonts w:ascii="Garamond" w:hAnsi="Garamond"/>
          <w:b/>
          <w:sz w:val="28"/>
          <w:szCs w:val="28"/>
        </w:rPr>
        <w:tab/>
      </w:r>
      <w:r w:rsidRPr="00472919">
        <w:rPr>
          <w:rFonts w:ascii="Garamond" w:hAnsi="Garamond"/>
          <w:b/>
          <w:sz w:val="28"/>
          <w:szCs w:val="28"/>
        </w:rPr>
        <w:tab/>
      </w:r>
      <w:r w:rsidR="006A3EA2" w:rsidRPr="00472919">
        <w:rPr>
          <w:rFonts w:ascii="Garamond" w:hAnsi="Garamond"/>
          <w:b/>
          <w:sz w:val="28"/>
          <w:szCs w:val="28"/>
        </w:rPr>
        <w:t>Written submission to the Human Rights Committee</w:t>
      </w:r>
    </w:p>
    <w:p w14:paraId="3361B99A" w14:textId="77777777" w:rsidR="001D2E84" w:rsidRPr="00472919" w:rsidRDefault="001D2E84" w:rsidP="006A3EA2">
      <w:pPr>
        <w:jc w:val="center"/>
        <w:outlineLvl w:val="0"/>
        <w:rPr>
          <w:rFonts w:ascii="Garamond" w:hAnsi="Garamond"/>
          <w:b/>
          <w:sz w:val="28"/>
          <w:szCs w:val="28"/>
        </w:rPr>
      </w:pPr>
    </w:p>
    <w:p w14:paraId="471A129A" w14:textId="77777777" w:rsidR="006A3EA2" w:rsidRPr="00472919" w:rsidRDefault="006A3EA2" w:rsidP="006A3EA2">
      <w:pPr>
        <w:jc w:val="center"/>
        <w:outlineLvl w:val="0"/>
        <w:rPr>
          <w:rFonts w:ascii="Garamond" w:hAnsi="Garamond"/>
          <w:b/>
          <w:sz w:val="28"/>
          <w:szCs w:val="28"/>
        </w:rPr>
      </w:pPr>
      <w:r w:rsidRPr="00472919">
        <w:rPr>
          <w:rFonts w:ascii="Garamond" w:hAnsi="Garamond"/>
          <w:b/>
          <w:sz w:val="28"/>
          <w:szCs w:val="28"/>
        </w:rPr>
        <w:t>On the Fifth Periodic Report of the Government of Sri Lanka</w:t>
      </w:r>
      <w:r w:rsidR="001D2E84" w:rsidRPr="00472919">
        <w:rPr>
          <w:rFonts w:ascii="Garamond" w:hAnsi="Garamond"/>
          <w:b/>
          <w:sz w:val="28"/>
          <w:szCs w:val="28"/>
        </w:rPr>
        <w:t xml:space="preserve"> on the</w:t>
      </w:r>
      <w:r w:rsidRPr="00472919">
        <w:rPr>
          <w:rFonts w:ascii="Garamond" w:hAnsi="Garamond"/>
          <w:b/>
          <w:sz w:val="28"/>
          <w:szCs w:val="28"/>
        </w:rPr>
        <w:t xml:space="preserve"> International Covenant on Civil and Political Rights.</w:t>
      </w:r>
    </w:p>
    <w:p w14:paraId="4E4866A0" w14:textId="77777777" w:rsidR="001D2E84" w:rsidRPr="00472919" w:rsidRDefault="001D2E84" w:rsidP="006A3EA2">
      <w:pPr>
        <w:jc w:val="center"/>
        <w:outlineLvl w:val="0"/>
        <w:rPr>
          <w:rFonts w:ascii="Garamond" w:hAnsi="Garamond"/>
          <w:b/>
          <w:sz w:val="28"/>
          <w:szCs w:val="28"/>
        </w:rPr>
      </w:pPr>
    </w:p>
    <w:p w14:paraId="4A95E94F" w14:textId="77777777" w:rsidR="006A3EA2" w:rsidRPr="00472919" w:rsidRDefault="006A3EA2" w:rsidP="006A3EA2">
      <w:pPr>
        <w:jc w:val="center"/>
        <w:outlineLvl w:val="0"/>
        <w:rPr>
          <w:rFonts w:ascii="Garamond" w:hAnsi="Garamond"/>
          <w:b/>
          <w:sz w:val="28"/>
          <w:szCs w:val="28"/>
        </w:rPr>
      </w:pPr>
      <w:proofErr w:type="gramStart"/>
      <w:r w:rsidRPr="00472919">
        <w:rPr>
          <w:rFonts w:ascii="Garamond" w:hAnsi="Garamond"/>
          <w:b/>
          <w:sz w:val="28"/>
          <w:szCs w:val="28"/>
        </w:rPr>
        <w:t>Submitted by the Tamil Civil Society Forum</w:t>
      </w:r>
      <w:r w:rsidR="001D2E84" w:rsidRPr="00472919">
        <w:rPr>
          <w:rFonts w:ascii="Garamond" w:hAnsi="Garamond"/>
          <w:b/>
          <w:sz w:val="28"/>
          <w:szCs w:val="28"/>
        </w:rPr>
        <w:t xml:space="preserve"> on 20 December 2013</w:t>
      </w:r>
      <w:r w:rsidRPr="00472919">
        <w:rPr>
          <w:rFonts w:ascii="Garamond" w:hAnsi="Garamond"/>
          <w:b/>
          <w:sz w:val="28"/>
          <w:szCs w:val="28"/>
        </w:rPr>
        <w:t>.</w:t>
      </w:r>
      <w:proofErr w:type="gramEnd"/>
    </w:p>
    <w:p w14:paraId="742445BA" w14:textId="77777777" w:rsidR="006A3EA2" w:rsidRPr="00E76C20" w:rsidRDefault="006A3EA2" w:rsidP="00BD3AAA">
      <w:pPr>
        <w:widowControl w:val="0"/>
        <w:autoSpaceDE w:val="0"/>
        <w:autoSpaceDN w:val="0"/>
        <w:adjustRightInd w:val="0"/>
        <w:spacing w:after="320" w:line="276" w:lineRule="auto"/>
        <w:jc w:val="both"/>
        <w:rPr>
          <w:b/>
        </w:rPr>
      </w:pPr>
      <w:bookmarkStart w:id="0" w:name="_GoBack"/>
      <w:bookmarkEnd w:id="0"/>
    </w:p>
    <w:p w14:paraId="2DF0F9FC" w14:textId="10B2F372" w:rsidR="00472919" w:rsidRDefault="00472919" w:rsidP="006A3EA2">
      <w:pPr>
        <w:widowControl w:val="0"/>
        <w:autoSpaceDE w:val="0"/>
        <w:autoSpaceDN w:val="0"/>
        <w:adjustRightInd w:val="0"/>
        <w:spacing w:after="320" w:line="276" w:lineRule="auto"/>
        <w:jc w:val="both"/>
        <w:outlineLvl w:val="0"/>
        <w:rPr>
          <w:b/>
        </w:rPr>
      </w:pPr>
      <w:r>
        <w:rPr>
          <w:b/>
        </w:rPr>
        <w:t>----------------------------------------------------------------------------------------------------------</w:t>
      </w:r>
    </w:p>
    <w:p w14:paraId="2E93DC18" w14:textId="77777777" w:rsidR="00BD3AAA" w:rsidRPr="00E76C20" w:rsidRDefault="007A5194" w:rsidP="006A3EA2">
      <w:pPr>
        <w:widowControl w:val="0"/>
        <w:autoSpaceDE w:val="0"/>
        <w:autoSpaceDN w:val="0"/>
        <w:adjustRightInd w:val="0"/>
        <w:spacing w:after="320" w:line="276" w:lineRule="auto"/>
        <w:jc w:val="both"/>
        <w:outlineLvl w:val="0"/>
        <w:rPr>
          <w:b/>
        </w:rPr>
      </w:pPr>
      <w:r w:rsidRPr="00E76C20">
        <w:rPr>
          <w:b/>
        </w:rPr>
        <w:t xml:space="preserve">About the authors of the report: </w:t>
      </w:r>
    </w:p>
    <w:p w14:paraId="796F515E" w14:textId="5B838242" w:rsidR="00BD3AAA" w:rsidRPr="00E76C20" w:rsidRDefault="007A5194" w:rsidP="00BD3AAA">
      <w:pPr>
        <w:widowControl w:val="0"/>
        <w:autoSpaceDE w:val="0"/>
        <w:autoSpaceDN w:val="0"/>
        <w:adjustRightInd w:val="0"/>
        <w:spacing w:after="320" w:line="276" w:lineRule="auto"/>
        <w:jc w:val="both"/>
        <w:rPr>
          <w:b/>
        </w:rPr>
      </w:pPr>
      <w:r w:rsidRPr="00E76C20">
        <w:t>This report is filed by the Tamil Civil Society Forum</w:t>
      </w:r>
      <w:r w:rsidR="005F721A" w:rsidRPr="00E76C20">
        <w:t xml:space="preserve"> (TCSF</w:t>
      </w:r>
      <w:r w:rsidR="001D2E84" w:rsidRPr="00E76C20">
        <w:rPr>
          <w:rStyle w:val="Funotenzeichen"/>
        </w:rPr>
        <w:footnoteReference w:id="1"/>
      </w:r>
      <w:r w:rsidR="005F721A" w:rsidRPr="00E76C20">
        <w:t>)</w:t>
      </w:r>
      <w:r w:rsidRPr="00E76C20">
        <w:t>, a network of more than 100 civil society activists from the North &amp; East of Sri Lanka</w:t>
      </w:r>
      <w:r w:rsidR="006A3EA2" w:rsidRPr="00E76C20">
        <w:t xml:space="preserve"> in response to</w:t>
      </w:r>
      <w:r w:rsidR="00651D85">
        <w:t xml:space="preserve"> the Government of Sri Lanka’s</w:t>
      </w:r>
      <w:r w:rsidR="00555B64">
        <w:t xml:space="preserve"> (</w:t>
      </w:r>
      <w:proofErr w:type="spellStart"/>
      <w:r w:rsidR="00555B64">
        <w:t>GoSL</w:t>
      </w:r>
      <w:proofErr w:type="spellEnd"/>
      <w:r w:rsidR="00555B64">
        <w:t>)</w:t>
      </w:r>
      <w:r w:rsidR="006A3EA2" w:rsidRPr="00E76C20">
        <w:t xml:space="preserve"> </w:t>
      </w:r>
      <w:r w:rsidR="006A3EA2" w:rsidRPr="00E76C20">
        <w:rPr>
          <w:rFonts w:cs="Times New Roman"/>
          <w:color w:val="000000"/>
        </w:rPr>
        <w:t>fifth periodic report to the Human Rights Committee (HRC) highlighting developments relevant to the period from 2003 to October 2012</w:t>
      </w:r>
      <w:r w:rsidR="006A3EA2" w:rsidRPr="00E76C20">
        <w:rPr>
          <w:rStyle w:val="Funotenzeichen"/>
          <w:rFonts w:cs="Times New Roman"/>
          <w:color w:val="000000"/>
        </w:rPr>
        <w:footnoteReference w:id="2"/>
      </w:r>
      <w:r w:rsidRPr="00E76C20">
        <w:t xml:space="preserve">. The Tamil Civil Society Forum’s purpose </w:t>
      </w:r>
      <w:r w:rsidR="005F721A" w:rsidRPr="00E76C20">
        <w:t xml:space="preserve">is to recreate spaces in the north and east of Sri Lanka for democratic articulation and debate. </w:t>
      </w:r>
    </w:p>
    <w:p w14:paraId="3E917C62" w14:textId="77777777" w:rsidR="00BD3AAA" w:rsidRPr="00E76C20" w:rsidRDefault="00BD3AAA" w:rsidP="006A3EA2">
      <w:pPr>
        <w:widowControl w:val="0"/>
        <w:autoSpaceDE w:val="0"/>
        <w:autoSpaceDN w:val="0"/>
        <w:adjustRightInd w:val="0"/>
        <w:spacing w:after="320" w:line="276" w:lineRule="auto"/>
        <w:jc w:val="both"/>
        <w:outlineLvl w:val="0"/>
        <w:rPr>
          <w:b/>
        </w:rPr>
      </w:pPr>
      <w:r w:rsidRPr="00E76C20">
        <w:rPr>
          <w:b/>
        </w:rPr>
        <w:t xml:space="preserve">A. </w:t>
      </w:r>
      <w:r w:rsidR="005F721A" w:rsidRPr="00E76C20">
        <w:rPr>
          <w:b/>
        </w:rPr>
        <w:t>Scope of this report:</w:t>
      </w:r>
    </w:p>
    <w:p w14:paraId="6E5D918B" w14:textId="1D003234" w:rsidR="005F721A" w:rsidRPr="00E76C20" w:rsidRDefault="00BB59C7" w:rsidP="00BD3AAA">
      <w:pPr>
        <w:widowControl w:val="0"/>
        <w:autoSpaceDE w:val="0"/>
        <w:autoSpaceDN w:val="0"/>
        <w:adjustRightInd w:val="0"/>
        <w:spacing w:after="320" w:line="276" w:lineRule="auto"/>
        <w:jc w:val="both"/>
        <w:rPr>
          <w:b/>
        </w:rPr>
      </w:pPr>
      <w:r w:rsidRPr="00E76C20">
        <w:t xml:space="preserve">The Government of Sri Lanka claims in </w:t>
      </w:r>
      <w:r w:rsidR="00F83418" w:rsidRPr="00E76C20">
        <w:rPr>
          <w:rFonts w:cs="Times New Roman"/>
          <w:color w:val="000000"/>
        </w:rPr>
        <w:t>it</w:t>
      </w:r>
      <w:r w:rsidR="00C26B8B" w:rsidRPr="00E76C20">
        <w:rPr>
          <w:rFonts w:cs="Times New Roman"/>
          <w:color w:val="000000"/>
        </w:rPr>
        <w:t xml:space="preserve">s </w:t>
      </w:r>
      <w:r w:rsidR="001D2E84" w:rsidRPr="00E76C20">
        <w:rPr>
          <w:rFonts w:cs="Times New Roman"/>
          <w:color w:val="000000"/>
        </w:rPr>
        <w:t>fifth periodic</w:t>
      </w:r>
      <w:r w:rsidR="00C562EF" w:rsidRPr="00E76C20">
        <w:rPr>
          <w:rFonts w:cs="Times New Roman"/>
          <w:color w:val="000000"/>
        </w:rPr>
        <w:t xml:space="preserve"> report</w:t>
      </w:r>
      <w:r w:rsidR="000B3FF4" w:rsidRPr="00E76C20">
        <w:rPr>
          <w:rFonts w:cs="Times New Roman"/>
          <w:color w:val="000000"/>
        </w:rPr>
        <w:t xml:space="preserve"> </w:t>
      </w:r>
      <w:r w:rsidR="00C26B8B" w:rsidRPr="00E76C20">
        <w:t xml:space="preserve">that the Liberation Tigers of Tamil </w:t>
      </w:r>
      <w:proofErr w:type="spellStart"/>
      <w:r w:rsidR="00C26B8B" w:rsidRPr="00E76C20">
        <w:t>Ealam</w:t>
      </w:r>
      <w:proofErr w:type="spellEnd"/>
      <w:r w:rsidR="00C26B8B" w:rsidRPr="00E76C20">
        <w:t xml:space="preserve"> have been defeated and </w:t>
      </w:r>
      <w:r w:rsidR="000B3FF4" w:rsidRPr="00E76C20">
        <w:t>that</w:t>
      </w:r>
      <w:r w:rsidR="00755892" w:rsidRPr="00E76C20">
        <w:t xml:space="preserve"> the </w:t>
      </w:r>
      <w:proofErr w:type="spellStart"/>
      <w:r w:rsidR="00755892" w:rsidRPr="00E76C20">
        <w:t>GoSL</w:t>
      </w:r>
      <w:proofErr w:type="spellEnd"/>
      <w:r w:rsidR="00755892" w:rsidRPr="00E76C20">
        <w:t xml:space="preserve"> pursued a ‘zero civilian casualty’ policy</w:t>
      </w:r>
      <w:r w:rsidR="000B3FF4" w:rsidRPr="00E76C20">
        <w:t xml:space="preserve"> in persecuting the war</w:t>
      </w:r>
      <w:r w:rsidR="00755892" w:rsidRPr="00E76C20">
        <w:t xml:space="preserve">. The Tamil Civil Society Forum does </w:t>
      </w:r>
      <w:r w:rsidR="001D2E84" w:rsidRPr="00E76C20">
        <w:t>not seek to</w:t>
      </w:r>
      <w:r w:rsidR="00755892" w:rsidRPr="00E76C20">
        <w:t xml:space="preserve"> engage in a lengthy contestation of the </w:t>
      </w:r>
      <w:proofErr w:type="spellStart"/>
      <w:r w:rsidR="00755892" w:rsidRPr="00E76C20">
        <w:t>GoSL’s</w:t>
      </w:r>
      <w:proofErr w:type="spellEnd"/>
      <w:r w:rsidR="00755892" w:rsidRPr="00E76C20">
        <w:t xml:space="preserve"> claim</w:t>
      </w:r>
      <w:r w:rsidR="001D2E84" w:rsidRPr="00E76C20">
        <w:t xml:space="preserve"> in this report,</w:t>
      </w:r>
      <w:r w:rsidR="00755892" w:rsidRPr="00E76C20">
        <w:t xml:space="preserve"> except to refer</w:t>
      </w:r>
      <w:r w:rsidR="001D2E84" w:rsidRPr="00E76C20">
        <w:t xml:space="preserve"> the HRC</w:t>
      </w:r>
      <w:r w:rsidR="00755892" w:rsidRPr="00E76C20">
        <w:t xml:space="preserve"> to the UN Secretary General’s Panel of Experts report of </w:t>
      </w:r>
      <w:r w:rsidR="001D2E84" w:rsidRPr="00E76C20">
        <w:t xml:space="preserve">March </w:t>
      </w:r>
      <w:r w:rsidR="00755892" w:rsidRPr="00E76C20">
        <w:t>2011</w:t>
      </w:r>
      <w:r w:rsidR="001D2E84" w:rsidRPr="00E76C20">
        <w:rPr>
          <w:rStyle w:val="Funotenzeichen"/>
        </w:rPr>
        <w:footnoteReference w:id="3"/>
      </w:r>
      <w:r w:rsidR="00755892" w:rsidRPr="00E76C20">
        <w:t xml:space="preserve"> and the Report of the UN Internal Review Panel on United Nations in Sri Lanka </w:t>
      </w:r>
      <w:r w:rsidR="001D2E84" w:rsidRPr="00E76C20">
        <w:t>of November 2012</w:t>
      </w:r>
      <w:r w:rsidR="00651D85">
        <w:t>,</w:t>
      </w:r>
      <w:r w:rsidR="001D2E84" w:rsidRPr="00E76C20">
        <w:rPr>
          <w:rStyle w:val="Funotenzeichen"/>
        </w:rPr>
        <w:footnoteReference w:id="4"/>
      </w:r>
      <w:r w:rsidR="001D2E84" w:rsidRPr="00E76C20">
        <w:t xml:space="preserve"> </w:t>
      </w:r>
      <w:r w:rsidR="00755892" w:rsidRPr="00E76C20">
        <w:t xml:space="preserve">which point to between 40,000-70,000 </w:t>
      </w:r>
      <w:r w:rsidR="00C03F95" w:rsidRPr="00E76C20">
        <w:t>Tamil civilians</w:t>
      </w:r>
      <w:r w:rsidR="00755892" w:rsidRPr="00E76C20">
        <w:t xml:space="preserve"> being killed in the last stages of the war. </w:t>
      </w:r>
      <w:r w:rsidR="00C03F95" w:rsidRPr="00E76C20">
        <w:t xml:space="preserve">The UNSG’s Panel of Experts found that credible charges of ‘persecution’ and ‘extermination’ </w:t>
      </w:r>
      <w:r w:rsidR="00C562EF" w:rsidRPr="00E76C20">
        <w:t>could</w:t>
      </w:r>
      <w:r w:rsidR="00C03F95" w:rsidRPr="00E76C20">
        <w:t xml:space="preserve"> be made out against the </w:t>
      </w:r>
      <w:proofErr w:type="spellStart"/>
      <w:r w:rsidR="00C03F95" w:rsidRPr="00E76C20">
        <w:t>GoSL</w:t>
      </w:r>
      <w:proofErr w:type="spellEnd"/>
      <w:r w:rsidR="00C03F95" w:rsidRPr="00E76C20">
        <w:t xml:space="preserve">. The finding with regard to persecution was that </w:t>
      </w:r>
      <w:r w:rsidR="00C03F95" w:rsidRPr="00E76C20">
        <w:rPr>
          <w:rFonts w:cs="Times New Roman"/>
          <w:color w:val="000000"/>
        </w:rPr>
        <w:t>conditions imposed on civilians in the final months of the war were calculated to bring about the destruction of a significant part of the civilian population</w:t>
      </w:r>
      <w:r w:rsidR="00C03F95" w:rsidRPr="00E76C20">
        <w:rPr>
          <w:rStyle w:val="Funotenzeichen"/>
          <w:rFonts w:cs="Times New Roman"/>
          <w:color w:val="000000"/>
        </w:rPr>
        <w:footnoteReference w:id="5"/>
      </w:r>
      <w:r w:rsidR="00C03F95" w:rsidRPr="00E76C20">
        <w:rPr>
          <w:rFonts w:cs="Times New Roman"/>
          <w:color w:val="000000"/>
        </w:rPr>
        <w:t xml:space="preserve">. The finding with regard to extermination </w:t>
      </w:r>
      <w:r w:rsidR="00C03F95" w:rsidRPr="00E76C20">
        <w:rPr>
          <w:rFonts w:cs="Times New Roman"/>
          <w:color w:val="000000"/>
        </w:rPr>
        <w:lastRenderedPageBreak/>
        <w:t xml:space="preserve">was that it was ‘committed on racial or political grounds against the Tamil population of the </w:t>
      </w:r>
      <w:proofErr w:type="spellStart"/>
      <w:r w:rsidR="00C03F95" w:rsidRPr="00E76C20">
        <w:rPr>
          <w:rFonts w:cs="Times New Roman"/>
          <w:color w:val="000000"/>
        </w:rPr>
        <w:t>Vanni</w:t>
      </w:r>
      <w:proofErr w:type="spellEnd"/>
      <w:r w:rsidR="00C03F95" w:rsidRPr="00E76C20">
        <w:rPr>
          <w:rFonts w:cs="Times New Roman"/>
          <w:color w:val="000000"/>
        </w:rPr>
        <w:t>’</w:t>
      </w:r>
      <w:r w:rsidR="00C03F95" w:rsidRPr="00E76C20">
        <w:rPr>
          <w:rStyle w:val="Funotenzeichen"/>
          <w:rFonts w:cs="Times New Roman"/>
          <w:color w:val="000000"/>
        </w:rPr>
        <w:footnoteReference w:id="6"/>
      </w:r>
      <w:r w:rsidR="00C03F95" w:rsidRPr="00E76C20">
        <w:rPr>
          <w:rFonts w:cs="Times New Roman"/>
          <w:color w:val="000000"/>
        </w:rPr>
        <w:t>. These</w:t>
      </w:r>
      <w:r w:rsidR="00651D85">
        <w:rPr>
          <w:rFonts w:cs="Times New Roman"/>
          <w:color w:val="000000"/>
        </w:rPr>
        <w:t>,</w:t>
      </w:r>
      <w:r w:rsidR="00C03F95" w:rsidRPr="00E76C20">
        <w:rPr>
          <w:rFonts w:cs="Times New Roman"/>
          <w:color w:val="000000"/>
        </w:rPr>
        <w:t xml:space="preserve"> in the view of the Tamil Civil Society Forum</w:t>
      </w:r>
      <w:r w:rsidR="00651D85">
        <w:rPr>
          <w:rFonts w:cs="Times New Roman"/>
          <w:color w:val="000000"/>
        </w:rPr>
        <w:t>,</w:t>
      </w:r>
      <w:r w:rsidR="00C03F95" w:rsidRPr="00E76C20">
        <w:rPr>
          <w:rFonts w:cs="Times New Roman"/>
          <w:color w:val="000000"/>
        </w:rPr>
        <w:t xml:space="preserve"> are modest conclusions and the Tamil Civil</w:t>
      </w:r>
      <w:r w:rsidR="00C562EF" w:rsidRPr="00E76C20">
        <w:rPr>
          <w:rFonts w:cs="Times New Roman"/>
          <w:color w:val="000000"/>
        </w:rPr>
        <w:t xml:space="preserve"> Society Forum has insisted on the need </w:t>
      </w:r>
      <w:proofErr w:type="gramStart"/>
      <w:r w:rsidR="00C562EF" w:rsidRPr="00E76C20">
        <w:rPr>
          <w:rFonts w:cs="Times New Roman"/>
          <w:color w:val="000000"/>
        </w:rPr>
        <w:t>for a</w:t>
      </w:r>
      <w:r w:rsidR="00C03F95" w:rsidRPr="00E76C20">
        <w:rPr>
          <w:rFonts w:cs="Times New Roman"/>
          <w:color w:val="000000"/>
        </w:rPr>
        <w:t xml:space="preserve"> full, impartial, international, independent investigations</w:t>
      </w:r>
      <w:proofErr w:type="gramEnd"/>
      <w:r w:rsidR="00C03F95" w:rsidRPr="00E76C20">
        <w:rPr>
          <w:rFonts w:cs="Times New Roman"/>
          <w:color w:val="000000"/>
        </w:rPr>
        <w:t xml:space="preserve"> into all three categories of crimes identified by International Humanitarian and Criminal Law, </w:t>
      </w:r>
      <w:proofErr w:type="spellStart"/>
      <w:r w:rsidR="00C03F95" w:rsidRPr="00E76C20">
        <w:rPr>
          <w:rFonts w:cs="Times New Roman"/>
          <w:color w:val="000000"/>
        </w:rPr>
        <w:t>i.e</w:t>
      </w:r>
      <w:proofErr w:type="spellEnd"/>
      <w:r w:rsidR="00C03F95" w:rsidRPr="00E76C20">
        <w:rPr>
          <w:rFonts w:cs="Times New Roman"/>
          <w:color w:val="000000"/>
        </w:rPr>
        <w:t xml:space="preserve"> the crimes of genocide, war crimes and crimes against humanity committe</w:t>
      </w:r>
      <w:r w:rsidR="00F83418" w:rsidRPr="00E76C20">
        <w:rPr>
          <w:rFonts w:cs="Times New Roman"/>
          <w:color w:val="000000"/>
        </w:rPr>
        <w:t>d by the warring parties</w:t>
      </w:r>
      <w:r w:rsidR="00C562EF" w:rsidRPr="00E76C20">
        <w:rPr>
          <w:rFonts w:cs="Times New Roman"/>
          <w:color w:val="000000"/>
        </w:rPr>
        <w:t xml:space="preserve">. </w:t>
      </w:r>
    </w:p>
    <w:p w14:paraId="16A56873" w14:textId="64E9C1E4" w:rsidR="00C03F95" w:rsidRPr="00E76C20" w:rsidRDefault="00F83418" w:rsidP="00BD3AAA">
      <w:pPr>
        <w:widowControl w:val="0"/>
        <w:autoSpaceDE w:val="0"/>
        <w:autoSpaceDN w:val="0"/>
        <w:adjustRightInd w:val="0"/>
        <w:spacing w:after="320" w:line="276" w:lineRule="auto"/>
        <w:jc w:val="both"/>
        <w:rPr>
          <w:b/>
        </w:rPr>
      </w:pPr>
      <w:r w:rsidRPr="00E76C20">
        <w:rPr>
          <w:rFonts w:cs="Times New Roman"/>
          <w:color w:val="000000"/>
        </w:rPr>
        <w:t>The Tamil Civil Society Forum invites</w:t>
      </w:r>
      <w:r w:rsidR="006A3EA2" w:rsidRPr="00E76C20">
        <w:rPr>
          <w:rFonts w:cs="Times New Roman"/>
          <w:color w:val="000000"/>
        </w:rPr>
        <w:t xml:space="preserve"> the HRC</w:t>
      </w:r>
      <w:r w:rsidR="00C03F95" w:rsidRPr="00E76C20">
        <w:rPr>
          <w:rFonts w:cs="Times New Roman"/>
          <w:color w:val="000000"/>
        </w:rPr>
        <w:t xml:space="preserve"> to look at the conclusions of th</w:t>
      </w:r>
      <w:r w:rsidRPr="00E76C20">
        <w:rPr>
          <w:rFonts w:cs="Times New Roman"/>
          <w:color w:val="000000"/>
        </w:rPr>
        <w:t xml:space="preserve">e UNSG Panel of Experts Report on </w:t>
      </w:r>
      <w:r w:rsidR="005F721A" w:rsidRPr="00E76C20">
        <w:rPr>
          <w:rFonts w:cs="Times New Roman"/>
          <w:color w:val="000000"/>
        </w:rPr>
        <w:t>‘</w:t>
      </w:r>
      <w:r w:rsidRPr="00E76C20">
        <w:rPr>
          <w:rFonts w:cs="Times New Roman"/>
          <w:color w:val="000000"/>
        </w:rPr>
        <w:t>persecution</w:t>
      </w:r>
      <w:r w:rsidR="005F721A" w:rsidRPr="00E76C20">
        <w:rPr>
          <w:rFonts w:cs="Times New Roman"/>
          <w:color w:val="000000"/>
        </w:rPr>
        <w:t>’</w:t>
      </w:r>
      <w:r w:rsidRPr="00E76C20">
        <w:rPr>
          <w:rFonts w:cs="Times New Roman"/>
          <w:color w:val="000000"/>
        </w:rPr>
        <w:t xml:space="preserve"> and </w:t>
      </w:r>
      <w:r w:rsidR="005F721A" w:rsidRPr="00E76C20">
        <w:rPr>
          <w:rFonts w:cs="Times New Roman"/>
          <w:color w:val="000000"/>
        </w:rPr>
        <w:t>‘</w:t>
      </w:r>
      <w:r w:rsidRPr="00E76C20">
        <w:rPr>
          <w:rFonts w:cs="Times New Roman"/>
          <w:color w:val="000000"/>
        </w:rPr>
        <w:t>extermination</w:t>
      </w:r>
      <w:r w:rsidR="005F721A" w:rsidRPr="00E76C20">
        <w:rPr>
          <w:rFonts w:cs="Times New Roman"/>
          <w:color w:val="000000"/>
        </w:rPr>
        <w:t>’</w:t>
      </w:r>
      <w:r w:rsidR="00C562EF" w:rsidRPr="00E76C20">
        <w:rPr>
          <w:rFonts w:cs="Times New Roman"/>
          <w:color w:val="000000"/>
        </w:rPr>
        <w:t xml:space="preserve"> of the Tamil people and the </w:t>
      </w:r>
      <w:r w:rsidRPr="00E76C20">
        <w:rPr>
          <w:rFonts w:cs="Times New Roman"/>
          <w:color w:val="000000"/>
        </w:rPr>
        <w:t xml:space="preserve">impact </w:t>
      </w:r>
      <w:r w:rsidR="00C562EF" w:rsidRPr="00E76C20">
        <w:rPr>
          <w:rFonts w:cs="Times New Roman"/>
          <w:color w:val="000000"/>
        </w:rPr>
        <w:t xml:space="preserve">of such a finding </w:t>
      </w:r>
      <w:r w:rsidRPr="00E76C20">
        <w:rPr>
          <w:rFonts w:cs="Times New Roman"/>
          <w:color w:val="000000"/>
        </w:rPr>
        <w:t xml:space="preserve">on the right to </w:t>
      </w:r>
      <w:proofErr w:type="spellStart"/>
      <w:r w:rsidRPr="00E76C20">
        <w:rPr>
          <w:rFonts w:cs="Times New Roman"/>
          <w:color w:val="000000"/>
        </w:rPr>
        <w:t>self determination</w:t>
      </w:r>
      <w:proofErr w:type="spellEnd"/>
      <w:r w:rsidRPr="00E76C20">
        <w:rPr>
          <w:rFonts w:cs="Times New Roman"/>
          <w:color w:val="000000"/>
        </w:rPr>
        <w:t xml:space="preserve"> of the Tamil people in the island of Sri Lanka with special reference to the notion of ‘remedial self-determination’</w:t>
      </w:r>
      <w:r w:rsidR="000B3FF4" w:rsidRPr="00E76C20">
        <w:rPr>
          <w:rStyle w:val="Funotenzeichen"/>
          <w:rFonts w:cs="Times New Roman"/>
          <w:color w:val="000000"/>
        </w:rPr>
        <w:footnoteReference w:id="7"/>
      </w:r>
      <w:r w:rsidRPr="00E76C20">
        <w:rPr>
          <w:rFonts w:cs="Times New Roman"/>
          <w:color w:val="000000"/>
        </w:rPr>
        <w:t xml:space="preserve"> which we </w:t>
      </w:r>
      <w:proofErr w:type="spellStart"/>
      <w:r w:rsidRPr="00E76C20">
        <w:rPr>
          <w:rFonts w:cs="Times New Roman"/>
          <w:color w:val="000000"/>
        </w:rPr>
        <w:t>e</w:t>
      </w:r>
      <w:r w:rsidR="006A3EA2" w:rsidRPr="00E76C20">
        <w:rPr>
          <w:rFonts w:cs="Times New Roman"/>
          <w:color w:val="000000"/>
        </w:rPr>
        <w:t>mphasise</w:t>
      </w:r>
      <w:proofErr w:type="spellEnd"/>
      <w:r w:rsidR="006A3EA2" w:rsidRPr="00E76C20">
        <w:rPr>
          <w:rFonts w:cs="Times New Roman"/>
          <w:color w:val="000000"/>
        </w:rPr>
        <w:t xml:space="preserve"> is relevant to the HRC</w:t>
      </w:r>
      <w:r w:rsidRPr="00E76C20">
        <w:rPr>
          <w:rFonts w:cs="Times New Roman"/>
          <w:color w:val="000000"/>
        </w:rPr>
        <w:t xml:space="preserve">’s evaluation of the Sri Lankan State’s adherence to Article 1(1) of the ICCPR. We wish to state nothing further regarding this, owing to the fear of persecution under Article 157A of the Constitution of Sri Lanka, with regard to which we make detailed submissions in this report.  </w:t>
      </w:r>
    </w:p>
    <w:p w14:paraId="62A4CD6E" w14:textId="76C033A6" w:rsidR="00F83418" w:rsidRPr="00E76C20" w:rsidRDefault="00F83418" w:rsidP="00BD3AAA">
      <w:pPr>
        <w:spacing w:line="276" w:lineRule="auto"/>
        <w:jc w:val="both"/>
      </w:pPr>
      <w:r w:rsidRPr="00E76C20">
        <w:rPr>
          <w:rFonts w:cs="Times New Roman"/>
          <w:color w:val="000000"/>
        </w:rPr>
        <w:t xml:space="preserve">The </w:t>
      </w:r>
      <w:proofErr w:type="spellStart"/>
      <w:r w:rsidRPr="00E76C20">
        <w:rPr>
          <w:rFonts w:cs="Times New Roman"/>
          <w:color w:val="000000"/>
        </w:rPr>
        <w:t>GoSL</w:t>
      </w:r>
      <w:proofErr w:type="spellEnd"/>
      <w:r w:rsidRPr="00E76C20">
        <w:rPr>
          <w:rFonts w:cs="Times New Roman"/>
          <w:color w:val="000000"/>
        </w:rPr>
        <w:t xml:space="preserve"> also provides lengthy information on the post-war status of the Tamil people</w:t>
      </w:r>
      <w:r w:rsidR="00C562EF" w:rsidRPr="00E76C20">
        <w:rPr>
          <w:rFonts w:cs="Times New Roman"/>
          <w:color w:val="000000"/>
        </w:rPr>
        <w:t xml:space="preserve"> in its report to the HRC</w:t>
      </w:r>
      <w:r w:rsidRPr="00E76C20">
        <w:rPr>
          <w:rFonts w:cs="Times New Roman"/>
          <w:color w:val="000000"/>
        </w:rPr>
        <w:t>.</w:t>
      </w:r>
      <w:r w:rsidR="00204A3A" w:rsidRPr="00E76C20">
        <w:rPr>
          <w:rFonts w:cs="Times New Roman"/>
          <w:color w:val="000000"/>
        </w:rPr>
        <w:t xml:space="preserve"> The assertions of the Government are a distortion of the truth, to say the least.</w:t>
      </w:r>
      <w:r w:rsidRPr="00E76C20">
        <w:rPr>
          <w:rFonts w:cs="Times New Roman"/>
          <w:color w:val="000000"/>
        </w:rPr>
        <w:t xml:space="preserve"> </w:t>
      </w:r>
      <w:r w:rsidR="00204A3A" w:rsidRPr="00E76C20">
        <w:rPr>
          <w:rFonts w:cs="Times New Roman"/>
          <w:i/>
          <w:color w:val="000000"/>
        </w:rPr>
        <w:t>Inter alia,</w:t>
      </w:r>
      <w:r w:rsidR="00204A3A" w:rsidRPr="00E76C20">
        <w:rPr>
          <w:rFonts w:cs="Times New Roman"/>
          <w:color w:val="000000"/>
        </w:rPr>
        <w:t xml:space="preserve"> </w:t>
      </w:r>
      <w:r w:rsidR="00204A3A" w:rsidRPr="00E76C20">
        <w:t>t</w:t>
      </w:r>
      <w:r w:rsidR="00A843D2" w:rsidRPr="00E76C20">
        <w:t>he land grab project continuing unabated</w:t>
      </w:r>
      <w:r w:rsidR="00A843D2" w:rsidRPr="00E76C20">
        <w:rPr>
          <w:rStyle w:val="Funotenzeichen"/>
        </w:rPr>
        <w:footnoteReference w:id="8"/>
      </w:r>
      <w:r w:rsidR="00A843D2" w:rsidRPr="00E76C20">
        <w:t>, Tamil political prisoners continuing to linger in prison (two were killed in custody in 2012), civil society and political activists continuing to be intimated and arrested, lack of any progress in tracing disappeared persons</w:t>
      </w:r>
      <w:r w:rsidR="00A843D2" w:rsidRPr="00E76C20">
        <w:rPr>
          <w:rStyle w:val="Funotenzeichen"/>
        </w:rPr>
        <w:footnoteReference w:id="9"/>
      </w:r>
      <w:r w:rsidR="00A843D2" w:rsidRPr="00E76C20">
        <w:t>, t</w:t>
      </w:r>
      <w:r w:rsidR="005F721A" w:rsidRPr="00E76C20">
        <w:t>he specific targeting of female-</w:t>
      </w:r>
      <w:r w:rsidR="00A843D2" w:rsidRPr="00E76C20">
        <w:t>headed households with sexual violence</w:t>
      </w:r>
      <w:r w:rsidR="00A843D2" w:rsidRPr="00E76C20">
        <w:rPr>
          <w:rStyle w:val="Funotenzeichen"/>
        </w:rPr>
        <w:footnoteReference w:id="10"/>
      </w:r>
      <w:r w:rsidR="00A843D2" w:rsidRPr="00E76C20">
        <w:t xml:space="preserve"> in the </w:t>
      </w:r>
      <w:proofErr w:type="spellStart"/>
      <w:r w:rsidR="00A843D2" w:rsidRPr="00E76C20">
        <w:t>Vanni</w:t>
      </w:r>
      <w:proofErr w:type="spellEnd"/>
      <w:r w:rsidR="00A843D2" w:rsidRPr="00E76C20">
        <w:t xml:space="preserve">, systematic and wide </w:t>
      </w:r>
      <w:r w:rsidR="00A843D2" w:rsidRPr="00E76C20">
        <w:lastRenderedPageBreak/>
        <w:t>spread torture specifically targeting Tamils and particularly ‘rehabilitated’ ex-LTTE cadres</w:t>
      </w:r>
      <w:r w:rsidR="0045120F" w:rsidRPr="00E76C20">
        <w:rPr>
          <w:rStyle w:val="Funotenzeichen"/>
        </w:rPr>
        <w:footnoteReference w:id="11"/>
      </w:r>
      <w:r w:rsidR="00A843D2" w:rsidRPr="00E76C20">
        <w:t xml:space="preserve">, the continuous destruction of the economic and cultural </w:t>
      </w:r>
      <w:r w:rsidR="00204A3A" w:rsidRPr="00E76C20">
        <w:t>fundamentals of the Tamils</w:t>
      </w:r>
      <w:r w:rsidR="00A843D2" w:rsidRPr="00E76C20">
        <w:t>, the continuous denial of psycho-social support for the war affected Tamils, the ever increasing role of the military in the daily lives of the Tamil people</w:t>
      </w:r>
      <w:r w:rsidR="0045120F" w:rsidRPr="00E76C20">
        <w:t xml:space="preserve"> – in </w:t>
      </w:r>
      <w:r w:rsidR="00A843D2" w:rsidRPr="00E76C20">
        <w:t xml:space="preserve"> education, higher education, health, agriculture and fisheries, the conversion of </w:t>
      </w:r>
      <w:r w:rsidR="00204A3A" w:rsidRPr="00E76C20">
        <w:t xml:space="preserve">war-time </w:t>
      </w:r>
      <w:r w:rsidR="00A843D2" w:rsidRPr="00E76C20">
        <w:t xml:space="preserve">high security zones into permanent high security zones (including the </w:t>
      </w:r>
      <w:proofErr w:type="spellStart"/>
      <w:r w:rsidR="00A843D2" w:rsidRPr="00E76C20">
        <w:t>Sampur</w:t>
      </w:r>
      <w:proofErr w:type="spellEnd"/>
      <w:r w:rsidR="00A843D2" w:rsidRPr="00E76C20">
        <w:t xml:space="preserve"> High Security Zone in </w:t>
      </w:r>
      <w:proofErr w:type="spellStart"/>
      <w:r w:rsidR="00A843D2" w:rsidRPr="00E76C20">
        <w:t>Trincomalee</w:t>
      </w:r>
      <w:proofErr w:type="spellEnd"/>
      <w:r w:rsidR="00A843D2" w:rsidRPr="00E76C20">
        <w:t xml:space="preserve">, </w:t>
      </w:r>
      <w:proofErr w:type="spellStart"/>
      <w:r w:rsidR="00A843D2" w:rsidRPr="00E76C20">
        <w:t>Palaly</w:t>
      </w:r>
      <w:proofErr w:type="spellEnd"/>
      <w:r w:rsidR="00A843D2" w:rsidRPr="00E76C20">
        <w:t xml:space="preserve"> and KKS in Jaffna, </w:t>
      </w:r>
      <w:proofErr w:type="spellStart"/>
      <w:r w:rsidR="00A843D2" w:rsidRPr="00E76C20">
        <w:t>Mullikulum</w:t>
      </w:r>
      <w:proofErr w:type="spellEnd"/>
      <w:r w:rsidR="00A843D2" w:rsidRPr="00E76C20">
        <w:t xml:space="preserve"> in </w:t>
      </w:r>
      <w:proofErr w:type="spellStart"/>
      <w:r w:rsidR="00A843D2" w:rsidRPr="00E76C20">
        <w:t>Mannar</w:t>
      </w:r>
      <w:proofErr w:type="spellEnd"/>
      <w:r w:rsidR="00A843D2" w:rsidRPr="00E76C20">
        <w:t xml:space="preserve"> and </w:t>
      </w:r>
      <w:proofErr w:type="spellStart"/>
      <w:r w:rsidR="00A843D2" w:rsidRPr="00E76C20">
        <w:t>Keppapulavu</w:t>
      </w:r>
      <w:proofErr w:type="spellEnd"/>
      <w:r w:rsidR="00A843D2" w:rsidRPr="00E76C20">
        <w:t xml:space="preserve"> in </w:t>
      </w:r>
      <w:proofErr w:type="spellStart"/>
      <w:r w:rsidR="00A843D2" w:rsidRPr="00E76C20">
        <w:t>Mullaitivu</w:t>
      </w:r>
      <w:proofErr w:type="spellEnd"/>
      <w:r w:rsidR="00A843D2" w:rsidRPr="00E76C20">
        <w:t xml:space="preserve">), a significant number of Tamils continuing to live as displaced </w:t>
      </w:r>
      <w:r w:rsidR="00204A3A" w:rsidRPr="00E76C20">
        <w:t xml:space="preserve">people in ‘relocated’ villages and </w:t>
      </w:r>
      <w:r w:rsidR="00A843D2" w:rsidRPr="00E76C20">
        <w:t xml:space="preserve">the continuous neglect of the livelihood of those resettled are examples of </w:t>
      </w:r>
      <w:r w:rsidR="0045120F" w:rsidRPr="00E76C20">
        <w:t>the state of the Tamil people in the North and East in the post war context</w:t>
      </w:r>
      <w:r w:rsidR="00A843D2" w:rsidRPr="00E76C20">
        <w:t xml:space="preserve">.  </w:t>
      </w:r>
      <w:r w:rsidR="0045120F" w:rsidRPr="00E76C20">
        <w:t xml:space="preserve">These violations restrict the exercise of most if not all rights enshrined in the ICCPR by the Tamils in the island of Sri Lanka. </w:t>
      </w:r>
      <w:r w:rsidR="00A843D2" w:rsidRPr="00E76C20">
        <w:t xml:space="preserve">The TCSF is of the opinion </w:t>
      </w:r>
      <w:proofErr w:type="gramStart"/>
      <w:r w:rsidR="00A843D2" w:rsidRPr="00E76C20">
        <w:t>that  the</w:t>
      </w:r>
      <w:proofErr w:type="gramEnd"/>
      <w:r w:rsidR="00A843D2" w:rsidRPr="00E76C20">
        <w:t xml:space="preserve"> post-war conduct of the </w:t>
      </w:r>
      <w:proofErr w:type="spellStart"/>
      <w:r w:rsidR="00A843D2" w:rsidRPr="00E76C20">
        <w:t>GoSL</w:t>
      </w:r>
      <w:proofErr w:type="spellEnd"/>
      <w:r w:rsidR="00A843D2" w:rsidRPr="00E76C20">
        <w:t xml:space="preserve"> is aimed at destroying the fundamental aspects of the identification and existence of the Tamil people as a collective/ a nation. </w:t>
      </w:r>
    </w:p>
    <w:p w14:paraId="6769E401" w14:textId="77777777" w:rsidR="0045120F" w:rsidRPr="00E76C20" w:rsidRDefault="0045120F" w:rsidP="00BD3AAA">
      <w:pPr>
        <w:spacing w:line="276" w:lineRule="auto"/>
        <w:jc w:val="both"/>
      </w:pPr>
    </w:p>
    <w:p w14:paraId="645CDB8B" w14:textId="77777777" w:rsidR="00204A3A" w:rsidRPr="00E76C20" w:rsidRDefault="0045120F" w:rsidP="00BD3AAA">
      <w:pPr>
        <w:spacing w:line="276" w:lineRule="auto"/>
        <w:jc w:val="both"/>
      </w:pPr>
      <w:r w:rsidRPr="00E76C20">
        <w:t>This report however does not go into detail with regard to each of these issues at this</w:t>
      </w:r>
      <w:r w:rsidR="00204A3A" w:rsidRPr="00E76C20">
        <w:t xml:space="preserve"> stage.  It seeks to highlight</w:t>
      </w:r>
      <w:r w:rsidRPr="00E76C20">
        <w:t xml:space="preserve"> particular issue</w:t>
      </w:r>
      <w:r w:rsidR="00204A3A" w:rsidRPr="00E76C20">
        <w:t>s</w:t>
      </w:r>
      <w:r w:rsidRPr="00E76C20">
        <w:t xml:space="preserve"> with regard to Article 1 of the </w:t>
      </w:r>
      <w:r w:rsidR="00204A3A" w:rsidRPr="00E76C20">
        <w:t xml:space="preserve">ICCPR </w:t>
      </w:r>
      <w:r w:rsidR="005F721A" w:rsidRPr="00E76C20">
        <w:t xml:space="preserve">and other related articles of the ICCPR </w:t>
      </w:r>
      <w:r w:rsidR="00204A3A" w:rsidRPr="00E76C20">
        <w:t>that</w:t>
      </w:r>
      <w:r w:rsidRPr="00E76C20">
        <w:t xml:space="preserve"> impinges on the Tamil people’s exercise of all rights that are contained in the ICCPR. As the </w:t>
      </w:r>
      <w:r w:rsidR="006A3EA2" w:rsidRPr="00E76C20">
        <w:t>HRC</w:t>
      </w:r>
      <w:r w:rsidRPr="00E76C20">
        <w:t xml:space="preserve"> identifies in General Comment 12</w:t>
      </w:r>
      <w:r w:rsidR="00204A3A" w:rsidRPr="00E76C20">
        <w:t xml:space="preserve">, the </w:t>
      </w:r>
      <w:r w:rsidRPr="00E76C20">
        <w:rPr>
          <w:rFonts w:cs="Times"/>
        </w:rPr>
        <w:t>right</w:t>
      </w:r>
      <w:r w:rsidR="00204A3A" w:rsidRPr="00E76C20">
        <w:rPr>
          <w:rFonts w:cs="Times"/>
        </w:rPr>
        <w:t xml:space="preserve"> to self-determination</w:t>
      </w:r>
      <w:r w:rsidRPr="00E76C20">
        <w:rPr>
          <w:rFonts w:cs="Times"/>
        </w:rPr>
        <w:t xml:space="preserve"> and the corresponding obligations concerning its implementation are interrelated with other provisions of the Covenant and rules of international law. </w:t>
      </w:r>
    </w:p>
    <w:p w14:paraId="595F53E3" w14:textId="77777777" w:rsidR="00204A3A" w:rsidRPr="00E76C20" w:rsidRDefault="00204A3A" w:rsidP="00BD3AAA">
      <w:pPr>
        <w:spacing w:line="276" w:lineRule="auto"/>
        <w:jc w:val="both"/>
      </w:pPr>
    </w:p>
    <w:p w14:paraId="392216FD" w14:textId="09395E03" w:rsidR="00204A3A" w:rsidRPr="00E76C20" w:rsidRDefault="00204A3A" w:rsidP="00BD3AAA">
      <w:pPr>
        <w:widowControl w:val="0"/>
        <w:autoSpaceDE w:val="0"/>
        <w:autoSpaceDN w:val="0"/>
        <w:adjustRightInd w:val="0"/>
        <w:spacing w:after="320" w:line="276" w:lineRule="auto"/>
        <w:jc w:val="both"/>
        <w:rPr>
          <w:rFonts w:cs="Helvetica"/>
          <w:color w:val="1D1D1D"/>
        </w:rPr>
      </w:pPr>
      <w:r w:rsidRPr="00E76C20">
        <w:t>This report</w:t>
      </w:r>
      <w:r w:rsidR="00A86D22" w:rsidRPr="00E76C20">
        <w:t xml:space="preserve"> is focused on providing reasons for</w:t>
      </w:r>
      <w:r w:rsidRPr="00E76C20">
        <w:t xml:space="preserve"> the</w:t>
      </w:r>
      <w:r w:rsidR="00C562EF" w:rsidRPr="00E76C20">
        <w:t xml:space="preserve"> HRC</w:t>
      </w:r>
      <w:r w:rsidRPr="00E76C20">
        <w:t xml:space="preserve"> to recommend to the </w:t>
      </w:r>
      <w:r w:rsidR="00A86D22" w:rsidRPr="00E76C20">
        <w:t>relevant state party</w:t>
      </w:r>
      <w:r w:rsidR="005F721A" w:rsidRPr="00E76C20">
        <w:t>,</w:t>
      </w:r>
      <w:r w:rsidR="00A86D22" w:rsidRPr="00E76C20">
        <w:t xml:space="preserve"> to repeal</w:t>
      </w:r>
      <w:r w:rsidRPr="00E76C20">
        <w:t xml:space="preserve"> the 6</w:t>
      </w:r>
      <w:r w:rsidRPr="00E76C20">
        <w:rPr>
          <w:vertAlign w:val="superscript"/>
        </w:rPr>
        <w:t>th</w:t>
      </w:r>
      <w:r w:rsidRPr="00E76C20">
        <w:t xml:space="preserve"> amendment to the Sri Lankan Constitution and the Prevention of </w:t>
      </w:r>
      <w:r w:rsidR="00A86D22" w:rsidRPr="00E76C20">
        <w:t>Terrorism Act</w:t>
      </w:r>
      <w:r w:rsidRPr="00E76C20">
        <w:rPr>
          <w:rFonts w:cs="Helvetica"/>
          <w:color w:val="1D1D1D"/>
        </w:rPr>
        <w:t xml:space="preserve"> No. 48 of 1979, as amended by Act Nos. 10 of 1982 and 22 of 1988, as steps that are immediately required for the restoration of normalcy and for the Tamil people to be able to pursue peace and</w:t>
      </w:r>
      <w:r w:rsidR="00BD3AAA" w:rsidRPr="00E76C20">
        <w:rPr>
          <w:rFonts w:cs="Helvetica"/>
          <w:color w:val="1D1D1D"/>
        </w:rPr>
        <w:t xml:space="preserve"> justice in post-war Sri </w:t>
      </w:r>
      <w:r w:rsidR="00651D85">
        <w:rPr>
          <w:rFonts w:cs="Helvetica"/>
          <w:color w:val="1D1D1D"/>
        </w:rPr>
        <w:t>Lanka and to address those post-war issues</w:t>
      </w:r>
      <w:r w:rsidR="00BD3AAA" w:rsidRPr="00E76C20">
        <w:rPr>
          <w:rFonts w:cs="Helvetica"/>
          <w:color w:val="1D1D1D"/>
        </w:rPr>
        <w:t xml:space="preserve"> identified above. </w:t>
      </w:r>
    </w:p>
    <w:p w14:paraId="6BD8B47C" w14:textId="77777777" w:rsidR="00B84985" w:rsidRPr="00E76C20" w:rsidRDefault="00BD3AAA" w:rsidP="00BD3AAA">
      <w:pPr>
        <w:widowControl w:val="0"/>
        <w:autoSpaceDE w:val="0"/>
        <w:autoSpaceDN w:val="0"/>
        <w:adjustRightInd w:val="0"/>
        <w:spacing w:after="320" w:line="276" w:lineRule="auto"/>
        <w:jc w:val="both"/>
      </w:pPr>
      <w:r w:rsidRPr="00E76C20">
        <w:rPr>
          <w:b/>
        </w:rPr>
        <w:t xml:space="preserve">B. </w:t>
      </w:r>
      <w:r w:rsidR="00B84985" w:rsidRPr="00E76C20">
        <w:rPr>
          <w:b/>
        </w:rPr>
        <w:t xml:space="preserve">Constitution/National Legislation in dispute: </w:t>
      </w:r>
    </w:p>
    <w:p w14:paraId="7390EB4F" w14:textId="77777777" w:rsidR="00B84985" w:rsidRPr="00E76C20" w:rsidRDefault="00BD3AAA" w:rsidP="006A3EA2">
      <w:pPr>
        <w:widowControl w:val="0"/>
        <w:autoSpaceDE w:val="0"/>
        <w:autoSpaceDN w:val="0"/>
        <w:adjustRightInd w:val="0"/>
        <w:spacing w:after="320" w:line="276" w:lineRule="auto"/>
        <w:jc w:val="both"/>
        <w:outlineLvl w:val="0"/>
        <w:rPr>
          <w:i/>
        </w:rPr>
      </w:pPr>
      <w:r w:rsidRPr="00E76C20">
        <w:rPr>
          <w:i/>
        </w:rPr>
        <w:t>B.</w:t>
      </w:r>
      <w:r w:rsidR="00B84985" w:rsidRPr="00E76C20">
        <w:rPr>
          <w:i/>
        </w:rPr>
        <w:t>1. Article 157A of the Constitution of Sri Lanka (introduced</w:t>
      </w:r>
      <w:r w:rsidR="00F5096B" w:rsidRPr="00E76C20">
        <w:rPr>
          <w:i/>
        </w:rPr>
        <w:t xml:space="preserve"> by way of</w:t>
      </w:r>
      <w:r w:rsidR="00B84985" w:rsidRPr="00E76C20">
        <w:rPr>
          <w:i/>
        </w:rPr>
        <w:t xml:space="preserve"> the 6</w:t>
      </w:r>
      <w:r w:rsidR="00B84985" w:rsidRPr="00E76C20">
        <w:rPr>
          <w:i/>
          <w:vertAlign w:val="superscript"/>
        </w:rPr>
        <w:t>th</w:t>
      </w:r>
      <w:r w:rsidR="00B84985" w:rsidRPr="00E76C20">
        <w:rPr>
          <w:i/>
        </w:rPr>
        <w:t xml:space="preserve"> Amendment to the Constitution) </w:t>
      </w:r>
    </w:p>
    <w:p w14:paraId="19A0360E" w14:textId="77777777" w:rsidR="004F6A8C" w:rsidRPr="00E76C20" w:rsidRDefault="007A4E8D" w:rsidP="00BD3AAA">
      <w:pPr>
        <w:widowControl w:val="0"/>
        <w:autoSpaceDE w:val="0"/>
        <w:autoSpaceDN w:val="0"/>
        <w:adjustRightInd w:val="0"/>
        <w:spacing w:after="320" w:line="276" w:lineRule="auto"/>
        <w:jc w:val="both"/>
        <w:rPr>
          <w:rFonts w:cs="Times"/>
        </w:rPr>
      </w:pPr>
      <w:r w:rsidRPr="00E76C20">
        <w:lastRenderedPageBreak/>
        <w:t xml:space="preserve">The Sixth Amendment to the </w:t>
      </w:r>
      <w:r w:rsidR="00D73809" w:rsidRPr="00E76C20">
        <w:t xml:space="preserve">Second Republican </w:t>
      </w:r>
      <w:r w:rsidRPr="00E76C20">
        <w:t>Constitution of Sri Lanka provides that no person shall</w:t>
      </w:r>
      <w:r w:rsidRPr="00E76C20">
        <w:rPr>
          <w:rFonts w:cs="Times"/>
        </w:rPr>
        <w:t xml:space="preserve"> directly or indirectly, in or outside Sri Lanka, support, espouse, promote, finance, encourage or advocate the establishment of a separate State within the territory of Sri Lanka</w:t>
      </w:r>
      <w:r w:rsidRPr="00E76C20">
        <w:rPr>
          <w:rStyle w:val="Funotenzeichen"/>
          <w:rFonts w:cs="Times"/>
        </w:rPr>
        <w:footnoteReference w:id="12"/>
      </w:r>
      <w:r w:rsidRPr="00E76C20">
        <w:rPr>
          <w:rFonts w:cs="Times"/>
        </w:rPr>
        <w:t xml:space="preserve">. </w:t>
      </w:r>
      <w:r w:rsidR="004F6A8C" w:rsidRPr="00E76C20">
        <w:rPr>
          <w:rFonts w:cs="Times"/>
        </w:rPr>
        <w:t>The consequences of criminal</w:t>
      </w:r>
      <w:r w:rsidR="00D73809" w:rsidRPr="00E76C20">
        <w:rPr>
          <w:rFonts w:cs="Times"/>
        </w:rPr>
        <w:t xml:space="preserve"> conviction of violating the said provision</w:t>
      </w:r>
      <w:r w:rsidR="004F6A8C" w:rsidRPr="00E76C20">
        <w:rPr>
          <w:rFonts w:cs="Times"/>
        </w:rPr>
        <w:t xml:space="preserve"> include being subjected to civic disability for seven years, forfeiture of both movable and immovable property, if he or she is a Member of Parliament, forfeiture of such membership</w:t>
      </w:r>
      <w:r w:rsidR="00B06CF9" w:rsidRPr="00E76C20">
        <w:rPr>
          <w:rStyle w:val="Funotenzeichen"/>
          <w:rFonts w:cs="Times"/>
        </w:rPr>
        <w:footnoteReference w:id="13"/>
      </w:r>
      <w:r w:rsidR="004F6A8C" w:rsidRPr="00E76C20">
        <w:rPr>
          <w:rFonts w:cs="Times"/>
        </w:rPr>
        <w:t xml:space="preserve">.  </w:t>
      </w:r>
    </w:p>
    <w:p w14:paraId="32467068" w14:textId="08ABAE90" w:rsidR="007A4E8D" w:rsidRPr="00E76C20" w:rsidRDefault="007A4E8D" w:rsidP="00BD3AAA">
      <w:pPr>
        <w:widowControl w:val="0"/>
        <w:autoSpaceDE w:val="0"/>
        <w:autoSpaceDN w:val="0"/>
        <w:adjustRightInd w:val="0"/>
        <w:spacing w:after="320" w:line="276" w:lineRule="auto"/>
        <w:jc w:val="both"/>
        <w:rPr>
          <w:rFonts w:cs="Times"/>
        </w:rPr>
      </w:pPr>
      <w:r w:rsidRPr="00E76C20">
        <w:rPr>
          <w:rFonts w:cs="Times"/>
        </w:rPr>
        <w:t xml:space="preserve">The same amendment provides that it would be criminal for any political party, association or organization </w:t>
      </w:r>
      <w:r w:rsidR="00D71D20">
        <w:rPr>
          <w:rFonts w:cs="Times"/>
        </w:rPr>
        <w:t xml:space="preserve">to entertain </w:t>
      </w:r>
      <w:r w:rsidRPr="00E76C20">
        <w:rPr>
          <w:rFonts w:cs="Times"/>
        </w:rPr>
        <w:t>as one of its aims or objects the establishment of a separate State within the territory of Sri Lanka</w:t>
      </w:r>
      <w:r w:rsidR="00B06CF9" w:rsidRPr="00E76C20">
        <w:rPr>
          <w:rStyle w:val="Funotenzeichen"/>
          <w:rFonts w:cs="Times"/>
        </w:rPr>
        <w:footnoteReference w:id="14"/>
      </w:r>
      <w:r w:rsidRPr="00E76C20">
        <w:rPr>
          <w:rFonts w:cs="Times"/>
        </w:rPr>
        <w:t xml:space="preserve">. </w:t>
      </w:r>
      <w:r w:rsidR="00722BCB" w:rsidRPr="00E76C20">
        <w:rPr>
          <w:rFonts w:cs="Times"/>
        </w:rPr>
        <w:t xml:space="preserve">The Supreme Court on </w:t>
      </w:r>
      <w:r w:rsidR="004F6A8C" w:rsidRPr="00E76C20">
        <w:rPr>
          <w:rFonts w:cs="Times"/>
        </w:rPr>
        <w:t xml:space="preserve">application can declare such political party or other association or </w:t>
      </w:r>
      <w:proofErr w:type="spellStart"/>
      <w:r w:rsidR="004F6A8C" w:rsidRPr="00E76C20">
        <w:rPr>
          <w:rFonts w:cs="Times"/>
        </w:rPr>
        <w:t>organisation</w:t>
      </w:r>
      <w:proofErr w:type="spellEnd"/>
      <w:r w:rsidR="004F6A8C" w:rsidRPr="00E76C20">
        <w:rPr>
          <w:rFonts w:cs="Times"/>
        </w:rPr>
        <w:t xml:space="preserve"> to be proscribed. Any person who holds office in the organization can be prosecuted and if convicted be subjected to the consequences referred to above</w:t>
      </w:r>
      <w:r w:rsidR="00B06CF9" w:rsidRPr="00E76C20">
        <w:rPr>
          <w:rStyle w:val="Funotenzeichen"/>
          <w:rFonts w:cs="Times"/>
        </w:rPr>
        <w:footnoteReference w:id="15"/>
      </w:r>
      <w:r w:rsidR="004F6A8C" w:rsidRPr="00E76C20">
        <w:rPr>
          <w:rFonts w:cs="Times"/>
        </w:rPr>
        <w:t xml:space="preserve">. </w:t>
      </w:r>
    </w:p>
    <w:p w14:paraId="53531DE5" w14:textId="4BFA8729" w:rsidR="00722BCB" w:rsidRPr="00E76C20" w:rsidRDefault="00722BCB" w:rsidP="00BD3AAA">
      <w:pPr>
        <w:widowControl w:val="0"/>
        <w:autoSpaceDE w:val="0"/>
        <w:autoSpaceDN w:val="0"/>
        <w:adjustRightInd w:val="0"/>
        <w:spacing w:after="320" w:line="276" w:lineRule="auto"/>
        <w:jc w:val="both"/>
        <w:rPr>
          <w:rFonts w:cs="Times"/>
        </w:rPr>
      </w:pPr>
      <w:r w:rsidRPr="00E76C20">
        <w:rPr>
          <w:rFonts w:cs="Times"/>
        </w:rPr>
        <w:t>All public o</w:t>
      </w:r>
      <w:r w:rsidR="00C562EF" w:rsidRPr="00E76C20">
        <w:rPr>
          <w:rFonts w:cs="Times"/>
        </w:rPr>
        <w:t>fficials and lawyers (attorneys-at-</w:t>
      </w:r>
      <w:r w:rsidRPr="00E76C20">
        <w:rPr>
          <w:rFonts w:cs="Times"/>
        </w:rPr>
        <w:t>law) are also required to take an oath not to violate the said</w:t>
      </w:r>
      <w:r w:rsidR="00C562EF" w:rsidRPr="00E76C20">
        <w:rPr>
          <w:rFonts w:cs="Times"/>
        </w:rPr>
        <w:t xml:space="preserve"> amendment and if they refuse have to</w:t>
      </w:r>
      <w:r w:rsidRPr="00E76C20">
        <w:rPr>
          <w:rFonts w:cs="Times"/>
        </w:rPr>
        <w:t xml:space="preserve"> forfeit their positions</w:t>
      </w:r>
      <w:r w:rsidR="00B06CF9" w:rsidRPr="00E76C20">
        <w:rPr>
          <w:rStyle w:val="Funotenzeichen"/>
          <w:rFonts w:cs="Times"/>
        </w:rPr>
        <w:footnoteReference w:id="16"/>
      </w:r>
      <w:r w:rsidRPr="00E76C20">
        <w:rPr>
          <w:rFonts w:cs="Times"/>
        </w:rPr>
        <w:t xml:space="preserve">. </w:t>
      </w:r>
    </w:p>
    <w:p w14:paraId="36AECB69" w14:textId="77777777" w:rsidR="00E42655" w:rsidRPr="00E76C20" w:rsidRDefault="00BD3AAA" w:rsidP="006A3EA2">
      <w:pPr>
        <w:widowControl w:val="0"/>
        <w:autoSpaceDE w:val="0"/>
        <w:autoSpaceDN w:val="0"/>
        <w:adjustRightInd w:val="0"/>
        <w:spacing w:after="320" w:line="276" w:lineRule="auto"/>
        <w:jc w:val="both"/>
        <w:outlineLvl w:val="0"/>
        <w:rPr>
          <w:rFonts w:cs="Helvetica"/>
          <w:i/>
          <w:color w:val="1D1D1D"/>
        </w:rPr>
      </w:pPr>
      <w:r w:rsidRPr="00E76C20">
        <w:rPr>
          <w:rFonts w:cs="Times"/>
          <w:i/>
        </w:rPr>
        <w:t>B.</w:t>
      </w:r>
      <w:r w:rsidR="008F1DA3" w:rsidRPr="00E76C20">
        <w:rPr>
          <w:rFonts w:cs="Times"/>
          <w:i/>
        </w:rPr>
        <w:t xml:space="preserve">2. Prevention of Terrorism </w:t>
      </w:r>
      <w:r w:rsidR="00E42655" w:rsidRPr="00E76C20">
        <w:rPr>
          <w:rFonts w:cs="Helvetica"/>
          <w:i/>
          <w:color w:val="1D1D1D"/>
        </w:rPr>
        <w:t>Prevention of Terrorism (Temporary Provisions) Act No. 48 of 1979, as amended by Act Nos. 10 of 1982 and 22 of 1988</w:t>
      </w:r>
    </w:p>
    <w:p w14:paraId="6ABE403A" w14:textId="2F561680" w:rsidR="008F1DA3" w:rsidRPr="00E76C20" w:rsidRDefault="008F1DA3" w:rsidP="00BD3AAA">
      <w:pPr>
        <w:widowControl w:val="0"/>
        <w:autoSpaceDE w:val="0"/>
        <w:autoSpaceDN w:val="0"/>
        <w:adjustRightInd w:val="0"/>
        <w:spacing w:after="320" w:line="276" w:lineRule="auto"/>
        <w:jc w:val="both"/>
        <w:rPr>
          <w:rFonts w:cs="Times"/>
        </w:rPr>
      </w:pPr>
      <w:r w:rsidRPr="00E76C20">
        <w:rPr>
          <w:rFonts w:cs="Times"/>
        </w:rPr>
        <w:t xml:space="preserve">The Act as a whole has many problematic features. </w:t>
      </w:r>
      <w:r w:rsidR="00E76C20" w:rsidRPr="00E76C20">
        <w:rPr>
          <w:rFonts w:cs="Times"/>
        </w:rPr>
        <w:t xml:space="preserve">For example </w:t>
      </w:r>
      <w:r w:rsidR="00061513" w:rsidRPr="00E76C20">
        <w:rPr>
          <w:rFonts w:cs="Times"/>
        </w:rPr>
        <w:t>Section 6 (1) provides for arrest without warrant, section 7(1) provides for detention of a person arrested</w:t>
      </w:r>
      <w:r w:rsidR="00C562EF" w:rsidRPr="00E76C20">
        <w:rPr>
          <w:rFonts w:cs="Times"/>
        </w:rPr>
        <w:t xml:space="preserve"> initially</w:t>
      </w:r>
      <w:r w:rsidR="00061513" w:rsidRPr="00E76C20">
        <w:rPr>
          <w:rFonts w:cs="Times"/>
        </w:rPr>
        <w:t xml:space="preserve"> for 72 hours</w:t>
      </w:r>
      <w:r w:rsidR="00C562EF" w:rsidRPr="00E76C20">
        <w:rPr>
          <w:rFonts w:cs="Times"/>
        </w:rPr>
        <w:t xml:space="preserve"> before producing before a magistrate</w:t>
      </w:r>
      <w:r w:rsidR="00061513" w:rsidRPr="00E76C20">
        <w:rPr>
          <w:rFonts w:cs="Times"/>
        </w:rPr>
        <w:t>, sec</w:t>
      </w:r>
      <w:r w:rsidR="00C562EF" w:rsidRPr="00E76C20">
        <w:rPr>
          <w:rFonts w:cs="Times"/>
        </w:rPr>
        <w:t>tion 9(1) provides</w:t>
      </w:r>
      <w:r w:rsidR="00061513" w:rsidRPr="00E76C20">
        <w:rPr>
          <w:rFonts w:cs="Times"/>
        </w:rPr>
        <w:t xml:space="preserve"> for detention for a period of three months extendable to eighteen months</w:t>
      </w:r>
      <w:r w:rsidR="00E76C20" w:rsidRPr="00E76C20">
        <w:rPr>
          <w:rFonts w:cs="Times"/>
        </w:rPr>
        <w:t xml:space="preserve"> and </w:t>
      </w:r>
      <w:r w:rsidR="00435391" w:rsidRPr="00E76C20">
        <w:rPr>
          <w:rFonts w:cs="Times"/>
        </w:rPr>
        <w:t>Section 16 provides for confession given to a police officer not below the rank of an Assistant Superintendent of Police as admissible evidence</w:t>
      </w:r>
      <w:r w:rsidR="00061513" w:rsidRPr="00E76C20">
        <w:rPr>
          <w:rFonts w:cs="Times"/>
        </w:rPr>
        <w:t>. Of particular concern is s</w:t>
      </w:r>
      <w:r w:rsidRPr="00E76C20">
        <w:rPr>
          <w:rFonts w:cs="Times"/>
        </w:rPr>
        <w:t xml:space="preserve">ection </w:t>
      </w:r>
      <w:r w:rsidRPr="00E76C20">
        <w:rPr>
          <w:rFonts w:cs="Arial"/>
        </w:rPr>
        <w:t xml:space="preserve">2 (1) (h) of the PTA provides that any person who by words either spoken or intended to be read or by signs or by visible representations or otherwise causes or intends to cause commission of acts of violence or religious, racial or communal disharmony or feelings of ill-will or hostility between different communities or racial or religious groups has committed an offence which per section 2(2) is liable to be punished for a minimum of seven years and a maximum of seven years. </w:t>
      </w:r>
      <w:r w:rsidR="00435391" w:rsidRPr="00E76C20">
        <w:rPr>
          <w:rFonts w:cs="Arial"/>
        </w:rPr>
        <w:t xml:space="preserve">In </w:t>
      </w:r>
      <w:proofErr w:type="spellStart"/>
      <w:r w:rsidR="00435391" w:rsidRPr="00E76C20">
        <w:rPr>
          <w:rFonts w:cs="Arial"/>
          <w:i/>
        </w:rPr>
        <w:lastRenderedPageBreak/>
        <w:t>Nallaratnam</w:t>
      </w:r>
      <w:proofErr w:type="spellEnd"/>
      <w:r w:rsidR="00435391" w:rsidRPr="00E76C20">
        <w:rPr>
          <w:rFonts w:cs="Arial"/>
          <w:i/>
        </w:rPr>
        <w:t xml:space="preserve"> </w:t>
      </w:r>
      <w:proofErr w:type="spellStart"/>
      <w:r w:rsidR="00435391" w:rsidRPr="00E76C20">
        <w:rPr>
          <w:rFonts w:cs="Arial"/>
          <w:i/>
        </w:rPr>
        <w:t>Singarasa</w:t>
      </w:r>
      <w:proofErr w:type="spellEnd"/>
      <w:r w:rsidR="00435391" w:rsidRPr="00E76C20">
        <w:rPr>
          <w:rFonts w:cs="Arial"/>
          <w:i/>
        </w:rPr>
        <w:t xml:space="preserve"> v Sri Lanka</w:t>
      </w:r>
      <w:r w:rsidR="00BB59C7" w:rsidRPr="00E76C20">
        <w:rPr>
          <w:rStyle w:val="Funotenzeichen"/>
          <w:rFonts w:cs="Arial"/>
          <w:i/>
        </w:rPr>
        <w:footnoteReference w:id="17"/>
      </w:r>
      <w:r w:rsidR="00435391" w:rsidRPr="00E76C20">
        <w:rPr>
          <w:rFonts w:cs="Arial"/>
        </w:rPr>
        <w:t xml:space="preserve"> the Human Rights Committee noted that Section </w:t>
      </w:r>
      <w:r w:rsidR="00BB59C7" w:rsidRPr="00E76C20">
        <w:rPr>
          <w:rFonts w:cs="Arial"/>
        </w:rPr>
        <w:t>16 was in violation of articles 14, paragraphs 1, 2,</w:t>
      </w:r>
      <w:r w:rsidR="009F76A5" w:rsidRPr="00E76C20">
        <w:rPr>
          <w:rFonts w:cs="Arial"/>
        </w:rPr>
        <w:t xml:space="preserve"> 3, (c), and 14, paragraph (g) </w:t>
      </w:r>
      <w:r w:rsidR="00BB59C7" w:rsidRPr="00E76C20">
        <w:rPr>
          <w:rFonts w:cs="Arial"/>
        </w:rPr>
        <w:t xml:space="preserve">of the Covenant. In </w:t>
      </w:r>
      <w:proofErr w:type="spellStart"/>
      <w:r w:rsidR="00BB59C7" w:rsidRPr="00E76C20">
        <w:rPr>
          <w:rFonts w:cs="Arial"/>
          <w:i/>
        </w:rPr>
        <w:t>Nallaratnam</w:t>
      </w:r>
      <w:proofErr w:type="spellEnd"/>
      <w:r w:rsidR="00BB59C7" w:rsidRPr="00E76C20">
        <w:rPr>
          <w:rFonts w:cs="Arial"/>
          <w:i/>
        </w:rPr>
        <w:t xml:space="preserve"> </w:t>
      </w:r>
      <w:proofErr w:type="spellStart"/>
      <w:r w:rsidR="00BB59C7" w:rsidRPr="00E76C20">
        <w:rPr>
          <w:rFonts w:cs="Arial"/>
          <w:i/>
        </w:rPr>
        <w:t>Singarasa</w:t>
      </w:r>
      <w:proofErr w:type="spellEnd"/>
      <w:r w:rsidR="00BB59C7" w:rsidRPr="00E76C20">
        <w:rPr>
          <w:rFonts w:cs="Arial"/>
          <w:i/>
        </w:rPr>
        <w:t xml:space="preserve"> v Attorney General</w:t>
      </w:r>
      <w:r w:rsidR="00BB59C7" w:rsidRPr="00E76C20">
        <w:rPr>
          <w:rStyle w:val="Funotenzeichen"/>
          <w:rFonts w:cs="Arial"/>
          <w:i/>
        </w:rPr>
        <w:footnoteReference w:id="18"/>
      </w:r>
      <w:r w:rsidR="00BB59C7" w:rsidRPr="00E76C20">
        <w:rPr>
          <w:rFonts w:cs="Arial"/>
          <w:i/>
        </w:rPr>
        <w:t xml:space="preserve"> </w:t>
      </w:r>
      <w:r w:rsidR="00BB59C7" w:rsidRPr="00E76C20">
        <w:rPr>
          <w:rFonts w:cs="Arial"/>
        </w:rPr>
        <w:t>the Supreme Court of Sri Lanka refused to reconsider its decision based on the observations of the HRC and further found</w:t>
      </w:r>
      <w:r w:rsidR="00204A3A" w:rsidRPr="00E76C20">
        <w:rPr>
          <w:rFonts w:cs="Arial"/>
        </w:rPr>
        <w:t xml:space="preserve"> that Sri Lanka’s accession to </w:t>
      </w:r>
      <w:r w:rsidR="00BB59C7" w:rsidRPr="00E76C20">
        <w:rPr>
          <w:rFonts w:cs="Arial"/>
        </w:rPr>
        <w:t xml:space="preserve">Optional Protocol 1 was </w:t>
      </w:r>
      <w:r w:rsidR="00BB59C7" w:rsidRPr="00E76C20">
        <w:rPr>
          <w:rFonts w:cs="Arial"/>
          <w:i/>
        </w:rPr>
        <w:t>contra</w:t>
      </w:r>
      <w:r w:rsidR="00BB59C7" w:rsidRPr="00E76C20">
        <w:rPr>
          <w:rFonts w:cs="Arial"/>
        </w:rPr>
        <w:t xml:space="preserve"> the Constitution of Sri Lanka. </w:t>
      </w:r>
    </w:p>
    <w:p w14:paraId="1FB2DD0B" w14:textId="77777777" w:rsidR="008F1DA3" w:rsidRPr="00E76C20" w:rsidRDefault="00BD3AAA" w:rsidP="006A3EA2">
      <w:pPr>
        <w:widowControl w:val="0"/>
        <w:autoSpaceDE w:val="0"/>
        <w:autoSpaceDN w:val="0"/>
        <w:adjustRightInd w:val="0"/>
        <w:spacing w:after="320" w:line="276" w:lineRule="auto"/>
        <w:jc w:val="both"/>
        <w:outlineLvl w:val="0"/>
        <w:rPr>
          <w:rFonts w:cs="Times"/>
          <w:b/>
        </w:rPr>
      </w:pPr>
      <w:r w:rsidRPr="00E76C20">
        <w:rPr>
          <w:rFonts w:cs="Times"/>
          <w:b/>
        </w:rPr>
        <w:t>C</w:t>
      </w:r>
      <w:r w:rsidR="00AC0FE3" w:rsidRPr="00E76C20">
        <w:rPr>
          <w:rFonts w:cs="Times"/>
          <w:b/>
        </w:rPr>
        <w:t xml:space="preserve">. </w:t>
      </w:r>
      <w:r w:rsidR="008F1DA3" w:rsidRPr="00E76C20">
        <w:rPr>
          <w:rFonts w:cs="Times"/>
          <w:b/>
        </w:rPr>
        <w:t xml:space="preserve">Background to the legislation: </w:t>
      </w:r>
    </w:p>
    <w:p w14:paraId="2BD6BF05" w14:textId="4A0533A5" w:rsidR="00D73809" w:rsidRPr="00E76C20" w:rsidRDefault="008F1DA3" w:rsidP="00BD3AAA">
      <w:pPr>
        <w:widowControl w:val="0"/>
        <w:autoSpaceDE w:val="0"/>
        <w:autoSpaceDN w:val="0"/>
        <w:adjustRightInd w:val="0"/>
        <w:spacing w:after="320" w:line="276" w:lineRule="auto"/>
        <w:jc w:val="both"/>
        <w:rPr>
          <w:rFonts w:cs="Times"/>
        </w:rPr>
      </w:pPr>
      <w:r w:rsidRPr="00E76C20">
        <w:rPr>
          <w:rFonts w:cs="Times"/>
        </w:rPr>
        <w:t xml:space="preserve">The mass violence </w:t>
      </w:r>
      <w:proofErr w:type="spellStart"/>
      <w:r w:rsidRPr="00E76C20">
        <w:rPr>
          <w:rFonts w:cs="Times"/>
        </w:rPr>
        <w:t>leashed</w:t>
      </w:r>
      <w:proofErr w:type="spellEnd"/>
      <w:r w:rsidRPr="00E76C20">
        <w:rPr>
          <w:rFonts w:cs="Times"/>
        </w:rPr>
        <w:t xml:space="preserve"> out against Tamils all over the island of Sri Lanka in July and August 1983 culminated in the enactment of the Sixth A</w:t>
      </w:r>
      <w:r w:rsidR="00D73809" w:rsidRPr="00E76C20">
        <w:rPr>
          <w:rFonts w:cs="Times"/>
        </w:rPr>
        <w:t xml:space="preserve">mendment </w:t>
      </w:r>
      <w:r w:rsidRPr="00E76C20">
        <w:rPr>
          <w:rFonts w:cs="Times"/>
        </w:rPr>
        <w:t>to the Constitution</w:t>
      </w:r>
      <w:r w:rsidR="00D73809" w:rsidRPr="00E76C20">
        <w:rPr>
          <w:rFonts w:cs="Times"/>
        </w:rPr>
        <w:t xml:space="preserve"> </w:t>
      </w:r>
      <w:r w:rsidRPr="00E76C20">
        <w:rPr>
          <w:rFonts w:cs="Times"/>
        </w:rPr>
        <w:t>certified on 08</w:t>
      </w:r>
      <w:r w:rsidR="00626C87" w:rsidRPr="00E76C20">
        <w:rPr>
          <w:rFonts w:cs="Times"/>
        </w:rPr>
        <w:t xml:space="preserve"> Augus</w:t>
      </w:r>
      <w:r w:rsidRPr="00E76C20">
        <w:rPr>
          <w:rFonts w:cs="Times"/>
        </w:rPr>
        <w:t>t 1983</w:t>
      </w:r>
      <w:r w:rsidR="00626C87" w:rsidRPr="00E76C20">
        <w:rPr>
          <w:rFonts w:cs="Times"/>
        </w:rPr>
        <w:t>. The violence was described by the International Commission of Jurists</w:t>
      </w:r>
      <w:r w:rsidRPr="00E76C20">
        <w:rPr>
          <w:rFonts w:cs="Times"/>
        </w:rPr>
        <w:t xml:space="preserve"> then</w:t>
      </w:r>
      <w:r w:rsidR="00626C87" w:rsidRPr="00E76C20">
        <w:rPr>
          <w:rFonts w:cs="Times"/>
        </w:rPr>
        <w:t xml:space="preserve"> as amounting to acts of genocide.</w:t>
      </w:r>
      <w:r w:rsidR="00626C87" w:rsidRPr="00E76C20">
        <w:rPr>
          <w:rStyle w:val="Funotenzeichen"/>
          <w:rFonts w:cs="Times"/>
        </w:rPr>
        <w:footnoteReference w:id="19"/>
      </w:r>
      <w:r w:rsidR="00626C87" w:rsidRPr="00E76C20">
        <w:rPr>
          <w:rFonts w:cs="Times"/>
        </w:rPr>
        <w:t xml:space="preserve"> </w:t>
      </w:r>
      <w:r w:rsidR="00695460" w:rsidRPr="00E76C20">
        <w:rPr>
          <w:rFonts w:cs="Times"/>
        </w:rPr>
        <w:t>The immediate objective of the</w:t>
      </w:r>
      <w:r w:rsidRPr="00E76C20">
        <w:rPr>
          <w:rFonts w:cs="Times"/>
        </w:rPr>
        <w:t xml:space="preserve"> Sixth A</w:t>
      </w:r>
      <w:r w:rsidR="00695460" w:rsidRPr="00E76C20">
        <w:rPr>
          <w:rFonts w:cs="Times"/>
        </w:rPr>
        <w:t xml:space="preserve">mendment was to disseat the 16 Members of Parliament of the Tamil United Liberation Front who were elected on a separatist manifesto in 1976 that called for the establishment of a separate state for the Tamils in the island. </w:t>
      </w:r>
      <w:r w:rsidRPr="00E76C20">
        <w:rPr>
          <w:rFonts w:cs="Times"/>
        </w:rPr>
        <w:t xml:space="preserve"> The idea of the amendment was mooted by President JR. </w:t>
      </w:r>
      <w:proofErr w:type="spellStart"/>
      <w:r w:rsidRPr="00E76C20">
        <w:rPr>
          <w:rFonts w:cs="Times"/>
        </w:rPr>
        <w:t>Jayawardena</w:t>
      </w:r>
      <w:proofErr w:type="spellEnd"/>
      <w:r w:rsidR="00555B64">
        <w:rPr>
          <w:rFonts w:cs="Times"/>
        </w:rPr>
        <w:t>,</w:t>
      </w:r>
      <w:r w:rsidRPr="00E76C20">
        <w:rPr>
          <w:rFonts w:cs="Times"/>
        </w:rPr>
        <w:t xml:space="preserve"> in an address to the nation</w:t>
      </w:r>
      <w:r w:rsidR="00D2490F" w:rsidRPr="00E76C20">
        <w:rPr>
          <w:rFonts w:cs="Times"/>
        </w:rPr>
        <w:t xml:space="preserve"> on 28 July 1983</w:t>
      </w:r>
      <w:r w:rsidRPr="00E76C20">
        <w:rPr>
          <w:rFonts w:cs="Times"/>
        </w:rPr>
        <w:t xml:space="preserve"> in which he made no reference to the genocidal acts perpetrated by </w:t>
      </w:r>
      <w:r w:rsidR="00E42655" w:rsidRPr="00E76C20">
        <w:rPr>
          <w:rFonts w:cs="Times"/>
        </w:rPr>
        <w:t xml:space="preserve">the Sinhala majority community supported by his Government. </w:t>
      </w:r>
    </w:p>
    <w:p w14:paraId="686AFC5B" w14:textId="77777777" w:rsidR="00AC0FE3" w:rsidRPr="00E76C20" w:rsidRDefault="00AC0FE3" w:rsidP="00BD3AAA">
      <w:pPr>
        <w:widowControl w:val="0"/>
        <w:autoSpaceDE w:val="0"/>
        <w:autoSpaceDN w:val="0"/>
        <w:adjustRightInd w:val="0"/>
        <w:spacing w:after="320" w:line="276" w:lineRule="auto"/>
        <w:jc w:val="both"/>
        <w:rPr>
          <w:rFonts w:cs="Times"/>
        </w:rPr>
      </w:pPr>
      <w:r w:rsidRPr="00E76C20">
        <w:rPr>
          <w:rFonts w:cs="Helvetica"/>
          <w:color w:val="1D1D1D"/>
        </w:rPr>
        <w:t>The Prevention of Terrorism Act</w:t>
      </w:r>
      <w:r w:rsidR="00E42655" w:rsidRPr="00E76C20">
        <w:rPr>
          <w:rFonts w:cs="Helvetica"/>
          <w:color w:val="1D1D1D"/>
        </w:rPr>
        <w:t xml:space="preserve"> was enacted in 1979 as a temporary measure, as an aspect of the then government’s military strategy in dealing with the early stages of the </w:t>
      </w:r>
      <w:r w:rsidRPr="00E76C20">
        <w:rPr>
          <w:rFonts w:cs="Helvetica"/>
          <w:color w:val="1D1D1D"/>
        </w:rPr>
        <w:t xml:space="preserve">Tamil militant movement and more broadly as a political strategy to contain and narrow down the political space for the Tamil </w:t>
      </w:r>
      <w:proofErr w:type="spellStart"/>
      <w:r w:rsidRPr="00E76C20">
        <w:rPr>
          <w:rFonts w:cs="Helvetica"/>
          <w:color w:val="1D1D1D"/>
        </w:rPr>
        <w:t>self determination</w:t>
      </w:r>
      <w:proofErr w:type="spellEnd"/>
      <w:r w:rsidRPr="00E76C20">
        <w:rPr>
          <w:rFonts w:cs="Helvetica"/>
          <w:color w:val="1D1D1D"/>
        </w:rPr>
        <w:t xml:space="preserve"> </w:t>
      </w:r>
      <w:proofErr w:type="gramStart"/>
      <w:r w:rsidRPr="00E76C20">
        <w:rPr>
          <w:rFonts w:cs="Helvetica"/>
          <w:color w:val="1D1D1D"/>
        </w:rPr>
        <w:t xml:space="preserve">movement </w:t>
      </w:r>
      <w:r w:rsidR="00E42655" w:rsidRPr="00E76C20">
        <w:rPr>
          <w:rFonts w:cs="Helvetica"/>
          <w:color w:val="1D1D1D"/>
        </w:rPr>
        <w:t>.</w:t>
      </w:r>
      <w:proofErr w:type="gramEnd"/>
      <w:r w:rsidR="00E42655" w:rsidRPr="00E76C20">
        <w:rPr>
          <w:rFonts w:cs="Helvetica"/>
          <w:color w:val="1D1D1D"/>
        </w:rPr>
        <w:t xml:space="preserve"> </w:t>
      </w:r>
      <w:r w:rsidRPr="00E76C20">
        <w:rPr>
          <w:rFonts w:cs="Helvetica"/>
          <w:color w:val="1D1D1D"/>
        </w:rPr>
        <w:t xml:space="preserve">The sun set clause - </w:t>
      </w:r>
      <w:r w:rsidR="00E42655" w:rsidRPr="00E76C20">
        <w:rPr>
          <w:rFonts w:cs="Helvetica"/>
          <w:color w:val="1D1D1D"/>
        </w:rPr>
        <w:t>Section 29 of the original enactment expressly provided that it would be in force only for a period of three years, but this was repealed by the Prevention of Terrorism (Temporary Provisions) Amendment Act No. 10 of 1982, making the PTA a permanent measure, although incongruously, the short title of the Act continues to contain the words ‘temporary provisions.’</w:t>
      </w:r>
    </w:p>
    <w:p w14:paraId="6B600B38" w14:textId="77777777" w:rsidR="006240E0" w:rsidRPr="00E76C20" w:rsidRDefault="00BD3AAA" w:rsidP="006A3EA2">
      <w:pPr>
        <w:widowControl w:val="0"/>
        <w:autoSpaceDE w:val="0"/>
        <w:autoSpaceDN w:val="0"/>
        <w:adjustRightInd w:val="0"/>
        <w:spacing w:after="320" w:line="276" w:lineRule="auto"/>
        <w:jc w:val="both"/>
        <w:outlineLvl w:val="0"/>
        <w:rPr>
          <w:rFonts w:cs="Times"/>
          <w:b/>
        </w:rPr>
      </w:pPr>
      <w:r w:rsidRPr="00E76C20">
        <w:rPr>
          <w:rFonts w:cs="Times"/>
          <w:b/>
        </w:rPr>
        <w:t>D</w:t>
      </w:r>
      <w:r w:rsidR="006240E0" w:rsidRPr="00E76C20">
        <w:rPr>
          <w:rFonts w:cs="Times"/>
          <w:b/>
        </w:rPr>
        <w:t>. The International Legal Framework</w:t>
      </w:r>
    </w:p>
    <w:p w14:paraId="5E9B4D37" w14:textId="77777777" w:rsidR="00A84B69" w:rsidRPr="00E76C20" w:rsidRDefault="00A84B69" w:rsidP="00BD3AAA">
      <w:pPr>
        <w:widowControl w:val="0"/>
        <w:autoSpaceDE w:val="0"/>
        <w:autoSpaceDN w:val="0"/>
        <w:adjustRightInd w:val="0"/>
        <w:spacing w:after="320" w:line="276" w:lineRule="auto"/>
        <w:jc w:val="both"/>
        <w:rPr>
          <w:rFonts w:cs="Times New Roman"/>
          <w:color w:val="000000"/>
        </w:rPr>
      </w:pPr>
      <w:r w:rsidRPr="00E76C20">
        <w:rPr>
          <w:rFonts w:cs="Times New Roman"/>
          <w:color w:val="000000"/>
        </w:rPr>
        <w:t xml:space="preserve">The principles of law as found relevant to this submission as discerned from authoritative commentary on the ICCPR, case law of regional human rights courts </w:t>
      </w:r>
      <w:r w:rsidRPr="00E76C20">
        <w:rPr>
          <w:rFonts w:cs="Times New Roman"/>
          <w:color w:val="000000"/>
        </w:rPr>
        <w:lastRenderedPageBreak/>
        <w:t xml:space="preserve">and national courts </w:t>
      </w:r>
      <w:r w:rsidR="00BD3AAA" w:rsidRPr="00E76C20">
        <w:rPr>
          <w:rFonts w:cs="Times New Roman"/>
          <w:color w:val="000000"/>
        </w:rPr>
        <w:t>in brief are</w:t>
      </w:r>
      <w:r w:rsidRPr="00E76C20">
        <w:rPr>
          <w:rFonts w:cs="Times New Roman"/>
          <w:color w:val="000000"/>
        </w:rPr>
        <w:t xml:space="preserve"> as follows: </w:t>
      </w:r>
    </w:p>
    <w:p w14:paraId="4A864A52" w14:textId="608B0829" w:rsidR="00D71D20" w:rsidRPr="00D71D20" w:rsidRDefault="00A84B69" w:rsidP="00D71D20">
      <w:pPr>
        <w:pStyle w:val="Listenabsatz"/>
        <w:widowControl w:val="0"/>
        <w:numPr>
          <w:ilvl w:val="0"/>
          <w:numId w:val="12"/>
        </w:numPr>
        <w:autoSpaceDE w:val="0"/>
        <w:autoSpaceDN w:val="0"/>
        <w:adjustRightInd w:val="0"/>
        <w:spacing w:after="320" w:line="276" w:lineRule="auto"/>
        <w:jc w:val="both"/>
        <w:rPr>
          <w:rFonts w:cs="Times New Roman"/>
          <w:color w:val="000000"/>
        </w:rPr>
      </w:pPr>
      <w:r w:rsidRPr="00D71D20">
        <w:rPr>
          <w:rFonts w:cs="Times"/>
        </w:rPr>
        <w:t xml:space="preserve">In General Comment 12, commenting on paragraph 1 of article 1, the CCPR noted that States parties should describe the constitutional and political processes which in practice allow the exercise of this right and noted that a mere description of election laws are not sufficient. This submission addresses a serious constitutional, legal and political obstacle to the exercise of the right to </w:t>
      </w:r>
      <w:r w:rsidR="00DB2668" w:rsidRPr="00D71D20">
        <w:rPr>
          <w:rFonts w:cs="Times"/>
        </w:rPr>
        <w:t>self-determination</w:t>
      </w:r>
      <w:r w:rsidRPr="00D71D20">
        <w:rPr>
          <w:rFonts w:cs="Times"/>
        </w:rPr>
        <w:t xml:space="preserve"> of the Tamil people in the island of Sri Lanka. </w:t>
      </w:r>
    </w:p>
    <w:p w14:paraId="50C4F053" w14:textId="77777777" w:rsidR="00D71D20" w:rsidRDefault="00D71D20" w:rsidP="00D71D20">
      <w:pPr>
        <w:pStyle w:val="Listenabsatz"/>
        <w:widowControl w:val="0"/>
        <w:autoSpaceDE w:val="0"/>
        <w:autoSpaceDN w:val="0"/>
        <w:adjustRightInd w:val="0"/>
        <w:spacing w:after="320" w:line="276" w:lineRule="auto"/>
        <w:jc w:val="both"/>
        <w:rPr>
          <w:rFonts w:cs="Times New Roman"/>
          <w:color w:val="000000"/>
        </w:rPr>
      </w:pPr>
    </w:p>
    <w:p w14:paraId="23249331" w14:textId="11E188B2" w:rsidR="00D71D20" w:rsidRPr="00D71D20" w:rsidRDefault="006240E0" w:rsidP="00D71D20">
      <w:pPr>
        <w:pStyle w:val="Listenabsatz"/>
        <w:widowControl w:val="0"/>
        <w:numPr>
          <w:ilvl w:val="0"/>
          <w:numId w:val="12"/>
        </w:numPr>
        <w:autoSpaceDE w:val="0"/>
        <w:autoSpaceDN w:val="0"/>
        <w:adjustRightInd w:val="0"/>
        <w:spacing w:after="320" w:line="276" w:lineRule="auto"/>
        <w:jc w:val="both"/>
        <w:rPr>
          <w:rFonts w:cs="Times New Roman"/>
          <w:color w:val="000000"/>
        </w:rPr>
      </w:pPr>
      <w:r w:rsidRPr="00D71D20">
        <w:rPr>
          <w:rFonts w:cs="Times New Roman"/>
          <w:color w:val="000000"/>
        </w:rPr>
        <w:t>In General Comment 11, commenting on article 20, pa</w:t>
      </w:r>
      <w:r w:rsidR="006A3EA2" w:rsidRPr="00D71D20">
        <w:rPr>
          <w:rFonts w:cs="Times New Roman"/>
          <w:color w:val="000000"/>
        </w:rPr>
        <w:t>ragraph 1 of the ICCPR, the HRC</w:t>
      </w:r>
      <w:r w:rsidRPr="00D71D20">
        <w:rPr>
          <w:rFonts w:cs="Times New Roman"/>
          <w:color w:val="000000"/>
        </w:rPr>
        <w:t xml:space="preserve"> has noted that the prohibition of propaganda of war contained in the said article should not be read to prohibit the right of peoples to self-determination and independence in accordance with the Charter of the United Nations</w:t>
      </w:r>
      <w:r w:rsidR="00C7202B" w:rsidRPr="00E76C20">
        <w:rPr>
          <w:rStyle w:val="Funotenzeichen"/>
          <w:rFonts w:cs="Times New Roman"/>
          <w:color w:val="000000"/>
        </w:rPr>
        <w:footnoteReference w:id="20"/>
      </w:r>
      <w:r w:rsidRPr="00D71D20">
        <w:rPr>
          <w:rFonts w:cs="Times New Roman"/>
          <w:color w:val="000000"/>
        </w:rPr>
        <w:t>.</w:t>
      </w:r>
    </w:p>
    <w:p w14:paraId="2E447B6B" w14:textId="77777777" w:rsidR="00D71D20" w:rsidRPr="00D71D20" w:rsidRDefault="00D71D20" w:rsidP="00D71D20">
      <w:pPr>
        <w:pStyle w:val="Listenabsatz"/>
        <w:widowControl w:val="0"/>
        <w:autoSpaceDE w:val="0"/>
        <w:autoSpaceDN w:val="0"/>
        <w:adjustRightInd w:val="0"/>
        <w:spacing w:after="320" w:line="276" w:lineRule="auto"/>
        <w:jc w:val="both"/>
        <w:rPr>
          <w:rFonts w:cs="Times"/>
          <w:color w:val="000000"/>
        </w:rPr>
      </w:pPr>
    </w:p>
    <w:p w14:paraId="48D09ACD" w14:textId="77777777" w:rsidR="00C7202B" w:rsidRPr="00D71D20" w:rsidRDefault="00972E51" w:rsidP="00D71D20">
      <w:pPr>
        <w:pStyle w:val="Listenabsatz"/>
        <w:widowControl w:val="0"/>
        <w:numPr>
          <w:ilvl w:val="0"/>
          <w:numId w:val="12"/>
        </w:numPr>
        <w:autoSpaceDE w:val="0"/>
        <w:autoSpaceDN w:val="0"/>
        <w:adjustRightInd w:val="0"/>
        <w:spacing w:after="320" w:line="276" w:lineRule="auto"/>
        <w:jc w:val="both"/>
        <w:rPr>
          <w:rFonts w:cs="Times"/>
          <w:color w:val="000000"/>
        </w:rPr>
      </w:pPr>
      <w:r w:rsidRPr="00D71D20">
        <w:rPr>
          <w:rFonts w:cs="Times"/>
          <w:iCs/>
          <w:color w:val="000000"/>
        </w:rPr>
        <w:t>In</w:t>
      </w:r>
      <w:r w:rsidR="00A84B69" w:rsidRPr="00D71D20">
        <w:rPr>
          <w:rFonts w:cs="Times"/>
          <w:i/>
          <w:iCs/>
          <w:color w:val="000000"/>
        </w:rPr>
        <w:t xml:space="preserve"> </w:t>
      </w:r>
      <w:r w:rsidR="00C7202B" w:rsidRPr="00D71D20">
        <w:rPr>
          <w:rFonts w:cs="Times"/>
          <w:i/>
          <w:iCs/>
          <w:color w:val="000000"/>
        </w:rPr>
        <w:t xml:space="preserve">Brandenburg v. Ohio, </w:t>
      </w:r>
      <w:r w:rsidR="00C7202B" w:rsidRPr="00D71D20">
        <w:rPr>
          <w:rFonts w:cs="Times"/>
          <w:iCs/>
          <w:color w:val="000000"/>
        </w:rPr>
        <w:t>the US Supreme Court on the advocacy of the use of force</w:t>
      </w:r>
      <w:r w:rsidR="00A84B69" w:rsidRPr="00D71D20">
        <w:rPr>
          <w:rFonts w:cs="Times"/>
          <w:iCs/>
          <w:color w:val="000000"/>
        </w:rPr>
        <w:t xml:space="preserve"> stated that</w:t>
      </w:r>
      <w:r w:rsidR="00C7202B" w:rsidRPr="00D71D20">
        <w:rPr>
          <w:rFonts w:cs="Times"/>
          <w:color w:val="000000"/>
        </w:rPr>
        <w:t xml:space="preserve"> “</w:t>
      </w:r>
      <w:r w:rsidR="00C7202B" w:rsidRPr="00D71D20">
        <w:rPr>
          <w:rFonts w:cs="Times"/>
          <w:iCs/>
          <w:color w:val="000000"/>
        </w:rPr>
        <w:t xml:space="preserve">the constitutional guarantees of free speech and free press do not permit a State to forbid or proscribe advocacy of the use of force or of law violation except where such advocacy is directed to inciting or producing imminent lawless action and is likely to incite or produce such action </w:t>
      </w:r>
      <w:r w:rsidR="00C7202B" w:rsidRPr="00D71D20">
        <w:rPr>
          <w:rFonts w:cs="Times"/>
          <w:color w:val="000000"/>
        </w:rPr>
        <w:t>[...]</w:t>
      </w:r>
      <w:r w:rsidR="00C7202B" w:rsidRPr="00E76C20">
        <w:rPr>
          <w:rStyle w:val="Funotenzeichen"/>
          <w:rFonts w:cs="Times"/>
          <w:color w:val="000000"/>
        </w:rPr>
        <w:footnoteReference w:id="21"/>
      </w:r>
      <w:r w:rsidR="00C7202B" w:rsidRPr="00D71D20">
        <w:rPr>
          <w:rFonts w:cs="Times"/>
          <w:color w:val="000000"/>
        </w:rPr>
        <w:t xml:space="preserve">. </w:t>
      </w:r>
    </w:p>
    <w:p w14:paraId="143F747E" w14:textId="77777777" w:rsidR="00D71D20" w:rsidRDefault="00D71D20" w:rsidP="00D71D20">
      <w:pPr>
        <w:pStyle w:val="Listenabsatz"/>
        <w:widowControl w:val="0"/>
        <w:autoSpaceDE w:val="0"/>
        <w:autoSpaceDN w:val="0"/>
        <w:adjustRightInd w:val="0"/>
        <w:spacing w:after="320" w:line="276" w:lineRule="auto"/>
        <w:jc w:val="both"/>
        <w:rPr>
          <w:rFonts w:cs="Times"/>
          <w:color w:val="000000"/>
        </w:rPr>
      </w:pPr>
    </w:p>
    <w:p w14:paraId="05CF8451" w14:textId="77777777" w:rsidR="00C7202B" w:rsidRPr="00D71D20" w:rsidRDefault="00C7202B" w:rsidP="00D71D20">
      <w:pPr>
        <w:pStyle w:val="Listenabsatz"/>
        <w:widowControl w:val="0"/>
        <w:numPr>
          <w:ilvl w:val="0"/>
          <w:numId w:val="12"/>
        </w:numPr>
        <w:autoSpaceDE w:val="0"/>
        <w:autoSpaceDN w:val="0"/>
        <w:adjustRightInd w:val="0"/>
        <w:spacing w:after="320" w:line="276" w:lineRule="auto"/>
        <w:jc w:val="both"/>
        <w:rPr>
          <w:rFonts w:cs="Times"/>
          <w:color w:val="000000"/>
        </w:rPr>
      </w:pPr>
      <w:r w:rsidRPr="00D71D20">
        <w:rPr>
          <w:rFonts w:cs="Times"/>
          <w:color w:val="000000"/>
        </w:rPr>
        <w:t xml:space="preserve">The European Court of Human Rights in </w:t>
      </w:r>
      <w:r w:rsidRPr="00D71D20">
        <w:rPr>
          <w:rFonts w:cs="Times"/>
          <w:i/>
          <w:color w:val="000000"/>
        </w:rPr>
        <w:t>Sunday Times v UK</w:t>
      </w:r>
      <w:r w:rsidRPr="00E76C20">
        <w:rPr>
          <w:rStyle w:val="Funotenzeichen"/>
          <w:rFonts w:cs="Times"/>
          <w:color w:val="000000"/>
        </w:rPr>
        <w:footnoteReference w:id="22"/>
      </w:r>
      <w:r w:rsidRPr="00D71D20">
        <w:rPr>
          <w:rFonts w:cs="Times"/>
          <w:color w:val="000000"/>
        </w:rPr>
        <w:t xml:space="preserve"> on the need for law to be sufficiently precise, “[...] </w:t>
      </w:r>
      <w:r w:rsidRPr="00D71D20">
        <w:rPr>
          <w:rFonts w:cs="Times"/>
          <w:i/>
          <w:iCs/>
          <w:color w:val="000000"/>
        </w:rPr>
        <w:t>the law must be adequately accessible: the citizen must be able to have an indication that is adequate in the circumstances of the legal rules applicable to a given case. Secondly, a norm cannot be regarded as a ‘law’ unless it is formulated with sufficient precision to enable the citizen to regulate his conduct: he must be able - if need be with appropriate advice - to foresee, to a degree that is reasonable in the circumstances, the consequences which a given action may entail</w:t>
      </w:r>
      <w:r w:rsidRPr="00D71D20">
        <w:rPr>
          <w:rFonts w:cs="Times"/>
          <w:color w:val="000000"/>
        </w:rPr>
        <w:t>.”</w:t>
      </w:r>
    </w:p>
    <w:p w14:paraId="6164B739" w14:textId="77777777" w:rsidR="00D71D20" w:rsidRPr="00D71D20" w:rsidRDefault="00D71D20" w:rsidP="00D71D20">
      <w:pPr>
        <w:pStyle w:val="Listenabsatz"/>
        <w:widowControl w:val="0"/>
        <w:autoSpaceDE w:val="0"/>
        <w:autoSpaceDN w:val="0"/>
        <w:adjustRightInd w:val="0"/>
        <w:spacing w:after="320" w:line="276" w:lineRule="auto"/>
        <w:jc w:val="both"/>
        <w:rPr>
          <w:rFonts w:cs="Verdana"/>
          <w:color w:val="171717"/>
        </w:rPr>
      </w:pPr>
    </w:p>
    <w:p w14:paraId="0513C2BD" w14:textId="77777777" w:rsidR="00A84B69" w:rsidRPr="00D71D20" w:rsidRDefault="00A84B69" w:rsidP="00D71D20">
      <w:pPr>
        <w:pStyle w:val="Listenabsatz"/>
        <w:widowControl w:val="0"/>
        <w:numPr>
          <w:ilvl w:val="0"/>
          <w:numId w:val="12"/>
        </w:numPr>
        <w:autoSpaceDE w:val="0"/>
        <w:autoSpaceDN w:val="0"/>
        <w:adjustRightInd w:val="0"/>
        <w:spacing w:after="320" w:line="276" w:lineRule="auto"/>
        <w:jc w:val="both"/>
        <w:rPr>
          <w:rFonts w:cs="Verdana"/>
          <w:color w:val="171717"/>
        </w:rPr>
      </w:pPr>
      <w:r w:rsidRPr="00D71D20">
        <w:rPr>
          <w:rFonts w:cs="Times"/>
        </w:rPr>
        <w:t xml:space="preserve">In </w:t>
      </w:r>
      <w:proofErr w:type="spellStart"/>
      <w:r w:rsidRPr="00D71D20">
        <w:rPr>
          <w:rFonts w:cs="Times"/>
          <w:i/>
        </w:rPr>
        <w:t>Seren</w:t>
      </w:r>
      <w:proofErr w:type="spellEnd"/>
      <w:r w:rsidRPr="00D71D20">
        <w:rPr>
          <w:rFonts w:cs="Times"/>
          <w:i/>
        </w:rPr>
        <w:t xml:space="preserve"> v Turkey</w:t>
      </w:r>
      <w:r w:rsidRPr="00E76C20">
        <w:rPr>
          <w:rStyle w:val="Funotenzeichen"/>
          <w:rFonts w:cs="Times"/>
        </w:rPr>
        <w:footnoteReference w:id="23"/>
      </w:r>
      <w:r w:rsidRPr="00D71D20">
        <w:rPr>
          <w:rFonts w:cs="Times"/>
        </w:rPr>
        <w:t xml:space="preserve"> the </w:t>
      </w:r>
      <w:proofErr w:type="spellStart"/>
      <w:r w:rsidRPr="00D71D20">
        <w:rPr>
          <w:rFonts w:cs="Times"/>
        </w:rPr>
        <w:t>Europen</w:t>
      </w:r>
      <w:proofErr w:type="spellEnd"/>
      <w:r w:rsidRPr="00D71D20">
        <w:rPr>
          <w:rFonts w:cs="Times"/>
        </w:rPr>
        <w:t xml:space="preserve"> Court of Human Rights held that Turkey’s criminal prosecution of a </w:t>
      </w:r>
      <w:proofErr w:type="spellStart"/>
      <w:r w:rsidRPr="00D71D20">
        <w:rPr>
          <w:rFonts w:cs="Times"/>
        </w:rPr>
        <w:t>Kurdist</w:t>
      </w:r>
      <w:proofErr w:type="spellEnd"/>
      <w:r w:rsidRPr="00D71D20">
        <w:rPr>
          <w:rFonts w:cs="Times"/>
        </w:rPr>
        <w:t xml:space="preserve"> activist for </w:t>
      </w:r>
      <w:r w:rsidRPr="00D71D20">
        <w:rPr>
          <w:rFonts w:cs="Verdana"/>
          <w:color w:val="171717"/>
        </w:rPr>
        <w:t xml:space="preserve">disseminating material that referred to a part of Turkey as "Kurdistan" in his material violated the freedom of expression guaranteed by Article 10(2) of the European </w:t>
      </w:r>
      <w:r w:rsidRPr="00D71D20">
        <w:rPr>
          <w:rFonts w:cs="Verdana"/>
          <w:color w:val="171717"/>
        </w:rPr>
        <w:lastRenderedPageBreak/>
        <w:t xml:space="preserve">Convention on Human Rights. The particular provision of the law relied upon was </w:t>
      </w:r>
      <w:r w:rsidRPr="00D71D20">
        <w:rPr>
          <w:rFonts w:cs="Arial"/>
        </w:rPr>
        <w:t>Section 8</w:t>
      </w:r>
      <w:r w:rsidRPr="00D71D20">
        <w:rPr>
          <w:rFonts w:cs="Arial"/>
          <w:b/>
          <w:bCs/>
        </w:rPr>
        <w:t xml:space="preserve"> </w:t>
      </w:r>
      <w:r w:rsidRPr="00D71D20">
        <w:rPr>
          <w:rFonts w:cs="Arial"/>
        </w:rPr>
        <w:t xml:space="preserve">of the Prevention of Terrorism Act 1991 (Law no. 3713 of 12 April 1991) that </w:t>
      </w:r>
      <w:proofErr w:type="spellStart"/>
      <w:r w:rsidRPr="00D71D20">
        <w:rPr>
          <w:rFonts w:cs="Arial"/>
        </w:rPr>
        <w:t>criminalised</w:t>
      </w:r>
      <w:proofErr w:type="spellEnd"/>
      <w:r w:rsidRPr="00D71D20">
        <w:rPr>
          <w:rFonts w:cs="Arial"/>
        </w:rPr>
        <w:t xml:space="preserve"> the ‘undermining the territorial integrity of the Republic of Turkey or the indivisible unity of the nation through written and spoken propaganda, meetings, assemblies and demonstrations, irrespective of the methods used and the intention’. </w:t>
      </w:r>
      <w:r w:rsidRPr="00D71D20">
        <w:rPr>
          <w:rFonts w:cs="Verdana"/>
          <w:color w:val="171717"/>
        </w:rPr>
        <w:t xml:space="preserve">The court held that the domestic authorities failed to give sufficient weight to the public's right to be informed of a different perspective of the situation in Southeastern Turkey, irrespective of how unpalatable that perspective might be for them. </w:t>
      </w:r>
    </w:p>
    <w:p w14:paraId="6FD60169" w14:textId="77777777" w:rsidR="00D71D20" w:rsidRPr="00D71D20" w:rsidRDefault="00D71D20" w:rsidP="00D71D20">
      <w:pPr>
        <w:pStyle w:val="Listenabsatz"/>
        <w:widowControl w:val="0"/>
        <w:autoSpaceDE w:val="0"/>
        <w:autoSpaceDN w:val="0"/>
        <w:adjustRightInd w:val="0"/>
        <w:spacing w:after="320" w:line="276" w:lineRule="auto"/>
        <w:jc w:val="both"/>
        <w:rPr>
          <w:rFonts w:cs="Times"/>
        </w:rPr>
      </w:pPr>
    </w:p>
    <w:p w14:paraId="62227FAF" w14:textId="77777777" w:rsidR="00613CEB" w:rsidRPr="00D71D20" w:rsidRDefault="00A86D22" w:rsidP="00D71D20">
      <w:pPr>
        <w:pStyle w:val="Listenabsatz"/>
        <w:widowControl w:val="0"/>
        <w:numPr>
          <w:ilvl w:val="0"/>
          <w:numId w:val="12"/>
        </w:numPr>
        <w:autoSpaceDE w:val="0"/>
        <w:autoSpaceDN w:val="0"/>
        <w:adjustRightInd w:val="0"/>
        <w:spacing w:after="320" w:line="276" w:lineRule="auto"/>
        <w:jc w:val="both"/>
        <w:rPr>
          <w:rFonts w:cs="Times"/>
        </w:rPr>
      </w:pPr>
      <w:r w:rsidRPr="00D71D20">
        <w:rPr>
          <w:rFonts w:cs="Arial"/>
        </w:rPr>
        <w:t>The case of</w:t>
      </w:r>
      <w:r w:rsidRPr="00D71D20">
        <w:rPr>
          <w:rFonts w:cs="Arial"/>
          <w:i/>
        </w:rPr>
        <w:t xml:space="preserve"> </w:t>
      </w:r>
      <w:proofErr w:type="spellStart"/>
      <w:r w:rsidRPr="00D71D20">
        <w:rPr>
          <w:rFonts w:cs="Arial"/>
          <w:i/>
        </w:rPr>
        <w:t>Nallaratnam</w:t>
      </w:r>
      <w:proofErr w:type="spellEnd"/>
      <w:r w:rsidRPr="00D71D20">
        <w:rPr>
          <w:rFonts w:cs="Arial"/>
          <w:i/>
        </w:rPr>
        <w:t xml:space="preserve"> </w:t>
      </w:r>
      <w:proofErr w:type="spellStart"/>
      <w:r w:rsidRPr="00D71D20">
        <w:rPr>
          <w:rFonts w:cs="Arial"/>
          <w:i/>
        </w:rPr>
        <w:t>Singarasa</w:t>
      </w:r>
      <w:proofErr w:type="spellEnd"/>
      <w:r w:rsidRPr="00D71D20">
        <w:rPr>
          <w:rFonts w:cs="Arial"/>
          <w:i/>
        </w:rPr>
        <w:t xml:space="preserve"> v Sri Lanka</w:t>
      </w:r>
      <w:r w:rsidRPr="00E76C20">
        <w:rPr>
          <w:rStyle w:val="Funotenzeichen"/>
          <w:rFonts w:cs="Arial"/>
          <w:i/>
        </w:rPr>
        <w:footnoteReference w:id="24"/>
      </w:r>
      <w:r w:rsidRPr="00D71D20">
        <w:rPr>
          <w:rFonts w:cs="Arial"/>
        </w:rPr>
        <w:t xml:space="preserve"> has already been referred to wherein, the Human Rights Committee noted that Section 16 of the Prevention of Terrorism Act was in violation of articles 14, paragraphs 1, 2, 3, (c), and 14, paragraph (g) of the ICCPR.</w:t>
      </w:r>
    </w:p>
    <w:p w14:paraId="60895129" w14:textId="77777777" w:rsidR="00AC0FE3" w:rsidRPr="00E76C20" w:rsidRDefault="00BD3AAA" w:rsidP="006A3EA2">
      <w:pPr>
        <w:widowControl w:val="0"/>
        <w:autoSpaceDE w:val="0"/>
        <w:autoSpaceDN w:val="0"/>
        <w:adjustRightInd w:val="0"/>
        <w:spacing w:after="320" w:line="276" w:lineRule="auto"/>
        <w:jc w:val="both"/>
        <w:outlineLvl w:val="0"/>
        <w:rPr>
          <w:rFonts w:cs="Times"/>
        </w:rPr>
      </w:pPr>
      <w:r w:rsidRPr="00E76C20">
        <w:rPr>
          <w:rFonts w:cs="Times"/>
          <w:b/>
        </w:rPr>
        <w:t xml:space="preserve">E. </w:t>
      </w:r>
      <w:r w:rsidR="00077A6C" w:rsidRPr="00E76C20">
        <w:rPr>
          <w:rFonts w:cs="Times"/>
          <w:b/>
        </w:rPr>
        <w:t xml:space="preserve">The </w:t>
      </w:r>
      <w:r w:rsidR="00AC0FE3" w:rsidRPr="00E76C20">
        <w:rPr>
          <w:rFonts w:cs="Times"/>
          <w:b/>
        </w:rPr>
        <w:t xml:space="preserve">inconsistency with Article 1 and Article 19 of the ICCPR: </w:t>
      </w:r>
    </w:p>
    <w:p w14:paraId="0EFB8403" w14:textId="77777777" w:rsidR="00613CEB" w:rsidRPr="00E76C20" w:rsidRDefault="00BD3AAA" w:rsidP="006A3EA2">
      <w:pPr>
        <w:widowControl w:val="0"/>
        <w:autoSpaceDE w:val="0"/>
        <w:autoSpaceDN w:val="0"/>
        <w:adjustRightInd w:val="0"/>
        <w:spacing w:after="320" w:line="276" w:lineRule="auto"/>
        <w:jc w:val="both"/>
        <w:outlineLvl w:val="0"/>
        <w:rPr>
          <w:rFonts w:cs="Times"/>
          <w:i/>
        </w:rPr>
      </w:pPr>
      <w:r w:rsidRPr="00E76C20">
        <w:rPr>
          <w:rFonts w:cs="Times"/>
          <w:i/>
        </w:rPr>
        <w:t xml:space="preserve">E.1. </w:t>
      </w:r>
      <w:r w:rsidR="00613CEB" w:rsidRPr="00E76C20">
        <w:rPr>
          <w:rFonts w:cs="Times"/>
          <w:i/>
        </w:rPr>
        <w:t xml:space="preserve">Article 157A of the Constitution: </w:t>
      </w:r>
    </w:p>
    <w:p w14:paraId="62043311" w14:textId="77777777" w:rsidR="00C55A76" w:rsidRPr="00E76C20" w:rsidRDefault="00972E51" w:rsidP="00BD3AAA">
      <w:pPr>
        <w:widowControl w:val="0"/>
        <w:autoSpaceDE w:val="0"/>
        <w:autoSpaceDN w:val="0"/>
        <w:adjustRightInd w:val="0"/>
        <w:spacing w:after="320" w:line="276" w:lineRule="auto"/>
        <w:jc w:val="both"/>
        <w:rPr>
          <w:rFonts w:cs="Arial"/>
        </w:rPr>
      </w:pPr>
      <w:r w:rsidRPr="00E76C20">
        <w:rPr>
          <w:rFonts w:cs="Times"/>
        </w:rPr>
        <w:t>Article 157A of the Constitution,</w:t>
      </w:r>
      <w:r w:rsidR="00695460" w:rsidRPr="00E76C20">
        <w:rPr>
          <w:rFonts w:cs="Times"/>
        </w:rPr>
        <w:t xml:space="preserve"> </w:t>
      </w:r>
      <w:r w:rsidR="00077A6C" w:rsidRPr="00E76C20">
        <w:rPr>
          <w:rFonts w:cs="Times"/>
        </w:rPr>
        <w:t>this submission alleges is in</w:t>
      </w:r>
      <w:r w:rsidR="00613CEB" w:rsidRPr="00E76C20">
        <w:rPr>
          <w:rFonts w:cs="Times"/>
        </w:rPr>
        <w:t xml:space="preserve"> </w:t>
      </w:r>
      <w:r w:rsidR="00695460" w:rsidRPr="00E76C20">
        <w:rPr>
          <w:rFonts w:cs="Times"/>
        </w:rPr>
        <w:t>violation of</w:t>
      </w:r>
      <w:r w:rsidR="00613CEB" w:rsidRPr="00E76C20">
        <w:rPr>
          <w:rFonts w:cs="Times"/>
        </w:rPr>
        <w:t xml:space="preserve"> </w:t>
      </w:r>
      <w:r w:rsidR="00613CEB" w:rsidRPr="00E76C20">
        <w:rPr>
          <w:rFonts w:cs="Times"/>
          <w:i/>
        </w:rPr>
        <w:t xml:space="preserve">inter </w:t>
      </w:r>
      <w:proofErr w:type="gramStart"/>
      <w:r w:rsidR="00613CEB" w:rsidRPr="00E76C20">
        <w:rPr>
          <w:rFonts w:cs="Times"/>
          <w:i/>
        </w:rPr>
        <w:t>alia</w:t>
      </w:r>
      <w:r w:rsidR="00613CEB" w:rsidRPr="00E76C20">
        <w:rPr>
          <w:rFonts w:cs="Times"/>
        </w:rPr>
        <w:t xml:space="preserve"> </w:t>
      </w:r>
      <w:r w:rsidR="00695460" w:rsidRPr="00E76C20">
        <w:rPr>
          <w:rFonts w:cs="Times"/>
        </w:rPr>
        <w:t xml:space="preserve"> Article</w:t>
      </w:r>
      <w:proofErr w:type="gramEnd"/>
      <w:r w:rsidR="00695460" w:rsidRPr="00E76C20">
        <w:rPr>
          <w:rFonts w:cs="Times"/>
        </w:rPr>
        <w:t xml:space="preserve"> </w:t>
      </w:r>
      <w:r w:rsidR="00B35B7C" w:rsidRPr="00E76C20">
        <w:rPr>
          <w:rFonts w:cs="Times"/>
        </w:rPr>
        <w:t xml:space="preserve">1 and 19 of the ICCPR. The sixth </w:t>
      </w:r>
      <w:r w:rsidR="00286049" w:rsidRPr="00E76C20">
        <w:rPr>
          <w:rFonts w:cs="Times"/>
        </w:rPr>
        <w:t xml:space="preserve">amendment </w:t>
      </w:r>
      <w:r w:rsidR="00AC0FE3" w:rsidRPr="00E76C20">
        <w:rPr>
          <w:rFonts w:cs="Times"/>
        </w:rPr>
        <w:t>does not deal with incitement to violence</w:t>
      </w:r>
      <w:r w:rsidR="00094377" w:rsidRPr="00E76C20">
        <w:rPr>
          <w:rFonts w:cs="Times"/>
        </w:rPr>
        <w:t xml:space="preserve"> or the actual committing of violent acts</w:t>
      </w:r>
      <w:r w:rsidR="00AC0FE3" w:rsidRPr="00E76C20">
        <w:rPr>
          <w:rFonts w:cs="Times"/>
        </w:rPr>
        <w:t>. In</w:t>
      </w:r>
      <w:r w:rsidR="00077A6C" w:rsidRPr="00E76C20">
        <w:rPr>
          <w:rFonts w:cs="Times"/>
        </w:rPr>
        <w:t xml:space="preserve"> fact the sole purpose</w:t>
      </w:r>
      <w:r w:rsidR="00AC0FE3" w:rsidRPr="00E76C20">
        <w:rPr>
          <w:rFonts w:cs="Times"/>
        </w:rPr>
        <w:t xml:space="preserve"> of the sixth amendment is </w:t>
      </w:r>
      <w:r w:rsidR="00077A6C" w:rsidRPr="00E76C20">
        <w:rPr>
          <w:rFonts w:cs="Times"/>
        </w:rPr>
        <w:t xml:space="preserve">to </w:t>
      </w:r>
      <w:proofErr w:type="spellStart"/>
      <w:r w:rsidR="00077A6C" w:rsidRPr="00E76C20">
        <w:rPr>
          <w:rFonts w:cs="Times"/>
        </w:rPr>
        <w:t>criminalise</w:t>
      </w:r>
      <w:proofErr w:type="spellEnd"/>
      <w:r w:rsidR="00077A6C" w:rsidRPr="00E76C20">
        <w:rPr>
          <w:rFonts w:cs="Times"/>
        </w:rPr>
        <w:t xml:space="preserve"> </w:t>
      </w:r>
      <w:r w:rsidR="00B35B7C" w:rsidRPr="00E76C20">
        <w:rPr>
          <w:rFonts w:cs="Times"/>
        </w:rPr>
        <w:t xml:space="preserve">the peaceful </w:t>
      </w:r>
      <w:r w:rsidR="00AC0FE3" w:rsidRPr="00E76C20">
        <w:rPr>
          <w:rFonts w:cs="Times"/>
        </w:rPr>
        <w:t xml:space="preserve">and political </w:t>
      </w:r>
      <w:r w:rsidR="00B35B7C" w:rsidRPr="00E76C20">
        <w:rPr>
          <w:rFonts w:cs="Times"/>
        </w:rPr>
        <w:t>advocacy of a separate state</w:t>
      </w:r>
      <w:r w:rsidR="00077A6C" w:rsidRPr="00E76C20">
        <w:rPr>
          <w:rFonts w:cs="Times"/>
        </w:rPr>
        <w:t xml:space="preserve"> and more broadly the Tamil advocacy for </w:t>
      </w:r>
      <w:r w:rsidR="00613CEB" w:rsidRPr="00E76C20">
        <w:rPr>
          <w:rFonts w:cs="Times"/>
        </w:rPr>
        <w:t>self-determination</w:t>
      </w:r>
      <w:r w:rsidR="00B35B7C" w:rsidRPr="00E76C20">
        <w:rPr>
          <w:rFonts w:cs="Times"/>
        </w:rPr>
        <w:t xml:space="preserve">. </w:t>
      </w:r>
      <w:r w:rsidR="00077A6C" w:rsidRPr="00E76C20">
        <w:rPr>
          <w:rFonts w:cs="Times"/>
        </w:rPr>
        <w:t>It is submitted that the sixth amendment has this broader purpose because five years prior to the ena</w:t>
      </w:r>
      <w:r w:rsidR="00613CEB" w:rsidRPr="00E76C20">
        <w:rPr>
          <w:rFonts w:cs="Times"/>
        </w:rPr>
        <w:t>ctment of the sixth amendment</w:t>
      </w:r>
      <w:r w:rsidR="00077A6C" w:rsidRPr="00E76C20">
        <w:rPr>
          <w:rFonts w:cs="Times"/>
        </w:rPr>
        <w:t>,</w:t>
      </w:r>
      <w:r w:rsidR="00C55A76" w:rsidRPr="00E76C20">
        <w:rPr>
          <w:rFonts w:cs="Times"/>
        </w:rPr>
        <w:t xml:space="preserve"> by the enactment of the ‘</w:t>
      </w:r>
      <w:r w:rsidR="00C55A76" w:rsidRPr="00E76C20">
        <w:rPr>
          <w:rFonts w:cs="Arial"/>
        </w:rPr>
        <w:t xml:space="preserve">Proscribing of Liberation Tigers of Tamil Eelam and Other Similar Organizations Law’, No. 16 of 1978 the parliament had not only banned the Liberation Tigers of Tamil </w:t>
      </w:r>
      <w:proofErr w:type="spellStart"/>
      <w:r w:rsidR="00C55A76" w:rsidRPr="00E76C20">
        <w:rPr>
          <w:rFonts w:cs="Arial"/>
        </w:rPr>
        <w:t>Ealam</w:t>
      </w:r>
      <w:proofErr w:type="spellEnd"/>
      <w:r w:rsidR="00C55A76" w:rsidRPr="00E76C20">
        <w:rPr>
          <w:rFonts w:cs="Arial"/>
        </w:rPr>
        <w:t xml:space="preserve"> (LTTE) but also any other organization that advocated the use of violence and is either directly or indirectly concerned in or engaged in any unlawful activity</w:t>
      </w:r>
      <w:r w:rsidR="00C55A76" w:rsidRPr="00E76C20">
        <w:rPr>
          <w:rStyle w:val="Funotenzeichen"/>
          <w:rFonts w:cs="Arial"/>
        </w:rPr>
        <w:footnoteReference w:id="25"/>
      </w:r>
      <w:r w:rsidR="00C55A76" w:rsidRPr="00E76C20">
        <w:rPr>
          <w:rFonts w:cs="Arial"/>
        </w:rPr>
        <w:t xml:space="preserve">. </w:t>
      </w:r>
      <w:proofErr w:type="gramStart"/>
      <w:r w:rsidR="00077A6C" w:rsidRPr="00E76C20">
        <w:rPr>
          <w:rFonts w:cs="Arial"/>
        </w:rPr>
        <w:t xml:space="preserve">Hence the </w:t>
      </w:r>
      <w:r w:rsidR="00613CEB" w:rsidRPr="00E76C20">
        <w:rPr>
          <w:rFonts w:cs="Arial"/>
        </w:rPr>
        <w:t xml:space="preserve">submission that the </w:t>
      </w:r>
      <w:r w:rsidR="00077A6C" w:rsidRPr="00E76C20">
        <w:rPr>
          <w:rFonts w:cs="Arial"/>
        </w:rPr>
        <w:t>purpose of the 6</w:t>
      </w:r>
      <w:r w:rsidR="00077A6C" w:rsidRPr="00E76C20">
        <w:rPr>
          <w:rFonts w:cs="Arial"/>
          <w:vertAlign w:val="superscript"/>
        </w:rPr>
        <w:t>th</w:t>
      </w:r>
      <w:r w:rsidR="00077A6C" w:rsidRPr="00E76C20">
        <w:rPr>
          <w:rFonts w:cs="Arial"/>
        </w:rPr>
        <w:t xml:space="preserve"> amendment needs to be seen in light of the state’s border purpose of criminalizing the advocacy and espousal of self-determination by the Tamil people.</w:t>
      </w:r>
      <w:proofErr w:type="gramEnd"/>
      <w:r w:rsidR="00077A6C" w:rsidRPr="00E76C20">
        <w:rPr>
          <w:rFonts w:cs="Arial"/>
        </w:rPr>
        <w:t xml:space="preserve">  </w:t>
      </w:r>
    </w:p>
    <w:p w14:paraId="5627F40F" w14:textId="15AF05D6" w:rsidR="00B84985" w:rsidRPr="00E76C20" w:rsidRDefault="00C55A76" w:rsidP="00BD3AAA">
      <w:pPr>
        <w:widowControl w:val="0"/>
        <w:autoSpaceDE w:val="0"/>
        <w:autoSpaceDN w:val="0"/>
        <w:adjustRightInd w:val="0"/>
        <w:spacing w:after="320" w:line="276" w:lineRule="auto"/>
        <w:jc w:val="both"/>
        <w:rPr>
          <w:rFonts w:cs="Times"/>
        </w:rPr>
      </w:pPr>
      <w:r w:rsidRPr="00E76C20">
        <w:rPr>
          <w:rFonts w:cs="Arial"/>
        </w:rPr>
        <w:t xml:space="preserve">The sixth amendment both </w:t>
      </w:r>
      <w:proofErr w:type="spellStart"/>
      <w:r w:rsidRPr="00E76C20">
        <w:rPr>
          <w:rFonts w:cs="Arial"/>
        </w:rPr>
        <w:t>criminalises</w:t>
      </w:r>
      <w:proofErr w:type="spellEnd"/>
      <w:r w:rsidRPr="00E76C20">
        <w:rPr>
          <w:rFonts w:cs="Arial"/>
        </w:rPr>
        <w:t xml:space="preserve"> direct and indirect means </w:t>
      </w:r>
      <w:r w:rsidR="00B35B7C" w:rsidRPr="00E76C20">
        <w:rPr>
          <w:rFonts w:cs="Times"/>
        </w:rPr>
        <w:t xml:space="preserve">of advocacy of a separate </w:t>
      </w:r>
      <w:r w:rsidRPr="00E76C20">
        <w:rPr>
          <w:rFonts w:cs="Times"/>
        </w:rPr>
        <w:t>stat</w:t>
      </w:r>
      <w:r w:rsidR="006003F4" w:rsidRPr="00E76C20">
        <w:rPr>
          <w:rFonts w:cs="Times"/>
        </w:rPr>
        <w:t>e. While this submission alleges</w:t>
      </w:r>
      <w:r w:rsidR="00E76C20" w:rsidRPr="00E76C20">
        <w:rPr>
          <w:rFonts w:cs="Times"/>
        </w:rPr>
        <w:t xml:space="preserve"> that while</w:t>
      </w:r>
      <w:r w:rsidRPr="00E76C20">
        <w:rPr>
          <w:rFonts w:cs="Times"/>
        </w:rPr>
        <w:t xml:space="preserve"> </w:t>
      </w:r>
      <w:r w:rsidR="006003F4" w:rsidRPr="00E76C20">
        <w:rPr>
          <w:rFonts w:cs="Times"/>
        </w:rPr>
        <w:t xml:space="preserve">criminalizing </w:t>
      </w:r>
      <w:r w:rsidRPr="00E76C20">
        <w:rPr>
          <w:rFonts w:cs="Times"/>
        </w:rPr>
        <w:t xml:space="preserve">direct methods </w:t>
      </w:r>
      <w:r w:rsidR="006003F4" w:rsidRPr="00E76C20">
        <w:rPr>
          <w:rFonts w:cs="Times"/>
        </w:rPr>
        <w:t xml:space="preserve">of advocacy for a separate state </w:t>
      </w:r>
      <w:r w:rsidRPr="00E76C20">
        <w:rPr>
          <w:rFonts w:cs="Times"/>
        </w:rPr>
        <w:t xml:space="preserve">on their own constitute an infringement of </w:t>
      </w:r>
      <w:r w:rsidRPr="00E76C20">
        <w:rPr>
          <w:rFonts w:cs="Times"/>
        </w:rPr>
        <w:lastRenderedPageBreak/>
        <w:t>Article 1 and 19 of the Covenant, the ambiguous wording that refers to ‘indirect methods’</w:t>
      </w:r>
      <w:r w:rsidR="00B35B7C" w:rsidRPr="00E76C20">
        <w:rPr>
          <w:rFonts w:cs="Times"/>
        </w:rPr>
        <w:t xml:space="preserve"> creates an atmosphere o</w:t>
      </w:r>
      <w:r w:rsidRPr="00E76C20">
        <w:rPr>
          <w:rFonts w:cs="Times"/>
        </w:rPr>
        <w:t xml:space="preserve">f insecurity where any advocacy, </w:t>
      </w:r>
      <w:r w:rsidR="00B35B7C" w:rsidRPr="00E76C20">
        <w:rPr>
          <w:rFonts w:cs="Times"/>
        </w:rPr>
        <w:t>for the political rights of the Tamil people in the island becomes a potential violation of the sixth am</w:t>
      </w:r>
      <w:r w:rsidRPr="00E76C20">
        <w:rPr>
          <w:rFonts w:cs="Times"/>
        </w:rPr>
        <w:t xml:space="preserve">endment, leave alone the demand for a separate state. The </w:t>
      </w:r>
      <w:r w:rsidR="00B35B7C" w:rsidRPr="00E76C20">
        <w:rPr>
          <w:rFonts w:cs="Times"/>
        </w:rPr>
        <w:t xml:space="preserve">Tamils who have </w:t>
      </w:r>
      <w:r w:rsidR="00E76C20" w:rsidRPr="00E76C20">
        <w:rPr>
          <w:rFonts w:cs="Times"/>
        </w:rPr>
        <w:t>consistently through democratic elections</w:t>
      </w:r>
      <w:r w:rsidR="00B35B7C" w:rsidRPr="00E76C20">
        <w:rPr>
          <w:rFonts w:cs="Times"/>
        </w:rPr>
        <w:t xml:space="preserve"> expressed themselves as a nation (per language of Article 1 of the ICCPR as a </w:t>
      </w:r>
      <w:r w:rsidR="00613CEB" w:rsidRPr="00E76C20">
        <w:rPr>
          <w:rFonts w:cs="Times"/>
        </w:rPr>
        <w:t>‘</w:t>
      </w:r>
      <w:r w:rsidR="00B35B7C" w:rsidRPr="00E76C20">
        <w:rPr>
          <w:rFonts w:cs="Times"/>
        </w:rPr>
        <w:t>people</w:t>
      </w:r>
      <w:r w:rsidR="00613CEB" w:rsidRPr="00E76C20">
        <w:rPr>
          <w:rFonts w:cs="Times"/>
        </w:rPr>
        <w:t>’</w:t>
      </w:r>
      <w:r w:rsidR="00B35B7C" w:rsidRPr="00E76C20">
        <w:rPr>
          <w:rFonts w:cs="Times"/>
        </w:rPr>
        <w:t xml:space="preserve"> having the right to </w:t>
      </w:r>
      <w:proofErr w:type="spellStart"/>
      <w:r w:rsidR="00B35B7C" w:rsidRPr="00E76C20">
        <w:rPr>
          <w:rFonts w:cs="Times"/>
        </w:rPr>
        <w:t>self determination</w:t>
      </w:r>
      <w:proofErr w:type="spellEnd"/>
      <w:r w:rsidR="00D772A7" w:rsidRPr="00E76C20">
        <w:rPr>
          <w:rFonts w:cs="Times"/>
        </w:rPr>
        <w:t>)</w:t>
      </w:r>
      <w:r w:rsidR="00B35B7C" w:rsidRPr="00E76C20">
        <w:rPr>
          <w:rFonts w:cs="Times"/>
        </w:rPr>
        <w:t xml:space="preserve"> have been denied their individual and collective freedom of expression within the island to be able to advocate for self-determination, leave alone a separate state. </w:t>
      </w:r>
    </w:p>
    <w:p w14:paraId="55CAB7F8" w14:textId="77777777" w:rsidR="000D721A" w:rsidRPr="00E76C20" w:rsidRDefault="00094377" w:rsidP="00BD3AAA">
      <w:pPr>
        <w:widowControl w:val="0"/>
        <w:autoSpaceDE w:val="0"/>
        <w:autoSpaceDN w:val="0"/>
        <w:adjustRightInd w:val="0"/>
        <w:spacing w:after="320" w:line="276" w:lineRule="auto"/>
        <w:jc w:val="both"/>
        <w:rPr>
          <w:rFonts w:cs="Times"/>
        </w:rPr>
      </w:pPr>
      <w:r w:rsidRPr="00E76C20">
        <w:rPr>
          <w:rFonts w:cs="Times"/>
        </w:rPr>
        <w:t xml:space="preserve">The sixth amendment was </w:t>
      </w:r>
      <w:r w:rsidR="00613CEB" w:rsidRPr="00E76C20">
        <w:rPr>
          <w:rFonts w:cs="Times"/>
        </w:rPr>
        <w:t xml:space="preserve">and continues to be </w:t>
      </w:r>
      <w:r w:rsidRPr="00E76C20">
        <w:rPr>
          <w:rFonts w:cs="Times"/>
        </w:rPr>
        <w:t xml:space="preserve">an important stumbling block towards resolving the conflict through peaceful means. In the 2002-2006 peace process </w:t>
      </w:r>
      <w:r w:rsidR="00633E9E" w:rsidRPr="00E76C20">
        <w:rPr>
          <w:rFonts w:cs="Times"/>
        </w:rPr>
        <w:t xml:space="preserve">facilitated by Norway, </w:t>
      </w:r>
      <w:r w:rsidRPr="00E76C20">
        <w:rPr>
          <w:rFonts w:cs="Times"/>
        </w:rPr>
        <w:t xml:space="preserve">the outlawing of the advocacy of a separate state placed the Tamils and their representatives at the talks – the Liberation Tigers of Tamil </w:t>
      </w:r>
      <w:proofErr w:type="spellStart"/>
      <w:r w:rsidRPr="00E76C20">
        <w:rPr>
          <w:rFonts w:cs="Times"/>
        </w:rPr>
        <w:t>Ealam</w:t>
      </w:r>
      <w:proofErr w:type="spellEnd"/>
      <w:r w:rsidRPr="00E76C20">
        <w:rPr>
          <w:rFonts w:cs="Times"/>
        </w:rPr>
        <w:t xml:space="preserve"> – at a structural disadvantage. The sixth amendment in fact functioned as a non-negotiable pre-conditi</w:t>
      </w:r>
      <w:r w:rsidR="00633E9E" w:rsidRPr="00E76C20">
        <w:rPr>
          <w:rFonts w:cs="Times"/>
        </w:rPr>
        <w:t xml:space="preserve">on in </w:t>
      </w:r>
      <w:proofErr w:type="spellStart"/>
      <w:r w:rsidR="00633E9E" w:rsidRPr="00E76C20">
        <w:rPr>
          <w:rFonts w:cs="Times"/>
        </w:rPr>
        <w:t>favour</w:t>
      </w:r>
      <w:proofErr w:type="spellEnd"/>
      <w:r w:rsidR="00633E9E" w:rsidRPr="00E76C20">
        <w:rPr>
          <w:rFonts w:cs="Times"/>
        </w:rPr>
        <w:t xml:space="preserve"> of the Sri Lankan state</w:t>
      </w:r>
      <w:r w:rsidRPr="00E76C20">
        <w:rPr>
          <w:rFonts w:cs="Times"/>
        </w:rPr>
        <w:t xml:space="preserve"> </w:t>
      </w:r>
      <w:r w:rsidR="00633E9E" w:rsidRPr="00E76C20">
        <w:rPr>
          <w:rFonts w:cs="Times"/>
        </w:rPr>
        <w:t xml:space="preserve">while the Government itself was not subjected to any </w:t>
      </w:r>
      <w:proofErr w:type="spellStart"/>
      <w:r w:rsidR="00633E9E" w:rsidRPr="00E76C20">
        <w:rPr>
          <w:rFonts w:cs="Times"/>
        </w:rPr>
        <w:t>pre condition</w:t>
      </w:r>
      <w:proofErr w:type="spellEnd"/>
      <w:r w:rsidR="00633E9E" w:rsidRPr="00E76C20">
        <w:rPr>
          <w:rFonts w:cs="Times"/>
        </w:rPr>
        <w:t xml:space="preserve">. </w:t>
      </w:r>
      <w:r w:rsidR="000D721A" w:rsidRPr="00E76C20">
        <w:rPr>
          <w:rFonts w:cs="Times"/>
        </w:rPr>
        <w:t>The sixth amendment and the law banning the LTTE</w:t>
      </w:r>
      <w:r w:rsidR="00F21BAA" w:rsidRPr="00E76C20">
        <w:rPr>
          <w:rFonts w:cs="Times"/>
        </w:rPr>
        <w:t>,</w:t>
      </w:r>
      <w:r w:rsidR="000D721A" w:rsidRPr="00E76C20">
        <w:rPr>
          <w:rFonts w:cs="Times"/>
        </w:rPr>
        <w:t xml:space="preserve"> was also used to ban the Tamil Rehabilitation </w:t>
      </w:r>
      <w:proofErr w:type="spellStart"/>
      <w:r w:rsidR="000D721A" w:rsidRPr="00E76C20">
        <w:rPr>
          <w:rFonts w:cs="Times"/>
        </w:rPr>
        <w:t>Organisation</w:t>
      </w:r>
      <w:proofErr w:type="spellEnd"/>
      <w:r w:rsidR="00F21BAA" w:rsidRPr="00E76C20">
        <w:rPr>
          <w:rFonts w:cs="Times"/>
        </w:rPr>
        <w:t>, a humanitarian organization for alleged links with the LTTE</w:t>
      </w:r>
      <w:r w:rsidR="000D721A" w:rsidRPr="00E76C20">
        <w:rPr>
          <w:rFonts w:cs="Times"/>
        </w:rPr>
        <w:t xml:space="preserve"> in 2007 just before the onslaught of the last phase of the war</w:t>
      </w:r>
      <w:r w:rsidR="000D721A" w:rsidRPr="00E76C20">
        <w:rPr>
          <w:rStyle w:val="Funotenzeichen"/>
          <w:rFonts w:cs="Times"/>
        </w:rPr>
        <w:footnoteReference w:id="26"/>
      </w:r>
      <w:r w:rsidR="000D721A" w:rsidRPr="00E76C20">
        <w:rPr>
          <w:rFonts w:cs="Times"/>
        </w:rPr>
        <w:t>.</w:t>
      </w:r>
      <w:r w:rsidR="00F21BAA" w:rsidRPr="00E76C20">
        <w:rPr>
          <w:rFonts w:cs="Times"/>
        </w:rPr>
        <w:t xml:space="preserve">  The move was intended to </w:t>
      </w:r>
      <w:r w:rsidR="00F21BAA" w:rsidRPr="00E76C20">
        <w:rPr>
          <w:rFonts w:cs="Verdana"/>
        </w:rPr>
        <w:t xml:space="preserve">prevent Tamils looking after their own rehabilitation and to discourage individual, </w:t>
      </w:r>
      <w:proofErr w:type="spellStart"/>
      <w:r w:rsidR="00F21BAA" w:rsidRPr="00E76C20">
        <w:rPr>
          <w:rFonts w:cs="Verdana"/>
        </w:rPr>
        <w:t>organisational</w:t>
      </w:r>
      <w:proofErr w:type="spellEnd"/>
      <w:r w:rsidR="00F21BAA" w:rsidRPr="00E76C20">
        <w:rPr>
          <w:rFonts w:cs="Verdana"/>
        </w:rPr>
        <w:t xml:space="preserve"> and international contribution to addressing Tamil humanitarian issues.</w:t>
      </w:r>
    </w:p>
    <w:p w14:paraId="5D007ABC" w14:textId="77777777" w:rsidR="00F60B8C" w:rsidRPr="00E76C20" w:rsidRDefault="00633E9E" w:rsidP="00BD3AAA">
      <w:pPr>
        <w:widowControl w:val="0"/>
        <w:autoSpaceDE w:val="0"/>
        <w:autoSpaceDN w:val="0"/>
        <w:adjustRightInd w:val="0"/>
        <w:spacing w:after="320" w:line="276" w:lineRule="auto"/>
        <w:jc w:val="both"/>
        <w:rPr>
          <w:rFonts w:cs="Times"/>
        </w:rPr>
      </w:pPr>
      <w:r w:rsidRPr="00E76C20">
        <w:rPr>
          <w:rFonts w:cs="Times"/>
        </w:rPr>
        <w:t>During the war</w:t>
      </w:r>
      <w:r w:rsidR="00F60B8C" w:rsidRPr="00E76C20">
        <w:rPr>
          <w:rFonts w:cs="Times"/>
        </w:rPr>
        <w:t>,</w:t>
      </w:r>
      <w:r w:rsidRPr="00E76C20">
        <w:rPr>
          <w:rFonts w:cs="Times"/>
        </w:rPr>
        <w:t xml:space="preserve"> the sixth-amendment-framed-criminalization of Tamil </w:t>
      </w:r>
      <w:proofErr w:type="spellStart"/>
      <w:r w:rsidRPr="00E76C20">
        <w:rPr>
          <w:rFonts w:cs="Times"/>
        </w:rPr>
        <w:t>self determination</w:t>
      </w:r>
      <w:proofErr w:type="spellEnd"/>
      <w:r w:rsidRPr="00E76C20">
        <w:rPr>
          <w:rFonts w:cs="Times"/>
        </w:rPr>
        <w:t xml:space="preserve"> politics and the separatist project provided for the legal, political and social framework within which the Sri Lankan state justified the commission of what independent experts</w:t>
      </w:r>
      <w:r w:rsidR="0054148F" w:rsidRPr="00E76C20">
        <w:rPr>
          <w:rStyle w:val="Funotenzeichen"/>
          <w:rFonts w:cs="Times"/>
        </w:rPr>
        <w:footnoteReference w:id="27"/>
      </w:r>
      <w:r w:rsidRPr="00E76C20">
        <w:rPr>
          <w:rFonts w:cs="Times"/>
        </w:rPr>
        <w:t xml:space="preserve"> and the Tamil people owing to their lived experience </w:t>
      </w:r>
      <w:r w:rsidR="00F60B8C" w:rsidRPr="00E76C20">
        <w:rPr>
          <w:rFonts w:cs="Times"/>
        </w:rPr>
        <w:t>have called the crimes of</w:t>
      </w:r>
      <w:r w:rsidRPr="00E76C20">
        <w:rPr>
          <w:rFonts w:cs="Times"/>
        </w:rPr>
        <w:t xml:space="preserve"> genocide, war crimes and crimes against humanity.</w:t>
      </w:r>
      <w:r w:rsidR="00F60B8C" w:rsidRPr="00E76C20">
        <w:rPr>
          <w:rFonts w:cs="Times"/>
        </w:rPr>
        <w:t xml:space="preserve"> The logic and rationale of the sixth amendment was important for the Sri Lankan state to justify the crimes it committed to the </w:t>
      </w:r>
      <w:r w:rsidR="000D721A" w:rsidRPr="00E76C20">
        <w:rPr>
          <w:rFonts w:cs="Times"/>
        </w:rPr>
        <w:t>majority</w:t>
      </w:r>
      <w:r w:rsidR="00F60B8C" w:rsidRPr="00E76C20">
        <w:rPr>
          <w:rFonts w:cs="Times"/>
        </w:rPr>
        <w:t xml:space="preserve"> Sinhala Buddhist community. </w:t>
      </w:r>
    </w:p>
    <w:p w14:paraId="76716FBC" w14:textId="77777777" w:rsidR="00094377" w:rsidRPr="00E76C20" w:rsidRDefault="00F60B8C" w:rsidP="00BD3AAA">
      <w:pPr>
        <w:widowControl w:val="0"/>
        <w:autoSpaceDE w:val="0"/>
        <w:autoSpaceDN w:val="0"/>
        <w:adjustRightInd w:val="0"/>
        <w:spacing w:after="320" w:line="276" w:lineRule="auto"/>
        <w:jc w:val="both"/>
        <w:rPr>
          <w:rFonts w:cs="Times"/>
        </w:rPr>
      </w:pPr>
      <w:r w:rsidRPr="00E76C20">
        <w:rPr>
          <w:rFonts w:cs="Times"/>
        </w:rPr>
        <w:t xml:space="preserve">In the post-war context the sixth amendment continues to be used as a tool to </w:t>
      </w:r>
      <w:proofErr w:type="spellStart"/>
      <w:r w:rsidRPr="00E76C20">
        <w:rPr>
          <w:rFonts w:cs="Times"/>
        </w:rPr>
        <w:t>criminalise</w:t>
      </w:r>
      <w:proofErr w:type="spellEnd"/>
      <w:r w:rsidRPr="00E76C20">
        <w:rPr>
          <w:rFonts w:cs="Times"/>
        </w:rPr>
        <w:t xml:space="preserve"> any form of Tamil </w:t>
      </w:r>
      <w:r w:rsidR="000D721A" w:rsidRPr="00E76C20">
        <w:rPr>
          <w:rFonts w:cs="Times"/>
        </w:rPr>
        <w:t>self-determination</w:t>
      </w:r>
      <w:r w:rsidRPr="00E76C20">
        <w:rPr>
          <w:rFonts w:cs="Times"/>
        </w:rPr>
        <w:t xml:space="preserve"> politics. </w:t>
      </w:r>
      <w:r w:rsidR="00094377" w:rsidRPr="00E76C20">
        <w:rPr>
          <w:rFonts w:cs="Times"/>
        </w:rPr>
        <w:t xml:space="preserve">The following are instances of the use of Article 157A with the intention of criminalizing Tamil politics, in the post war context: </w:t>
      </w:r>
    </w:p>
    <w:p w14:paraId="78D87FA5" w14:textId="7834EE30" w:rsidR="000826E2" w:rsidRPr="00E76C20" w:rsidRDefault="000826E2" w:rsidP="00BD3AAA">
      <w:pPr>
        <w:pStyle w:val="Listenabsatz"/>
        <w:widowControl w:val="0"/>
        <w:numPr>
          <w:ilvl w:val="0"/>
          <w:numId w:val="6"/>
        </w:numPr>
        <w:autoSpaceDE w:val="0"/>
        <w:autoSpaceDN w:val="0"/>
        <w:adjustRightInd w:val="0"/>
        <w:spacing w:after="320" w:line="276" w:lineRule="auto"/>
        <w:jc w:val="both"/>
        <w:rPr>
          <w:rFonts w:cs="Arial"/>
          <w:color w:val="3F3F3F"/>
        </w:rPr>
      </w:pPr>
      <w:r w:rsidRPr="00E76C20">
        <w:rPr>
          <w:rFonts w:cs="Times"/>
        </w:rPr>
        <w:lastRenderedPageBreak/>
        <w:t xml:space="preserve">Five </w:t>
      </w:r>
      <w:proofErr w:type="spellStart"/>
      <w:r w:rsidRPr="00E76C20">
        <w:rPr>
          <w:rFonts w:cs="Times"/>
        </w:rPr>
        <w:t>organisations</w:t>
      </w:r>
      <w:proofErr w:type="spellEnd"/>
      <w:r w:rsidRPr="00E76C20">
        <w:rPr>
          <w:rFonts w:cs="Times"/>
        </w:rPr>
        <w:t xml:space="preserve"> including the </w:t>
      </w:r>
      <w:proofErr w:type="spellStart"/>
      <w:r w:rsidRPr="00E76C20">
        <w:rPr>
          <w:rFonts w:cs="Verdana"/>
        </w:rPr>
        <w:t>the</w:t>
      </w:r>
      <w:proofErr w:type="spellEnd"/>
      <w:r w:rsidRPr="00E76C20">
        <w:rPr>
          <w:rFonts w:cs="Verdana"/>
        </w:rPr>
        <w:t xml:space="preserve"> Patriotic National Movement (PNM) and the Pat</w:t>
      </w:r>
      <w:r w:rsidR="00F60B8C" w:rsidRPr="00E76C20">
        <w:rPr>
          <w:rFonts w:cs="Verdana"/>
        </w:rPr>
        <w:t>riotic Buddhist Front (PBF)</w:t>
      </w:r>
      <w:r w:rsidRPr="00E76C20">
        <w:rPr>
          <w:rFonts w:cs="Verdana"/>
        </w:rPr>
        <w:t xml:space="preserve"> filed a case</w:t>
      </w:r>
      <w:r w:rsidR="00613CEB" w:rsidRPr="00E76C20">
        <w:rPr>
          <w:rFonts w:cs="Verdana"/>
        </w:rPr>
        <w:t xml:space="preserve"> in the Supreme Court of Sri Lanka under Article 157A, in September 2013</w:t>
      </w:r>
      <w:r w:rsidRPr="00E76C20">
        <w:rPr>
          <w:rFonts w:cs="Verdana"/>
        </w:rPr>
        <w:t xml:space="preserve"> against the Tamil National Alliance</w:t>
      </w:r>
      <w:r w:rsidR="00CA5E86" w:rsidRPr="00E76C20">
        <w:rPr>
          <w:rFonts w:cs="Verdana"/>
        </w:rPr>
        <w:t xml:space="preserve">, </w:t>
      </w:r>
      <w:r w:rsidR="00F60B8C" w:rsidRPr="00E76C20">
        <w:rPr>
          <w:rFonts w:cs="Verdana"/>
        </w:rPr>
        <w:t>(</w:t>
      </w:r>
      <w:r w:rsidR="00CA5E86" w:rsidRPr="00E76C20">
        <w:rPr>
          <w:rFonts w:cs="Arial"/>
        </w:rPr>
        <w:t>the single largest Tamil political party, repeatedly endorsed by overwhelming majorities by the Tamil people</w:t>
      </w:r>
      <w:r w:rsidR="00F60B8C" w:rsidRPr="00E76C20">
        <w:rPr>
          <w:rFonts w:cs="Arial"/>
        </w:rPr>
        <w:t>)</w:t>
      </w:r>
      <w:r w:rsidR="00CA5E86" w:rsidRPr="00E76C20">
        <w:rPr>
          <w:rFonts w:cs="Arial"/>
        </w:rPr>
        <w:t>,</w:t>
      </w:r>
      <w:r w:rsidRPr="00E76C20">
        <w:rPr>
          <w:rFonts w:cs="Verdana"/>
        </w:rPr>
        <w:t xml:space="preserve"> for making reference to the right to </w:t>
      </w:r>
      <w:proofErr w:type="spellStart"/>
      <w:r w:rsidRPr="00E76C20">
        <w:rPr>
          <w:rFonts w:cs="Verdana"/>
        </w:rPr>
        <w:t>self determination</w:t>
      </w:r>
      <w:proofErr w:type="spellEnd"/>
      <w:r w:rsidRPr="00E76C20">
        <w:rPr>
          <w:rFonts w:cs="Verdana"/>
        </w:rPr>
        <w:t xml:space="preserve"> of the Tamil people in its </w:t>
      </w:r>
      <w:r w:rsidR="00613CEB" w:rsidRPr="00E76C20">
        <w:rPr>
          <w:rFonts w:cs="Verdana"/>
        </w:rPr>
        <w:t xml:space="preserve">Northern Provincial Council election </w:t>
      </w:r>
      <w:r w:rsidRPr="00E76C20">
        <w:rPr>
          <w:rFonts w:cs="Verdana"/>
        </w:rPr>
        <w:t>manifesto</w:t>
      </w:r>
      <w:r w:rsidRPr="00E76C20">
        <w:rPr>
          <w:rStyle w:val="Funotenzeichen"/>
          <w:rFonts w:cs="Verdana"/>
        </w:rPr>
        <w:footnoteReference w:id="28"/>
      </w:r>
      <w:r w:rsidRPr="00E76C20">
        <w:rPr>
          <w:rFonts w:cs="Verdana"/>
        </w:rPr>
        <w:t xml:space="preserve"> (The TNA Manifesto in fact seeks for the application of the principle of </w:t>
      </w:r>
      <w:proofErr w:type="spellStart"/>
      <w:r w:rsidRPr="00E76C20">
        <w:rPr>
          <w:rFonts w:cs="Verdana"/>
        </w:rPr>
        <w:t>self determination</w:t>
      </w:r>
      <w:proofErr w:type="spellEnd"/>
      <w:r w:rsidRPr="00E76C20">
        <w:rPr>
          <w:rFonts w:cs="Verdana"/>
        </w:rPr>
        <w:t xml:space="preserve"> only in its internal dimension </w:t>
      </w:r>
      <w:proofErr w:type="spellStart"/>
      <w:r w:rsidRPr="00E76C20">
        <w:rPr>
          <w:rFonts w:cs="Verdana"/>
        </w:rPr>
        <w:t>i.e</w:t>
      </w:r>
      <w:proofErr w:type="spellEnd"/>
      <w:r w:rsidRPr="00E76C20">
        <w:rPr>
          <w:rFonts w:cs="Verdana"/>
        </w:rPr>
        <w:t xml:space="preserve"> Tamil </w:t>
      </w:r>
      <w:proofErr w:type="spellStart"/>
      <w:r w:rsidRPr="00E76C20">
        <w:rPr>
          <w:rFonts w:cs="Verdana"/>
        </w:rPr>
        <w:t>self determination</w:t>
      </w:r>
      <w:proofErr w:type="spellEnd"/>
      <w:r w:rsidRPr="00E76C20">
        <w:rPr>
          <w:rFonts w:cs="Verdana"/>
        </w:rPr>
        <w:t xml:space="preserve"> within the confines of a united Sri Lanka)</w:t>
      </w:r>
      <w:r w:rsidRPr="00E76C20">
        <w:rPr>
          <w:rStyle w:val="Funotenzeichen"/>
          <w:rFonts w:cs="Verdana"/>
        </w:rPr>
        <w:footnoteReference w:id="29"/>
      </w:r>
      <w:r w:rsidRPr="00E76C20">
        <w:rPr>
          <w:rFonts w:cs="Verdana"/>
        </w:rPr>
        <w:t xml:space="preserve">. These groups (Sinhala </w:t>
      </w:r>
      <w:r w:rsidR="00613CEB" w:rsidRPr="00E76C20">
        <w:rPr>
          <w:rFonts w:cs="Verdana"/>
        </w:rPr>
        <w:t xml:space="preserve">Buddhist </w:t>
      </w:r>
      <w:proofErr w:type="spellStart"/>
      <w:r w:rsidR="00613CEB" w:rsidRPr="00E76C20">
        <w:rPr>
          <w:rFonts w:cs="Verdana"/>
        </w:rPr>
        <w:t>organisations</w:t>
      </w:r>
      <w:proofErr w:type="spellEnd"/>
      <w:r w:rsidR="00613CEB" w:rsidRPr="00E76C20">
        <w:rPr>
          <w:rFonts w:cs="Verdana"/>
        </w:rPr>
        <w:t>,</w:t>
      </w:r>
      <w:r w:rsidRPr="00E76C20">
        <w:rPr>
          <w:rFonts w:cs="Verdana"/>
        </w:rPr>
        <w:t xml:space="preserve"> representing </w:t>
      </w:r>
      <w:r w:rsidR="00613CEB" w:rsidRPr="00E76C20">
        <w:rPr>
          <w:rFonts w:cs="Verdana"/>
          <w:i/>
        </w:rPr>
        <w:t xml:space="preserve">inter alia </w:t>
      </w:r>
      <w:r w:rsidRPr="00E76C20">
        <w:rPr>
          <w:rFonts w:cs="Verdana"/>
        </w:rPr>
        <w:t xml:space="preserve">monks) take up the position that Article 157A in fact does not allow the Tamils to even challenge the constitution. The Petitioners maintain that </w:t>
      </w:r>
      <w:r w:rsidRPr="00E76C20">
        <w:rPr>
          <w:rFonts w:cs="Arial"/>
        </w:rPr>
        <w:t xml:space="preserve">the reference to </w:t>
      </w:r>
      <w:r w:rsidR="00E548C5" w:rsidRPr="00E76C20">
        <w:rPr>
          <w:rFonts w:cs="Arial"/>
        </w:rPr>
        <w:t>Tamil self-</w:t>
      </w:r>
      <w:r w:rsidRPr="00E76C20">
        <w:rPr>
          <w:rFonts w:cs="Arial"/>
        </w:rPr>
        <w:t xml:space="preserve">determination </w:t>
      </w:r>
      <w:r w:rsidR="00E548C5" w:rsidRPr="00E76C20">
        <w:rPr>
          <w:rFonts w:cs="Arial"/>
        </w:rPr>
        <w:t>‘</w:t>
      </w:r>
      <w:r w:rsidRPr="00E76C20">
        <w:rPr>
          <w:rFonts w:cs="Arial"/>
        </w:rPr>
        <w:t>challenges the unitary structure and the inalienable sov</w:t>
      </w:r>
      <w:r w:rsidR="00E548C5" w:rsidRPr="00E76C20">
        <w:rPr>
          <w:rFonts w:cs="Arial"/>
        </w:rPr>
        <w:t>ereignty of the State’, which they claim are</w:t>
      </w:r>
      <w:r w:rsidRPr="00E76C20">
        <w:rPr>
          <w:rFonts w:cs="Arial"/>
        </w:rPr>
        <w:t xml:space="preserve"> </w:t>
      </w:r>
      <w:r w:rsidR="00E548C5" w:rsidRPr="00E76C20">
        <w:rPr>
          <w:rFonts w:cs="Arial"/>
        </w:rPr>
        <w:t>‘</w:t>
      </w:r>
      <w:r w:rsidRPr="00E76C20">
        <w:rPr>
          <w:rFonts w:cs="Arial"/>
        </w:rPr>
        <w:t>fundamental features of the Constitution</w:t>
      </w:r>
      <w:r w:rsidR="00E548C5" w:rsidRPr="00E76C20">
        <w:rPr>
          <w:rFonts w:cs="Arial"/>
        </w:rPr>
        <w:t>’</w:t>
      </w:r>
      <w:r w:rsidR="00E548C5" w:rsidRPr="00E76C20">
        <w:rPr>
          <w:rStyle w:val="Funotenzeichen"/>
          <w:rFonts w:cs="Arial"/>
        </w:rPr>
        <w:footnoteReference w:id="30"/>
      </w:r>
      <w:r w:rsidR="00E548C5" w:rsidRPr="00E76C20">
        <w:rPr>
          <w:rFonts w:cs="Arial"/>
        </w:rPr>
        <w:t>. These groups ar</w:t>
      </w:r>
      <w:r w:rsidR="00E76C20">
        <w:rPr>
          <w:rFonts w:cs="Arial"/>
        </w:rPr>
        <w:t>e actively supported by the Government</w:t>
      </w:r>
      <w:r w:rsidR="00E548C5" w:rsidRPr="00E76C20">
        <w:rPr>
          <w:rStyle w:val="Funotenzeichen"/>
          <w:rFonts w:cs="Arial"/>
        </w:rPr>
        <w:footnoteReference w:id="31"/>
      </w:r>
      <w:r w:rsidR="00E548C5" w:rsidRPr="00E76C20">
        <w:rPr>
          <w:rFonts w:cs="Arial"/>
        </w:rPr>
        <w:t xml:space="preserve">. </w:t>
      </w:r>
      <w:r w:rsidR="00613CEB" w:rsidRPr="00E76C20">
        <w:rPr>
          <w:rFonts w:cs="Arial"/>
        </w:rPr>
        <w:t>The case at the time of writing this report is still pending before the Supreme Court of Sri Lanka.</w:t>
      </w:r>
      <w:r w:rsidR="00613CEB" w:rsidRPr="00E76C20">
        <w:rPr>
          <w:rFonts w:cs="Arial"/>
          <w:color w:val="3F3F3F"/>
        </w:rPr>
        <w:t xml:space="preserve"> </w:t>
      </w:r>
    </w:p>
    <w:p w14:paraId="24A5E2FD" w14:textId="77777777" w:rsidR="00F5096B" w:rsidRPr="00E76C20" w:rsidRDefault="00F5096B" w:rsidP="00BD3AAA">
      <w:pPr>
        <w:pStyle w:val="Listenabsatz"/>
        <w:widowControl w:val="0"/>
        <w:autoSpaceDE w:val="0"/>
        <w:autoSpaceDN w:val="0"/>
        <w:adjustRightInd w:val="0"/>
        <w:spacing w:after="320" w:line="276" w:lineRule="auto"/>
        <w:jc w:val="both"/>
        <w:rPr>
          <w:rFonts w:cs="Arial"/>
          <w:color w:val="3F3F3F"/>
        </w:rPr>
      </w:pPr>
    </w:p>
    <w:p w14:paraId="0B01DC1B" w14:textId="77777777" w:rsidR="00E548C5" w:rsidRPr="00E76C20" w:rsidRDefault="00E548C5" w:rsidP="00BD3AAA">
      <w:pPr>
        <w:pStyle w:val="Listenabsatz"/>
        <w:widowControl w:val="0"/>
        <w:numPr>
          <w:ilvl w:val="0"/>
          <w:numId w:val="6"/>
        </w:numPr>
        <w:autoSpaceDE w:val="0"/>
        <w:autoSpaceDN w:val="0"/>
        <w:adjustRightInd w:val="0"/>
        <w:spacing w:after="320" w:line="276" w:lineRule="auto"/>
        <w:jc w:val="both"/>
        <w:rPr>
          <w:rFonts w:cs="Arial"/>
          <w:color w:val="3F3F3F"/>
        </w:rPr>
      </w:pPr>
      <w:r w:rsidRPr="00E76C20">
        <w:rPr>
          <w:rFonts w:cs="Arial"/>
          <w:color w:val="3F3F3F"/>
        </w:rPr>
        <w:t>In May 2012</w:t>
      </w:r>
      <w:r w:rsidR="00CA5E86" w:rsidRPr="00E76C20">
        <w:rPr>
          <w:rFonts w:cs="Arial"/>
          <w:color w:val="3F3F3F"/>
        </w:rPr>
        <w:t xml:space="preserve"> the Sinhala </w:t>
      </w:r>
      <w:proofErr w:type="spellStart"/>
      <w:r w:rsidR="00CA5E86" w:rsidRPr="00E76C20">
        <w:rPr>
          <w:rFonts w:cs="Arial"/>
          <w:color w:val="3F3F3F"/>
        </w:rPr>
        <w:t>Jathika</w:t>
      </w:r>
      <w:proofErr w:type="spellEnd"/>
      <w:r w:rsidR="00CA5E86" w:rsidRPr="00E76C20">
        <w:rPr>
          <w:rFonts w:cs="Arial"/>
          <w:color w:val="3F3F3F"/>
        </w:rPr>
        <w:t xml:space="preserve"> </w:t>
      </w:r>
      <w:proofErr w:type="spellStart"/>
      <w:r w:rsidR="00CA5E86" w:rsidRPr="00E76C20">
        <w:rPr>
          <w:rFonts w:cs="Arial"/>
          <w:color w:val="3F3F3F"/>
        </w:rPr>
        <w:t>Peramuna</w:t>
      </w:r>
      <w:proofErr w:type="spellEnd"/>
      <w:r w:rsidR="00CA5E86" w:rsidRPr="00E76C20">
        <w:rPr>
          <w:rFonts w:cs="Arial"/>
          <w:color w:val="3F3F3F"/>
        </w:rPr>
        <w:t xml:space="preserve"> has petitioned the Supreme Court to proscribe the Tamil National Alliance, under Article 157A</w:t>
      </w:r>
      <w:r w:rsidR="00CA5E86" w:rsidRPr="00E76C20">
        <w:rPr>
          <w:rStyle w:val="Funotenzeichen"/>
          <w:rFonts w:cs="Arial"/>
          <w:color w:val="3F3F3F"/>
        </w:rPr>
        <w:footnoteReference w:id="32"/>
      </w:r>
      <w:r w:rsidR="00CA5E86" w:rsidRPr="00E76C20">
        <w:rPr>
          <w:rFonts w:cs="Arial"/>
          <w:color w:val="3F3F3F"/>
        </w:rPr>
        <w:t xml:space="preserve">. </w:t>
      </w:r>
      <w:r w:rsidRPr="00E76C20">
        <w:rPr>
          <w:rFonts w:cs="Arial"/>
          <w:color w:val="3F3F3F"/>
        </w:rPr>
        <w:t xml:space="preserve"> </w:t>
      </w:r>
      <w:r w:rsidR="00F5096B" w:rsidRPr="00E76C20">
        <w:rPr>
          <w:rFonts w:cs="Arial"/>
          <w:color w:val="3F3F3F"/>
        </w:rPr>
        <w:t xml:space="preserve">The case is still pending before the court at the time of writing this report. </w:t>
      </w:r>
    </w:p>
    <w:p w14:paraId="6165A344" w14:textId="77777777" w:rsidR="00F5096B" w:rsidRPr="00E76C20" w:rsidRDefault="00F5096B" w:rsidP="00BD3AAA">
      <w:pPr>
        <w:pStyle w:val="Listenabsatz"/>
        <w:widowControl w:val="0"/>
        <w:autoSpaceDE w:val="0"/>
        <w:autoSpaceDN w:val="0"/>
        <w:adjustRightInd w:val="0"/>
        <w:spacing w:after="320" w:line="276" w:lineRule="auto"/>
        <w:jc w:val="both"/>
        <w:rPr>
          <w:rFonts w:cs="Arial"/>
          <w:color w:val="3F3F3F"/>
        </w:rPr>
      </w:pPr>
    </w:p>
    <w:p w14:paraId="13354F08" w14:textId="744FEEED" w:rsidR="006003F4" w:rsidRPr="00E76C20" w:rsidRDefault="00CA5E86" w:rsidP="00BD3AAA">
      <w:pPr>
        <w:pStyle w:val="Listenabsatz"/>
        <w:widowControl w:val="0"/>
        <w:numPr>
          <w:ilvl w:val="0"/>
          <w:numId w:val="6"/>
        </w:numPr>
        <w:autoSpaceDE w:val="0"/>
        <w:autoSpaceDN w:val="0"/>
        <w:adjustRightInd w:val="0"/>
        <w:spacing w:after="320" w:line="276" w:lineRule="auto"/>
        <w:jc w:val="both"/>
        <w:rPr>
          <w:rFonts w:cs="Arial"/>
          <w:color w:val="3F3F3F"/>
        </w:rPr>
      </w:pPr>
      <w:r w:rsidRPr="00E76C20">
        <w:rPr>
          <w:rFonts w:cs="Arial"/>
          <w:color w:val="3F3F3F"/>
        </w:rPr>
        <w:t xml:space="preserve">The Ministry of </w:t>
      </w:r>
      <w:proofErr w:type="spellStart"/>
      <w:r w:rsidRPr="00E76C20">
        <w:rPr>
          <w:rFonts w:cs="Arial"/>
          <w:color w:val="3F3F3F"/>
        </w:rPr>
        <w:t>Defence</w:t>
      </w:r>
      <w:proofErr w:type="spellEnd"/>
      <w:r w:rsidRPr="00E76C20">
        <w:rPr>
          <w:rFonts w:cs="Arial"/>
          <w:color w:val="3F3F3F"/>
        </w:rPr>
        <w:t xml:space="preserve"> in the recent past has published opinion pieces </w:t>
      </w:r>
      <w:r w:rsidRPr="00E76C20">
        <w:rPr>
          <w:rFonts w:cs="Arial"/>
          <w:color w:val="3F3F3F"/>
        </w:rPr>
        <w:lastRenderedPageBreak/>
        <w:t>calling for the use of Article 157A against the Tamil National Alliance</w:t>
      </w:r>
      <w:r w:rsidRPr="00E76C20">
        <w:rPr>
          <w:rStyle w:val="Funotenzeichen"/>
          <w:rFonts w:cs="Arial"/>
          <w:color w:val="3F3F3F"/>
        </w:rPr>
        <w:footnoteReference w:id="33"/>
      </w:r>
      <w:r w:rsidRPr="00E76C20">
        <w:rPr>
          <w:rFonts w:cs="Arial"/>
          <w:color w:val="3F3F3F"/>
        </w:rPr>
        <w:t xml:space="preserve">. Official Government Websites have published articles calling for action to </w:t>
      </w:r>
      <w:r w:rsidR="00E76C20">
        <w:rPr>
          <w:rFonts w:cs="Arial"/>
          <w:color w:val="3F3F3F"/>
        </w:rPr>
        <w:t>be taken under the A</w:t>
      </w:r>
      <w:r w:rsidRPr="00E76C20">
        <w:rPr>
          <w:rFonts w:cs="Arial"/>
          <w:color w:val="3F3F3F"/>
        </w:rPr>
        <w:t>rticle</w:t>
      </w:r>
      <w:r w:rsidR="00E76C20">
        <w:rPr>
          <w:rFonts w:cs="Arial"/>
          <w:color w:val="3F3F3F"/>
        </w:rPr>
        <w:t xml:space="preserve"> 157A</w:t>
      </w:r>
      <w:r w:rsidRPr="00E76C20">
        <w:rPr>
          <w:rFonts w:cs="Arial"/>
          <w:color w:val="3F3F3F"/>
        </w:rPr>
        <w:t xml:space="preserve"> against political actors who have spoken up for the right to collective memory of the Tamils</w:t>
      </w:r>
      <w:r w:rsidRPr="00E76C20">
        <w:rPr>
          <w:rStyle w:val="Funotenzeichen"/>
          <w:rFonts w:cs="Arial"/>
          <w:color w:val="3F3F3F"/>
        </w:rPr>
        <w:footnoteReference w:id="34"/>
      </w:r>
      <w:r w:rsidRPr="00E76C20">
        <w:rPr>
          <w:rFonts w:cs="Arial"/>
          <w:color w:val="3F3F3F"/>
        </w:rPr>
        <w:t xml:space="preserve">. </w:t>
      </w:r>
    </w:p>
    <w:p w14:paraId="7F25ABE3" w14:textId="398DE4B9" w:rsidR="000D721A" w:rsidRPr="00E76C20" w:rsidRDefault="000D721A" w:rsidP="00BD3AAA">
      <w:pPr>
        <w:widowControl w:val="0"/>
        <w:autoSpaceDE w:val="0"/>
        <w:autoSpaceDN w:val="0"/>
        <w:adjustRightInd w:val="0"/>
        <w:spacing w:after="320" w:line="276" w:lineRule="auto"/>
        <w:jc w:val="both"/>
        <w:rPr>
          <w:rFonts w:cs="Arial"/>
          <w:color w:val="3F3F3F"/>
        </w:rPr>
      </w:pPr>
      <w:r w:rsidRPr="00E76C20">
        <w:rPr>
          <w:rFonts w:cs="Arial"/>
          <w:color w:val="3F3F3F"/>
        </w:rPr>
        <w:t xml:space="preserve">The </w:t>
      </w:r>
      <w:r w:rsidR="00E76C20">
        <w:rPr>
          <w:rFonts w:cs="Arial"/>
          <w:color w:val="3F3F3F"/>
        </w:rPr>
        <w:t xml:space="preserve">above mentioned demonstrates that the </w:t>
      </w:r>
      <w:r w:rsidRPr="00E76C20">
        <w:rPr>
          <w:rFonts w:cs="Arial"/>
          <w:color w:val="3F3F3F"/>
        </w:rPr>
        <w:t xml:space="preserve">purpose of criminalizing Tamil </w:t>
      </w:r>
      <w:r w:rsidR="00F21BAA" w:rsidRPr="00E76C20">
        <w:rPr>
          <w:rFonts w:cs="Arial"/>
          <w:color w:val="3F3F3F"/>
        </w:rPr>
        <w:t>self-determination</w:t>
      </w:r>
      <w:r w:rsidRPr="00E76C20">
        <w:rPr>
          <w:rFonts w:cs="Arial"/>
          <w:color w:val="3F3F3F"/>
        </w:rPr>
        <w:t xml:space="preserve"> politics through the Si</w:t>
      </w:r>
      <w:r w:rsidR="00F21BAA" w:rsidRPr="00E76C20">
        <w:rPr>
          <w:rFonts w:cs="Arial"/>
          <w:color w:val="3F3F3F"/>
        </w:rPr>
        <w:t>xth amendment is to curtail open political communication</w:t>
      </w:r>
      <w:r w:rsidRPr="00E76C20">
        <w:rPr>
          <w:rFonts w:cs="Arial"/>
          <w:color w:val="3F3F3F"/>
        </w:rPr>
        <w:t xml:space="preserve"> of Tamil politics</w:t>
      </w:r>
      <w:r w:rsidR="00F21BAA" w:rsidRPr="00E76C20">
        <w:rPr>
          <w:rFonts w:cs="Arial"/>
          <w:color w:val="3F3F3F"/>
        </w:rPr>
        <w:t xml:space="preserve"> in its entirety</w:t>
      </w:r>
      <w:r w:rsidRPr="00E76C20">
        <w:rPr>
          <w:rFonts w:cs="Arial"/>
          <w:color w:val="3F3F3F"/>
        </w:rPr>
        <w:t>. While the law itself has not been directly used to proscribe political parti</w:t>
      </w:r>
      <w:r w:rsidR="00F21BAA" w:rsidRPr="00E76C20">
        <w:rPr>
          <w:rFonts w:cs="Arial"/>
          <w:color w:val="3F3F3F"/>
        </w:rPr>
        <w:t xml:space="preserve">es or </w:t>
      </w:r>
      <w:proofErr w:type="spellStart"/>
      <w:r w:rsidR="00F21BAA" w:rsidRPr="00E76C20">
        <w:rPr>
          <w:rFonts w:cs="Arial"/>
          <w:color w:val="3F3F3F"/>
        </w:rPr>
        <w:t>organisations</w:t>
      </w:r>
      <w:proofErr w:type="spellEnd"/>
      <w:r w:rsidR="00F21BAA" w:rsidRPr="00E76C20">
        <w:rPr>
          <w:rFonts w:cs="Arial"/>
          <w:color w:val="3F3F3F"/>
        </w:rPr>
        <w:t xml:space="preserve"> in the post-</w:t>
      </w:r>
      <w:r w:rsidRPr="00E76C20">
        <w:rPr>
          <w:rFonts w:cs="Arial"/>
          <w:color w:val="3F3F3F"/>
        </w:rPr>
        <w:t>war context</w:t>
      </w:r>
      <w:r w:rsidR="00F21BAA" w:rsidRPr="00E76C20">
        <w:rPr>
          <w:rFonts w:cs="Arial"/>
          <w:color w:val="3F3F3F"/>
        </w:rPr>
        <w:t xml:space="preserve">, the environment of fear that it creates is a significant threat to the exercise of Article 1 of the ICCPR. </w:t>
      </w:r>
      <w:r w:rsidRPr="00E76C20">
        <w:rPr>
          <w:rFonts w:cs="Arial"/>
          <w:color w:val="3F3F3F"/>
        </w:rPr>
        <w:t xml:space="preserve"> </w:t>
      </w:r>
    </w:p>
    <w:p w14:paraId="63401654" w14:textId="77777777" w:rsidR="00F21BAA" w:rsidRPr="00E76C20" w:rsidRDefault="00BD3AAA" w:rsidP="006A3EA2">
      <w:pPr>
        <w:widowControl w:val="0"/>
        <w:autoSpaceDE w:val="0"/>
        <w:autoSpaceDN w:val="0"/>
        <w:adjustRightInd w:val="0"/>
        <w:spacing w:after="320" w:line="276" w:lineRule="auto"/>
        <w:jc w:val="both"/>
        <w:outlineLvl w:val="0"/>
        <w:rPr>
          <w:rFonts w:cs="Arial"/>
          <w:b/>
          <w:color w:val="3F3F3F"/>
        </w:rPr>
      </w:pPr>
      <w:r w:rsidRPr="00E76C20">
        <w:rPr>
          <w:rFonts w:cs="Arial"/>
          <w:b/>
          <w:color w:val="3F3F3F"/>
        </w:rPr>
        <w:t xml:space="preserve">E.2. </w:t>
      </w:r>
      <w:proofErr w:type="gramStart"/>
      <w:r w:rsidR="00F21BAA" w:rsidRPr="00E76C20">
        <w:rPr>
          <w:rFonts w:cs="Arial"/>
          <w:b/>
          <w:color w:val="3F3F3F"/>
        </w:rPr>
        <w:t>The</w:t>
      </w:r>
      <w:proofErr w:type="gramEnd"/>
      <w:r w:rsidR="00F21BAA" w:rsidRPr="00E76C20">
        <w:rPr>
          <w:rFonts w:cs="Arial"/>
          <w:b/>
          <w:color w:val="3F3F3F"/>
        </w:rPr>
        <w:t xml:space="preserve"> Prevention of Terrorism Act </w:t>
      </w:r>
    </w:p>
    <w:p w14:paraId="2CA57FE4" w14:textId="77777777" w:rsidR="00F21BAA" w:rsidRPr="00E76C20" w:rsidRDefault="00F21BAA" w:rsidP="00BD3AAA">
      <w:pPr>
        <w:widowControl w:val="0"/>
        <w:autoSpaceDE w:val="0"/>
        <w:autoSpaceDN w:val="0"/>
        <w:adjustRightInd w:val="0"/>
        <w:spacing w:after="320" w:line="276" w:lineRule="auto"/>
        <w:jc w:val="both"/>
        <w:rPr>
          <w:rFonts w:cs="Arial"/>
          <w:color w:val="3F3F3F"/>
        </w:rPr>
      </w:pPr>
      <w:r w:rsidRPr="00E76C20">
        <w:rPr>
          <w:rFonts w:cs="Arial"/>
          <w:color w:val="3F3F3F"/>
        </w:rPr>
        <w:t>The provisions of the PTA referred to in Section of t</w:t>
      </w:r>
      <w:r w:rsidR="007C0273" w:rsidRPr="00E76C20">
        <w:rPr>
          <w:rFonts w:cs="Arial"/>
          <w:color w:val="3F3F3F"/>
        </w:rPr>
        <w:t>his report quite blatantly constitute serious infringements of Article 9, 10, 12 and 14 of the ICCPR but also impact upon Article 1 of the ICCPR.</w:t>
      </w:r>
    </w:p>
    <w:p w14:paraId="64280C77" w14:textId="77777777" w:rsidR="00A86D22" w:rsidRPr="00E76C20" w:rsidRDefault="00AC27F5" w:rsidP="00BD3AAA">
      <w:pPr>
        <w:widowControl w:val="0"/>
        <w:autoSpaceDE w:val="0"/>
        <w:autoSpaceDN w:val="0"/>
        <w:adjustRightInd w:val="0"/>
        <w:spacing w:after="320" w:line="276" w:lineRule="auto"/>
        <w:jc w:val="both"/>
        <w:rPr>
          <w:rFonts w:cs="Arial"/>
          <w:color w:val="3F3F3F"/>
        </w:rPr>
      </w:pPr>
      <w:r w:rsidRPr="00E76C20">
        <w:rPr>
          <w:rFonts w:cs="Arial"/>
          <w:color w:val="3F3F3F"/>
        </w:rPr>
        <w:t>T</w:t>
      </w:r>
      <w:r w:rsidR="0054148F" w:rsidRPr="00E76C20">
        <w:rPr>
          <w:rFonts w:cs="Arial"/>
          <w:color w:val="3F3F3F"/>
        </w:rPr>
        <w:t xml:space="preserve">he Prevention of </w:t>
      </w:r>
      <w:r w:rsidR="000D0747" w:rsidRPr="00E76C20">
        <w:rPr>
          <w:rFonts w:cs="Arial"/>
          <w:color w:val="3F3F3F"/>
        </w:rPr>
        <w:t>Terrorism</w:t>
      </w:r>
      <w:r w:rsidR="007C0273" w:rsidRPr="00E76C20">
        <w:rPr>
          <w:rFonts w:cs="Arial"/>
          <w:color w:val="3F3F3F"/>
        </w:rPr>
        <w:t xml:space="preserve"> Act similar to Article 157A of the Constitution is</w:t>
      </w:r>
      <w:r w:rsidR="000D0747" w:rsidRPr="00E76C20">
        <w:rPr>
          <w:rFonts w:cs="Arial"/>
          <w:color w:val="3F3F3F"/>
        </w:rPr>
        <w:t xml:space="preserve"> used to curtail and </w:t>
      </w:r>
      <w:proofErr w:type="spellStart"/>
      <w:r w:rsidR="000D0747" w:rsidRPr="00E76C20">
        <w:rPr>
          <w:rFonts w:cs="Arial"/>
          <w:color w:val="3F3F3F"/>
        </w:rPr>
        <w:t>criminalise</w:t>
      </w:r>
      <w:proofErr w:type="spellEnd"/>
      <w:r w:rsidR="000D0747" w:rsidRPr="00E76C20">
        <w:rPr>
          <w:rFonts w:cs="Arial"/>
          <w:color w:val="3F3F3F"/>
        </w:rPr>
        <w:t xml:space="preserve"> Tamil politics. </w:t>
      </w:r>
      <w:r w:rsidR="00F60B8C" w:rsidRPr="00E76C20">
        <w:rPr>
          <w:rFonts w:cs="Arial"/>
          <w:color w:val="3F3F3F"/>
        </w:rPr>
        <w:t>Four</w:t>
      </w:r>
      <w:r w:rsidR="00A86D22" w:rsidRPr="00E76C20">
        <w:rPr>
          <w:rFonts w:cs="Arial"/>
          <w:color w:val="3F3F3F"/>
        </w:rPr>
        <w:t xml:space="preserve"> such recent cases are highlighted: </w:t>
      </w:r>
    </w:p>
    <w:p w14:paraId="6F732BBC" w14:textId="0957ABB2" w:rsidR="00A86D22" w:rsidRPr="00E76C20" w:rsidRDefault="000D0747" w:rsidP="00BD3AAA">
      <w:pPr>
        <w:pStyle w:val="Listenabsatz"/>
        <w:widowControl w:val="0"/>
        <w:numPr>
          <w:ilvl w:val="0"/>
          <w:numId w:val="8"/>
        </w:numPr>
        <w:autoSpaceDE w:val="0"/>
        <w:autoSpaceDN w:val="0"/>
        <w:adjustRightInd w:val="0"/>
        <w:spacing w:after="320" w:line="276" w:lineRule="auto"/>
        <w:jc w:val="both"/>
        <w:rPr>
          <w:rFonts w:cs="Arial"/>
          <w:color w:val="3F3F3F"/>
        </w:rPr>
      </w:pPr>
      <w:r w:rsidRPr="00E76C20">
        <w:rPr>
          <w:rFonts w:cs="Arial"/>
          <w:color w:val="3F3F3F"/>
        </w:rPr>
        <w:t xml:space="preserve">The most high profile of such cases was the one against J.S. </w:t>
      </w:r>
      <w:proofErr w:type="spellStart"/>
      <w:r w:rsidRPr="00E76C20">
        <w:rPr>
          <w:rFonts w:cs="Arial"/>
          <w:color w:val="3F3F3F"/>
        </w:rPr>
        <w:t>Tissanayagam</w:t>
      </w:r>
      <w:proofErr w:type="spellEnd"/>
      <w:r w:rsidR="00C82DB2" w:rsidRPr="00E76C20">
        <w:rPr>
          <w:rFonts w:cs="Arial"/>
          <w:color w:val="3F3F3F"/>
        </w:rPr>
        <w:t>, a Tamil journalist and editor,</w:t>
      </w:r>
      <w:r w:rsidRPr="00E76C20">
        <w:rPr>
          <w:rFonts w:cs="Arial"/>
          <w:color w:val="3F3F3F"/>
        </w:rPr>
        <w:t xml:space="preserve"> who was</w:t>
      </w:r>
      <w:r w:rsidR="006C1A7B" w:rsidRPr="00E76C20">
        <w:rPr>
          <w:rFonts w:cs="Arial"/>
          <w:color w:val="3F3F3F"/>
        </w:rPr>
        <w:t xml:space="preserve"> arrested in 2008 and</w:t>
      </w:r>
      <w:r w:rsidRPr="00E76C20">
        <w:rPr>
          <w:rFonts w:cs="Arial"/>
          <w:color w:val="3F3F3F"/>
        </w:rPr>
        <w:t xml:space="preserve"> convicted </w:t>
      </w:r>
      <w:r w:rsidR="00AC27F5" w:rsidRPr="00E76C20">
        <w:rPr>
          <w:rFonts w:cs="Arial"/>
          <w:color w:val="3F3F3F"/>
        </w:rPr>
        <w:t xml:space="preserve">under Section 2(1) (h) </w:t>
      </w:r>
      <w:r w:rsidRPr="00E76C20">
        <w:rPr>
          <w:rFonts w:cs="Arial"/>
          <w:color w:val="3F3F3F"/>
        </w:rPr>
        <w:t xml:space="preserve">for writing and publishing articles critical of the Sri Lankan military’s </w:t>
      </w:r>
      <w:r w:rsidR="00C82DB2" w:rsidRPr="00E76C20">
        <w:rPr>
          <w:rFonts w:cs="Arial"/>
          <w:color w:val="3F3F3F"/>
        </w:rPr>
        <w:t xml:space="preserve">conduct of the war in </w:t>
      </w:r>
      <w:r w:rsidRPr="00E76C20">
        <w:rPr>
          <w:rFonts w:cs="Arial"/>
          <w:color w:val="3F3F3F"/>
        </w:rPr>
        <w:t>violations of principles of humanitarian law. The state prosecutor argued in cour</w:t>
      </w:r>
      <w:r w:rsidR="00C82DB2" w:rsidRPr="00E76C20">
        <w:rPr>
          <w:rFonts w:cs="Arial"/>
          <w:color w:val="3F3F3F"/>
        </w:rPr>
        <w:t>t that criticism of the Sinhala-</w:t>
      </w:r>
      <w:r w:rsidRPr="00E76C20">
        <w:rPr>
          <w:rFonts w:cs="Arial"/>
          <w:color w:val="3F3F3F"/>
        </w:rPr>
        <w:t>only Army would create communal disharmony between the Ta</w:t>
      </w:r>
      <w:r w:rsidR="00E76C20">
        <w:rPr>
          <w:rFonts w:cs="Arial"/>
          <w:color w:val="3F3F3F"/>
        </w:rPr>
        <w:t>mils and the Sinhala community</w:t>
      </w:r>
      <w:r w:rsidRPr="00E76C20">
        <w:rPr>
          <w:rFonts w:cs="Arial"/>
          <w:color w:val="3F3F3F"/>
        </w:rPr>
        <w:t xml:space="preserve">. </w:t>
      </w:r>
      <w:proofErr w:type="spellStart"/>
      <w:r w:rsidR="00C82DB2" w:rsidRPr="00E76C20">
        <w:rPr>
          <w:rFonts w:cs="Arial"/>
          <w:color w:val="3F3F3F"/>
        </w:rPr>
        <w:t>Tissanayagam</w:t>
      </w:r>
      <w:proofErr w:type="spellEnd"/>
      <w:r w:rsidR="00C82DB2" w:rsidRPr="00E76C20">
        <w:rPr>
          <w:rFonts w:cs="Arial"/>
          <w:color w:val="3F3F3F"/>
        </w:rPr>
        <w:t xml:space="preserve"> was sentenced to 20 years imprisonment and subsequently released on a Presidential pardon following internati</w:t>
      </w:r>
      <w:r w:rsidR="00F5096B" w:rsidRPr="00E76C20">
        <w:rPr>
          <w:rFonts w:cs="Arial"/>
          <w:color w:val="3F3F3F"/>
        </w:rPr>
        <w:t xml:space="preserve">onal pressure and condemnation. </w:t>
      </w:r>
    </w:p>
    <w:p w14:paraId="3061CAD3" w14:textId="77777777" w:rsidR="006C1A7B" w:rsidRPr="00E76C20" w:rsidRDefault="006C1A7B" w:rsidP="00BD3AAA">
      <w:pPr>
        <w:pStyle w:val="Listenabsatz"/>
        <w:widowControl w:val="0"/>
        <w:autoSpaceDE w:val="0"/>
        <w:autoSpaceDN w:val="0"/>
        <w:adjustRightInd w:val="0"/>
        <w:spacing w:after="320" w:line="276" w:lineRule="auto"/>
        <w:jc w:val="both"/>
        <w:rPr>
          <w:rFonts w:cs="Arial"/>
          <w:color w:val="3F3F3F"/>
        </w:rPr>
      </w:pPr>
    </w:p>
    <w:p w14:paraId="0362769A" w14:textId="6D808EBD" w:rsidR="00E76C20" w:rsidRPr="00E76C20" w:rsidRDefault="006C1A7B" w:rsidP="00E76C20">
      <w:pPr>
        <w:pStyle w:val="Listenabsatz"/>
        <w:widowControl w:val="0"/>
        <w:numPr>
          <w:ilvl w:val="0"/>
          <w:numId w:val="8"/>
        </w:numPr>
        <w:autoSpaceDE w:val="0"/>
        <w:autoSpaceDN w:val="0"/>
        <w:adjustRightInd w:val="0"/>
        <w:spacing w:after="320" w:line="276" w:lineRule="auto"/>
        <w:jc w:val="both"/>
        <w:rPr>
          <w:rFonts w:cs="Arial"/>
          <w:color w:val="3F3F3F"/>
        </w:rPr>
      </w:pPr>
      <w:r w:rsidRPr="00E76C20">
        <w:rPr>
          <w:rFonts w:cs="Arial"/>
          <w:color w:val="3F3F3F"/>
        </w:rPr>
        <w:t>In</w:t>
      </w:r>
      <w:r w:rsidR="000D0747" w:rsidRPr="00E76C20">
        <w:rPr>
          <w:rFonts w:cs="Arial"/>
          <w:color w:val="3F3F3F"/>
        </w:rPr>
        <w:t xml:space="preserve"> </w:t>
      </w:r>
      <w:r w:rsidR="006240E0" w:rsidRPr="00E76C20">
        <w:rPr>
          <w:rFonts w:cs="Arial"/>
          <w:color w:val="3F3F3F"/>
        </w:rPr>
        <w:t>November 2012, in the post-</w:t>
      </w:r>
      <w:r w:rsidR="000D0747" w:rsidRPr="00E76C20">
        <w:rPr>
          <w:rFonts w:cs="Arial"/>
          <w:color w:val="3F3F3F"/>
        </w:rPr>
        <w:t xml:space="preserve">war context four students attached to the </w:t>
      </w:r>
      <w:r w:rsidR="000D0747" w:rsidRPr="00E76C20">
        <w:rPr>
          <w:rFonts w:cs="Arial"/>
          <w:color w:val="3F3F3F"/>
        </w:rPr>
        <w:lastRenderedPageBreak/>
        <w:t>University of Jaffna were arrested</w:t>
      </w:r>
      <w:r w:rsidR="00C82DB2" w:rsidRPr="00E76C20">
        <w:rPr>
          <w:rStyle w:val="Funotenzeichen"/>
          <w:rFonts w:cs="Arial"/>
          <w:color w:val="3F3F3F"/>
        </w:rPr>
        <w:footnoteReference w:id="35"/>
      </w:r>
      <w:r w:rsidR="000D0747" w:rsidRPr="00E76C20">
        <w:rPr>
          <w:rFonts w:cs="Arial"/>
          <w:color w:val="3F3F3F"/>
        </w:rPr>
        <w:t xml:space="preserve"> and sent for </w:t>
      </w:r>
      <w:r w:rsidR="00C82DB2" w:rsidRPr="00E76C20">
        <w:rPr>
          <w:rFonts w:cs="Arial"/>
          <w:color w:val="3F3F3F"/>
        </w:rPr>
        <w:t>‘</w:t>
      </w:r>
      <w:r w:rsidR="000D0747" w:rsidRPr="00E76C20">
        <w:rPr>
          <w:rFonts w:cs="Arial"/>
          <w:color w:val="3F3F3F"/>
        </w:rPr>
        <w:t>rehabilitation</w:t>
      </w:r>
      <w:r w:rsidR="00C82DB2" w:rsidRPr="00E76C20">
        <w:rPr>
          <w:rFonts w:cs="Arial"/>
          <w:color w:val="3F3F3F"/>
        </w:rPr>
        <w:t>’</w:t>
      </w:r>
      <w:r w:rsidR="000D0747" w:rsidRPr="00E76C20">
        <w:rPr>
          <w:rFonts w:cs="Arial"/>
          <w:color w:val="3F3F3F"/>
        </w:rPr>
        <w:t xml:space="preserve"> </w:t>
      </w:r>
      <w:r w:rsidR="00C82DB2" w:rsidRPr="00E76C20">
        <w:rPr>
          <w:rFonts w:cs="Arial"/>
          <w:color w:val="3F3F3F"/>
        </w:rPr>
        <w:t xml:space="preserve">for more than four months, </w:t>
      </w:r>
      <w:r w:rsidR="006240E0" w:rsidRPr="00E76C20">
        <w:rPr>
          <w:rFonts w:cs="Arial"/>
          <w:color w:val="3F3F3F"/>
        </w:rPr>
        <w:t>under the newly enacted regulations promulgated under the PTA for holding events at the university in remembrance of the dead in the war</w:t>
      </w:r>
      <w:r w:rsidR="006240E0" w:rsidRPr="00E76C20">
        <w:rPr>
          <w:rStyle w:val="Funotenzeichen"/>
          <w:rFonts w:cs="Arial"/>
          <w:color w:val="3F3F3F"/>
        </w:rPr>
        <w:footnoteReference w:id="36"/>
      </w:r>
      <w:r w:rsidR="006240E0" w:rsidRPr="00E76C20">
        <w:rPr>
          <w:rFonts w:cs="Arial"/>
          <w:color w:val="3F3F3F"/>
        </w:rPr>
        <w:t xml:space="preserve">. </w:t>
      </w:r>
    </w:p>
    <w:p w14:paraId="77F0D84D" w14:textId="77777777" w:rsidR="00E76C20" w:rsidRPr="00E76C20" w:rsidRDefault="00E76C20" w:rsidP="00E76C20">
      <w:pPr>
        <w:pStyle w:val="Listenabsatz"/>
        <w:widowControl w:val="0"/>
        <w:autoSpaceDE w:val="0"/>
        <w:autoSpaceDN w:val="0"/>
        <w:adjustRightInd w:val="0"/>
        <w:spacing w:after="320" w:line="276" w:lineRule="auto"/>
        <w:jc w:val="both"/>
        <w:rPr>
          <w:rFonts w:cs="Arial"/>
          <w:color w:val="3F3F3F"/>
        </w:rPr>
      </w:pPr>
    </w:p>
    <w:p w14:paraId="79E6DB19" w14:textId="77777777" w:rsidR="00A86D22" w:rsidRPr="00E76C20" w:rsidRDefault="00A86D22" w:rsidP="00BD3AAA">
      <w:pPr>
        <w:pStyle w:val="Listenabsatz"/>
        <w:widowControl w:val="0"/>
        <w:numPr>
          <w:ilvl w:val="0"/>
          <w:numId w:val="8"/>
        </w:numPr>
        <w:autoSpaceDE w:val="0"/>
        <w:autoSpaceDN w:val="0"/>
        <w:adjustRightInd w:val="0"/>
        <w:spacing w:after="320" w:line="276" w:lineRule="auto"/>
        <w:jc w:val="both"/>
        <w:rPr>
          <w:rFonts w:cs="Arial"/>
          <w:color w:val="3F3F3F"/>
        </w:rPr>
      </w:pPr>
      <w:r w:rsidRPr="00E76C20">
        <w:rPr>
          <w:rFonts w:cs="Arial"/>
          <w:color w:val="1A1A1A"/>
        </w:rPr>
        <w:t xml:space="preserve">Dr. E. </w:t>
      </w:r>
      <w:proofErr w:type="spellStart"/>
      <w:r w:rsidRPr="00E76C20">
        <w:rPr>
          <w:rFonts w:cs="Arial"/>
          <w:color w:val="1A1A1A"/>
        </w:rPr>
        <w:t>Shivashankar</w:t>
      </w:r>
      <w:proofErr w:type="spellEnd"/>
      <w:r w:rsidRPr="00E76C20">
        <w:rPr>
          <w:rFonts w:cs="Arial"/>
          <w:color w:val="1A1A1A"/>
        </w:rPr>
        <w:t>, Senior Medical Doctor from Jaffna, attached to the</w:t>
      </w:r>
      <w:r w:rsidR="006C1A7B" w:rsidRPr="00E76C20">
        <w:rPr>
          <w:rFonts w:cs="Arial"/>
          <w:color w:val="1A1A1A"/>
        </w:rPr>
        <w:t xml:space="preserve"> </w:t>
      </w:r>
      <w:proofErr w:type="spellStart"/>
      <w:r w:rsidRPr="00E76C20">
        <w:rPr>
          <w:rFonts w:cs="Arial"/>
          <w:color w:val="1A1A1A"/>
        </w:rPr>
        <w:t>the</w:t>
      </w:r>
      <w:proofErr w:type="spellEnd"/>
      <w:r w:rsidRPr="00E76C20">
        <w:rPr>
          <w:rFonts w:cs="Arial"/>
          <w:color w:val="1A1A1A"/>
        </w:rPr>
        <w:t xml:space="preserve"> Regional Director</w:t>
      </w:r>
      <w:r w:rsidR="006C1A7B" w:rsidRPr="00E76C20">
        <w:rPr>
          <w:rFonts w:cs="Arial"/>
          <w:color w:val="1A1A1A"/>
        </w:rPr>
        <w:t xml:space="preserve"> </w:t>
      </w:r>
      <w:r w:rsidRPr="00E76C20">
        <w:rPr>
          <w:rFonts w:cs="Arial"/>
          <w:color w:val="1A1A1A"/>
        </w:rPr>
        <w:t>for Health Se</w:t>
      </w:r>
      <w:r w:rsidR="006C1A7B" w:rsidRPr="00E76C20">
        <w:rPr>
          <w:rFonts w:cs="Arial"/>
          <w:color w:val="1A1A1A"/>
        </w:rPr>
        <w:t>rvices (RDHS) office in Jaffna was t</w:t>
      </w:r>
      <w:r w:rsidRPr="00E76C20">
        <w:rPr>
          <w:rFonts w:cs="Arial"/>
          <w:color w:val="1A1A1A"/>
        </w:rPr>
        <w:t>ransferred to Anuradhapura on 12 December 2012 by the Ministry of</w:t>
      </w:r>
      <w:r w:rsidR="006C1A7B" w:rsidRPr="00E76C20">
        <w:rPr>
          <w:rFonts w:cs="Arial"/>
          <w:color w:val="1A1A1A"/>
        </w:rPr>
        <w:t xml:space="preserve"> </w:t>
      </w:r>
      <w:r w:rsidRPr="00E76C20">
        <w:rPr>
          <w:rFonts w:cs="Arial"/>
          <w:color w:val="1A1A1A"/>
        </w:rPr>
        <w:t xml:space="preserve">Health on the 'recommendation' of the Northern Province </w:t>
      </w:r>
      <w:r w:rsidR="006C1A7B" w:rsidRPr="00E76C20">
        <w:rPr>
          <w:rFonts w:cs="Arial"/>
          <w:color w:val="1A1A1A"/>
        </w:rPr>
        <w:t xml:space="preserve">Military </w:t>
      </w:r>
      <w:r w:rsidRPr="00E76C20">
        <w:rPr>
          <w:rFonts w:cs="Arial"/>
          <w:color w:val="1A1A1A"/>
        </w:rPr>
        <w:t>Governor for</w:t>
      </w:r>
      <w:r w:rsidR="006C1A7B" w:rsidRPr="00E76C20">
        <w:rPr>
          <w:rFonts w:cs="Arial"/>
          <w:color w:val="1A1A1A"/>
        </w:rPr>
        <w:t xml:space="preserve"> </w:t>
      </w:r>
      <w:r w:rsidRPr="00E76C20">
        <w:rPr>
          <w:rFonts w:cs="Arial"/>
          <w:color w:val="1A1A1A"/>
        </w:rPr>
        <w:t>writ</w:t>
      </w:r>
      <w:r w:rsidR="006C1A7B" w:rsidRPr="00E76C20">
        <w:rPr>
          <w:rFonts w:cs="Arial"/>
          <w:color w:val="1A1A1A"/>
        </w:rPr>
        <w:t>ing a an article in a local</w:t>
      </w:r>
      <w:r w:rsidRPr="00E76C20">
        <w:rPr>
          <w:rFonts w:cs="Arial"/>
          <w:color w:val="1A1A1A"/>
        </w:rPr>
        <w:t xml:space="preserve"> newspaper</w:t>
      </w:r>
      <w:r w:rsidR="006C1A7B" w:rsidRPr="00E76C20">
        <w:rPr>
          <w:rFonts w:cs="Arial"/>
          <w:color w:val="1A1A1A"/>
        </w:rPr>
        <w:t xml:space="preserve"> in which he expressed his views regarding the current plight of the Tamil people</w:t>
      </w:r>
      <w:r w:rsidRPr="00E76C20">
        <w:rPr>
          <w:rFonts w:cs="Arial"/>
          <w:color w:val="1A1A1A"/>
        </w:rPr>
        <w:t>.</w:t>
      </w:r>
      <w:r w:rsidR="006C1A7B" w:rsidRPr="00E76C20">
        <w:rPr>
          <w:rFonts w:cs="Arial"/>
          <w:color w:val="1A1A1A"/>
        </w:rPr>
        <w:t xml:space="preserve"> Later in December 2012 he visited</w:t>
      </w:r>
      <w:r w:rsidRPr="00E76C20">
        <w:rPr>
          <w:rFonts w:cs="Arial"/>
          <w:color w:val="1A1A1A"/>
        </w:rPr>
        <w:t xml:space="preserve"> </w:t>
      </w:r>
      <w:proofErr w:type="spellStart"/>
      <w:r w:rsidRPr="00E76C20">
        <w:rPr>
          <w:rFonts w:cs="Arial"/>
          <w:color w:val="1A1A1A"/>
        </w:rPr>
        <w:t>Mullaitivu</w:t>
      </w:r>
      <w:proofErr w:type="spellEnd"/>
      <w:r w:rsidRPr="00E76C20">
        <w:rPr>
          <w:rFonts w:cs="Arial"/>
          <w:color w:val="1A1A1A"/>
        </w:rPr>
        <w:t xml:space="preserve"> to find out more regarding allegations that Tamil</w:t>
      </w:r>
      <w:r w:rsidR="006C1A7B" w:rsidRPr="00E76C20">
        <w:rPr>
          <w:rFonts w:cs="Arial"/>
          <w:color w:val="1A1A1A"/>
        </w:rPr>
        <w:t xml:space="preserve"> </w:t>
      </w:r>
      <w:r w:rsidRPr="00E76C20">
        <w:rPr>
          <w:rFonts w:cs="Arial"/>
          <w:color w:val="1A1A1A"/>
        </w:rPr>
        <w:t xml:space="preserve">women recently recruited from </w:t>
      </w:r>
      <w:proofErr w:type="spellStart"/>
      <w:r w:rsidRPr="00E76C20">
        <w:rPr>
          <w:rFonts w:cs="Arial"/>
          <w:color w:val="1A1A1A"/>
        </w:rPr>
        <w:t>Killinochchi</w:t>
      </w:r>
      <w:proofErr w:type="spellEnd"/>
      <w:r w:rsidRPr="00E76C20">
        <w:rPr>
          <w:rFonts w:cs="Arial"/>
          <w:color w:val="1A1A1A"/>
        </w:rPr>
        <w:t xml:space="preserve"> to the SLA had been</w:t>
      </w:r>
      <w:r w:rsidR="006C1A7B" w:rsidRPr="00E76C20">
        <w:rPr>
          <w:rFonts w:cs="Arial"/>
          <w:color w:val="1A1A1A"/>
        </w:rPr>
        <w:t xml:space="preserve"> </w:t>
      </w:r>
      <w:r w:rsidRPr="00E76C20">
        <w:rPr>
          <w:rFonts w:cs="Arial"/>
          <w:color w:val="1A1A1A"/>
        </w:rPr>
        <w:t>sexually harassed by the SLA. One such family he met wanted him to</w:t>
      </w:r>
      <w:r w:rsidR="006C1A7B" w:rsidRPr="00E76C20">
        <w:rPr>
          <w:rFonts w:cs="Arial"/>
          <w:color w:val="1A1A1A"/>
        </w:rPr>
        <w:t xml:space="preserve"> </w:t>
      </w:r>
      <w:r w:rsidRPr="00E76C20">
        <w:rPr>
          <w:rFonts w:cs="Arial"/>
          <w:color w:val="1A1A1A"/>
        </w:rPr>
        <w:t xml:space="preserve">accompany them to the </w:t>
      </w:r>
      <w:proofErr w:type="spellStart"/>
      <w:r w:rsidRPr="00E76C20">
        <w:rPr>
          <w:rFonts w:cs="Arial"/>
          <w:color w:val="1A1A1A"/>
        </w:rPr>
        <w:t>Kokkavil</w:t>
      </w:r>
      <w:proofErr w:type="spellEnd"/>
      <w:r w:rsidRPr="00E76C20">
        <w:rPr>
          <w:rFonts w:cs="Arial"/>
          <w:color w:val="1A1A1A"/>
        </w:rPr>
        <w:t xml:space="preserve"> Army camp in </w:t>
      </w:r>
      <w:proofErr w:type="spellStart"/>
      <w:r w:rsidRPr="00E76C20">
        <w:rPr>
          <w:rFonts w:cs="Arial"/>
          <w:color w:val="1A1A1A"/>
        </w:rPr>
        <w:t>Mullaitivu</w:t>
      </w:r>
      <w:proofErr w:type="spellEnd"/>
      <w:r w:rsidRPr="00E76C20">
        <w:rPr>
          <w:rFonts w:cs="Arial"/>
          <w:color w:val="1A1A1A"/>
        </w:rPr>
        <w:t xml:space="preserve"> to seek the</w:t>
      </w:r>
      <w:r w:rsidR="006C1A7B" w:rsidRPr="00E76C20">
        <w:rPr>
          <w:rFonts w:cs="Arial"/>
          <w:color w:val="1A1A1A"/>
        </w:rPr>
        <w:t xml:space="preserve"> </w:t>
      </w:r>
      <w:r w:rsidRPr="00E76C20">
        <w:rPr>
          <w:rFonts w:cs="Arial"/>
          <w:color w:val="1A1A1A"/>
        </w:rPr>
        <w:t>release of their daughter. He accompanied them primarily to help with</w:t>
      </w:r>
      <w:r w:rsidR="006C1A7B" w:rsidRPr="00E76C20">
        <w:rPr>
          <w:rFonts w:cs="Arial"/>
          <w:color w:val="1A1A1A"/>
        </w:rPr>
        <w:t xml:space="preserve"> </w:t>
      </w:r>
      <w:r w:rsidRPr="00E76C20">
        <w:rPr>
          <w:rFonts w:cs="Arial"/>
          <w:color w:val="1A1A1A"/>
        </w:rPr>
        <w:t>Sinhala</w:t>
      </w:r>
      <w:r w:rsidR="006C1A7B" w:rsidRPr="00E76C20">
        <w:rPr>
          <w:rFonts w:cs="Arial"/>
          <w:color w:val="1A1A1A"/>
        </w:rPr>
        <w:t xml:space="preserve"> translation. </w:t>
      </w:r>
      <w:proofErr w:type="spellStart"/>
      <w:r w:rsidR="006C1A7B" w:rsidRPr="00E76C20">
        <w:rPr>
          <w:rFonts w:cs="Arial"/>
          <w:color w:val="1A1A1A"/>
        </w:rPr>
        <w:t>Dr</w:t>
      </w:r>
      <w:proofErr w:type="spellEnd"/>
      <w:r w:rsidR="006C1A7B" w:rsidRPr="00E76C20">
        <w:rPr>
          <w:rFonts w:cs="Arial"/>
          <w:color w:val="1A1A1A"/>
        </w:rPr>
        <w:t xml:space="preserve"> </w:t>
      </w:r>
      <w:proofErr w:type="spellStart"/>
      <w:r w:rsidR="006C1A7B" w:rsidRPr="00E76C20">
        <w:rPr>
          <w:rFonts w:cs="Arial"/>
          <w:color w:val="1A1A1A"/>
        </w:rPr>
        <w:t>Shivshankar</w:t>
      </w:r>
      <w:proofErr w:type="spellEnd"/>
      <w:r w:rsidR="006C1A7B" w:rsidRPr="00E76C20">
        <w:rPr>
          <w:rFonts w:cs="Arial"/>
          <w:color w:val="1A1A1A"/>
        </w:rPr>
        <w:t xml:space="preserve"> was a</w:t>
      </w:r>
      <w:r w:rsidRPr="00E76C20">
        <w:rPr>
          <w:rFonts w:cs="Arial"/>
          <w:color w:val="1A1A1A"/>
        </w:rPr>
        <w:t>rrested on the 29th of Decemb</w:t>
      </w:r>
      <w:r w:rsidR="006C1A7B" w:rsidRPr="00E76C20">
        <w:rPr>
          <w:rFonts w:cs="Arial"/>
          <w:color w:val="1A1A1A"/>
        </w:rPr>
        <w:t xml:space="preserve">er 2012 under the PTA. He was charged with ‘for having entered the camp without permission and for having in possession a voice recorder’. </w:t>
      </w:r>
      <w:r w:rsidRPr="00E76C20">
        <w:rPr>
          <w:rFonts w:cs="Arial"/>
          <w:color w:val="1A1A1A"/>
        </w:rPr>
        <w:t xml:space="preserve">Detention order was continuously extended. </w:t>
      </w:r>
      <w:r w:rsidR="006C1A7B" w:rsidRPr="00E76C20">
        <w:rPr>
          <w:rFonts w:cs="Arial"/>
          <w:color w:val="1A1A1A"/>
        </w:rPr>
        <w:t xml:space="preserve">A </w:t>
      </w:r>
      <w:r w:rsidRPr="00E76C20">
        <w:rPr>
          <w:rFonts w:cs="Arial"/>
          <w:color w:val="1A1A1A"/>
        </w:rPr>
        <w:t>Fundamental Rights Petition</w:t>
      </w:r>
      <w:r w:rsidR="006C1A7B" w:rsidRPr="00E76C20">
        <w:rPr>
          <w:rFonts w:cs="Arial"/>
          <w:color w:val="1A1A1A"/>
        </w:rPr>
        <w:t xml:space="preserve"> was filed in the Supreme Court and the</w:t>
      </w:r>
      <w:r w:rsidRPr="00E76C20">
        <w:rPr>
          <w:rFonts w:cs="Arial"/>
          <w:color w:val="1A1A1A"/>
        </w:rPr>
        <w:t xml:space="preserve"> A</w:t>
      </w:r>
      <w:r w:rsidR="006C1A7B" w:rsidRPr="00E76C20">
        <w:rPr>
          <w:rFonts w:cs="Arial"/>
          <w:color w:val="1A1A1A"/>
        </w:rPr>
        <w:t xml:space="preserve">ttorney </w:t>
      </w:r>
      <w:r w:rsidRPr="00E76C20">
        <w:rPr>
          <w:rFonts w:cs="Arial"/>
          <w:color w:val="1A1A1A"/>
        </w:rPr>
        <w:t>G</w:t>
      </w:r>
      <w:r w:rsidR="006C1A7B" w:rsidRPr="00E76C20">
        <w:rPr>
          <w:rFonts w:cs="Arial"/>
          <w:color w:val="1A1A1A"/>
        </w:rPr>
        <w:t>eneral</w:t>
      </w:r>
      <w:r w:rsidRPr="00E76C20">
        <w:rPr>
          <w:rFonts w:cs="Arial"/>
          <w:color w:val="1A1A1A"/>
        </w:rPr>
        <w:t xml:space="preserve"> with</w:t>
      </w:r>
      <w:r w:rsidR="006C1A7B" w:rsidRPr="00E76C20">
        <w:rPr>
          <w:rFonts w:cs="Arial"/>
          <w:color w:val="1A1A1A"/>
        </w:rPr>
        <w:t xml:space="preserve">drew case on </w:t>
      </w:r>
      <w:r w:rsidRPr="00E76C20">
        <w:rPr>
          <w:rFonts w:cs="Arial"/>
          <w:color w:val="1A1A1A"/>
        </w:rPr>
        <w:t>17.06.2013</w:t>
      </w:r>
      <w:r w:rsidR="006C1A7B" w:rsidRPr="00E76C20">
        <w:rPr>
          <w:rFonts w:cs="Arial"/>
          <w:color w:val="1A1A1A"/>
        </w:rPr>
        <w:t xml:space="preserve"> and he was subsequently released</w:t>
      </w:r>
      <w:r w:rsidRPr="00E76C20">
        <w:rPr>
          <w:rFonts w:cs="Arial"/>
          <w:color w:val="1A1A1A"/>
        </w:rPr>
        <w:t>.</w:t>
      </w:r>
      <w:r w:rsidR="006C1A7B" w:rsidRPr="00E76C20">
        <w:rPr>
          <w:rFonts w:cs="Arial"/>
          <w:color w:val="1A1A1A"/>
        </w:rPr>
        <w:t xml:space="preserve"> The arrest and 6 months detention of a senior citizen of high standing has had a significant impact on the Tamil civil society. </w:t>
      </w:r>
    </w:p>
    <w:p w14:paraId="2870370F" w14:textId="77777777" w:rsidR="00F60B8C" w:rsidRPr="00E76C20" w:rsidRDefault="00F60B8C" w:rsidP="00BD3AAA">
      <w:pPr>
        <w:pStyle w:val="Listenabsatz"/>
        <w:widowControl w:val="0"/>
        <w:autoSpaceDE w:val="0"/>
        <w:autoSpaceDN w:val="0"/>
        <w:adjustRightInd w:val="0"/>
        <w:spacing w:after="320" w:line="276" w:lineRule="auto"/>
        <w:jc w:val="both"/>
        <w:rPr>
          <w:rFonts w:cs="Arial"/>
          <w:color w:val="3F3F3F"/>
        </w:rPr>
      </w:pPr>
    </w:p>
    <w:p w14:paraId="73FD005B" w14:textId="54BAACFC" w:rsidR="00AC27F5" w:rsidRPr="00E76C20" w:rsidRDefault="00AC27F5" w:rsidP="00BD3AAA">
      <w:pPr>
        <w:pStyle w:val="Listenabsatz"/>
        <w:widowControl w:val="0"/>
        <w:numPr>
          <w:ilvl w:val="0"/>
          <w:numId w:val="8"/>
        </w:numPr>
        <w:autoSpaceDE w:val="0"/>
        <w:autoSpaceDN w:val="0"/>
        <w:adjustRightInd w:val="0"/>
        <w:spacing w:after="320" w:line="276" w:lineRule="auto"/>
        <w:jc w:val="both"/>
        <w:rPr>
          <w:rFonts w:cs="Arial"/>
          <w:color w:val="3F3F3F"/>
        </w:rPr>
      </w:pPr>
      <w:r w:rsidRPr="00E76C20">
        <w:rPr>
          <w:rFonts w:cs="Arial"/>
          <w:color w:val="1A1A1A"/>
        </w:rPr>
        <w:lastRenderedPageBreak/>
        <w:t xml:space="preserve">In November 2013 the Police arrested Poet and Actor VIS </w:t>
      </w:r>
      <w:proofErr w:type="spellStart"/>
      <w:r w:rsidRPr="00E76C20">
        <w:rPr>
          <w:rFonts w:cs="Arial"/>
          <w:color w:val="1A1A1A"/>
        </w:rPr>
        <w:t>Jeyabalan</w:t>
      </w:r>
      <w:proofErr w:type="spellEnd"/>
      <w:r w:rsidRPr="00E76C20">
        <w:rPr>
          <w:rFonts w:cs="Arial"/>
          <w:color w:val="1A1A1A"/>
        </w:rPr>
        <w:t xml:space="preserve"> for addressing a press conference in Jaffna</w:t>
      </w:r>
      <w:r w:rsidR="00E76C20">
        <w:rPr>
          <w:rFonts w:cs="Arial"/>
          <w:color w:val="1A1A1A"/>
        </w:rPr>
        <w:t xml:space="preserve"> wherein it was alleged that he </w:t>
      </w:r>
      <w:proofErr w:type="spellStart"/>
      <w:r w:rsidR="00E76C20">
        <w:rPr>
          <w:rFonts w:cs="Arial"/>
          <w:color w:val="1A1A1A"/>
        </w:rPr>
        <w:t>propogated</w:t>
      </w:r>
      <w:proofErr w:type="spellEnd"/>
      <w:r w:rsidR="00E76C20">
        <w:rPr>
          <w:rFonts w:cs="Arial"/>
          <w:color w:val="1A1A1A"/>
        </w:rPr>
        <w:t xml:space="preserve"> ‘extremist views’</w:t>
      </w:r>
      <w:r w:rsidRPr="00E76C20">
        <w:rPr>
          <w:rStyle w:val="Funotenzeichen"/>
          <w:rFonts w:cs="Arial"/>
          <w:color w:val="1A1A1A"/>
        </w:rPr>
        <w:footnoteReference w:id="37"/>
      </w:r>
      <w:r w:rsidRPr="00E76C20">
        <w:rPr>
          <w:rFonts w:cs="Arial"/>
          <w:color w:val="1A1A1A"/>
        </w:rPr>
        <w:t xml:space="preserve">. </w:t>
      </w:r>
      <w:proofErr w:type="spellStart"/>
      <w:r w:rsidRPr="00E76C20">
        <w:rPr>
          <w:rFonts w:cs="Arial"/>
          <w:color w:val="1A1A1A"/>
        </w:rPr>
        <w:t>Jeyabalan</w:t>
      </w:r>
      <w:proofErr w:type="spellEnd"/>
      <w:r w:rsidRPr="00E76C20">
        <w:rPr>
          <w:rFonts w:cs="Arial"/>
          <w:color w:val="1A1A1A"/>
        </w:rPr>
        <w:t xml:space="preserve"> was subsequently released </w:t>
      </w:r>
      <w:r w:rsidR="00E76C20">
        <w:rPr>
          <w:rFonts w:cs="Arial"/>
          <w:color w:val="1A1A1A"/>
        </w:rPr>
        <w:t xml:space="preserve">and deported </w:t>
      </w:r>
      <w:r w:rsidRPr="00E76C20">
        <w:rPr>
          <w:rFonts w:cs="Arial"/>
          <w:color w:val="1A1A1A"/>
        </w:rPr>
        <w:t xml:space="preserve">owing to his status as a Norwegian Citizen. </w:t>
      </w:r>
    </w:p>
    <w:p w14:paraId="3F90160F" w14:textId="2AAD4466" w:rsidR="000B3FF4" w:rsidRPr="00E76C20" w:rsidRDefault="00403761" w:rsidP="00BD3AAA">
      <w:pPr>
        <w:spacing w:line="276" w:lineRule="auto"/>
        <w:jc w:val="both"/>
      </w:pPr>
      <w:r w:rsidRPr="00E76C20">
        <w:t>The above instances</w:t>
      </w:r>
      <w:r w:rsidR="00AC27F5" w:rsidRPr="00E76C20">
        <w:t xml:space="preserve"> are merely examples. </w:t>
      </w:r>
      <w:r w:rsidRPr="00E76C20">
        <w:t xml:space="preserve">Arrest and re-arrest of ‘rehabilitated’ ex-combatants, </w:t>
      </w:r>
      <w:r w:rsidR="006C1A7B" w:rsidRPr="00E76C20">
        <w:t xml:space="preserve">warning conference space providers not to rent out for conferences, seminars organized by independent civil society groups whose content might not be </w:t>
      </w:r>
      <w:r w:rsidR="00AC27F5" w:rsidRPr="00E76C20">
        <w:t>in line with Government’s agenda for the North and East</w:t>
      </w:r>
      <w:r w:rsidR="006C1A7B" w:rsidRPr="00E76C20">
        <w:t xml:space="preserve">, direct threats </w:t>
      </w:r>
      <w:r w:rsidR="00AC27F5" w:rsidRPr="00E76C20">
        <w:t xml:space="preserve">by senior officials of the military </w:t>
      </w:r>
      <w:r w:rsidR="006C1A7B" w:rsidRPr="00E76C20">
        <w:t xml:space="preserve">not to organize cultural, drama or educational </w:t>
      </w:r>
      <w:proofErr w:type="spellStart"/>
      <w:r w:rsidR="006C1A7B" w:rsidRPr="00E76C20">
        <w:t>programmes</w:t>
      </w:r>
      <w:proofErr w:type="spellEnd"/>
      <w:r w:rsidR="006C1A7B" w:rsidRPr="00E76C20">
        <w:t xml:space="preserve"> that relate to Tamil problems, summoning for inquiries or visits by the Terrorism Investigation Department (for example the </w:t>
      </w:r>
      <w:r w:rsidR="00AC27F5" w:rsidRPr="00E76C20">
        <w:t xml:space="preserve">Catholic </w:t>
      </w:r>
      <w:r w:rsidR="006C1A7B" w:rsidRPr="00E76C20">
        <w:t xml:space="preserve">Bishop of </w:t>
      </w:r>
      <w:proofErr w:type="spellStart"/>
      <w:r w:rsidR="006C1A7B" w:rsidRPr="00E76C20">
        <w:t>Mannar</w:t>
      </w:r>
      <w:proofErr w:type="spellEnd"/>
      <w:r w:rsidR="006C1A7B" w:rsidRPr="00E76C20">
        <w:t xml:space="preserve">, the President of the Jaffna University Teachers Union have been summoned to the TID in </w:t>
      </w:r>
      <w:proofErr w:type="spellStart"/>
      <w:r w:rsidR="006C1A7B" w:rsidRPr="00E76C20">
        <w:t>Vavuniya</w:t>
      </w:r>
      <w:proofErr w:type="spellEnd"/>
      <w:r w:rsidR="00AC27F5" w:rsidRPr="00E76C20">
        <w:t xml:space="preserve"> in 2012 a number of times</w:t>
      </w:r>
      <w:r w:rsidR="006C1A7B" w:rsidRPr="00E76C20">
        <w:t xml:space="preserve"> for inquiries or been visited at their residences</w:t>
      </w:r>
      <w:r w:rsidR="00E76C20">
        <w:t>)</w:t>
      </w:r>
      <w:r w:rsidR="00AC27F5" w:rsidRPr="00E76C20">
        <w:t>,</w:t>
      </w:r>
      <w:r w:rsidR="006C1A7B" w:rsidRPr="00E76C20">
        <w:t xml:space="preserve"> issuing of posters, pamphlets warning activists not t</w:t>
      </w:r>
      <w:r w:rsidRPr="00E76C20">
        <w:t xml:space="preserve">o engage in political work are examples of the other forms in which the PTA is directly and indirectly used </w:t>
      </w:r>
      <w:r w:rsidR="00AC27F5" w:rsidRPr="00E76C20">
        <w:t xml:space="preserve">in preventing the normalizing of the North and East of Sri Lanka. Even where the PTA is not directly used it creates an environment of fear and keeps the North and East in what is constantly referred to by Tamil Civil society actors as an open prison. </w:t>
      </w:r>
    </w:p>
    <w:p w14:paraId="15AB1B1D" w14:textId="77777777" w:rsidR="00403761" w:rsidRPr="00E76C20" w:rsidRDefault="00403761" w:rsidP="00BD3AAA">
      <w:pPr>
        <w:spacing w:line="276" w:lineRule="auto"/>
        <w:jc w:val="both"/>
      </w:pPr>
    </w:p>
    <w:p w14:paraId="603BDCF5" w14:textId="77777777" w:rsidR="007C0273" w:rsidRPr="00E76C20" w:rsidRDefault="00BD3AAA" w:rsidP="006A3EA2">
      <w:pPr>
        <w:spacing w:line="276" w:lineRule="auto"/>
        <w:jc w:val="both"/>
        <w:outlineLvl w:val="0"/>
        <w:rPr>
          <w:b/>
        </w:rPr>
      </w:pPr>
      <w:r w:rsidRPr="00E76C20">
        <w:rPr>
          <w:b/>
        </w:rPr>
        <w:t xml:space="preserve">F. </w:t>
      </w:r>
      <w:r w:rsidR="007C0273" w:rsidRPr="00E76C20">
        <w:rPr>
          <w:b/>
        </w:rPr>
        <w:t xml:space="preserve">Conclusion and Recommendations: </w:t>
      </w:r>
    </w:p>
    <w:p w14:paraId="73989065" w14:textId="77777777" w:rsidR="007A5194" w:rsidRPr="00E76C20" w:rsidRDefault="00403761" w:rsidP="00BD3AAA">
      <w:pPr>
        <w:spacing w:line="276" w:lineRule="auto"/>
        <w:jc w:val="both"/>
      </w:pPr>
      <w:r w:rsidRPr="00E76C20">
        <w:t xml:space="preserve">Article 157A of the </w:t>
      </w:r>
      <w:r w:rsidR="000B3FF4" w:rsidRPr="00E76C20">
        <w:t>Constitution of Sri Lanka (the Sixth A</w:t>
      </w:r>
      <w:r w:rsidRPr="00E76C20">
        <w:t>mendment</w:t>
      </w:r>
      <w:r w:rsidR="007A5194" w:rsidRPr="00E76C20">
        <w:t xml:space="preserve"> to the constitution) and the Prevention of Terrorism Act </w:t>
      </w:r>
      <w:r w:rsidR="00BD3AAA" w:rsidRPr="00E76C20">
        <w:t xml:space="preserve">have a direct and indirect impact on Article 1, 9, 10, 12, 14 and 19 of the ICCPR for </w:t>
      </w:r>
      <w:proofErr w:type="gramStart"/>
      <w:r w:rsidR="00BD3AAA" w:rsidRPr="00E76C20">
        <w:t>both individuals</w:t>
      </w:r>
      <w:proofErr w:type="gramEnd"/>
      <w:r w:rsidR="00BD3AAA" w:rsidRPr="00E76C20">
        <w:t xml:space="preserve"> and the peoples /nations in the island of Sri Lanka. Both the PTA and Article 157A of the Constitution </w:t>
      </w:r>
      <w:r w:rsidR="007A5194" w:rsidRPr="00E76C20">
        <w:t>jointly are</w:t>
      </w:r>
      <w:r w:rsidRPr="00E76C20">
        <w:t xml:space="preserve"> preventing the emergence of democratic space in the North and East in the post-war context. </w:t>
      </w:r>
      <w:r w:rsidR="00BD3AAA" w:rsidRPr="00E76C20">
        <w:t>The repeal of these legal instruments</w:t>
      </w:r>
      <w:r w:rsidR="005F721A" w:rsidRPr="00E76C20">
        <w:t xml:space="preserve"> </w:t>
      </w:r>
      <w:r w:rsidR="00BD3AAA" w:rsidRPr="00E76C20">
        <w:t>is</w:t>
      </w:r>
      <w:r w:rsidR="005F721A" w:rsidRPr="00E76C20">
        <w:t xml:space="preserve"> required for the Tamil people to</w:t>
      </w:r>
      <w:r w:rsidR="00BD3AAA" w:rsidRPr="00E76C20">
        <w:t xml:space="preserve"> be able to self-address</w:t>
      </w:r>
      <w:r w:rsidR="005F721A" w:rsidRPr="00E76C20">
        <w:t xml:space="preserve"> most of the post-war issues that have been identified in Section A of this report. </w:t>
      </w:r>
    </w:p>
    <w:p w14:paraId="3EE87A63" w14:textId="77777777" w:rsidR="00BD3AAA" w:rsidRPr="00E76C20" w:rsidRDefault="00BD3AAA" w:rsidP="00BD3AAA">
      <w:pPr>
        <w:spacing w:line="276" w:lineRule="auto"/>
        <w:jc w:val="both"/>
      </w:pPr>
    </w:p>
    <w:p w14:paraId="1C89109D" w14:textId="498D1A21" w:rsidR="007A5194" w:rsidRPr="00E76C20" w:rsidRDefault="007A5194" w:rsidP="00BD3AAA">
      <w:pPr>
        <w:spacing w:line="276" w:lineRule="auto"/>
        <w:jc w:val="both"/>
      </w:pPr>
      <w:r w:rsidRPr="00E76C20">
        <w:t>Hence</w:t>
      </w:r>
      <w:r w:rsidR="001D2E84" w:rsidRPr="00E76C20">
        <w:t xml:space="preserve"> it is recommended that the HRC</w:t>
      </w:r>
      <w:r w:rsidRPr="00E76C20">
        <w:t xml:space="preserve"> recommend to the Sri Lankan Government to: </w:t>
      </w:r>
    </w:p>
    <w:p w14:paraId="514F2064" w14:textId="77777777" w:rsidR="007A5194" w:rsidRPr="00E76C20" w:rsidRDefault="007A5194" w:rsidP="00BD3AAA">
      <w:pPr>
        <w:pStyle w:val="Listenabsatz"/>
        <w:numPr>
          <w:ilvl w:val="0"/>
          <w:numId w:val="9"/>
        </w:numPr>
        <w:spacing w:line="276" w:lineRule="auto"/>
        <w:jc w:val="both"/>
      </w:pPr>
      <w:r w:rsidRPr="00E76C20">
        <w:t>Repeal Article 157A and the 6</w:t>
      </w:r>
      <w:r w:rsidRPr="00E76C20">
        <w:rPr>
          <w:vertAlign w:val="superscript"/>
        </w:rPr>
        <w:t>th</w:t>
      </w:r>
      <w:r w:rsidRPr="00E76C20">
        <w:t xml:space="preserve"> Amendment to the Constitution as a whole.</w:t>
      </w:r>
    </w:p>
    <w:p w14:paraId="12CFAC25" w14:textId="00011515" w:rsidR="00F06882" w:rsidRPr="00E76C20" w:rsidRDefault="007A5194" w:rsidP="00D71D20">
      <w:pPr>
        <w:pStyle w:val="Listenabsatz"/>
        <w:numPr>
          <w:ilvl w:val="0"/>
          <w:numId w:val="9"/>
        </w:numPr>
        <w:spacing w:line="276" w:lineRule="auto"/>
        <w:jc w:val="both"/>
      </w:pPr>
      <w:r w:rsidRPr="00E76C20">
        <w:t xml:space="preserve">Repeal the Prevention of Terrorism Act </w:t>
      </w:r>
      <w:r w:rsidRPr="00E76C20">
        <w:rPr>
          <w:rFonts w:cs="Helvetica"/>
          <w:color w:val="1D1D1D"/>
        </w:rPr>
        <w:t>(Temporary Provisions) Act No. 48 of 1979, as amended by Act Nos. 10 of 1982 and 22 of 1988</w:t>
      </w:r>
    </w:p>
    <w:sectPr w:rsidR="00F06882" w:rsidRPr="00E76C20" w:rsidSect="00D67FD6">
      <w:footerReference w:type="even" r:id="rId11"/>
      <w:foot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190863" w14:textId="77777777" w:rsidR="0005037B" w:rsidRDefault="0005037B" w:rsidP="007A4E8D">
      <w:r>
        <w:separator/>
      </w:r>
    </w:p>
  </w:endnote>
  <w:endnote w:type="continuationSeparator" w:id="0">
    <w:p w14:paraId="23F822BC" w14:textId="77777777" w:rsidR="0005037B" w:rsidRDefault="0005037B" w:rsidP="007A4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4D"/>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4D"/>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Georgia">
    <w:panose1 w:val="02040502050405020303"/>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B61900" w14:textId="77777777" w:rsidR="00651D85" w:rsidRDefault="00651D85" w:rsidP="00D2490F">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49E9D5F6" w14:textId="77777777" w:rsidR="00651D85" w:rsidRDefault="00651D85" w:rsidP="00D2490F">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ED7AFB" w14:textId="77777777" w:rsidR="00651D85" w:rsidRDefault="00651D85" w:rsidP="00D2490F">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02171B">
      <w:rPr>
        <w:rStyle w:val="Seitenzahl"/>
        <w:noProof/>
      </w:rPr>
      <w:t>1</w:t>
    </w:r>
    <w:r>
      <w:rPr>
        <w:rStyle w:val="Seitenzahl"/>
      </w:rPr>
      <w:fldChar w:fldCharType="end"/>
    </w:r>
  </w:p>
  <w:p w14:paraId="3293DA7B" w14:textId="77777777" w:rsidR="00651D85" w:rsidRDefault="00651D85" w:rsidP="00D2490F">
    <w:pPr>
      <w:pStyle w:val="Fuzeil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FDA950" w14:textId="77777777" w:rsidR="0005037B" w:rsidRDefault="0005037B" w:rsidP="007A4E8D">
      <w:r>
        <w:separator/>
      </w:r>
    </w:p>
  </w:footnote>
  <w:footnote w:type="continuationSeparator" w:id="0">
    <w:p w14:paraId="04C2D74C" w14:textId="77777777" w:rsidR="0005037B" w:rsidRDefault="0005037B" w:rsidP="007A4E8D">
      <w:r>
        <w:continuationSeparator/>
      </w:r>
    </w:p>
  </w:footnote>
  <w:footnote w:id="1">
    <w:p w14:paraId="4083D81D" w14:textId="0C4D50FC" w:rsidR="00651D85" w:rsidRPr="00D2490F" w:rsidRDefault="00651D85">
      <w:pPr>
        <w:pStyle w:val="Funotentext"/>
        <w:rPr>
          <w:sz w:val="20"/>
          <w:szCs w:val="20"/>
        </w:rPr>
      </w:pPr>
      <w:r w:rsidRPr="00D2490F">
        <w:rPr>
          <w:rStyle w:val="Funotenzeichen"/>
          <w:sz w:val="20"/>
          <w:szCs w:val="20"/>
        </w:rPr>
        <w:footnoteRef/>
      </w:r>
      <w:r w:rsidRPr="00D2490F">
        <w:rPr>
          <w:sz w:val="20"/>
          <w:szCs w:val="20"/>
        </w:rPr>
        <w:t xml:space="preserve"> Authored by </w:t>
      </w:r>
      <w:proofErr w:type="spellStart"/>
      <w:r w:rsidRPr="00D2490F">
        <w:rPr>
          <w:sz w:val="20"/>
          <w:szCs w:val="20"/>
        </w:rPr>
        <w:t>Kumaravadivel</w:t>
      </w:r>
      <w:proofErr w:type="spellEnd"/>
      <w:r w:rsidRPr="00D2490F">
        <w:rPr>
          <w:sz w:val="20"/>
          <w:szCs w:val="20"/>
        </w:rPr>
        <w:t xml:space="preserve"> </w:t>
      </w:r>
      <w:proofErr w:type="spellStart"/>
      <w:r w:rsidRPr="00D2490F">
        <w:rPr>
          <w:sz w:val="20"/>
          <w:szCs w:val="20"/>
        </w:rPr>
        <w:t>Guruparan</w:t>
      </w:r>
      <w:proofErr w:type="spellEnd"/>
      <w:r w:rsidRPr="00D2490F">
        <w:rPr>
          <w:sz w:val="20"/>
          <w:szCs w:val="20"/>
        </w:rPr>
        <w:t xml:space="preserve">, </w:t>
      </w:r>
      <w:r w:rsidR="00555B64">
        <w:rPr>
          <w:sz w:val="20"/>
          <w:szCs w:val="20"/>
        </w:rPr>
        <w:t>LLB (</w:t>
      </w:r>
      <w:proofErr w:type="spellStart"/>
      <w:r w:rsidR="00555B64">
        <w:rPr>
          <w:sz w:val="20"/>
          <w:szCs w:val="20"/>
        </w:rPr>
        <w:t>Hons</w:t>
      </w:r>
      <w:proofErr w:type="spellEnd"/>
      <w:r w:rsidR="00555B64">
        <w:rPr>
          <w:sz w:val="20"/>
          <w:szCs w:val="20"/>
        </w:rPr>
        <w:t xml:space="preserve">) (Colombo) BCL (Oxon), </w:t>
      </w:r>
      <w:r>
        <w:rPr>
          <w:sz w:val="20"/>
          <w:szCs w:val="20"/>
        </w:rPr>
        <w:t xml:space="preserve">Lecturer, Department of Law, University of Jaffna and </w:t>
      </w:r>
      <w:r w:rsidRPr="00D2490F">
        <w:rPr>
          <w:sz w:val="20"/>
          <w:szCs w:val="20"/>
        </w:rPr>
        <w:t>Attorney-at-Law</w:t>
      </w:r>
      <w:r>
        <w:rPr>
          <w:sz w:val="20"/>
          <w:szCs w:val="20"/>
        </w:rPr>
        <w:t xml:space="preserve">. </w:t>
      </w:r>
      <w:r w:rsidRPr="00D2490F">
        <w:rPr>
          <w:sz w:val="20"/>
          <w:szCs w:val="20"/>
        </w:rPr>
        <w:t xml:space="preserve"> </w:t>
      </w:r>
    </w:p>
  </w:footnote>
  <w:footnote w:id="2">
    <w:p w14:paraId="1D069B51" w14:textId="77777777" w:rsidR="00651D85" w:rsidRPr="00D2490F" w:rsidRDefault="00651D85" w:rsidP="006A3EA2">
      <w:pPr>
        <w:pStyle w:val="Funotentext"/>
        <w:rPr>
          <w:sz w:val="20"/>
          <w:szCs w:val="20"/>
        </w:rPr>
      </w:pPr>
      <w:r w:rsidRPr="00D2490F">
        <w:rPr>
          <w:rStyle w:val="Funotenzeichen"/>
          <w:sz w:val="20"/>
          <w:szCs w:val="20"/>
        </w:rPr>
        <w:footnoteRef/>
      </w:r>
      <w:r w:rsidRPr="00D2490F">
        <w:rPr>
          <w:sz w:val="20"/>
          <w:szCs w:val="20"/>
        </w:rPr>
        <w:t xml:space="preserve"> </w:t>
      </w:r>
      <w:proofErr w:type="gramStart"/>
      <w:r w:rsidRPr="00D2490F">
        <w:rPr>
          <w:sz w:val="20"/>
          <w:szCs w:val="20"/>
        </w:rPr>
        <w:t>Doc No.</w:t>
      </w:r>
      <w:proofErr w:type="gramEnd"/>
      <w:r w:rsidRPr="00D2490F">
        <w:rPr>
          <w:sz w:val="20"/>
          <w:szCs w:val="20"/>
        </w:rPr>
        <w:t xml:space="preserve"> CCPR</w:t>
      </w:r>
      <w:r w:rsidRPr="00D2490F">
        <w:rPr>
          <w:rFonts w:cs="Times New Roman"/>
          <w:color w:val="000000"/>
          <w:sz w:val="20"/>
          <w:szCs w:val="20"/>
        </w:rPr>
        <w:t xml:space="preserve">/C/LKA/5 submitted on 29 October 2012 </w:t>
      </w:r>
    </w:p>
  </w:footnote>
  <w:footnote w:id="3">
    <w:p w14:paraId="2181308B" w14:textId="77777777" w:rsidR="00651D85" w:rsidRPr="00D2490F" w:rsidRDefault="00651D85">
      <w:pPr>
        <w:pStyle w:val="Funotentext"/>
        <w:rPr>
          <w:sz w:val="20"/>
          <w:szCs w:val="20"/>
        </w:rPr>
      </w:pPr>
      <w:r w:rsidRPr="00D2490F">
        <w:rPr>
          <w:rStyle w:val="Funotenzeichen"/>
          <w:sz w:val="20"/>
          <w:szCs w:val="20"/>
        </w:rPr>
        <w:footnoteRef/>
      </w:r>
      <w:r w:rsidRPr="00D2490F">
        <w:rPr>
          <w:sz w:val="20"/>
          <w:szCs w:val="20"/>
        </w:rPr>
        <w:t xml:space="preserve"> Available at </w:t>
      </w:r>
      <w:hyperlink r:id="rId1" w:history="1">
        <w:r w:rsidRPr="00D2490F">
          <w:rPr>
            <w:rStyle w:val="Hyperlink"/>
            <w:sz w:val="20"/>
            <w:szCs w:val="20"/>
          </w:rPr>
          <w:t>http://www.un.org/News/dh/infocus/Sri_Lanka/POE_Report_Full.pdf</w:t>
        </w:r>
      </w:hyperlink>
      <w:r w:rsidRPr="00D2490F">
        <w:rPr>
          <w:sz w:val="20"/>
          <w:szCs w:val="20"/>
        </w:rPr>
        <w:t xml:space="preserve"> </w:t>
      </w:r>
    </w:p>
  </w:footnote>
  <w:footnote w:id="4">
    <w:p w14:paraId="74300E39" w14:textId="4D762F66" w:rsidR="00651D85" w:rsidRPr="00D2490F" w:rsidRDefault="00651D85">
      <w:pPr>
        <w:pStyle w:val="Funotentext"/>
        <w:rPr>
          <w:sz w:val="20"/>
          <w:szCs w:val="20"/>
        </w:rPr>
      </w:pPr>
      <w:r w:rsidRPr="00D2490F">
        <w:rPr>
          <w:rStyle w:val="Funotenzeichen"/>
          <w:sz w:val="20"/>
          <w:szCs w:val="20"/>
        </w:rPr>
        <w:footnoteRef/>
      </w:r>
      <w:r w:rsidRPr="00D2490F">
        <w:rPr>
          <w:sz w:val="20"/>
          <w:szCs w:val="20"/>
        </w:rPr>
        <w:t xml:space="preserve"> Available at, </w:t>
      </w:r>
      <w:hyperlink r:id="rId2" w:history="1">
        <w:r w:rsidR="00555B64" w:rsidRPr="00F27396">
          <w:rPr>
            <w:rStyle w:val="Hyperlink"/>
            <w:sz w:val="20"/>
            <w:szCs w:val="20"/>
          </w:rPr>
          <w:t>http://www.un.org/News/dh/infocus/Sri_Lanka/The_Internal_Review_Panel_report_on_Sri_Lanka.pdf</w:t>
        </w:r>
      </w:hyperlink>
      <w:r w:rsidR="00555B64">
        <w:rPr>
          <w:sz w:val="20"/>
          <w:szCs w:val="20"/>
        </w:rPr>
        <w:t xml:space="preserve"> </w:t>
      </w:r>
    </w:p>
  </w:footnote>
  <w:footnote w:id="5">
    <w:p w14:paraId="729E96B7" w14:textId="77777777" w:rsidR="00651D85" w:rsidRPr="00D2490F" w:rsidRDefault="00651D85">
      <w:pPr>
        <w:pStyle w:val="Funotentext"/>
        <w:rPr>
          <w:sz w:val="20"/>
          <w:szCs w:val="20"/>
        </w:rPr>
      </w:pPr>
      <w:r w:rsidRPr="00D2490F">
        <w:rPr>
          <w:rStyle w:val="Funotenzeichen"/>
          <w:sz w:val="20"/>
          <w:szCs w:val="20"/>
        </w:rPr>
        <w:footnoteRef/>
      </w:r>
      <w:r w:rsidRPr="00D2490F">
        <w:rPr>
          <w:sz w:val="20"/>
          <w:szCs w:val="20"/>
        </w:rPr>
        <w:t xml:space="preserve"> Para 251 (b) of the report</w:t>
      </w:r>
    </w:p>
  </w:footnote>
  <w:footnote w:id="6">
    <w:p w14:paraId="4908EDFB" w14:textId="77777777" w:rsidR="00651D85" w:rsidRPr="00D2490F" w:rsidRDefault="00651D85">
      <w:pPr>
        <w:pStyle w:val="Funotentext"/>
        <w:rPr>
          <w:sz w:val="20"/>
          <w:szCs w:val="20"/>
        </w:rPr>
      </w:pPr>
      <w:r w:rsidRPr="00D2490F">
        <w:rPr>
          <w:rStyle w:val="Funotenzeichen"/>
          <w:sz w:val="20"/>
          <w:szCs w:val="20"/>
        </w:rPr>
        <w:footnoteRef/>
      </w:r>
      <w:r w:rsidRPr="00D2490F">
        <w:rPr>
          <w:sz w:val="20"/>
          <w:szCs w:val="20"/>
        </w:rPr>
        <w:t xml:space="preserve"> Para 251 (d) of the report</w:t>
      </w:r>
    </w:p>
  </w:footnote>
  <w:footnote w:id="7">
    <w:p w14:paraId="769E87A1" w14:textId="77777777" w:rsidR="00651D85" w:rsidRDefault="00651D85">
      <w:pPr>
        <w:pStyle w:val="Funotentext"/>
        <w:rPr>
          <w:sz w:val="20"/>
          <w:szCs w:val="20"/>
        </w:rPr>
      </w:pPr>
    </w:p>
    <w:p w14:paraId="3AC61656" w14:textId="77777777" w:rsidR="00651D85" w:rsidRPr="00D2490F" w:rsidRDefault="00651D85">
      <w:pPr>
        <w:pStyle w:val="Funotentext"/>
        <w:rPr>
          <w:sz w:val="20"/>
          <w:szCs w:val="20"/>
        </w:rPr>
      </w:pPr>
      <w:r w:rsidRPr="00D2490F">
        <w:rPr>
          <w:rStyle w:val="Funotenzeichen"/>
          <w:sz w:val="20"/>
          <w:szCs w:val="20"/>
        </w:rPr>
        <w:footnoteRef/>
      </w:r>
      <w:r w:rsidRPr="00D2490F">
        <w:rPr>
          <w:sz w:val="20"/>
          <w:szCs w:val="20"/>
        </w:rPr>
        <w:t xml:space="preserve"> For the inter relationship between </w:t>
      </w:r>
      <w:proofErr w:type="spellStart"/>
      <w:r w:rsidRPr="00D2490F">
        <w:rPr>
          <w:sz w:val="20"/>
          <w:szCs w:val="20"/>
        </w:rPr>
        <w:t>between</w:t>
      </w:r>
      <w:proofErr w:type="spellEnd"/>
      <w:r w:rsidRPr="00D2490F">
        <w:rPr>
          <w:sz w:val="20"/>
          <w:szCs w:val="20"/>
        </w:rPr>
        <w:t xml:space="preserve"> Extern</w:t>
      </w:r>
      <w:r>
        <w:rPr>
          <w:sz w:val="20"/>
          <w:szCs w:val="20"/>
        </w:rPr>
        <w:t xml:space="preserve">al </w:t>
      </w:r>
      <w:proofErr w:type="spellStart"/>
      <w:r>
        <w:rPr>
          <w:sz w:val="20"/>
          <w:szCs w:val="20"/>
        </w:rPr>
        <w:t>self determination</w:t>
      </w:r>
      <w:proofErr w:type="spellEnd"/>
      <w:r>
        <w:rPr>
          <w:sz w:val="20"/>
          <w:szCs w:val="20"/>
        </w:rPr>
        <w:t xml:space="preserve"> and</w:t>
      </w:r>
      <w:r w:rsidRPr="00D2490F">
        <w:rPr>
          <w:sz w:val="20"/>
          <w:szCs w:val="20"/>
        </w:rPr>
        <w:t xml:space="preserve"> remedial </w:t>
      </w:r>
      <w:proofErr w:type="spellStart"/>
      <w:r w:rsidRPr="00D2490F">
        <w:rPr>
          <w:sz w:val="20"/>
          <w:szCs w:val="20"/>
        </w:rPr>
        <w:t>self determination</w:t>
      </w:r>
      <w:proofErr w:type="spellEnd"/>
      <w:r w:rsidRPr="00D2490F">
        <w:rPr>
          <w:sz w:val="20"/>
          <w:szCs w:val="20"/>
        </w:rPr>
        <w:t xml:space="preserve"> see Sarah Joseph and Melissa </w:t>
      </w:r>
      <w:proofErr w:type="spellStart"/>
      <w:r w:rsidRPr="00D2490F">
        <w:rPr>
          <w:sz w:val="20"/>
          <w:szCs w:val="20"/>
        </w:rPr>
        <w:t>Castan</w:t>
      </w:r>
      <w:proofErr w:type="spellEnd"/>
      <w:r w:rsidRPr="00D2490F">
        <w:rPr>
          <w:sz w:val="20"/>
          <w:szCs w:val="20"/>
        </w:rPr>
        <w:t xml:space="preserve">, </w:t>
      </w:r>
      <w:r w:rsidRPr="00D2490F">
        <w:rPr>
          <w:i/>
          <w:sz w:val="20"/>
          <w:szCs w:val="20"/>
        </w:rPr>
        <w:t>International Covenant on Civil and Political Rights: Cases, Materials and Commentary</w:t>
      </w:r>
      <w:r w:rsidRPr="00D2490F">
        <w:rPr>
          <w:sz w:val="20"/>
          <w:szCs w:val="20"/>
        </w:rPr>
        <w:t xml:space="preserve"> (OUP: Oxford, 2013) para. 7.14</w:t>
      </w:r>
    </w:p>
  </w:footnote>
  <w:footnote w:id="8">
    <w:p w14:paraId="5C53BBFB" w14:textId="77777777" w:rsidR="00651D85" w:rsidRDefault="00651D85">
      <w:pPr>
        <w:pStyle w:val="Funotentext"/>
        <w:rPr>
          <w:sz w:val="20"/>
          <w:szCs w:val="20"/>
        </w:rPr>
      </w:pPr>
    </w:p>
    <w:p w14:paraId="135F64C0" w14:textId="77777777" w:rsidR="00651D85" w:rsidRPr="00D2490F" w:rsidRDefault="00651D85">
      <w:pPr>
        <w:pStyle w:val="Funotentext"/>
        <w:rPr>
          <w:sz w:val="20"/>
          <w:szCs w:val="20"/>
        </w:rPr>
      </w:pPr>
      <w:r w:rsidRPr="00D2490F">
        <w:rPr>
          <w:rStyle w:val="Funotenzeichen"/>
          <w:sz w:val="20"/>
          <w:szCs w:val="20"/>
        </w:rPr>
        <w:footnoteRef/>
      </w:r>
      <w:r w:rsidRPr="00D2490F">
        <w:rPr>
          <w:sz w:val="20"/>
          <w:szCs w:val="20"/>
        </w:rPr>
        <w:t xml:space="preserve"> See for example, ‘Adjournment motion titled, ‘</w:t>
      </w:r>
      <w:r w:rsidRPr="00D2490F">
        <w:rPr>
          <w:rFonts w:cs="Times"/>
          <w:color w:val="000000"/>
          <w:sz w:val="20"/>
          <w:szCs w:val="20"/>
        </w:rPr>
        <w:t xml:space="preserve">Land Issues In Northern and Eastern Provinces’, moved by Hon. R. </w:t>
      </w:r>
      <w:proofErr w:type="spellStart"/>
      <w:r w:rsidRPr="00D2490F">
        <w:rPr>
          <w:rFonts w:cs="Times"/>
          <w:color w:val="000000"/>
          <w:sz w:val="20"/>
          <w:szCs w:val="20"/>
        </w:rPr>
        <w:t>Sambanthan</w:t>
      </w:r>
      <w:proofErr w:type="spellEnd"/>
      <w:r w:rsidRPr="00D2490F">
        <w:rPr>
          <w:rFonts w:cs="Times"/>
          <w:color w:val="000000"/>
          <w:sz w:val="20"/>
          <w:szCs w:val="20"/>
        </w:rPr>
        <w:t xml:space="preserve">, Parliamentary Group Leader of the Tamil National Alliance’ in the Sri Lankan </w:t>
      </w:r>
      <w:proofErr w:type="spellStart"/>
      <w:r w:rsidRPr="00D2490F">
        <w:rPr>
          <w:rFonts w:cs="Times"/>
          <w:color w:val="000000"/>
          <w:sz w:val="20"/>
          <w:szCs w:val="20"/>
        </w:rPr>
        <w:t>Parliemant</w:t>
      </w:r>
      <w:proofErr w:type="spellEnd"/>
      <w:r w:rsidRPr="00D2490F">
        <w:rPr>
          <w:rFonts w:cs="Times"/>
          <w:color w:val="000000"/>
          <w:sz w:val="20"/>
          <w:szCs w:val="20"/>
        </w:rPr>
        <w:t xml:space="preserve">, </w:t>
      </w:r>
      <w:proofErr w:type="spellStart"/>
      <w:r w:rsidRPr="00D2490F">
        <w:rPr>
          <w:sz w:val="20"/>
          <w:szCs w:val="20"/>
        </w:rPr>
        <w:t>Hansard</w:t>
      </w:r>
      <w:proofErr w:type="spellEnd"/>
      <w:r w:rsidRPr="00D2490F">
        <w:rPr>
          <w:sz w:val="20"/>
          <w:szCs w:val="20"/>
        </w:rPr>
        <w:t>, 08 August 2013, Columns 327-8</w:t>
      </w:r>
    </w:p>
  </w:footnote>
  <w:footnote w:id="9">
    <w:p w14:paraId="4DA8E80D" w14:textId="77777777" w:rsidR="00651D85" w:rsidRPr="00D2490F" w:rsidRDefault="00651D85">
      <w:pPr>
        <w:pStyle w:val="Funotentext"/>
        <w:rPr>
          <w:sz w:val="20"/>
          <w:szCs w:val="20"/>
        </w:rPr>
      </w:pPr>
    </w:p>
    <w:p w14:paraId="63DB0D71" w14:textId="77777777" w:rsidR="00651D85" w:rsidRPr="00D2490F" w:rsidRDefault="00651D85">
      <w:pPr>
        <w:pStyle w:val="Funotentext"/>
        <w:rPr>
          <w:sz w:val="20"/>
          <w:szCs w:val="20"/>
        </w:rPr>
      </w:pPr>
      <w:r w:rsidRPr="00D2490F">
        <w:rPr>
          <w:rStyle w:val="Funotenzeichen"/>
          <w:sz w:val="20"/>
          <w:szCs w:val="20"/>
        </w:rPr>
        <w:footnoteRef/>
      </w:r>
      <w:r w:rsidRPr="00D2490F">
        <w:rPr>
          <w:sz w:val="20"/>
          <w:szCs w:val="20"/>
        </w:rPr>
        <w:t xml:space="preserve"> </w:t>
      </w:r>
      <w:proofErr w:type="gramStart"/>
      <w:r w:rsidRPr="00D2490F">
        <w:rPr>
          <w:sz w:val="20"/>
          <w:szCs w:val="20"/>
        </w:rPr>
        <w:t>Report of the Working Group on Enforced Disappearances to the 22</w:t>
      </w:r>
      <w:r w:rsidRPr="00D2490F">
        <w:rPr>
          <w:sz w:val="20"/>
          <w:szCs w:val="20"/>
          <w:vertAlign w:val="superscript"/>
        </w:rPr>
        <w:t>nd</w:t>
      </w:r>
      <w:r w:rsidRPr="00D2490F">
        <w:rPr>
          <w:sz w:val="20"/>
          <w:szCs w:val="20"/>
        </w:rPr>
        <w:t xml:space="preserve"> Session of the UN Human Rights Council.</w:t>
      </w:r>
      <w:proofErr w:type="gramEnd"/>
      <w:r w:rsidRPr="00D2490F">
        <w:rPr>
          <w:sz w:val="20"/>
          <w:szCs w:val="20"/>
        </w:rPr>
        <w:t xml:space="preserve"> Available here </w:t>
      </w:r>
      <w:hyperlink r:id="rId3" w:history="1">
        <w:r w:rsidRPr="00D2490F">
          <w:rPr>
            <w:rStyle w:val="Hyperlink"/>
            <w:sz w:val="20"/>
            <w:szCs w:val="20"/>
          </w:rPr>
          <w:t>http://www.ohchr.org/Documents/HRBodies/HRCouncil/RegularSession/Session22/A.HRC.22.45_English.pdf</w:t>
        </w:r>
      </w:hyperlink>
    </w:p>
  </w:footnote>
  <w:footnote w:id="10">
    <w:p w14:paraId="659F9645" w14:textId="77777777" w:rsidR="00651D85" w:rsidRPr="00D2490F" w:rsidRDefault="00651D85">
      <w:pPr>
        <w:pStyle w:val="Funotentext"/>
        <w:rPr>
          <w:sz w:val="20"/>
          <w:szCs w:val="20"/>
        </w:rPr>
      </w:pPr>
    </w:p>
    <w:p w14:paraId="3654B653" w14:textId="77777777" w:rsidR="00651D85" w:rsidRPr="00D2490F" w:rsidRDefault="00651D85">
      <w:pPr>
        <w:pStyle w:val="Funotentext"/>
        <w:rPr>
          <w:sz w:val="20"/>
          <w:szCs w:val="20"/>
        </w:rPr>
      </w:pPr>
      <w:r w:rsidRPr="00D2490F">
        <w:rPr>
          <w:rStyle w:val="Funotenzeichen"/>
          <w:sz w:val="20"/>
          <w:szCs w:val="20"/>
        </w:rPr>
        <w:footnoteRef/>
      </w:r>
      <w:r w:rsidRPr="00D2490F">
        <w:rPr>
          <w:sz w:val="20"/>
          <w:szCs w:val="20"/>
        </w:rPr>
        <w:t xml:space="preserve"> See for example Minority Rights Group, </w:t>
      </w:r>
      <w:hyperlink r:id="rId4" w:history="1">
        <w:r w:rsidRPr="00D2490F">
          <w:rPr>
            <w:rFonts w:cs="Verdana"/>
            <w:i/>
            <w:iCs/>
            <w:sz w:val="20"/>
            <w:szCs w:val="20"/>
          </w:rPr>
          <w:t>Living with insecurity: Marginalization and sexual violence against women in north and east Sri Lanka</w:t>
        </w:r>
        <w:r w:rsidRPr="00D2490F">
          <w:rPr>
            <w:rFonts w:cs="Verdana"/>
            <w:sz w:val="20"/>
            <w:szCs w:val="20"/>
          </w:rPr>
          <w:t>.</w:t>
        </w:r>
      </w:hyperlink>
      <w:r w:rsidRPr="00D2490F">
        <w:rPr>
          <w:rFonts w:cs="Verdana"/>
          <w:sz w:val="20"/>
          <w:szCs w:val="20"/>
        </w:rPr>
        <w:t xml:space="preserve"> </w:t>
      </w:r>
      <w:hyperlink r:id="rId5" w:anchor="sthash.Fp7cnv0u.dpuf" w:history="1">
        <w:r w:rsidRPr="00D2490F">
          <w:rPr>
            <w:rStyle w:val="Hyperlink"/>
            <w:rFonts w:cs="Verdana"/>
            <w:sz w:val="20"/>
            <w:szCs w:val="20"/>
          </w:rPr>
          <w:t>http://www.minorityrights.org/12117/press-releases/minority-women-in-sri-lanka-facing-increasing-levels-of-sexual-violence-andinsecurity.html#sthash.Fp7cnv0u.dpuf</w:t>
        </w:r>
      </w:hyperlink>
      <w:r w:rsidRPr="00D2490F">
        <w:rPr>
          <w:rFonts w:cs="Verdana"/>
          <w:sz w:val="20"/>
          <w:szCs w:val="20"/>
        </w:rPr>
        <w:t xml:space="preserve"> (November 2013) </w:t>
      </w:r>
    </w:p>
  </w:footnote>
  <w:footnote w:id="11">
    <w:p w14:paraId="6AE35F26" w14:textId="77777777" w:rsidR="00651D85" w:rsidRPr="00D2490F" w:rsidRDefault="00651D85">
      <w:pPr>
        <w:pStyle w:val="Funotentext"/>
        <w:rPr>
          <w:sz w:val="20"/>
          <w:szCs w:val="20"/>
        </w:rPr>
      </w:pPr>
    </w:p>
    <w:p w14:paraId="2FC61C35" w14:textId="77777777" w:rsidR="00651D85" w:rsidRPr="00D2490F" w:rsidRDefault="00651D85">
      <w:pPr>
        <w:pStyle w:val="Funotentext"/>
        <w:rPr>
          <w:sz w:val="20"/>
          <w:szCs w:val="20"/>
        </w:rPr>
      </w:pPr>
      <w:r w:rsidRPr="00D2490F">
        <w:rPr>
          <w:rStyle w:val="Funotenzeichen"/>
          <w:sz w:val="20"/>
          <w:szCs w:val="20"/>
        </w:rPr>
        <w:footnoteRef/>
      </w:r>
      <w:r w:rsidRPr="00D2490F">
        <w:rPr>
          <w:sz w:val="20"/>
          <w:szCs w:val="20"/>
        </w:rPr>
        <w:t xml:space="preserve"> See for example, Freedom from Torture,</w:t>
      </w:r>
      <w:r w:rsidRPr="00D2490F">
        <w:rPr>
          <w:i/>
          <w:sz w:val="20"/>
          <w:szCs w:val="20"/>
        </w:rPr>
        <w:t xml:space="preserve"> ‘Out of the Silence: New Evidence of Ongoing Torture in Sri Lanka 2009-2011’,</w:t>
      </w:r>
      <w:r w:rsidRPr="00D2490F">
        <w:rPr>
          <w:sz w:val="20"/>
          <w:szCs w:val="20"/>
        </w:rPr>
        <w:t xml:space="preserve"> available at </w:t>
      </w:r>
      <w:hyperlink r:id="rId6" w:history="1">
        <w:r w:rsidRPr="00D2490F">
          <w:rPr>
            <w:rStyle w:val="Hyperlink"/>
            <w:sz w:val="20"/>
            <w:szCs w:val="20"/>
          </w:rPr>
          <w:t>http://www.freedomfromtorture.org/sites/default/files/documents/Sri%20Lanka%20Ongoing%20Torture_Freedom%20from%20Torture_Final%20Nov_07_2011.pdf</w:t>
        </w:r>
      </w:hyperlink>
      <w:r w:rsidRPr="00D2490F">
        <w:rPr>
          <w:sz w:val="20"/>
          <w:szCs w:val="20"/>
        </w:rPr>
        <w:t xml:space="preserve"> </w:t>
      </w:r>
    </w:p>
  </w:footnote>
  <w:footnote w:id="12">
    <w:p w14:paraId="5E34EA34" w14:textId="77777777" w:rsidR="00651D85" w:rsidRPr="00D2490F" w:rsidRDefault="00651D85">
      <w:pPr>
        <w:pStyle w:val="Funotentext"/>
        <w:rPr>
          <w:sz w:val="20"/>
          <w:szCs w:val="20"/>
        </w:rPr>
      </w:pPr>
      <w:r w:rsidRPr="00D2490F">
        <w:rPr>
          <w:rStyle w:val="Funotenzeichen"/>
          <w:sz w:val="20"/>
          <w:szCs w:val="20"/>
        </w:rPr>
        <w:footnoteRef/>
      </w:r>
      <w:r w:rsidRPr="00D2490F">
        <w:rPr>
          <w:sz w:val="20"/>
          <w:szCs w:val="20"/>
        </w:rPr>
        <w:t xml:space="preserve"> Article 157 (a) (1) of the Second Republican Constitution of Sri Lanka as amended by the 6</w:t>
      </w:r>
      <w:r w:rsidRPr="00D2490F">
        <w:rPr>
          <w:sz w:val="20"/>
          <w:szCs w:val="20"/>
          <w:vertAlign w:val="superscript"/>
        </w:rPr>
        <w:t>th</w:t>
      </w:r>
      <w:r w:rsidRPr="00D2490F">
        <w:rPr>
          <w:sz w:val="20"/>
          <w:szCs w:val="20"/>
        </w:rPr>
        <w:t xml:space="preserve"> Amendment certified on 08 August 1983</w:t>
      </w:r>
    </w:p>
  </w:footnote>
  <w:footnote w:id="13">
    <w:p w14:paraId="2F09BBA3" w14:textId="77777777" w:rsidR="00651D85" w:rsidRPr="00D2490F" w:rsidRDefault="00651D85" w:rsidP="00B06CF9">
      <w:pPr>
        <w:pStyle w:val="Funotentext"/>
        <w:rPr>
          <w:sz w:val="20"/>
          <w:szCs w:val="20"/>
        </w:rPr>
      </w:pPr>
      <w:r w:rsidRPr="00D2490F">
        <w:rPr>
          <w:rStyle w:val="Funotenzeichen"/>
          <w:sz w:val="20"/>
          <w:szCs w:val="20"/>
        </w:rPr>
        <w:footnoteRef/>
      </w:r>
      <w:r w:rsidRPr="00D2490F">
        <w:rPr>
          <w:sz w:val="20"/>
          <w:szCs w:val="20"/>
        </w:rPr>
        <w:t xml:space="preserve"> Article 157 (a) (3) read with </w:t>
      </w:r>
      <w:r w:rsidRPr="00D2490F">
        <w:rPr>
          <w:rFonts w:cs="Helvetica"/>
          <w:sz w:val="20"/>
          <w:szCs w:val="20"/>
        </w:rPr>
        <w:t>Article 161(d)</w:t>
      </w:r>
    </w:p>
  </w:footnote>
  <w:footnote w:id="14">
    <w:p w14:paraId="23702187" w14:textId="77777777" w:rsidR="00651D85" w:rsidRPr="00D2490F" w:rsidRDefault="00651D85">
      <w:pPr>
        <w:pStyle w:val="Funotentext"/>
        <w:rPr>
          <w:sz w:val="20"/>
          <w:szCs w:val="20"/>
        </w:rPr>
      </w:pPr>
      <w:r w:rsidRPr="00D2490F">
        <w:rPr>
          <w:rStyle w:val="Funotenzeichen"/>
          <w:sz w:val="20"/>
          <w:szCs w:val="20"/>
        </w:rPr>
        <w:footnoteRef/>
      </w:r>
      <w:r w:rsidRPr="00D2490F">
        <w:rPr>
          <w:sz w:val="20"/>
          <w:szCs w:val="20"/>
        </w:rPr>
        <w:t xml:space="preserve"> Article 157 (a) (4)</w:t>
      </w:r>
    </w:p>
  </w:footnote>
  <w:footnote w:id="15">
    <w:p w14:paraId="1FC2EC32" w14:textId="77777777" w:rsidR="00651D85" w:rsidRPr="00D2490F" w:rsidRDefault="00651D85">
      <w:pPr>
        <w:pStyle w:val="Funotentext"/>
        <w:rPr>
          <w:sz w:val="20"/>
          <w:szCs w:val="20"/>
        </w:rPr>
      </w:pPr>
      <w:r w:rsidRPr="00D2490F">
        <w:rPr>
          <w:rStyle w:val="Funotenzeichen"/>
          <w:sz w:val="20"/>
          <w:szCs w:val="20"/>
        </w:rPr>
        <w:footnoteRef/>
      </w:r>
      <w:r w:rsidRPr="00D2490F">
        <w:rPr>
          <w:sz w:val="20"/>
          <w:szCs w:val="20"/>
        </w:rPr>
        <w:t xml:space="preserve"> Article 157 (a) (5) </w:t>
      </w:r>
    </w:p>
  </w:footnote>
  <w:footnote w:id="16">
    <w:p w14:paraId="13EBFDD4" w14:textId="77777777" w:rsidR="00651D85" w:rsidRPr="00D2490F" w:rsidRDefault="00651D85">
      <w:pPr>
        <w:pStyle w:val="Funotentext"/>
        <w:rPr>
          <w:sz w:val="20"/>
          <w:szCs w:val="20"/>
        </w:rPr>
      </w:pPr>
      <w:r w:rsidRPr="00D2490F">
        <w:rPr>
          <w:rStyle w:val="Funotenzeichen"/>
          <w:sz w:val="20"/>
          <w:szCs w:val="20"/>
        </w:rPr>
        <w:footnoteRef/>
      </w:r>
      <w:r w:rsidRPr="00D2490F">
        <w:rPr>
          <w:sz w:val="20"/>
          <w:szCs w:val="20"/>
        </w:rPr>
        <w:t xml:space="preserve"> Article 157 (a) (7) </w:t>
      </w:r>
    </w:p>
  </w:footnote>
  <w:footnote w:id="17">
    <w:p w14:paraId="5F756250" w14:textId="77777777" w:rsidR="00651D85" w:rsidRPr="00D2490F" w:rsidRDefault="00651D85">
      <w:pPr>
        <w:pStyle w:val="Funotentext"/>
        <w:rPr>
          <w:sz w:val="20"/>
          <w:szCs w:val="20"/>
        </w:rPr>
      </w:pPr>
      <w:r w:rsidRPr="00D2490F">
        <w:rPr>
          <w:rStyle w:val="Funotenzeichen"/>
          <w:sz w:val="20"/>
          <w:szCs w:val="20"/>
        </w:rPr>
        <w:footnoteRef/>
      </w:r>
      <w:r w:rsidRPr="00D2490F">
        <w:rPr>
          <w:sz w:val="20"/>
          <w:szCs w:val="20"/>
        </w:rPr>
        <w:t xml:space="preserve"> </w:t>
      </w:r>
      <w:proofErr w:type="gramStart"/>
      <w:r w:rsidRPr="00D2490F">
        <w:rPr>
          <w:rFonts w:cs="Arial"/>
          <w:bCs/>
          <w:sz w:val="20"/>
          <w:szCs w:val="20"/>
        </w:rPr>
        <w:t>Communication No. 1033/2001.</w:t>
      </w:r>
      <w:proofErr w:type="gramEnd"/>
      <w:r w:rsidRPr="00D2490F">
        <w:rPr>
          <w:rFonts w:cs="Arial"/>
          <w:bCs/>
          <w:sz w:val="20"/>
          <w:szCs w:val="20"/>
        </w:rPr>
        <w:t xml:space="preserve"> </w:t>
      </w:r>
      <w:proofErr w:type="gramStart"/>
      <w:r w:rsidRPr="00D2490F">
        <w:rPr>
          <w:rFonts w:cs="Arial"/>
          <w:bCs/>
          <w:sz w:val="20"/>
          <w:szCs w:val="20"/>
        </w:rPr>
        <w:t>Decided on 21 July 2004.</w:t>
      </w:r>
      <w:proofErr w:type="gramEnd"/>
      <w:r w:rsidRPr="00D2490F">
        <w:rPr>
          <w:rFonts w:cs="Arial"/>
          <w:bCs/>
          <w:sz w:val="20"/>
          <w:szCs w:val="20"/>
        </w:rPr>
        <w:t xml:space="preserve"> </w:t>
      </w:r>
    </w:p>
  </w:footnote>
  <w:footnote w:id="18">
    <w:p w14:paraId="35498F06" w14:textId="77777777" w:rsidR="00651D85" w:rsidRPr="00D2490F" w:rsidRDefault="00651D85">
      <w:pPr>
        <w:pStyle w:val="Funotentext"/>
        <w:rPr>
          <w:sz w:val="20"/>
          <w:szCs w:val="20"/>
        </w:rPr>
      </w:pPr>
      <w:r w:rsidRPr="00D2490F">
        <w:rPr>
          <w:rStyle w:val="Funotenzeichen"/>
          <w:sz w:val="20"/>
          <w:szCs w:val="20"/>
        </w:rPr>
        <w:footnoteRef/>
      </w:r>
      <w:r w:rsidRPr="00D2490F">
        <w:rPr>
          <w:sz w:val="20"/>
          <w:szCs w:val="20"/>
        </w:rPr>
        <w:t xml:space="preserve"> SC Special Leave to Appeal 182/99 decided on 15.09.2006 </w:t>
      </w:r>
    </w:p>
  </w:footnote>
  <w:footnote w:id="19">
    <w:p w14:paraId="6200AB99" w14:textId="77777777" w:rsidR="00651D85" w:rsidRPr="00D2490F" w:rsidRDefault="00651D85" w:rsidP="00626C87">
      <w:pPr>
        <w:pStyle w:val="Funotentext"/>
        <w:rPr>
          <w:rFonts w:cs="Times"/>
          <w:iCs/>
          <w:sz w:val="20"/>
          <w:szCs w:val="20"/>
        </w:rPr>
      </w:pPr>
      <w:r w:rsidRPr="00D2490F">
        <w:rPr>
          <w:rStyle w:val="Funotenzeichen"/>
          <w:sz w:val="20"/>
          <w:szCs w:val="20"/>
        </w:rPr>
        <w:footnoteRef/>
      </w:r>
      <w:r w:rsidRPr="00D2490F">
        <w:rPr>
          <w:sz w:val="20"/>
          <w:szCs w:val="20"/>
        </w:rPr>
        <w:t xml:space="preserve"> </w:t>
      </w:r>
      <w:r w:rsidRPr="00D2490F">
        <w:rPr>
          <w:rFonts w:cs="Times"/>
          <w:iCs/>
          <w:sz w:val="20"/>
          <w:szCs w:val="20"/>
        </w:rPr>
        <w:t xml:space="preserve">Paul </w:t>
      </w:r>
      <w:proofErr w:type="spellStart"/>
      <w:r w:rsidRPr="00D2490F">
        <w:rPr>
          <w:rFonts w:cs="Times"/>
          <w:iCs/>
          <w:sz w:val="20"/>
          <w:szCs w:val="20"/>
        </w:rPr>
        <w:t>Sieghart</w:t>
      </w:r>
      <w:proofErr w:type="spellEnd"/>
      <w:r w:rsidRPr="00D2490F">
        <w:rPr>
          <w:rFonts w:cs="Times"/>
          <w:iCs/>
          <w:sz w:val="20"/>
          <w:szCs w:val="20"/>
        </w:rPr>
        <w:t xml:space="preserve">: </w:t>
      </w:r>
      <w:r w:rsidRPr="00D2490F">
        <w:rPr>
          <w:rFonts w:cs="Times"/>
          <w:i/>
          <w:iCs/>
          <w:sz w:val="20"/>
          <w:szCs w:val="20"/>
        </w:rPr>
        <w:t xml:space="preserve">Sri Lanka-A Mounting Tragedy of Errors - Report of a Mission to Sri Lanka in January 1984 on behalf of the International Commission of Jurists and its British Section, Justice, </w:t>
      </w:r>
      <w:r w:rsidRPr="00D2490F">
        <w:rPr>
          <w:rFonts w:cs="Times"/>
          <w:iCs/>
          <w:sz w:val="20"/>
          <w:szCs w:val="20"/>
        </w:rPr>
        <w:t>(March 1984)</w:t>
      </w:r>
    </w:p>
    <w:p w14:paraId="4EC4054A" w14:textId="77777777" w:rsidR="00651D85" w:rsidRPr="00D2490F" w:rsidRDefault="00651D85" w:rsidP="00626C87">
      <w:pPr>
        <w:pStyle w:val="Funotentext"/>
        <w:rPr>
          <w:sz w:val="20"/>
          <w:szCs w:val="20"/>
        </w:rPr>
      </w:pPr>
    </w:p>
  </w:footnote>
  <w:footnote w:id="20">
    <w:p w14:paraId="510BD9A0" w14:textId="77777777" w:rsidR="00651D85" w:rsidRPr="00D2490F" w:rsidRDefault="00651D85">
      <w:pPr>
        <w:pStyle w:val="Funotentext"/>
        <w:rPr>
          <w:sz w:val="20"/>
          <w:szCs w:val="20"/>
        </w:rPr>
      </w:pPr>
      <w:r w:rsidRPr="00D2490F">
        <w:rPr>
          <w:rStyle w:val="Funotenzeichen"/>
          <w:sz w:val="20"/>
          <w:szCs w:val="20"/>
        </w:rPr>
        <w:footnoteRef/>
      </w:r>
      <w:r w:rsidRPr="00D2490F">
        <w:rPr>
          <w:sz w:val="20"/>
          <w:szCs w:val="20"/>
        </w:rPr>
        <w:t xml:space="preserve"> G</w:t>
      </w:r>
      <w:r w:rsidRPr="00D2490F">
        <w:rPr>
          <w:rFonts w:cs="Arial"/>
          <w:bCs/>
          <w:i/>
          <w:iCs/>
          <w:color w:val="000000"/>
          <w:sz w:val="20"/>
          <w:szCs w:val="20"/>
        </w:rPr>
        <w:t>eneral Comment No. 11: Prohibition of propaganda for war and inciting national, racial or religious hatred (Art. 20</w:t>
      </w:r>
      <w:proofErr w:type="gramStart"/>
      <w:r w:rsidRPr="00D2490F">
        <w:rPr>
          <w:rFonts w:cs="Arial"/>
          <w:bCs/>
          <w:i/>
          <w:iCs/>
          <w:color w:val="000000"/>
          <w:sz w:val="20"/>
          <w:szCs w:val="20"/>
        </w:rPr>
        <w:t>) :</w:t>
      </w:r>
      <w:proofErr w:type="gramEnd"/>
      <w:r w:rsidRPr="00D2490F">
        <w:rPr>
          <w:rFonts w:cs="Arial"/>
          <w:bCs/>
          <w:i/>
          <w:iCs/>
          <w:color w:val="000000"/>
          <w:sz w:val="20"/>
          <w:szCs w:val="20"/>
        </w:rPr>
        <w:t xml:space="preserve"> . 29/07/1983. </w:t>
      </w:r>
      <w:proofErr w:type="gramStart"/>
      <w:r w:rsidRPr="00D2490F">
        <w:rPr>
          <w:rFonts w:cs="Arial"/>
          <w:bCs/>
          <w:i/>
          <w:iCs/>
          <w:color w:val="000000"/>
          <w:sz w:val="20"/>
          <w:szCs w:val="20"/>
        </w:rPr>
        <w:t>CCPR General Comment No. 11.</w:t>
      </w:r>
      <w:proofErr w:type="gramEnd"/>
      <w:r w:rsidRPr="00D2490F">
        <w:rPr>
          <w:rFonts w:cs="Arial"/>
          <w:bCs/>
          <w:i/>
          <w:iCs/>
          <w:color w:val="000000"/>
          <w:sz w:val="20"/>
          <w:szCs w:val="20"/>
        </w:rPr>
        <w:t xml:space="preserve"> (General Comments</w:t>
      </w:r>
      <w:r w:rsidRPr="00D2490F">
        <w:rPr>
          <w:rFonts w:cs="Arial"/>
          <w:bCs/>
          <w:color w:val="000000"/>
          <w:sz w:val="20"/>
          <w:szCs w:val="20"/>
        </w:rPr>
        <w:t>)</w:t>
      </w:r>
    </w:p>
  </w:footnote>
  <w:footnote w:id="21">
    <w:p w14:paraId="4EA89EA0" w14:textId="77777777" w:rsidR="00651D85" w:rsidRPr="00D2490F" w:rsidRDefault="00651D85">
      <w:pPr>
        <w:pStyle w:val="Funotentext"/>
        <w:rPr>
          <w:sz w:val="20"/>
          <w:szCs w:val="20"/>
        </w:rPr>
      </w:pPr>
      <w:r w:rsidRPr="00D2490F">
        <w:rPr>
          <w:rStyle w:val="Funotenzeichen"/>
          <w:sz w:val="20"/>
          <w:szCs w:val="20"/>
        </w:rPr>
        <w:footnoteRef/>
      </w:r>
      <w:r w:rsidRPr="00D2490F">
        <w:rPr>
          <w:sz w:val="20"/>
          <w:szCs w:val="20"/>
        </w:rPr>
        <w:t xml:space="preserve"> </w:t>
      </w:r>
      <w:proofErr w:type="gramStart"/>
      <w:r w:rsidRPr="00D2490F">
        <w:rPr>
          <w:rFonts w:cs="Times"/>
          <w:color w:val="000000"/>
          <w:sz w:val="20"/>
          <w:szCs w:val="20"/>
        </w:rPr>
        <w:t xml:space="preserve">US Supreme Court, </w:t>
      </w:r>
      <w:r w:rsidRPr="00D2490F">
        <w:rPr>
          <w:rFonts w:cs="Times"/>
          <w:i/>
          <w:iCs/>
          <w:color w:val="000000"/>
          <w:sz w:val="20"/>
          <w:szCs w:val="20"/>
        </w:rPr>
        <w:t>Brandenburg v. Ohio</w:t>
      </w:r>
      <w:r w:rsidRPr="00D2490F">
        <w:rPr>
          <w:rFonts w:cs="Times"/>
          <w:color w:val="000000"/>
          <w:sz w:val="20"/>
          <w:szCs w:val="20"/>
        </w:rPr>
        <w:t>, 395 U.S. 444 (1969).</w:t>
      </w:r>
      <w:proofErr w:type="gramEnd"/>
    </w:p>
  </w:footnote>
  <w:footnote w:id="22">
    <w:p w14:paraId="35DA2F40" w14:textId="77777777" w:rsidR="00651D85" w:rsidRPr="00D2490F" w:rsidRDefault="00651D85">
      <w:pPr>
        <w:pStyle w:val="Funotentext"/>
        <w:rPr>
          <w:sz w:val="20"/>
          <w:szCs w:val="20"/>
        </w:rPr>
      </w:pPr>
      <w:r w:rsidRPr="00D2490F">
        <w:rPr>
          <w:rStyle w:val="Funotenzeichen"/>
          <w:sz w:val="20"/>
          <w:szCs w:val="20"/>
        </w:rPr>
        <w:footnoteRef/>
      </w:r>
      <w:r w:rsidRPr="00D2490F">
        <w:rPr>
          <w:sz w:val="20"/>
          <w:szCs w:val="20"/>
        </w:rPr>
        <w:t xml:space="preserve"> </w:t>
      </w:r>
      <w:proofErr w:type="spellStart"/>
      <w:r w:rsidRPr="00D2490F">
        <w:rPr>
          <w:rFonts w:cs="Times"/>
          <w:color w:val="000000"/>
          <w:sz w:val="20"/>
          <w:szCs w:val="20"/>
        </w:rPr>
        <w:t>ECtHR</w:t>
      </w:r>
      <w:proofErr w:type="spellEnd"/>
      <w:r w:rsidRPr="00D2490F">
        <w:rPr>
          <w:rFonts w:cs="Times"/>
          <w:color w:val="000000"/>
          <w:sz w:val="20"/>
          <w:szCs w:val="20"/>
        </w:rPr>
        <w:t xml:space="preserve">, </w:t>
      </w:r>
      <w:r w:rsidRPr="00D2490F">
        <w:rPr>
          <w:rFonts w:cs="Times"/>
          <w:i/>
          <w:iCs/>
          <w:color w:val="000000"/>
          <w:sz w:val="20"/>
          <w:szCs w:val="20"/>
        </w:rPr>
        <w:t xml:space="preserve">Sunday Times v. United Kingdom, </w:t>
      </w:r>
      <w:r w:rsidRPr="00D2490F">
        <w:rPr>
          <w:rFonts w:cs="Times"/>
          <w:color w:val="000000"/>
          <w:sz w:val="20"/>
          <w:szCs w:val="20"/>
        </w:rPr>
        <w:t>26 April 1979, para. 49.</w:t>
      </w:r>
    </w:p>
  </w:footnote>
  <w:footnote w:id="23">
    <w:p w14:paraId="0E537CE6" w14:textId="77777777" w:rsidR="00651D85" w:rsidRPr="00D2490F" w:rsidRDefault="00651D85" w:rsidP="00A84B69">
      <w:pPr>
        <w:pStyle w:val="Funotentext"/>
        <w:rPr>
          <w:sz w:val="20"/>
          <w:szCs w:val="20"/>
        </w:rPr>
      </w:pPr>
      <w:r w:rsidRPr="00D2490F">
        <w:rPr>
          <w:rStyle w:val="Funotenzeichen"/>
          <w:sz w:val="20"/>
          <w:szCs w:val="20"/>
        </w:rPr>
        <w:footnoteRef/>
      </w:r>
      <w:r w:rsidRPr="00D2490F">
        <w:rPr>
          <w:sz w:val="20"/>
          <w:szCs w:val="20"/>
        </w:rPr>
        <w:t xml:space="preserve"> </w:t>
      </w:r>
      <w:r w:rsidRPr="00D2490F">
        <w:rPr>
          <w:rFonts w:cs="Verdana"/>
          <w:sz w:val="20"/>
          <w:szCs w:val="20"/>
        </w:rPr>
        <w:t xml:space="preserve">18 July 2000, Application No. 26680/95 (European Court of Human Rights) </w:t>
      </w:r>
    </w:p>
  </w:footnote>
  <w:footnote w:id="24">
    <w:p w14:paraId="33EB4472" w14:textId="77777777" w:rsidR="00651D85" w:rsidRPr="00D2490F" w:rsidRDefault="00651D85" w:rsidP="00A86D22">
      <w:pPr>
        <w:pStyle w:val="Funotentext"/>
        <w:rPr>
          <w:sz w:val="20"/>
          <w:szCs w:val="20"/>
        </w:rPr>
      </w:pPr>
      <w:r w:rsidRPr="00D2490F">
        <w:rPr>
          <w:rStyle w:val="Funotenzeichen"/>
          <w:sz w:val="20"/>
          <w:szCs w:val="20"/>
        </w:rPr>
        <w:footnoteRef/>
      </w:r>
      <w:r w:rsidRPr="00D2490F">
        <w:rPr>
          <w:sz w:val="20"/>
          <w:szCs w:val="20"/>
        </w:rPr>
        <w:t xml:space="preserve"> </w:t>
      </w:r>
      <w:proofErr w:type="gramStart"/>
      <w:r w:rsidRPr="00D2490F">
        <w:rPr>
          <w:rFonts w:cs="Arial"/>
          <w:bCs/>
          <w:sz w:val="20"/>
          <w:szCs w:val="20"/>
        </w:rPr>
        <w:t>Communication No. 1033/2001.</w:t>
      </w:r>
      <w:proofErr w:type="gramEnd"/>
      <w:r w:rsidRPr="00D2490F">
        <w:rPr>
          <w:rFonts w:cs="Arial"/>
          <w:bCs/>
          <w:sz w:val="20"/>
          <w:szCs w:val="20"/>
        </w:rPr>
        <w:t xml:space="preserve"> </w:t>
      </w:r>
      <w:proofErr w:type="gramStart"/>
      <w:r w:rsidRPr="00D2490F">
        <w:rPr>
          <w:rFonts w:cs="Arial"/>
          <w:bCs/>
          <w:sz w:val="20"/>
          <w:szCs w:val="20"/>
        </w:rPr>
        <w:t>Decided on 21 July 2004.</w:t>
      </w:r>
      <w:proofErr w:type="gramEnd"/>
      <w:r w:rsidRPr="00D2490F">
        <w:rPr>
          <w:rFonts w:cs="Arial"/>
          <w:bCs/>
          <w:sz w:val="20"/>
          <w:szCs w:val="20"/>
        </w:rPr>
        <w:t xml:space="preserve"> </w:t>
      </w:r>
    </w:p>
  </w:footnote>
  <w:footnote w:id="25">
    <w:p w14:paraId="63AD886D" w14:textId="77777777" w:rsidR="00651D85" w:rsidRPr="00D2490F" w:rsidRDefault="00651D85">
      <w:pPr>
        <w:pStyle w:val="Funotentext"/>
        <w:rPr>
          <w:sz w:val="20"/>
          <w:szCs w:val="20"/>
        </w:rPr>
      </w:pPr>
      <w:r w:rsidRPr="00D2490F">
        <w:rPr>
          <w:rStyle w:val="Funotenzeichen"/>
          <w:sz w:val="20"/>
          <w:szCs w:val="20"/>
        </w:rPr>
        <w:footnoteRef/>
      </w:r>
      <w:r w:rsidRPr="00D2490F">
        <w:rPr>
          <w:sz w:val="20"/>
          <w:szCs w:val="20"/>
        </w:rPr>
        <w:t xml:space="preserve"> </w:t>
      </w:r>
      <w:proofErr w:type="gramStart"/>
      <w:r w:rsidRPr="00D2490F">
        <w:rPr>
          <w:sz w:val="20"/>
          <w:szCs w:val="20"/>
        </w:rPr>
        <w:t>Section 2(2) of the Law.</w:t>
      </w:r>
      <w:proofErr w:type="gramEnd"/>
      <w:r w:rsidRPr="00D2490F">
        <w:rPr>
          <w:sz w:val="20"/>
          <w:szCs w:val="20"/>
        </w:rPr>
        <w:t xml:space="preserve"> </w:t>
      </w:r>
    </w:p>
  </w:footnote>
  <w:footnote w:id="26">
    <w:p w14:paraId="1357B496" w14:textId="77777777" w:rsidR="00651D85" w:rsidRPr="00D2490F" w:rsidRDefault="00651D85">
      <w:pPr>
        <w:pStyle w:val="Funotentext"/>
        <w:rPr>
          <w:sz w:val="20"/>
          <w:szCs w:val="20"/>
        </w:rPr>
      </w:pPr>
      <w:r w:rsidRPr="00D2490F">
        <w:rPr>
          <w:rStyle w:val="Funotenzeichen"/>
          <w:sz w:val="20"/>
          <w:szCs w:val="20"/>
        </w:rPr>
        <w:footnoteRef/>
      </w:r>
      <w:r w:rsidRPr="00D2490F">
        <w:rPr>
          <w:sz w:val="20"/>
          <w:szCs w:val="20"/>
        </w:rPr>
        <w:t xml:space="preserve"> See </w:t>
      </w:r>
      <w:proofErr w:type="spellStart"/>
      <w:r w:rsidRPr="00D2490F">
        <w:rPr>
          <w:sz w:val="20"/>
          <w:szCs w:val="20"/>
        </w:rPr>
        <w:t>Tamilnet</w:t>
      </w:r>
      <w:proofErr w:type="spellEnd"/>
      <w:r w:rsidRPr="00D2490F">
        <w:rPr>
          <w:sz w:val="20"/>
          <w:szCs w:val="20"/>
        </w:rPr>
        <w:t xml:space="preserve">, </w:t>
      </w:r>
      <w:hyperlink r:id="rId7" w:history="1">
        <w:r w:rsidRPr="00D2490F">
          <w:rPr>
            <w:rStyle w:val="Hyperlink"/>
            <w:sz w:val="20"/>
            <w:szCs w:val="20"/>
          </w:rPr>
          <w:t>http://www.tamilnet.com/art.html?catid=13&amp;artid=23842</w:t>
        </w:r>
      </w:hyperlink>
      <w:r w:rsidRPr="00D2490F">
        <w:rPr>
          <w:sz w:val="20"/>
          <w:szCs w:val="20"/>
        </w:rPr>
        <w:t xml:space="preserve"> (24 November 2007) </w:t>
      </w:r>
    </w:p>
  </w:footnote>
  <w:footnote w:id="27">
    <w:p w14:paraId="26B7A30E" w14:textId="77777777" w:rsidR="00651D85" w:rsidRPr="00D2490F" w:rsidRDefault="00651D85">
      <w:pPr>
        <w:pStyle w:val="Funotentext"/>
        <w:rPr>
          <w:sz w:val="20"/>
          <w:szCs w:val="20"/>
        </w:rPr>
      </w:pPr>
      <w:r w:rsidRPr="00D2490F">
        <w:rPr>
          <w:rStyle w:val="Funotenzeichen"/>
          <w:sz w:val="20"/>
          <w:szCs w:val="20"/>
        </w:rPr>
        <w:footnoteRef/>
      </w:r>
      <w:r w:rsidRPr="00D2490F">
        <w:rPr>
          <w:sz w:val="20"/>
          <w:szCs w:val="20"/>
        </w:rPr>
        <w:t xml:space="preserve"> Findings of the Peoples Permanent Tribunal on Sri Lanka, Phase I and II available at </w:t>
      </w:r>
      <w:hyperlink r:id="rId8" w:history="1">
        <w:r w:rsidRPr="00D2490F">
          <w:rPr>
            <w:rStyle w:val="Hyperlink"/>
            <w:sz w:val="20"/>
            <w:szCs w:val="20"/>
          </w:rPr>
          <w:t>http://www.ptsrilanka.org/</w:t>
        </w:r>
      </w:hyperlink>
      <w:r w:rsidRPr="00D2490F">
        <w:rPr>
          <w:sz w:val="20"/>
          <w:szCs w:val="20"/>
        </w:rPr>
        <w:t xml:space="preserve"> </w:t>
      </w:r>
    </w:p>
    <w:p w14:paraId="6DF70B47" w14:textId="77777777" w:rsidR="00651D85" w:rsidRPr="00D2490F" w:rsidRDefault="00651D85">
      <w:pPr>
        <w:pStyle w:val="Funotentext"/>
        <w:rPr>
          <w:sz w:val="20"/>
          <w:szCs w:val="20"/>
        </w:rPr>
      </w:pPr>
    </w:p>
  </w:footnote>
  <w:footnote w:id="28">
    <w:p w14:paraId="39788FAA" w14:textId="77777777" w:rsidR="00651D85" w:rsidRPr="00D2490F" w:rsidRDefault="00651D85">
      <w:pPr>
        <w:pStyle w:val="Funotentext"/>
        <w:rPr>
          <w:sz w:val="20"/>
          <w:szCs w:val="20"/>
        </w:rPr>
      </w:pPr>
      <w:r w:rsidRPr="00D2490F">
        <w:rPr>
          <w:rStyle w:val="Funotenzeichen"/>
          <w:sz w:val="20"/>
          <w:szCs w:val="20"/>
        </w:rPr>
        <w:footnoteRef/>
      </w:r>
      <w:r w:rsidRPr="00D2490F">
        <w:rPr>
          <w:sz w:val="20"/>
          <w:szCs w:val="20"/>
        </w:rPr>
        <w:t xml:space="preserve"> Full text can be found here: </w:t>
      </w:r>
      <w:hyperlink r:id="rId9" w:history="1">
        <w:r w:rsidRPr="00D2490F">
          <w:rPr>
            <w:rStyle w:val="Hyperlink"/>
            <w:color w:val="auto"/>
            <w:sz w:val="20"/>
            <w:szCs w:val="20"/>
          </w:rPr>
          <w:t>https://www.colombotelegraph.com/index.php/full-text-tnas-northern-provincial-council-election-manifesto-2013/</w:t>
        </w:r>
      </w:hyperlink>
      <w:r w:rsidRPr="00D2490F">
        <w:rPr>
          <w:sz w:val="20"/>
          <w:szCs w:val="20"/>
        </w:rPr>
        <w:t xml:space="preserve"> </w:t>
      </w:r>
    </w:p>
    <w:p w14:paraId="612C43BF" w14:textId="77777777" w:rsidR="00651D85" w:rsidRPr="00D2490F" w:rsidRDefault="00651D85">
      <w:pPr>
        <w:pStyle w:val="Funotentext"/>
        <w:rPr>
          <w:sz w:val="20"/>
          <w:szCs w:val="20"/>
        </w:rPr>
      </w:pPr>
    </w:p>
  </w:footnote>
  <w:footnote w:id="29">
    <w:p w14:paraId="7A2FF22A" w14:textId="77777777" w:rsidR="00651D85" w:rsidRPr="00D2490F" w:rsidRDefault="00651D85">
      <w:pPr>
        <w:pStyle w:val="Funotentext"/>
        <w:rPr>
          <w:sz w:val="20"/>
          <w:szCs w:val="20"/>
        </w:rPr>
      </w:pPr>
      <w:r w:rsidRPr="00D2490F">
        <w:rPr>
          <w:rStyle w:val="Funotenzeichen"/>
          <w:sz w:val="20"/>
          <w:szCs w:val="20"/>
        </w:rPr>
        <w:footnoteRef/>
      </w:r>
      <w:r w:rsidRPr="00D2490F">
        <w:rPr>
          <w:sz w:val="20"/>
          <w:szCs w:val="20"/>
        </w:rPr>
        <w:t xml:space="preserve"> Island, ‘</w:t>
      </w:r>
      <w:r w:rsidRPr="00D2490F">
        <w:rPr>
          <w:rFonts w:cs="Trebuchet MS"/>
          <w:sz w:val="20"/>
          <w:szCs w:val="20"/>
        </w:rPr>
        <w:t xml:space="preserve">Five groups challenge TNA manifesto in SC’, </w:t>
      </w:r>
      <w:hyperlink r:id="rId10" w:history="1">
        <w:r w:rsidRPr="00D2490F">
          <w:rPr>
            <w:rStyle w:val="Hyperlink"/>
            <w:color w:val="auto"/>
            <w:sz w:val="20"/>
            <w:szCs w:val="20"/>
          </w:rPr>
          <w:t>http://www.island.lk/index.php?page_cat=article-details&amp;page=article-details&amp;code_title=88278</w:t>
        </w:r>
      </w:hyperlink>
      <w:r w:rsidRPr="00D2490F">
        <w:rPr>
          <w:sz w:val="20"/>
          <w:szCs w:val="20"/>
        </w:rPr>
        <w:t xml:space="preserve"> </w:t>
      </w:r>
    </w:p>
  </w:footnote>
  <w:footnote w:id="30">
    <w:p w14:paraId="1C6A3829" w14:textId="77777777" w:rsidR="00651D85" w:rsidRPr="00D2490F" w:rsidRDefault="00651D85">
      <w:pPr>
        <w:pStyle w:val="Funotentext"/>
        <w:rPr>
          <w:sz w:val="20"/>
          <w:szCs w:val="20"/>
        </w:rPr>
      </w:pPr>
    </w:p>
    <w:p w14:paraId="31F93CF6" w14:textId="77777777" w:rsidR="00651D85" w:rsidRPr="00D2490F" w:rsidRDefault="00651D85">
      <w:pPr>
        <w:pStyle w:val="Funotentext"/>
        <w:rPr>
          <w:sz w:val="20"/>
          <w:szCs w:val="20"/>
        </w:rPr>
      </w:pPr>
      <w:r w:rsidRPr="00D2490F">
        <w:rPr>
          <w:rStyle w:val="Funotenzeichen"/>
          <w:sz w:val="20"/>
          <w:szCs w:val="20"/>
        </w:rPr>
        <w:footnoteRef/>
      </w:r>
      <w:r w:rsidRPr="00D2490F">
        <w:rPr>
          <w:sz w:val="20"/>
          <w:szCs w:val="20"/>
        </w:rPr>
        <w:t xml:space="preserve"> Ceylon Today, ‘Case against TNA Manifesto’, </w:t>
      </w:r>
      <w:hyperlink r:id="rId11" w:history="1">
        <w:r w:rsidRPr="00D2490F">
          <w:rPr>
            <w:rStyle w:val="Hyperlink"/>
            <w:color w:val="auto"/>
            <w:sz w:val="20"/>
            <w:szCs w:val="20"/>
          </w:rPr>
          <w:t>http://www.ceylontoday.lk/16-44013-news-detail-case-against-tna-manifesto.html</w:t>
        </w:r>
      </w:hyperlink>
      <w:r w:rsidRPr="00D2490F">
        <w:rPr>
          <w:sz w:val="20"/>
          <w:szCs w:val="20"/>
        </w:rPr>
        <w:t xml:space="preserve"> </w:t>
      </w:r>
    </w:p>
    <w:p w14:paraId="41A46875" w14:textId="77777777" w:rsidR="00651D85" w:rsidRPr="00D2490F" w:rsidRDefault="00651D85" w:rsidP="00D077A2">
      <w:pPr>
        <w:rPr>
          <w:sz w:val="20"/>
          <w:szCs w:val="20"/>
        </w:rPr>
      </w:pPr>
    </w:p>
  </w:footnote>
  <w:footnote w:id="31">
    <w:p w14:paraId="5B482818" w14:textId="77777777" w:rsidR="00651D85" w:rsidRPr="00D2490F" w:rsidRDefault="00651D85" w:rsidP="00D077A2">
      <w:pPr>
        <w:widowControl w:val="0"/>
        <w:autoSpaceDE w:val="0"/>
        <w:autoSpaceDN w:val="0"/>
        <w:adjustRightInd w:val="0"/>
        <w:spacing w:after="320"/>
        <w:jc w:val="both"/>
        <w:rPr>
          <w:rFonts w:cs="Verdana"/>
          <w:sz w:val="20"/>
          <w:szCs w:val="20"/>
        </w:rPr>
      </w:pPr>
      <w:r w:rsidRPr="00D2490F">
        <w:rPr>
          <w:rStyle w:val="Funotenzeichen"/>
          <w:sz w:val="20"/>
          <w:szCs w:val="20"/>
        </w:rPr>
        <w:footnoteRef/>
      </w:r>
      <w:r w:rsidRPr="00D2490F">
        <w:rPr>
          <w:sz w:val="20"/>
          <w:szCs w:val="20"/>
        </w:rPr>
        <w:t xml:space="preserve"> </w:t>
      </w:r>
      <w:r w:rsidRPr="00D2490F">
        <w:rPr>
          <w:rFonts w:cs="Georgia"/>
          <w:sz w:val="20"/>
          <w:szCs w:val="20"/>
        </w:rPr>
        <w:t xml:space="preserve">President </w:t>
      </w:r>
      <w:proofErr w:type="spellStart"/>
      <w:r w:rsidRPr="00D2490F">
        <w:rPr>
          <w:rFonts w:cs="Georgia"/>
          <w:sz w:val="20"/>
          <w:szCs w:val="20"/>
        </w:rPr>
        <w:t>Mahinda</w:t>
      </w:r>
      <w:proofErr w:type="spellEnd"/>
      <w:r w:rsidRPr="00D2490F">
        <w:rPr>
          <w:rFonts w:cs="Georgia"/>
          <w:sz w:val="20"/>
          <w:szCs w:val="20"/>
        </w:rPr>
        <w:t xml:space="preserve"> </w:t>
      </w:r>
      <w:proofErr w:type="spellStart"/>
      <w:r w:rsidRPr="00D2490F">
        <w:rPr>
          <w:rFonts w:cs="Georgia"/>
          <w:sz w:val="20"/>
          <w:szCs w:val="20"/>
        </w:rPr>
        <w:t>Rajapaksha</w:t>
      </w:r>
      <w:proofErr w:type="spellEnd"/>
      <w:r w:rsidRPr="00D2490F">
        <w:rPr>
          <w:rFonts w:cs="Georgia"/>
          <w:sz w:val="20"/>
          <w:szCs w:val="20"/>
        </w:rPr>
        <w:t xml:space="preserve"> himself accused the TNA of pursuing the LTTE’s separatist agenda and vowed, “I will not let anyone divide this country, the same way I did not allow </w:t>
      </w:r>
      <w:proofErr w:type="spellStart"/>
      <w:r w:rsidRPr="00D2490F">
        <w:rPr>
          <w:rFonts w:cs="Georgia"/>
          <w:sz w:val="20"/>
          <w:szCs w:val="20"/>
        </w:rPr>
        <w:t>Prabakran</w:t>
      </w:r>
      <w:proofErr w:type="spellEnd"/>
      <w:r w:rsidRPr="00D2490F">
        <w:rPr>
          <w:rFonts w:cs="Georgia"/>
          <w:sz w:val="20"/>
          <w:szCs w:val="20"/>
        </w:rPr>
        <w:t xml:space="preserve"> [leader of the LTTE] to do it” “MR accuses the TNA”, </w:t>
      </w:r>
      <w:r w:rsidRPr="00D2490F">
        <w:rPr>
          <w:rFonts w:cs="Georgia"/>
          <w:i/>
          <w:iCs/>
          <w:sz w:val="20"/>
          <w:szCs w:val="20"/>
        </w:rPr>
        <w:t>Colombo Gazette</w:t>
      </w:r>
      <w:r w:rsidRPr="00D2490F">
        <w:rPr>
          <w:rFonts w:cs="Georgia"/>
          <w:sz w:val="20"/>
          <w:szCs w:val="20"/>
        </w:rPr>
        <w:t>, 11 September 2013.</w:t>
      </w:r>
    </w:p>
    <w:p w14:paraId="7A370784" w14:textId="77777777" w:rsidR="00651D85" w:rsidRPr="00D2490F" w:rsidRDefault="00651D85">
      <w:pPr>
        <w:pStyle w:val="Funotentext"/>
        <w:rPr>
          <w:sz w:val="20"/>
          <w:szCs w:val="20"/>
        </w:rPr>
      </w:pPr>
    </w:p>
  </w:footnote>
  <w:footnote w:id="32">
    <w:p w14:paraId="2C285B40" w14:textId="77777777" w:rsidR="00651D85" w:rsidRPr="00D2490F" w:rsidRDefault="00651D85">
      <w:pPr>
        <w:pStyle w:val="Funotentext"/>
        <w:rPr>
          <w:rFonts w:cs="Arial"/>
          <w:sz w:val="20"/>
          <w:szCs w:val="20"/>
        </w:rPr>
      </w:pPr>
      <w:r w:rsidRPr="00D2490F">
        <w:rPr>
          <w:rStyle w:val="Funotenzeichen"/>
          <w:sz w:val="20"/>
          <w:szCs w:val="20"/>
        </w:rPr>
        <w:footnoteRef/>
      </w:r>
      <w:r w:rsidRPr="00D2490F">
        <w:rPr>
          <w:sz w:val="20"/>
          <w:szCs w:val="20"/>
        </w:rPr>
        <w:t xml:space="preserve"> The Hindu, ‘Past May Haunt Tamil Political Parties’, </w:t>
      </w:r>
      <w:hyperlink r:id="rId12" w:history="1">
        <w:r w:rsidRPr="00D2490F">
          <w:rPr>
            <w:rStyle w:val="Hyperlink"/>
            <w:rFonts w:cs="Arial"/>
            <w:sz w:val="20"/>
            <w:szCs w:val="20"/>
          </w:rPr>
          <w:t>http://www.thehindu.com/news/international/past-may-haunt-tamil-parties-in-sri-lanka/article3429549.ece</w:t>
        </w:r>
      </w:hyperlink>
    </w:p>
    <w:p w14:paraId="23416950" w14:textId="77777777" w:rsidR="00651D85" w:rsidRPr="00D2490F" w:rsidRDefault="00651D85">
      <w:pPr>
        <w:pStyle w:val="Funotentext"/>
        <w:rPr>
          <w:sz w:val="20"/>
          <w:szCs w:val="20"/>
        </w:rPr>
      </w:pPr>
    </w:p>
  </w:footnote>
  <w:footnote w:id="33">
    <w:p w14:paraId="1F71EB58" w14:textId="77777777" w:rsidR="00651D85" w:rsidRPr="00D2490F" w:rsidRDefault="00651D85">
      <w:pPr>
        <w:pStyle w:val="Funotentext"/>
        <w:rPr>
          <w:sz w:val="20"/>
          <w:szCs w:val="20"/>
        </w:rPr>
      </w:pPr>
      <w:r w:rsidRPr="00D2490F">
        <w:rPr>
          <w:rStyle w:val="Funotenzeichen"/>
          <w:sz w:val="20"/>
          <w:szCs w:val="20"/>
        </w:rPr>
        <w:footnoteRef/>
      </w:r>
      <w:r w:rsidRPr="00D2490F">
        <w:rPr>
          <w:sz w:val="20"/>
          <w:szCs w:val="20"/>
        </w:rPr>
        <w:t xml:space="preserve"> Ministry of </w:t>
      </w:r>
      <w:proofErr w:type="spellStart"/>
      <w:r w:rsidRPr="00D2490F">
        <w:rPr>
          <w:sz w:val="20"/>
          <w:szCs w:val="20"/>
        </w:rPr>
        <w:t>Defence</w:t>
      </w:r>
      <w:proofErr w:type="spellEnd"/>
      <w:r w:rsidRPr="00D2490F">
        <w:rPr>
          <w:sz w:val="20"/>
          <w:szCs w:val="20"/>
        </w:rPr>
        <w:t xml:space="preserve"> Official Website, (18 August 2013) </w:t>
      </w:r>
      <w:hyperlink r:id="rId13" w:history="1">
        <w:r w:rsidRPr="00D2490F">
          <w:rPr>
            <w:rStyle w:val="Hyperlink"/>
            <w:color w:val="auto"/>
            <w:sz w:val="20"/>
            <w:szCs w:val="20"/>
          </w:rPr>
          <w:t>http://www.defence.lk/new.asp?fname=When_TNA_leaders_go_shopping_for_separatist_sponsorship_in_Canada_and_US_20130818_03</w:t>
        </w:r>
      </w:hyperlink>
      <w:r w:rsidRPr="00D2490F">
        <w:rPr>
          <w:sz w:val="20"/>
          <w:szCs w:val="20"/>
        </w:rPr>
        <w:t xml:space="preserve"> </w:t>
      </w:r>
    </w:p>
    <w:p w14:paraId="705E5B2B" w14:textId="77777777" w:rsidR="00651D85" w:rsidRPr="00D2490F" w:rsidRDefault="00651D85">
      <w:pPr>
        <w:pStyle w:val="Funotentext"/>
        <w:rPr>
          <w:sz w:val="20"/>
          <w:szCs w:val="20"/>
        </w:rPr>
      </w:pPr>
    </w:p>
  </w:footnote>
  <w:footnote w:id="34">
    <w:p w14:paraId="6EDC7668" w14:textId="77777777" w:rsidR="00651D85" w:rsidRPr="00D2490F" w:rsidRDefault="00651D85">
      <w:pPr>
        <w:pStyle w:val="Funotentext"/>
        <w:rPr>
          <w:sz w:val="20"/>
          <w:szCs w:val="20"/>
        </w:rPr>
      </w:pPr>
      <w:r w:rsidRPr="00D2490F">
        <w:rPr>
          <w:rStyle w:val="Funotenzeichen"/>
          <w:sz w:val="20"/>
          <w:szCs w:val="20"/>
        </w:rPr>
        <w:footnoteRef/>
      </w:r>
      <w:r w:rsidRPr="00D2490F">
        <w:rPr>
          <w:sz w:val="20"/>
          <w:szCs w:val="20"/>
        </w:rPr>
        <w:t xml:space="preserve"> See. Government of Sri Lanka, </w:t>
      </w:r>
      <w:hyperlink r:id="rId14" w:history="1">
        <w:r w:rsidRPr="00D2490F">
          <w:rPr>
            <w:rStyle w:val="Hyperlink"/>
            <w:sz w:val="20"/>
            <w:szCs w:val="20"/>
          </w:rPr>
          <w:t>http://www.news.lk/news/sri-lanka/7713-stern-and-immediate-action-against-sritharan-demanded</w:t>
        </w:r>
      </w:hyperlink>
      <w:r w:rsidRPr="00D2490F">
        <w:rPr>
          <w:sz w:val="20"/>
          <w:szCs w:val="20"/>
        </w:rPr>
        <w:t xml:space="preserve"> also see Island, </w:t>
      </w:r>
      <w:hyperlink r:id="rId15" w:history="1">
        <w:r w:rsidRPr="00D2490F">
          <w:rPr>
            <w:rStyle w:val="Hyperlink"/>
            <w:sz w:val="20"/>
            <w:szCs w:val="20"/>
          </w:rPr>
          <w:t>http://www.island.lk/index.php?page_cat=article-details&amp;page=article-details&amp;code_title=94313</w:t>
        </w:r>
      </w:hyperlink>
      <w:r w:rsidRPr="00D2490F">
        <w:rPr>
          <w:sz w:val="20"/>
          <w:szCs w:val="20"/>
        </w:rPr>
        <w:t xml:space="preserve"> </w:t>
      </w:r>
    </w:p>
    <w:p w14:paraId="1AB7624E" w14:textId="77777777" w:rsidR="00651D85" w:rsidRPr="00D2490F" w:rsidRDefault="00651D85">
      <w:pPr>
        <w:pStyle w:val="Funotentext"/>
        <w:rPr>
          <w:sz w:val="20"/>
          <w:szCs w:val="20"/>
        </w:rPr>
      </w:pPr>
    </w:p>
  </w:footnote>
  <w:footnote w:id="35">
    <w:p w14:paraId="0842FAD1" w14:textId="77777777" w:rsidR="00651D85" w:rsidRPr="00D2490F" w:rsidRDefault="00651D85">
      <w:pPr>
        <w:pStyle w:val="Funotentext"/>
        <w:rPr>
          <w:sz w:val="20"/>
          <w:szCs w:val="20"/>
        </w:rPr>
      </w:pPr>
      <w:r w:rsidRPr="00D2490F">
        <w:rPr>
          <w:rStyle w:val="Funotenzeichen"/>
          <w:sz w:val="20"/>
          <w:szCs w:val="20"/>
        </w:rPr>
        <w:footnoteRef/>
      </w:r>
      <w:r w:rsidRPr="00D2490F">
        <w:rPr>
          <w:sz w:val="20"/>
          <w:szCs w:val="20"/>
        </w:rPr>
        <w:t xml:space="preserve"> Amnesty International, ‘Urgent Appeal: Students at risk of torture’,  </w:t>
      </w:r>
      <w:hyperlink r:id="rId16" w:history="1">
        <w:r w:rsidRPr="00D2490F">
          <w:rPr>
            <w:rStyle w:val="Hyperlink"/>
            <w:sz w:val="20"/>
            <w:szCs w:val="20"/>
          </w:rPr>
          <w:t>http://www.amnesty.org/en/library/asset/ASA37/014/2012/en/a5fdf2a4-edf3-40a9-8d66-070decb5c3a1/asa370142012en.pdf</w:t>
        </w:r>
      </w:hyperlink>
      <w:r w:rsidRPr="00D2490F">
        <w:rPr>
          <w:sz w:val="20"/>
          <w:szCs w:val="20"/>
        </w:rPr>
        <w:t xml:space="preserve"> (04 December 2012)</w:t>
      </w:r>
    </w:p>
    <w:p w14:paraId="0C9CEB69" w14:textId="77777777" w:rsidR="00651D85" w:rsidRPr="00D2490F" w:rsidRDefault="00651D85">
      <w:pPr>
        <w:pStyle w:val="Funotentext"/>
        <w:rPr>
          <w:sz w:val="20"/>
          <w:szCs w:val="20"/>
        </w:rPr>
      </w:pPr>
    </w:p>
  </w:footnote>
  <w:footnote w:id="36">
    <w:p w14:paraId="7AFFD98E" w14:textId="77777777" w:rsidR="00651D85" w:rsidRPr="00D2490F" w:rsidRDefault="00651D85" w:rsidP="006240E0">
      <w:pPr>
        <w:pStyle w:val="Funotentext"/>
        <w:rPr>
          <w:sz w:val="20"/>
          <w:szCs w:val="20"/>
        </w:rPr>
      </w:pPr>
      <w:r w:rsidRPr="00D2490F">
        <w:rPr>
          <w:rStyle w:val="Funotenzeichen"/>
          <w:sz w:val="20"/>
          <w:szCs w:val="20"/>
        </w:rPr>
        <w:footnoteRef/>
      </w:r>
      <w:r w:rsidRPr="00D2490F">
        <w:rPr>
          <w:sz w:val="20"/>
          <w:szCs w:val="20"/>
        </w:rPr>
        <w:t xml:space="preserve"> The students though arrested were treated as “</w:t>
      </w:r>
      <w:proofErr w:type="spellStart"/>
      <w:r w:rsidRPr="00D2490F">
        <w:rPr>
          <w:sz w:val="20"/>
          <w:szCs w:val="20"/>
        </w:rPr>
        <w:t>surrendees</w:t>
      </w:r>
      <w:proofErr w:type="spellEnd"/>
      <w:r w:rsidRPr="00D2490F">
        <w:rPr>
          <w:sz w:val="20"/>
          <w:szCs w:val="20"/>
        </w:rPr>
        <w:t>”. Clause 3.(2) of PTA Regulations no. 5 of 2011 provides “Any person who surrenders (hereinafter referred to as the “</w:t>
      </w:r>
      <w:proofErr w:type="spellStart"/>
      <w:r w:rsidRPr="00D2490F">
        <w:rPr>
          <w:sz w:val="20"/>
          <w:szCs w:val="20"/>
        </w:rPr>
        <w:t>surrendee</w:t>
      </w:r>
      <w:proofErr w:type="spellEnd"/>
      <w:r w:rsidRPr="00D2490F">
        <w:rPr>
          <w:sz w:val="20"/>
          <w:szCs w:val="20"/>
        </w:rPr>
        <w:t xml:space="preserve">”) in connection with any offence under the Explosives Act, the Offensive Weapons Act, No. 18 of 1966, the Firearms Ordinance, the Prevention of Terrorism (Temporary Provisions) Act, No. 48 of 1979 or under Chapter VI, Chapter VII or Chapter VIII of the Penal Code or under any emergency regulation which was in force prior to August 30, 2011, or through fear of terrorist activities, to any police officer, or any member of the armed forces, or to any public officer or any other person or body of persons authorized by the President by Order, shall be required to give a written statement to the officer or person authorized to the effect that he is surrendering voluntarily”. The regulations provide that a person who has thus ‘voluntarily surrendered’ to be assigned for rehabilitation by the </w:t>
      </w:r>
      <w:proofErr w:type="spellStart"/>
      <w:r w:rsidRPr="00D2490F">
        <w:rPr>
          <w:sz w:val="20"/>
          <w:szCs w:val="20"/>
        </w:rPr>
        <w:t>Defence</w:t>
      </w:r>
      <w:proofErr w:type="spellEnd"/>
      <w:r w:rsidRPr="00D2490F">
        <w:rPr>
          <w:sz w:val="20"/>
          <w:szCs w:val="20"/>
        </w:rPr>
        <w:t xml:space="preserve"> Secretary acting through the Commissioner General for Rehabilitation. A person who voluntarily surrenders can be held for an initial period of 12 months and a maximum period of two years at the </w:t>
      </w:r>
      <w:proofErr w:type="spellStart"/>
      <w:r w:rsidRPr="00D2490F">
        <w:rPr>
          <w:sz w:val="20"/>
          <w:szCs w:val="20"/>
        </w:rPr>
        <w:t>Defence</w:t>
      </w:r>
      <w:proofErr w:type="spellEnd"/>
      <w:r w:rsidRPr="00D2490F">
        <w:rPr>
          <w:sz w:val="20"/>
          <w:szCs w:val="20"/>
        </w:rPr>
        <w:t xml:space="preserve"> Secretary’s discretion. Given that the security establishment claims that the students are being ‘rehabilitated’, it was assumed that the students are being held for rehabilitation under these regulations.</w:t>
      </w:r>
    </w:p>
    <w:p w14:paraId="444A288D" w14:textId="77777777" w:rsidR="00651D85" w:rsidRPr="00D2490F" w:rsidRDefault="00651D85">
      <w:pPr>
        <w:pStyle w:val="Funotentext"/>
        <w:rPr>
          <w:sz w:val="20"/>
          <w:szCs w:val="20"/>
        </w:rPr>
      </w:pPr>
    </w:p>
  </w:footnote>
  <w:footnote w:id="37">
    <w:p w14:paraId="6C028EC0" w14:textId="77777777" w:rsidR="00651D85" w:rsidRPr="00D2490F" w:rsidRDefault="00651D85">
      <w:pPr>
        <w:pStyle w:val="Funotentext"/>
        <w:rPr>
          <w:sz w:val="20"/>
          <w:szCs w:val="20"/>
        </w:rPr>
      </w:pPr>
      <w:r w:rsidRPr="00D2490F">
        <w:rPr>
          <w:rStyle w:val="Funotenzeichen"/>
          <w:sz w:val="20"/>
          <w:szCs w:val="20"/>
        </w:rPr>
        <w:footnoteRef/>
      </w:r>
      <w:r w:rsidRPr="00D2490F">
        <w:rPr>
          <w:sz w:val="20"/>
          <w:szCs w:val="20"/>
        </w:rPr>
        <w:t xml:space="preserve"> </w:t>
      </w:r>
      <w:r w:rsidRPr="00D2490F">
        <w:rPr>
          <w:rFonts w:cs="Georgia"/>
          <w:color w:val="2D2C2B"/>
          <w:sz w:val="20"/>
          <w:szCs w:val="20"/>
        </w:rPr>
        <w:t>See http://www.thehindu.com/news/international/south-asia/tamil-poet-and-actor-arrested-in-sri-lanka/article5383187.ece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A550C"/>
    <w:multiLevelType w:val="hybridMultilevel"/>
    <w:tmpl w:val="F23A2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E0612B"/>
    <w:multiLevelType w:val="hybridMultilevel"/>
    <w:tmpl w:val="F4D08D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1A1EB0"/>
    <w:multiLevelType w:val="hybridMultilevel"/>
    <w:tmpl w:val="E2960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D546E6F"/>
    <w:multiLevelType w:val="hybridMultilevel"/>
    <w:tmpl w:val="B98CB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2E633C6"/>
    <w:multiLevelType w:val="hybridMultilevel"/>
    <w:tmpl w:val="EB06CA3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3093F57"/>
    <w:multiLevelType w:val="hybridMultilevel"/>
    <w:tmpl w:val="50623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A0A0493"/>
    <w:multiLevelType w:val="hybridMultilevel"/>
    <w:tmpl w:val="5F108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B1F025F"/>
    <w:multiLevelType w:val="hybridMultilevel"/>
    <w:tmpl w:val="C57CAA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D443F85"/>
    <w:multiLevelType w:val="hybridMultilevel"/>
    <w:tmpl w:val="9698E3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C4F269F"/>
    <w:multiLevelType w:val="hybridMultilevel"/>
    <w:tmpl w:val="B20C1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F2F7081"/>
    <w:multiLevelType w:val="hybridMultilevel"/>
    <w:tmpl w:val="F70C47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FF10F3D"/>
    <w:multiLevelType w:val="hybridMultilevel"/>
    <w:tmpl w:val="89CCE0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1"/>
  </w:num>
  <w:num w:numId="3">
    <w:abstractNumId w:val="4"/>
  </w:num>
  <w:num w:numId="4">
    <w:abstractNumId w:val="1"/>
  </w:num>
  <w:num w:numId="5">
    <w:abstractNumId w:val="6"/>
  </w:num>
  <w:num w:numId="6">
    <w:abstractNumId w:val="2"/>
  </w:num>
  <w:num w:numId="7">
    <w:abstractNumId w:val="9"/>
  </w:num>
  <w:num w:numId="8">
    <w:abstractNumId w:val="0"/>
  </w:num>
  <w:num w:numId="9">
    <w:abstractNumId w:val="8"/>
  </w:num>
  <w:num w:numId="10">
    <w:abstractNumId w:val="7"/>
  </w:num>
  <w:num w:numId="11">
    <w:abstractNumId w:val="1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E8D"/>
    <w:rsid w:val="0002171B"/>
    <w:rsid w:val="0005037B"/>
    <w:rsid w:val="00061513"/>
    <w:rsid w:val="00077A6C"/>
    <w:rsid w:val="000826E2"/>
    <w:rsid w:val="00094377"/>
    <w:rsid w:val="000B3FF4"/>
    <w:rsid w:val="000D0747"/>
    <w:rsid w:val="000D721A"/>
    <w:rsid w:val="001D2E84"/>
    <w:rsid w:val="00204A3A"/>
    <w:rsid w:val="00286049"/>
    <w:rsid w:val="00403761"/>
    <w:rsid w:val="00435391"/>
    <w:rsid w:val="0045120F"/>
    <w:rsid w:val="00472919"/>
    <w:rsid w:val="004F6A8C"/>
    <w:rsid w:val="0054148F"/>
    <w:rsid w:val="00555B64"/>
    <w:rsid w:val="005F721A"/>
    <w:rsid w:val="006003F4"/>
    <w:rsid w:val="00613CEB"/>
    <w:rsid w:val="006240E0"/>
    <w:rsid w:val="00626C87"/>
    <w:rsid w:val="00633E9E"/>
    <w:rsid w:val="00651D85"/>
    <w:rsid w:val="00695460"/>
    <w:rsid w:val="006A3EA2"/>
    <w:rsid w:val="006C1A7B"/>
    <w:rsid w:val="00722BCB"/>
    <w:rsid w:val="00755892"/>
    <w:rsid w:val="0076699C"/>
    <w:rsid w:val="007A4E8D"/>
    <w:rsid w:val="007A5194"/>
    <w:rsid w:val="007C0273"/>
    <w:rsid w:val="00835088"/>
    <w:rsid w:val="00837F97"/>
    <w:rsid w:val="008F1DA3"/>
    <w:rsid w:val="00972E51"/>
    <w:rsid w:val="009F76A5"/>
    <w:rsid w:val="00A843D2"/>
    <w:rsid w:val="00A84B69"/>
    <w:rsid w:val="00A86D22"/>
    <w:rsid w:val="00AC0FE3"/>
    <w:rsid w:val="00AC27F5"/>
    <w:rsid w:val="00B06CF9"/>
    <w:rsid w:val="00B35B7C"/>
    <w:rsid w:val="00B84985"/>
    <w:rsid w:val="00BB59C7"/>
    <w:rsid w:val="00BD3AAA"/>
    <w:rsid w:val="00C03F95"/>
    <w:rsid w:val="00C26B8B"/>
    <w:rsid w:val="00C55A76"/>
    <w:rsid w:val="00C562EF"/>
    <w:rsid w:val="00C7202B"/>
    <w:rsid w:val="00C82DB2"/>
    <w:rsid w:val="00CA5E86"/>
    <w:rsid w:val="00D077A2"/>
    <w:rsid w:val="00D2490F"/>
    <w:rsid w:val="00D67FD6"/>
    <w:rsid w:val="00D71D20"/>
    <w:rsid w:val="00D73809"/>
    <w:rsid w:val="00D772A7"/>
    <w:rsid w:val="00DB2668"/>
    <w:rsid w:val="00E42655"/>
    <w:rsid w:val="00E548C5"/>
    <w:rsid w:val="00E76C20"/>
    <w:rsid w:val="00F06882"/>
    <w:rsid w:val="00F21BAA"/>
    <w:rsid w:val="00F5096B"/>
    <w:rsid w:val="00F557D4"/>
    <w:rsid w:val="00F60B8C"/>
    <w:rsid w:val="00F834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154EA4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unhideWhenUsed/>
    <w:rsid w:val="007A4E8D"/>
  </w:style>
  <w:style w:type="character" w:customStyle="1" w:styleId="FunotentextZchn">
    <w:name w:val="Fußnotentext Zchn"/>
    <w:basedOn w:val="Absatz-Standardschriftart"/>
    <w:link w:val="Funotentext"/>
    <w:uiPriority w:val="99"/>
    <w:rsid w:val="007A4E8D"/>
  </w:style>
  <w:style w:type="character" w:styleId="Funotenzeichen">
    <w:name w:val="footnote reference"/>
    <w:basedOn w:val="Absatz-Standardschriftart"/>
    <w:uiPriority w:val="99"/>
    <w:unhideWhenUsed/>
    <w:rsid w:val="007A4E8D"/>
    <w:rPr>
      <w:vertAlign w:val="superscript"/>
    </w:rPr>
  </w:style>
  <w:style w:type="character" w:styleId="Hyperlink">
    <w:name w:val="Hyperlink"/>
    <w:basedOn w:val="Absatz-Standardschriftart"/>
    <w:uiPriority w:val="99"/>
    <w:unhideWhenUsed/>
    <w:rsid w:val="000826E2"/>
    <w:rPr>
      <w:color w:val="0000FF" w:themeColor="hyperlink"/>
      <w:u w:val="single"/>
    </w:rPr>
  </w:style>
  <w:style w:type="character" w:styleId="BesuchterHyperlink">
    <w:name w:val="FollowedHyperlink"/>
    <w:basedOn w:val="Absatz-Standardschriftart"/>
    <w:uiPriority w:val="99"/>
    <w:semiHidden/>
    <w:unhideWhenUsed/>
    <w:rsid w:val="00D077A2"/>
    <w:rPr>
      <w:color w:val="800080" w:themeColor="followedHyperlink"/>
      <w:u w:val="single"/>
    </w:rPr>
  </w:style>
  <w:style w:type="paragraph" w:styleId="Listenabsatz">
    <w:name w:val="List Paragraph"/>
    <w:basedOn w:val="Standard"/>
    <w:uiPriority w:val="34"/>
    <w:qFormat/>
    <w:rsid w:val="00094377"/>
    <w:pPr>
      <w:ind w:left="720"/>
      <w:contextualSpacing/>
    </w:pPr>
  </w:style>
  <w:style w:type="character" w:styleId="Buchtitel">
    <w:name w:val="Book Title"/>
    <w:basedOn w:val="Absatz-Standardschriftart"/>
    <w:uiPriority w:val="33"/>
    <w:qFormat/>
    <w:rsid w:val="00094377"/>
    <w:rPr>
      <w:b/>
      <w:bCs/>
      <w:smallCaps/>
      <w:spacing w:val="5"/>
    </w:rPr>
  </w:style>
  <w:style w:type="character" w:styleId="IntensiverVerweis">
    <w:name w:val="Intense Reference"/>
    <w:basedOn w:val="Absatz-Standardschriftart"/>
    <w:uiPriority w:val="32"/>
    <w:qFormat/>
    <w:rsid w:val="00094377"/>
    <w:rPr>
      <w:b/>
      <w:bCs/>
      <w:smallCaps/>
      <w:color w:val="C0504D" w:themeColor="accent2"/>
      <w:spacing w:val="5"/>
      <w:u w:val="single"/>
    </w:rPr>
  </w:style>
  <w:style w:type="character" w:styleId="SchwacherVerweis">
    <w:name w:val="Subtle Reference"/>
    <w:basedOn w:val="Absatz-Standardschriftart"/>
    <w:uiPriority w:val="31"/>
    <w:qFormat/>
    <w:rsid w:val="00094377"/>
    <w:rPr>
      <w:smallCaps/>
      <w:color w:val="C0504D" w:themeColor="accent2"/>
      <w:u w:val="single"/>
    </w:rPr>
  </w:style>
  <w:style w:type="paragraph" w:styleId="StandardWeb">
    <w:name w:val="Normal (Web)"/>
    <w:basedOn w:val="Standard"/>
    <w:uiPriority w:val="99"/>
    <w:semiHidden/>
    <w:unhideWhenUsed/>
    <w:rsid w:val="006240E0"/>
    <w:pPr>
      <w:spacing w:before="100" w:beforeAutospacing="1" w:after="100" w:afterAutospacing="1"/>
    </w:pPr>
    <w:rPr>
      <w:rFonts w:ascii="Times" w:hAnsi="Times" w:cs="Times New Roman"/>
      <w:sz w:val="20"/>
      <w:szCs w:val="20"/>
    </w:rPr>
  </w:style>
  <w:style w:type="paragraph" w:styleId="Fuzeile">
    <w:name w:val="footer"/>
    <w:basedOn w:val="Standard"/>
    <w:link w:val="FuzeileZchn"/>
    <w:uiPriority w:val="99"/>
    <w:unhideWhenUsed/>
    <w:rsid w:val="00D2490F"/>
    <w:pPr>
      <w:tabs>
        <w:tab w:val="center" w:pos="4320"/>
        <w:tab w:val="right" w:pos="8640"/>
      </w:tabs>
    </w:pPr>
  </w:style>
  <w:style w:type="character" w:customStyle="1" w:styleId="FuzeileZchn">
    <w:name w:val="Fußzeile Zchn"/>
    <w:basedOn w:val="Absatz-Standardschriftart"/>
    <w:link w:val="Fuzeile"/>
    <w:uiPriority w:val="99"/>
    <w:rsid w:val="00D2490F"/>
  </w:style>
  <w:style w:type="character" w:styleId="Seitenzahl">
    <w:name w:val="page number"/>
    <w:basedOn w:val="Absatz-Standardschriftart"/>
    <w:uiPriority w:val="99"/>
    <w:semiHidden/>
    <w:unhideWhenUsed/>
    <w:rsid w:val="00D249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unhideWhenUsed/>
    <w:rsid w:val="007A4E8D"/>
  </w:style>
  <w:style w:type="character" w:customStyle="1" w:styleId="FunotentextZchn">
    <w:name w:val="Fußnotentext Zchn"/>
    <w:basedOn w:val="Absatz-Standardschriftart"/>
    <w:link w:val="Funotentext"/>
    <w:uiPriority w:val="99"/>
    <w:rsid w:val="007A4E8D"/>
  </w:style>
  <w:style w:type="character" w:styleId="Funotenzeichen">
    <w:name w:val="footnote reference"/>
    <w:basedOn w:val="Absatz-Standardschriftart"/>
    <w:uiPriority w:val="99"/>
    <w:unhideWhenUsed/>
    <w:rsid w:val="007A4E8D"/>
    <w:rPr>
      <w:vertAlign w:val="superscript"/>
    </w:rPr>
  </w:style>
  <w:style w:type="character" w:styleId="Hyperlink">
    <w:name w:val="Hyperlink"/>
    <w:basedOn w:val="Absatz-Standardschriftart"/>
    <w:uiPriority w:val="99"/>
    <w:unhideWhenUsed/>
    <w:rsid w:val="000826E2"/>
    <w:rPr>
      <w:color w:val="0000FF" w:themeColor="hyperlink"/>
      <w:u w:val="single"/>
    </w:rPr>
  </w:style>
  <w:style w:type="character" w:styleId="BesuchterHyperlink">
    <w:name w:val="FollowedHyperlink"/>
    <w:basedOn w:val="Absatz-Standardschriftart"/>
    <w:uiPriority w:val="99"/>
    <w:semiHidden/>
    <w:unhideWhenUsed/>
    <w:rsid w:val="00D077A2"/>
    <w:rPr>
      <w:color w:val="800080" w:themeColor="followedHyperlink"/>
      <w:u w:val="single"/>
    </w:rPr>
  </w:style>
  <w:style w:type="paragraph" w:styleId="Listenabsatz">
    <w:name w:val="List Paragraph"/>
    <w:basedOn w:val="Standard"/>
    <w:uiPriority w:val="34"/>
    <w:qFormat/>
    <w:rsid w:val="00094377"/>
    <w:pPr>
      <w:ind w:left="720"/>
      <w:contextualSpacing/>
    </w:pPr>
  </w:style>
  <w:style w:type="character" w:styleId="Buchtitel">
    <w:name w:val="Book Title"/>
    <w:basedOn w:val="Absatz-Standardschriftart"/>
    <w:uiPriority w:val="33"/>
    <w:qFormat/>
    <w:rsid w:val="00094377"/>
    <w:rPr>
      <w:b/>
      <w:bCs/>
      <w:smallCaps/>
      <w:spacing w:val="5"/>
    </w:rPr>
  </w:style>
  <w:style w:type="character" w:styleId="IntensiverVerweis">
    <w:name w:val="Intense Reference"/>
    <w:basedOn w:val="Absatz-Standardschriftart"/>
    <w:uiPriority w:val="32"/>
    <w:qFormat/>
    <w:rsid w:val="00094377"/>
    <w:rPr>
      <w:b/>
      <w:bCs/>
      <w:smallCaps/>
      <w:color w:val="C0504D" w:themeColor="accent2"/>
      <w:spacing w:val="5"/>
      <w:u w:val="single"/>
    </w:rPr>
  </w:style>
  <w:style w:type="character" w:styleId="SchwacherVerweis">
    <w:name w:val="Subtle Reference"/>
    <w:basedOn w:val="Absatz-Standardschriftart"/>
    <w:uiPriority w:val="31"/>
    <w:qFormat/>
    <w:rsid w:val="00094377"/>
    <w:rPr>
      <w:smallCaps/>
      <w:color w:val="C0504D" w:themeColor="accent2"/>
      <w:u w:val="single"/>
    </w:rPr>
  </w:style>
  <w:style w:type="paragraph" w:styleId="StandardWeb">
    <w:name w:val="Normal (Web)"/>
    <w:basedOn w:val="Standard"/>
    <w:uiPriority w:val="99"/>
    <w:semiHidden/>
    <w:unhideWhenUsed/>
    <w:rsid w:val="006240E0"/>
    <w:pPr>
      <w:spacing w:before="100" w:beforeAutospacing="1" w:after="100" w:afterAutospacing="1"/>
    </w:pPr>
    <w:rPr>
      <w:rFonts w:ascii="Times" w:hAnsi="Times" w:cs="Times New Roman"/>
      <w:sz w:val="20"/>
      <w:szCs w:val="20"/>
    </w:rPr>
  </w:style>
  <w:style w:type="paragraph" w:styleId="Fuzeile">
    <w:name w:val="footer"/>
    <w:basedOn w:val="Standard"/>
    <w:link w:val="FuzeileZchn"/>
    <w:uiPriority w:val="99"/>
    <w:unhideWhenUsed/>
    <w:rsid w:val="00D2490F"/>
    <w:pPr>
      <w:tabs>
        <w:tab w:val="center" w:pos="4320"/>
        <w:tab w:val="right" w:pos="8640"/>
      </w:tabs>
    </w:pPr>
  </w:style>
  <w:style w:type="character" w:customStyle="1" w:styleId="FuzeileZchn">
    <w:name w:val="Fußzeile Zchn"/>
    <w:basedOn w:val="Absatz-Standardschriftart"/>
    <w:link w:val="Fuzeile"/>
    <w:uiPriority w:val="99"/>
    <w:rsid w:val="00D2490F"/>
  </w:style>
  <w:style w:type="character" w:styleId="Seitenzahl">
    <w:name w:val="page number"/>
    <w:basedOn w:val="Absatz-Standardschriftart"/>
    <w:uiPriority w:val="99"/>
    <w:semiHidden/>
    <w:unhideWhenUsed/>
    <w:rsid w:val="00D249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38682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ptsrilanka.org/" TargetMode="External"/><Relationship Id="rId13" Type="http://schemas.openxmlformats.org/officeDocument/2006/relationships/hyperlink" Target="http://www.defence.lk/new.asp?fname=When_TNA_leaders_go_shopping_for_separatist_sponsorship_in_Canada_and_US_20130818_03" TargetMode="External"/><Relationship Id="rId3" Type="http://schemas.openxmlformats.org/officeDocument/2006/relationships/hyperlink" Target="http://www.ohchr.org/Documents/HRBodies/HRCouncil/RegularSession/Session22/A.HRC.22.45_English.pdf" TargetMode="External"/><Relationship Id="rId7" Type="http://schemas.openxmlformats.org/officeDocument/2006/relationships/hyperlink" Target="http://www.tamilnet.com/art.html?catid=13&amp;artid=23842" TargetMode="External"/><Relationship Id="rId12" Type="http://schemas.openxmlformats.org/officeDocument/2006/relationships/hyperlink" Target="http://www.thehindu.com/news/international/past-may-haunt-tamil-parties-in-sri-lanka/article3429549.ece" TargetMode="External"/><Relationship Id="rId2" Type="http://schemas.openxmlformats.org/officeDocument/2006/relationships/hyperlink" Target="http://www.un.org/News/dh/infocus/Sri_Lanka/The_Internal_Review_Panel_report_on_Sri_Lanka.pdf" TargetMode="External"/><Relationship Id="rId16" Type="http://schemas.openxmlformats.org/officeDocument/2006/relationships/hyperlink" Target="http://www.amnesty.org/en/library/asset/ASA37/014/2012/en/a5fdf2a4-edf3-40a9-8d66-070decb5c3a1/asa370142012en.pdf" TargetMode="External"/><Relationship Id="rId1" Type="http://schemas.openxmlformats.org/officeDocument/2006/relationships/hyperlink" Target="http://www.un.org/News/dh/infocus/Sri_Lanka/POE_Report_Full.pdf" TargetMode="External"/><Relationship Id="rId6" Type="http://schemas.openxmlformats.org/officeDocument/2006/relationships/hyperlink" Target="http://www.freedomfromtorture.org/sites/default/files/documents/Sri%20Lanka%20Ongoing%20Torture_Freedom%20from%20Torture_Final%20Nov_07_2011.pdf" TargetMode="External"/><Relationship Id="rId11" Type="http://schemas.openxmlformats.org/officeDocument/2006/relationships/hyperlink" Target="http://www.ceylontoday.lk/16-44013-news-detail-case-against-tna-manifesto.html" TargetMode="External"/><Relationship Id="rId5" Type="http://schemas.openxmlformats.org/officeDocument/2006/relationships/hyperlink" Target="http://www.minorityrights.org/12117/press-releases/minority-women-in-sri-lanka-facing-increasing-levels-of-sexual-violence-andinsecurity.html" TargetMode="External"/><Relationship Id="rId15" Type="http://schemas.openxmlformats.org/officeDocument/2006/relationships/hyperlink" Target="http://www.island.lk/index.php?page_cat=article-details&amp;page=article-details&amp;code_title=94313" TargetMode="External"/><Relationship Id="rId10" Type="http://schemas.openxmlformats.org/officeDocument/2006/relationships/hyperlink" Target="http://www.island.lk/index.php?page_cat=article-details&amp;page=article-details&amp;code_title=88278" TargetMode="External"/><Relationship Id="rId4" Type="http://schemas.openxmlformats.org/officeDocument/2006/relationships/hyperlink" Target="http://www.minorityrights.org/download.php?id=1297" TargetMode="External"/><Relationship Id="rId9" Type="http://schemas.openxmlformats.org/officeDocument/2006/relationships/hyperlink" Target="https://www.colombotelegraph.com/index.php/full-text-tnas-northern-provincial-council-election-manifesto-2013/" TargetMode="External"/><Relationship Id="rId14" Type="http://schemas.openxmlformats.org/officeDocument/2006/relationships/hyperlink" Target="http://www.news.lk/news/sri-lanka/7713-stern-and-immediate-action-against-sritharan-demand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94DC6E63E0E4C40BB58A92BBDBC479C" ma:contentTypeVersion="0" ma:contentTypeDescription="Create a new document." ma:contentTypeScope="" ma:versionID="b0a7ec33df2057392694119ebc3b6e3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5E81F0-996B-4D11-A767-ABB65BCDDCE2}">
  <ds:schemaRefs>
    <ds:schemaRef ds:uri="http://schemas.microsoft.com/sharepoint/v3/contenttype/forms"/>
  </ds:schemaRefs>
</ds:datastoreItem>
</file>

<file path=customXml/itemProps2.xml><?xml version="1.0" encoding="utf-8"?>
<ds:datastoreItem xmlns:ds="http://schemas.openxmlformats.org/officeDocument/2006/customXml" ds:itemID="{EE56BEA2-164E-4610-A200-63CAAB1F30F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80B853D-74A9-46A6-8E3C-D49AAF5432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3385</Words>
  <Characters>21326</Characters>
  <Application>Microsoft Office Word</Application>
  <DocSecurity>0</DocSecurity>
  <Lines>177</Lines>
  <Paragraphs>49</Paragraphs>
  <ScaleCrop>false</ScaleCrop>
  <HeadingPairs>
    <vt:vector size="2" baseType="variant">
      <vt:variant>
        <vt:lpstr>Titel</vt:lpstr>
      </vt:variant>
      <vt:variant>
        <vt:i4>1</vt:i4>
      </vt:variant>
    </vt:vector>
  </HeadingPairs>
  <TitlesOfParts>
    <vt:vector size="1" baseType="lpstr">
      <vt:lpstr/>
    </vt:vector>
  </TitlesOfParts>
  <Company>Austrian Red Cross</Company>
  <LinksUpToDate>false</LinksUpToDate>
  <CharactersWithSpaces>24662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Guruparan Kumaravadivel</dc:creator>
  <cp:lastModifiedBy>allacher</cp:lastModifiedBy>
  <cp:revision>2</cp:revision>
  <cp:lastPrinted>2013-12-20T15:09:00Z</cp:lastPrinted>
  <dcterms:created xsi:type="dcterms:W3CDTF">2014-01-16T09:59:00Z</dcterms:created>
  <dcterms:modified xsi:type="dcterms:W3CDTF">2014-01-16T09:59:00Z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0x010100D94DC6E63E0E4C40BB58A92BBDBC479C</vt:lpwstr>
  </property>
</Properties>
</file>