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205" w:rsidRDefault="00EB2205" w:rsidP="00EB2205">
      <w:pPr>
        <w:tabs>
          <w:tab w:val="left" w:pos="5386"/>
        </w:tabs>
      </w:pPr>
      <w:bookmarkStart w:id="0" w:name="_GoBack"/>
      <w:bookmarkEnd w:id="0"/>
      <w:r w:rsidRPr="00EB2205">
        <w:rPr>
          <w:noProof/>
          <w:lang w:val="de-AT" w:eastAsia="de-AT"/>
        </w:rPr>
        <w:drawing>
          <wp:anchor distT="0" distB="0" distL="114300" distR="114300" simplePos="0" relativeHeight="251659264" behindDoc="0" locked="0" layoutInCell="1" allowOverlap="1">
            <wp:simplePos x="0" y="0"/>
            <wp:positionH relativeFrom="column">
              <wp:posOffset>2423987</wp:posOffset>
            </wp:positionH>
            <wp:positionV relativeFrom="paragraph">
              <wp:posOffset>-554738</wp:posOffset>
            </wp:positionV>
            <wp:extent cx="722821" cy="923026"/>
            <wp:effectExtent l="1905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723900" cy="923925"/>
                    </a:xfrm>
                    <a:prstGeom prst="rect">
                      <a:avLst/>
                    </a:prstGeom>
                    <a:noFill/>
                    <a:ln w="9525">
                      <a:noFill/>
                      <a:miter lim="800000"/>
                      <a:headEnd/>
                      <a:tailEnd/>
                    </a:ln>
                  </pic:spPr>
                </pic:pic>
              </a:graphicData>
            </a:graphic>
          </wp:anchor>
        </w:drawing>
      </w:r>
      <w:r>
        <w:tab/>
      </w:r>
    </w:p>
    <w:p w:rsidR="00EB2205" w:rsidRDefault="00EB2205" w:rsidP="00EB2205">
      <w:pPr>
        <w:tabs>
          <w:tab w:val="left" w:pos="5386"/>
        </w:tabs>
      </w:pPr>
    </w:p>
    <w:p w:rsidR="00EB2205" w:rsidRPr="00232810" w:rsidRDefault="00EB2205" w:rsidP="00EB2205">
      <w:pPr>
        <w:jc w:val="both"/>
        <w:rPr>
          <w:rFonts w:ascii="Times New Roman" w:hAnsi="Times New Roman" w:cs="Times New Roman"/>
          <w:b/>
          <w:sz w:val="28"/>
          <w:szCs w:val="28"/>
          <w:lang w:val="en-US"/>
        </w:rPr>
      </w:pPr>
      <w:r w:rsidRPr="00232810">
        <w:rPr>
          <w:rFonts w:ascii="Times New Roman" w:hAnsi="Times New Roman" w:cs="Times New Roman"/>
          <w:b/>
          <w:sz w:val="28"/>
          <w:szCs w:val="28"/>
          <w:lang w:val="en-US"/>
        </w:rPr>
        <w:t xml:space="preserve">Contribution of the </w:t>
      </w:r>
      <w:r w:rsidRPr="00232810">
        <w:rPr>
          <w:rFonts w:ascii="Times New Roman" w:hAnsi="Times New Roman" w:cs="Times New Roman"/>
          <w:b/>
          <w:bCs/>
          <w:sz w:val="28"/>
          <w:szCs w:val="28"/>
          <w:lang w:val="en-US"/>
        </w:rPr>
        <w:t xml:space="preserve">Defensoría </w:t>
      </w:r>
      <w:proofErr w:type="gramStart"/>
      <w:r w:rsidRPr="00232810">
        <w:rPr>
          <w:rFonts w:ascii="Times New Roman" w:hAnsi="Times New Roman" w:cs="Times New Roman"/>
          <w:b/>
          <w:bCs/>
          <w:sz w:val="28"/>
          <w:szCs w:val="28"/>
          <w:lang w:val="en-US"/>
        </w:rPr>
        <w:t>del</w:t>
      </w:r>
      <w:proofErr w:type="gramEnd"/>
      <w:r w:rsidRPr="00232810">
        <w:rPr>
          <w:rFonts w:ascii="Times New Roman" w:hAnsi="Times New Roman" w:cs="Times New Roman"/>
          <w:b/>
          <w:bCs/>
          <w:sz w:val="28"/>
          <w:szCs w:val="28"/>
          <w:lang w:val="en-US"/>
        </w:rPr>
        <w:t xml:space="preserve"> Pueblo </w:t>
      </w:r>
      <w:r w:rsidRPr="00232810">
        <w:rPr>
          <w:rFonts w:ascii="Times New Roman" w:hAnsi="Times New Roman" w:cs="Times New Roman"/>
          <w:b/>
          <w:sz w:val="28"/>
          <w:szCs w:val="28"/>
          <w:lang w:val="en-US"/>
        </w:rPr>
        <w:t>to review the Third and Fourth Periodic Report of the Bolivarian Republic of Venezuela on compliance with the Convention Against Torture</w:t>
      </w:r>
    </w:p>
    <w:p w:rsidR="00EB2205" w:rsidRPr="00232810" w:rsidRDefault="00EB2205" w:rsidP="00EB2205">
      <w:pPr>
        <w:jc w:val="both"/>
        <w:rPr>
          <w:rFonts w:ascii="Times New Roman" w:hAnsi="Times New Roman" w:cs="Times New Roman"/>
          <w:sz w:val="24"/>
          <w:szCs w:val="24"/>
          <w:lang w:val="en-US"/>
        </w:rPr>
      </w:pPr>
      <w:proofErr w:type="gramStart"/>
      <w:r w:rsidRPr="00232810">
        <w:rPr>
          <w:rFonts w:ascii="Times New Roman" w:hAnsi="Times New Roman" w:cs="Times New Roman"/>
          <w:b/>
          <w:sz w:val="24"/>
          <w:szCs w:val="24"/>
          <w:lang w:val="en-US"/>
        </w:rPr>
        <w:t>INTRODUCTION</w:t>
      </w:r>
      <w:r w:rsidRPr="00232810">
        <w:rPr>
          <w:lang w:val="en-US"/>
        </w:rPr>
        <w:br/>
      </w:r>
      <w:r w:rsidRPr="00232810">
        <w:rPr>
          <w:lang w:val="en-US"/>
        </w:rPr>
        <w:br/>
      </w:r>
      <w:r w:rsidRPr="00232810">
        <w:rPr>
          <w:rFonts w:ascii="Times New Roman" w:hAnsi="Times New Roman" w:cs="Times New Roman"/>
          <w:sz w:val="24"/>
          <w:szCs w:val="24"/>
          <w:lang w:val="en-US"/>
        </w:rPr>
        <w:t>1.</w:t>
      </w:r>
      <w:proofErr w:type="gramEnd"/>
      <w:r w:rsidRPr="00232810">
        <w:rPr>
          <w:rFonts w:ascii="Times New Roman" w:hAnsi="Times New Roman" w:cs="Times New Roman"/>
          <w:sz w:val="24"/>
          <w:szCs w:val="24"/>
          <w:lang w:val="en-US"/>
        </w:rPr>
        <w:t xml:space="preserve"> The </w:t>
      </w:r>
      <w:r w:rsidRPr="00232810">
        <w:rPr>
          <w:rFonts w:ascii="Times New Roman" w:hAnsi="Times New Roman" w:cs="Times New Roman"/>
          <w:bCs/>
          <w:sz w:val="24"/>
          <w:szCs w:val="24"/>
          <w:lang w:val="en-US"/>
        </w:rPr>
        <w:t xml:space="preserve">Defensoría </w:t>
      </w:r>
      <w:proofErr w:type="gramStart"/>
      <w:r w:rsidRPr="00232810">
        <w:rPr>
          <w:rFonts w:ascii="Times New Roman" w:hAnsi="Times New Roman" w:cs="Times New Roman"/>
          <w:bCs/>
          <w:sz w:val="24"/>
          <w:szCs w:val="24"/>
          <w:lang w:val="en-US"/>
        </w:rPr>
        <w:t>del</w:t>
      </w:r>
      <w:proofErr w:type="gramEnd"/>
      <w:r w:rsidRPr="00232810">
        <w:rPr>
          <w:rFonts w:ascii="Times New Roman" w:hAnsi="Times New Roman" w:cs="Times New Roman"/>
          <w:bCs/>
          <w:sz w:val="24"/>
          <w:szCs w:val="24"/>
          <w:lang w:val="en-US"/>
        </w:rPr>
        <w:t xml:space="preserve"> Pueblo</w:t>
      </w:r>
      <w:r w:rsidRPr="00232810">
        <w:rPr>
          <w:rFonts w:ascii="Times New Roman" w:hAnsi="Times New Roman" w:cs="Times New Roman"/>
          <w:sz w:val="24"/>
          <w:szCs w:val="24"/>
          <w:lang w:val="en-US"/>
        </w:rPr>
        <w:t xml:space="preserve"> is the National Institution for the Promotion and Protection of Human Rights of the Bolivarian Republic of Venezuela. It is enshrined in the Constitution of our country and </w:t>
      </w:r>
      <w:r w:rsidR="007770FC" w:rsidRPr="00232810">
        <w:rPr>
          <w:rFonts w:ascii="Times New Roman" w:hAnsi="Times New Roman" w:cs="Times New Roman"/>
          <w:sz w:val="24"/>
          <w:szCs w:val="24"/>
          <w:lang w:val="en-US"/>
        </w:rPr>
        <w:t xml:space="preserve">it </w:t>
      </w:r>
      <w:r w:rsidRPr="00232810">
        <w:rPr>
          <w:rFonts w:ascii="Times New Roman" w:hAnsi="Times New Roman" w:cs="Times New Roman"/>
          <w:sz w:val="24"/>
          <w:szCs w:val="24"/>
          <w:lang w:val="en-US"/>
        </w:rPr>
        <w:t xml:space="preserve">is part of an autonomous and independent </w:t>
      </w:r>
      <w:r w:rsidR="007770FC" w:rsidRPr="00232810">
        <w:rPr>
          <w:rFonts w:ascii="Times New Roman" w:hAnsi="Times New Roman" w:cs="Times New Roman"/>
          <w:sz w:val="24"/>
          <w:szCs w:val="24"/>
          <w:lang w:val="en-US"/>
        </w:rPr>
        <w:t>P</w:t>
      </w:r>
      <w:r w:rsidRPr="00232810">
        <w:rPr>
          <w:rFonts w:ascii="Times New Roman" w:hAnsi="Times New Roman" w:cs="Times New Roman"/>
          <w:sz w:val="24"/>
          <w:szCs w:val="24"/>
          <w:lang w:val="en-US"/>
        </w:rPr>
        <w:t xml:space="preserve">ublic </w:t>
      </w:r>
      <w:r w:rsidR="007770FC" w:rsidRPr="00232810">
        <w:rPr>
          <w:rFonts w:ascii="Times New Roman" w:hAnsi="Times New Roman" w:cs="Times New Roman"/>
          <w:sz w:val="24"/>
          <w:szCs w:val="24"/>
          <w:lang w:val="en-US"/>
        </w:rPr>
        <w:t>P</w:t>
      </w:r>
      <w:r w:rsidRPr="00232810">
        <w:rPr>
          <w:rFonts w:ascii="Times New Roman" w:hAnsi="Times New Roman" w:cs="Times New Roman"/>
          <w:sz w:val="24"/>
          <w:szCs w:val="24"/>
          <w:lang w:val="en-US"/>
        </w:rPr>
        <w:t xml:space="preserve">ower called </w:t>
      </w:r>
      <w:r w:rsidRPr="00232810">
        <w:rPr>
          <w:rFonts w:ascii="Times New Roman" w:hAnsi="Times New Roman" w:cs="Times New Roman"/>
          <w:i/>
          <w:sz w:val="24"/>
          <w:szCs w:val="24"/>
          <w:lang w:val="en-US"/>
        </w:rPr>
        <w:t>Citizen Power</w:t>
      </w:r>
      <w:r w:rsidRPr="00232810">
        <w:rPr>
          <w:rFonts w:ascii="Times New Roman" w:hAnsi="Times New Roman" w:cs="Times New Roman"/>
          <w:sz w:val="24"/>
          <w:szCs w:val="24"/>
          <w:lang w:val="en-US"/>
        </w:rPr>
        <w:t xml:space="preserve">. Since 2002, the </w:t>
      </w:r>
      <w:r w:rsidR="007770FC" w:rsidRPr="00232810">
        <w:rPr>
          <w:rFonts w:ascii="Times New Roman" w:hAnsi="Times New Roman" w:cs="Times New Roman"/>
          <w:bCs/>
          <w:sz w:val="24"/>
          <w:szCs w:val="24"/>
          <w:lang w:val="en-US"/>
        </w:rPr>
        <w:t xml:space="preserve">Defensoría </w:t>
      </w:r>
      <w:proofErr w:type="gramStart"/>
      <w:r w:rsidR="007770FC" w:rsidRPr="00232810">
        <w:rPr>
          <w:rFonts w:ascii="Times New Roman" w:hAnsi="Times New Roman" w:cs="Times New Roman"/>
          <w:bCs/>
          <w:sz w:val="24"/>
          <w:szCs w:val="24"/>
          <w:lang w:val="en-US"/>
        </w:rPr>
        <w:t>del</w:t>
      </w:r>
      <w:proofErr w:type="gramEnd"/>
      <w:r w:rsidR="007770FC" w:rsidRPr="00232810">
        <w:rPr>
          <w:rFonts w:ascii="Times New Roman" w:hAnsi="Times New Roman" w:cs="Times New Roman"/>
          <w:bCs/>
          <w:sz w:val="24"/>
          <w:szCs w:val="24"/>
          <w:lang w:val="en-US"/>
        </w:rPr>
        <w:t xml:space="preserve"> Pueblo</w:t>
      </w:r>
      <w:r w:rsidRPr="00232810">
        <w:rPr>
          <w:rFonts w:ascii="Times New Roman" w:hAnsi="Times New Roman" w:cs="Times New Roman"/>
          <w:sz w:val="24"/>
          <w:szCs w:val="24"/>
          <w:lang w:val="en-US"/>
        </w:rPr>
        <w:t xml:space="preserve"> is accredited “A” </w:t>
      </w:r>
      <w:r w:rsidR="000937F6" w:rsidRPr="00232810">
        <w:rPr>
          <w:rFonts w:ascii="Times New Roman" w:hAnsi="Times New Roman" w:cs="Times New Roman"/>
          <w:sz w:val="24"/>
          <w:szCs w:val="24"/>
          <w:lang w:val="en-US"/>
        </w:rPr>
        <w:t xml:space="preserve">status </w:t>
      </w:r>
      <w:r w:rsidRPr="00232810">
        <w:rPr>
          <w:rFonts w:ascii="Times New Roman" w:hAnsi="Times New Roman" w:cs="Times New Roman"/>
          <w:sz w:val="24"/>
          <w:szCs w:val="24"/>
          <w:lang w:val="en-US"/>
        </w:rPr>
        <w:t xml:space="preserve">by the International Coordinating Committee of National Institutions for the Promotion and Protection of Human Rights. </w:t>
      </w:r>
      <w:r w:rsidR="000937F6" w:rsidRPr="00232810">
        <w:rPr>
          <w:rFonts w:ascii="Times New Roman" w:hAnsi="Times New Roman" w:cs="Times New Roman"/>
          <w:sz w:val="24"/>
          <w:szCs w:val="24"/>
          <w:lang w:val="en-US"/>
        </w:rPr>
        <w:t xml:space="preserve">The </w:t>
      </w:r>
      <w:r w:rsidR="000937F6" w:rsidRPr="00232810">
        <w:rPr>
          <w:rFonts w:ascii="Times New Roman" w:hAnsi="Times New Roman" w:cs="Times New Roman"/>
          <w:bCs/>
          <w:sz w:val="24"/>
          <w:szCs w:val="24"/>
          <w:lang w:val="en-US"/>
        </w:rPr>
        <w:t xml:space="preserve">Defensoría </w:t>
      </w:r>
      <w:proofErr w:type="gramStart"/>
      <w:r w:rsidR="000937F6" w:rsidRPr="00232810">
        <w:rPr>
          <w:rFonts w:ascii="Times New Roman" w:hAnsi="Times New Roman" w:cs="Times New Roman"/>
          <w:bCs/>
          <w:sz w:val="24"/>
          <w:szCs w:val="24"/>
          <w:lang w:val="en-US"/>
        </w:rPr>
        <w:t>del</w:t>
      </w:r>
      <w:proofErr w:type="gramEnd"/>
      <w:r w:rsidR="000937F6" w:rsidRPr="00232810">
        <w:rPr>
          <w:rFonts w:ascii="Times New Roman" w:hAnsi="Times New Roman" w:cs="Times New Roman"/>
          <w:bCs/>
          <w:sz w:val="24"/>
          <w:szCs w:val="24"/>
          <w:lang w:val="en-US"/>
        </w:rPr>
        <w:t xml:space="preserve"> Pueblo</w:t>
      </w:r>
      <w:r w:rsidR="000937F6" w:rsidRPr="00232810">
        <w:rPr>
          <w:rFonts w:ascii="Times New Roman" w:hAnsi="Times New Roman" w:cs="Times New Roman"/>
          <w:sz w:val="24"/>
          <w:szCs w:val="24"/>
          <w:lang w:val="en-US"/>
        </w:rPr>
        <w:t xml:space="preserve"> c</w:t>
      </w:r>
      <w:r w:rsidRPr="00232810">
        <w:rPr>
          <w:rFonts w:ascii="Times New Roman" w:hAnsi="Times New Roman" w:cs="Times New Roman"/>
          <w:sz w:val="24"/>
          <w:szCs w:val="24"/>
          <w:lang w:val="en-US"/>
        </w:rPr>
        <w:t xml:space="preserve">urrently holds the </w:t>
      </w:r>
      <w:r w:rsidR="000937F6" w:rsidRPr="00232810">
        <w:rPr>
          <w:rFonts w:ascii="Times New Roman" w:hAnsi="Times New Roman" w:cs="Times New Roman"/>
          <w:sz w:val="24"/>
          <w:szCs w:val="24"/>
          <w:lang w:val="en-US"/>
        </w:rPr>
        <w:t>P</w:t>
      </w:r>
      <w:r w:rsidRPr="00232810">
        <w:rPr>
          <w:rFonts w:ascii="Times New Roman" w:hAnsi="Times New Roman" w:cs="Times New Roman"/>
          <w:sz w:val="24"/>
          <w:szCs w:val="24"/>
          <w:lang w:val="en-US"/>
        </w:rPr>
        <w:t xml:space="preserve">residency of the Network of National Institutions </w:t>
      </w:r>
      <w:r w:rsidR="000937F6" w:rsidRPr="00232810">
        <w:rPr>
          <w:rFonts w:ascii="Times New Roman" w:hAnsi="Times New Roman" w:cs="Times New Roman"/>
          <w:sz w:val="24"/>
          <w:szCs w:val="24"/>
          <w:lang w:val="en-US"/>
        </w:rPr>
        <w:t xml:space="preserve">of the </w:t>
      </w:r>
      <w:r w:rsidRPr="00232810">
        <w:rPr>
          <w:rFonts w:ascii="Times New Roman" w:hAnsi="Times New Roman" w:cs="Times New Roman"/>
          <w:sz w:val="24"/>
          <w:szCs w:val="24"/>
          <w:lang w:val="en-US"/>
        </w:rPr>
        <w:t>America</w:t>
      </w:r>
      <w:r w:rsidR="000937F6" w:rsidRPr="00232810">
        <w:rPr>
          <w:rFonts w:ascii="Times New Roman" w:hAnsi="Times New Roman" w:cs="Times New Roman"/>
          <w:sz w:val="24"/>
          <w:szCs w:val="24"/>
          <w:lang w:val="en-US"/>
        </w:rPr>
        <w:t>n Continent</w:t>
      </w:r>
      <w:r w:rsidRPr="00232810">
        <w:rPr>
          <w:rFonts w:ascii="Times New Roman" w:hAnsi="Times New Roman" w:cs="Times New Roman"/>
          <w:sz w:val="24"/>
          <w:szCs w:val="24"/>
          <w:lang w:val="en-US"/>
        </w:rPr>
        <w:t>.</w:t>
      </w:r>
    </w:p>
    <w:p w:rsidR="00EB2205" w:rsidRPr="00232810" w:rsidRDefault="00EB2205" w:rsidP="00EB2205">
      <w:pPr>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t xml:space="preserve">2. </w:t>
      </w:r>
      <w:r w:rsidR="00F80D80" w:rsidRPr="00232810">
        <w:rPr>
          <w:rFonts w:ascii="Times New Roman" w:hAnsi="Times New Roman" w:cs="Times New Roman"/>
          <w:sz w:val="24"/>
          <w:szCs w:val="24"/>
          <w:lang w:val="en-US"/>
        </w:rPr>
        <w:t>By</w:t>
      </w:r>
      <w:r w:rsidRPr="00232810">
        <w:rPr>
          <w:rFonts w:ascii="Times New Roman" w:hAnsi="Times New Roman" w:cs="Times New Roman"/>
          <w:sz w:val="24"/>
          <w:szCs w:val="24"/>
          <w:lang w:val="en-US"/>
        </w:rPr>
        <w:t xml:space="preserve"> </w:t>
      </w:r>
      <w:r w:rsidR="00F80D80" w:rsidRPr="00232810">
        <w:rPr>
          <w:rFonts w:ascii="Times New Roman" w:hAnsi="Times New Roman" w:cs="Times New Roman"/>
          <w:sz w:val="24"/>
          <w:szCs w:val="24"/>
          <w:lang w:val="en-US"/>
        </w:rPr>
        <w:t>c</w:t>
      </w:r>
      <w:r w:rsidRPr="00232810">
        <w:rPr>
          <w:rFonts w:ascii="Times New Roman" w:hAnsi="Times New Roman" w:cs="Times New Roman"/>
          <w:sz w:val="24"/>
          <w:szCs w:val="24"/>
          <w:lang w:val="en-US"/>
        </w:rPr>
        <w:t>onstitution</w:t>
      </w:r>
      <w:r w:rsidR="00F80D80" w:rsidRPr="00232810">
        <w:rPr>
          <w:rFonts w:ascii="Times New Roman" w:hAnsi="Times New Roman" w:cs="Times New Roman"/>
          <w:sz w:val="24"/>
          <w:szCs w:val="24"/>
          <w:lang w:val="en-US"/>
        </w:rPr>
        <w:t>al mandate</w:t>
      </w:r>
      <w:r w:rsidRPr="00232810">
        <w:rPr>
          <w:rFonts w:ascii="Times New Roman" w:hAnsi="Times New Roman" w:cs="Times New Roman"/>
          <w:sz w:val="24"/>
          <w:szCs w:val="24"/>
          <w:lang w:val="en-US"/>
        </w:rPr>
        <w:t xml:space="preserve">, the </w:t>
      </w:r>
      <w:r w:rsidR="00F80D80" w:rsidRPr="00232810">
        <w:rPr>
          <w:rFonts w:ascii="Times New Roman" w:hAnsi="Times New Roman" w:cs="Times New Roman"/>
          <w:bCs/>
          <w:sz w:val="24"/>
          <w:szCs w:val="24"/>
          <w:lang w:val="en-US"/>
        </w:rPr>
        <w:t xml:space="preserve">Defensoría </w:t>
      </w:r>
      <w:proofErr w:type="gramStart"/>
      <w:r w:rsidR="00F80D80" w:rsidRPr="00232810">
        <w:rPr>
          <w:rFonts w:ascii="Times New Roman" w:hAnsi="Times New Roman" w:cs="Times New Roman"/>
          <w:bCs/>
          <w:sz w:val="24"/>
          <w:szCs w:val="24"/>
          <w:lang w:val="en-US"/>
        </w:rPr>
        <w:t>del</w:t>
      </w:r>
      <w:proofErr w:type="gramEnd"/>
      <w:r w:rsidR="00F80D80" w:rsidRPr="00232810">
        <w:rPr>
          <w:rFonts w:ascii="Times New Roman" w:hAnsi="Times New Roman" w:cs="Times New Roman"/>
          <w:bCs/>
          <w:sz w:val="24"/>
          <w:szCs w:val="24"/>
          <w:lang w:val="en-US"/>
        </w:rPr>
        <w:t xml:space="preserve"> Pueblo</w:t>
      </w:r>
      <w:r w:rsidRPr="00232810">
        <w:rPr>
          <w:rFonts w:ascii="Times New Roman" w:hAnsi="Times New Roman" w:cs="Times New Roman"/>
          <w:sz w:val="24"/>
          <w:szCs w:val="24"/>
          <w:lang w:val="en-US"/>
        </w:rPr>
        <w:t xml:space="preserve"> is responsible for the promotion, protection and monitoring of human rights recognized in the text of the Constitution and in international human rights instruments. From this mandate, the institution is authorized to receive and process complaints of breach or threatened </w:t>
      </w:r>
      <w:r w:rsidR="001F18D4" w:rsidRPr="00232810">
        <w:rPr>
          <w:rFonts w:ascii="Times New Roman" w:hAnsi="Times New Roman" w:cs="Times New Roman"/>
          <w:sz w:val="24"/>
          <w:szCs w:val="24"/>
          <w:lang w:val="en-US"/>
        </w:rPr>
        <w:t xml:space="preserve">of </w:t>
      </w:r>
      <w:r w:rsidRPr="00232810">
        <w:rPr>
          <w:rFonts w:ascii="Times New Roman" w:hAnsi="Times New Roman" w:cs="Times New Roman"/>
          <w:sz w:val="24"/>
          <w:szCs w:val="24"/>
          <w:lang w:val="en-US"/>
        </w:rPr>
        <w:t xml:space="preserve">human rights, make recommendations to the relevant bodies and if </w:t>
      </w:r>
      <w:r w:rsidR="001F18D4" w:rsidRPr="00232810">
        <w:rPr>
          <w:rFonts w:ascii="Times New Roman" w:hAnsi="Times New Roman" w:cs="Times New Roman"/>
          <w:sz w:val="24"/>
          <w:szCs w:val="24"/>
          <w:lang w:val="en-US"/>
        </w:rPr>
        <w:t>it the case</w:t>
      </w:r>
      <w:r w:rsidRPr="00232810">
        <w:rPr>
          <w:rFonts w:ascii="Times New Roman" w:hAnsi="Times New Roman" w:cs="Times New Roman"/>
          <w:sz w:val="24"/>
          <w:szCs w:val="24"/>
          <w:lang w:val="en-US"/>
        </w:rPr>
        <w:t xml:space="preserve">, try to courts legal action necessary to protect the rights human. Similarly, </w:t>
      </w:r>
      <w:r w:rsidR="0019206F" w:rsidRPr="00232810">
        <w:rPr>
          <w:rFonts w:ascii="Times New Roman" w:hAnsi="Times New Roman" w:cs="Times New Roman"/>
          <w:sz w:val="24"/>
          <w:szCs w:val="24"/>
          <w:lang w:val="en-US"/>
        </w:rPr>
        <w:t>i</w:t>
      </w:r>
      <w:r w:rsidRPr="00232810">
        <w:rPr>
          <w:rFonts w:ascii="Times New Roman" w:hAnsi="Times New Roman" w:cs="Times New Roman"/>
          <w:sz w:val="24"/>
          <w:szCs w:val="24"/>
          <w:lang w:val="en-US"/>
        </w:rPr>
        <w:t xml:space="preserve">t is the </w:t>
      </w:r>
      <w:proofErr w:type="spellStart"/>
      <w:r w:rsidR="001F18D4" w:rsidRPr="00232810">
        <w:rPr>
          <w:rFonts w:ascii="Times New Roman" w:hAnsi="Times New Roman" w:cs="Times New Roman"/>
          <w:sz w:val="24"/>
          <w:szCs w:val="24"/>
          <w:lang w:val="en-US"/>
        </w:rPr>
        <w:t>Defensoría</w:t>
      </w:r>
      <w:r w:rsidR="0019206F" w:rsidRPr="00232810">
        <w:rPr>
          <w:rStyle w:val="eg"/>
          <w:rFonts w:ascii="Times New Roman" w:hAnsi="Times New Roman" w:cs="Times New Roman"/>
          <w:sz w:val="24"/>
          <w:szCs w:val="24"/>
          <w:lang w:val="en-US"/>
        </w:rPr>
        <w:t>'</w:t>
      </w:r>
      <w:r w:rsidR="0019206F" w:rsidRPr="00232810">
        <w:rPr>
          <w:rFonts w:ascii="Times New Roman" w:hAnsi="Times New Roman" w:cs="Times New Roman"/>
          <w:sz w:val="24"/>
          <w:szCs w:val="24"/>
          <w:lang w:val="en-US"/>
        </w:rPr>
        <w:t>s</w:t>
      </w:r>
      <w:proofErr w:type="spellEnd"/>
      <w:r w:rsidR="0019206F" w:rsidRPr="00232810">
        <w:rPr>
          <w:rFonts w:ascii="Times New Roman" w:hAnsi="Times New Roman" w:cs="Times New Roman"/>
          <w:sz w:val="24"/>
          <w:szCs w:val="24"/>
          <w:lang w:val="en-US"/>
        </w:rPr>
        <w:t xml:space="preserve"> task </w:t>
      </w:r>
      <w:r w:rsidRPr="00232810">
        <w:rPr>
          <w:rFonts w:ascii="Times New Roman" w:hAnsi="Times New Roman" w:cs="Times New Roman"/>
          <w:sz w:val="24"/>
          <w:szCs w:val="24"/>
          <w:lang w:val="en-US"/>
        </w:rPr>
        <w:t xml:space="preserve">to ensure the rights and guarantees of </w:t>
      </w:r>
      <w:r w:rsidR="001F18D4" w:rsidRPr="00232810">
        <w:rPr>
          <w:rFonts w:ascii="Times New Roman" w:hAnsi="Times New Roman" w:cs="Times New Roman"/>
          <w:sz w:val="24"/>
          <w:szCs w:val="24"/>
          <w:lang w:val="en-US"/>
        </w:rPr>
        <w:t xml:space="preserve">the </w:t>
      </w:r>
      <w:r w:rsidRPr="00232810">
        <w:rPr>
          <w:rFonts w:ascii="Times New Roman" w:hAnsi="Times New Roman" w:cs="Times New Roman"/>
          <w:sz w:val="24"/>
          <w:szCs w:val="24"/>
          <w:lang w:val="en-US"/>
        </w:rPr>
        <w:t xml:space="preserve">persons </w:t>
      </w:r>
      <w:r w:rsidR="0019206F" w:rsidRPr="00232810">
        <w:rPr>
          <w:rFonts w:ascii="Times New Roman" w:hAnsi="Times New Roman" w:cs="Times New Roman"/>
          <w:sz w:val="24"/>
          <w:szCs w:val="24"/>
          <w:lang w:val="en-US"/>
        </w:rPr>
        <w:t xml:space="preserve">that for </w:t>
      </w:r>
      <w:r w:rsidRPr="00232810">
        <w:rPr>
          <w:rFonts w:ascii="Times New Roman" w:hAnsi="Times New Roman" w:cs="Times New Roman"/>
          <w:sz w:val="24"/>
          <w:szCs w:val="24"/>
          <w:lang w:val="en-US"/>
        </w:rPr>
        <w:t xml:space="preserve">any </w:t>
      </w:r>
      <w:r w:rsidR="0019206F" w:rsidRPr="00232810">
        <w:rPr>
          <w:rFonts w:ascii="Times New Roman" w:hAnsi="Times New Roman" w:cs="Times New Roman"/>
          <w:sz w:val="24"/>
          <w:szCs w:val="24"/>
          <w:lang w:val="en-US"/>
        </w:rPr>
        <w:t>reason</w:t>
      </w:r>
      <w:r w:rsidRPr="00232810">
        <w:rPr>
          <w:rFonts w:ascii="Times New Roman" w:hAnsi="Times New Roman" w:cs="Times New Roman"/>
          <w:sz w:val="24"/>
          <w:szCs w:val="24"/>
          <w:lang w:val="en-US"/>
        </w:rPr>
        <w:t xml:space="preserve"> </w:t>
      </w:r>
      <w:r w:rsidR="001F18D4" w:rsidRPr="00232810">
        <w:rPr>
          <w:rFonts w:ascii="Times New Roman" w:hAnsi="Times New Roman" w:cs="Times New Roman"/>
          <w:sz w:val="24"/>
          <w:szCs w:val="24"/>
          <w:lang w:val="en-US"/>
        </w:rPr>
        <w:t>have been</w:t>
      </w:r>
      <w:r w:rsidRPr="00232810">
        <w:rPr>
          <w:rFonts w:ascii="Times New Roman" w:hAnsi="Times New Roman" w:cs="Times New Roman"/>
          <w:sz w:val="24"/>
          <w:szCs w:val="24"/>
          <w:lang w:val="en-US"/>
        </w:rPr>
        <w:t xml:space="preserve"> incarcerated, detained, interned, or somehow have their freedom</w:t>
      </w:r>
      <w:r w:rsidR="0019206F" w:rsidRPr="00232810">
        <w:rPr>
          <w:rFonts w:ascii="Times New Roman" w:hAnsi="Times New Roman" w:cs="Times New Roman"/>
          <w:sz w:val="24"/>
          <w:szCs w:val="24"/>
          <w:lang w:val="en-US"/>
        </w:rPr>
        <w:t xml:space="preserve"> limited</w:t>
      </w:r>
      <w:r w:rsidRPr="00232810">
        <w:rPr>
          <w:rFonts w:ascii="Times New Roman" w:hAnsi="Times New Roman" w:cs="Times New Roman"/>
          <w:sz w:val="24"/>
          <w:szCs w:val="24"/>
          <w:lang w:val="en-US"/>
        </w:rPr>
        <w:t>.</w:t>
      </w:r>
    </w:p>
    <w:p w:rsidR="00EB2205" w:rsidRPr="00232810" w:rsidRDefault="00EB2205" w:rsidP="00EB2205">
      <w:pPr>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t xml:space="preserve">3. The present report gives an account of the activities of the </w:t>
      </w:r>
      <w:r w:rsidR="00A83226" w:rsidRPr="00232810">
        <w:rPr>
          <w:rFonts w:ascii="Times New Roman" w:hAnsi="Times New Roman" w:cs="Times New Roman"/>
          <w:bCs/>
          <w:sz w:val="24"/>
          <w:szCs w:val="24"/>
          <w:lang w:val="en-US"/>
        </w:rPr>
        <w:t xml:space="preserve">Defensoría </w:t>
      </w:r>
      <w:proofErr w:type="gramStart"/>
      <w:r w:rsidR="00A83226" w:rsidRPr="00232810">
        <w:rPr>
          <w:rFonts w:ascii="Times New Roman" w:hAnsi="Times New Roman" w:cs="Times New Roman"/>
          <w:bCs/>
          <w:sz w:val="24"/>
          <w:szCs w:val="24"/>
          <w:lang w:val="en-US"/>
        </w:rPr>
        <w:t>del</w:t>
      </w:r>
      <w:proofErr w:type="gramEnd"/>
      <w:r w:rsidR="00A83226" w:rsidRPr="00232810">
        <w:rPr>
          <w:rFonts w:ascii="Times New Roman" w:hAnsi="Times New Roman" w:cs="Times New Roman"/>
          <w:bCs/>
          <w:sz w:val="24"/>
          <w:szCs w:val="24"/>
          <w:lang w:val="en-US"/>
        </w:rPr>
        <w:t xml:space="preserve"> Pueblo</w:t>
      </w:r>
      <w:r w:rsidRPr="00232810">
        <w:rPr>
          <w:rFonts w:ascii="Times New Roman" w:hAnsi="Times New Roman" w:cs="Times New Roman"/>
          <w:sz w:val="24"/>
          <w:szCs w:val="24"/>
          <w:lang w:val="en-US"/>
        </w:rPr>
        <w:t xml:space="preserve"> for the prevention and </w:t>
      </w:r>
      <w:r w:rsidR="00A83226" w:rsidRPr="00232810">
        <w:rPr>
          <w:rFonts w:ascii="Times New Roman" w:hAnsi="Times New Roman" w:cs="Times New Roman"/>
          <w:sz w:val="24"/>
          <w:szCs w:val="24"/>
          <w:lang w:val="en-US"/>
        </w:rPr>
        <w:t>sanction</w:t>
      </w:r>
      <w:r w:rsidRPr="00232810">
        <w:rPr>
          <w:rFonts w:ascii="Times New Roman" w:hAnsi="Times New Roman" w:cs="Times New Roman"/>
          <w:sz w:val="24"/>
          <w:szCs w:val="24"/>
          <w:lang w:val="en-US"/>
        </w:rPr>
        <w:t xml:space="preserve"> of torture and other cruel, inhuman or degrading treatment</w:t>
      </w:r>
      <w:r w:rsidR="0027174A" w:rsidRPr="00232810">
        <w:rPr>
          <w:rFonts w:ascii="Times New Roman" w:hAnsi="Times New Roman" w:cs="Times New Roman"/>
          <w:sz w:val="24"/>
          <w:szCs w:val="24"/>
          <w:lang w:val="en-US"/>
        </w:rPr>
        <w:t>s</w:t>
      </w:r>
      <w:r w:rsidRPr="00232810">
        <w:rPr>
          <w:rFonts w:ascii="Times New Roman" w:hAnsi="Times New Roman" w:cs="Times New Roman"/>
          <w:sz w:val="24"/>
          <w:szCs w:val="24"/>
          <w:lang w:val="en-US"/>
        </w:rPr>
        <w:t xml:space="preserve">. </w:t>
      </w:r>
      <w:r w:rsidR="00A83226" w:rsidRPr="00232810">
        <w:rPr>
          <w:rFonts w:ascii="Times New Roman" w:hAnsi="Times New Roman" w:cs="Times New Roman"/>
          <w:sz w:val="24"/>
          <w:szCs w:val="24"/>
          <w:lang w:val="en-US"/>
        </w:rPr>
        <w:t>Similarly</w:t>
      </w:r>
      <w:r w:rsidRPr="00232810">
        <w:rPr>
          <w:rFonts w:ascii="Times New Roman" w:hAnsi="Times New Roman" w:cs="Times New Roman"/>
          <w:sz w:val="24"/>
          <w:szCs w:val="24"/>
          <w:lang w:val="en-US"/>
        </w:rPr>
        <w:t xml:space="preserve">, an assessment of the measures taken by the Venezuelan State to comply with the Convention </w:t>
      </w:r>
      <w:proofErr w:type="gramStart"/>
      <w:r w:rsidRPr="00232810">
        <w:rPr>
          <w:rFonts w:ascii="Times New Roman" w:hAnsi="Times New Roman" w:cs="Times New Roman"/>
          <w:sz w:val="24"/>
          <w:szCs w:val="24"/>
          <w:lang w:val="en-US"/>
        </w:rPr>
        <w:t>Against</w:t>
      </w:r>
      <w:proofErr w:type="gramEnd"/>
      <w:r w:rsidRPr="00232810">
        <w:rPr>
          <w:rFonts w:ascii="Times New Roman" w:hAnsi="Times New Roman" w:cs="Times New Roman"/>
          <w:sz w:val="24"/>
          <w:szCs w:val="24"/>
          <w:lang w:val="en-US"/>
        </w:rPr>
        <w:t xml:space="preserve"> Torture is presented.</w:t>
      </w:r>
    </w:p>
    <w:p w:rsidR="00EB2205" w:rsidRPr="00232810" w:rsidRDefault="00EB2205" w:rsidP="00EB2205">
      <w:pPr>
        <w:jc w:val="both"/>
        <w:rPr>
          <w:rFonts w:ascii="Times New Roman" w:hAnsi="Times New Roman" w:cs="Times New Roman"/>
          <w:b/>
          <w:sz w:val="24"/>
          <w:szCs w:val="24"/>
          <w:lang w:val="en-US"/>
        </w:rPr>
      </w:pPr>
      <w:r w:rsidRPr="00232810">
        <w:rPr>
          <w:rFonts w:ascii="Times New Roman" w:hAnsi="Times New Roman" w:cs="Times New Roman"/>
          <w:sz w:val="24"/>
          <w:szCs w:val="24"/>
          <w:lang w:val="en-US"/>
        </w:rPr>
        <w:br/>
      </w:r>
      <w:r w:rsidRPr="00232810">
        <w:rPr>
          <w:rFonts w:ascii="Times New Roman" w:hAnsi="Times New Roman" w:cs="Times New Roman"/>
          <w:b/>
          <w:sz w:val="24"/>
          <w:szCs w:val="24"/>
          <w:lang w:val="en-US"/>
        </w:rPr>
        <w:t>ARTICLES 1 AND 4</w:t>
      </w:r>
    </w:p>
    <w:p w:rsidR="0085292B" w:rsidRPr="00232810" w:rsidRDefault="00EB2205" w:rsidP="00EB2205">
      <w:pPr>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br/>
        <w:t xml:space="preserve">4. The </w:t>
      </w:r>
      <w:r w:rsidR="00D61AB7" w:rsidRPr="00232810">
        <w:rPr>
          <w:rFonts w:ascii="Times New Roman" w:hAnsi="Times New Roman" w:cs="Times New Roman"/>
          <w:bCs/>
          <w:sz w:val="24"/>
          <w:szCs w:val="24"/>
          <w:lang w:val="en-US"/>
        </w:rPr>
        <w:t xml:space="preserve">Defensoría </w:t>
      </w:r>
      <w:proofErr w:type="gramStart"/>
      <w:r w:rsidR="00D61AB7" w:rsidRPr="00232810">
        <w:rPr>
          <w:rFonts w:ascii="Times New Roman" w:hAnsi="Times New Roman" w:cs="Times New Roman"/>
          <w:bCs/>
          <w:sz w:val="24"/>
          <w:szCs w:val="24"/>
          <w:lang w:val="en-US"/>
        </w:rPr>
        <w:t>del</w:t>
      </w:r>
      <w:proofErr w:type="gramEnd"/>
      <w:r w:rsidR="00D61AB7" w:rsidRPr="00232810">
        <w:rPr>
          <w:rFonts w:ascii="Times New Roman" w:hAnsi="Times New Roman" w:cs="Times New Roman"/>
          <w:bCs/>
          <w:sz w:val="24"/>
          <w:szCs w:val="24"/>
          <w:lang w:val="en-US"/>
        </w:rPr>
        <w:t xml:space="preserve"> Pueblo </w:t>
      </w:r>
      <w:r w:rsidRPr="00232810">
        <w:rPr>
          <w:rFonts w:ascii="Times New Roman" w:hAnsi="Times New Roman" w:cs="Times New Roman"/>
          <w:sz w:val="24"/>
          <w:szCs w:val="24"/>
          <w:lang w:val="en-US"/>
        </w:rPr>
        <w:t xml:space="preserve">welcomes the passage of the Special Law to Prevent and </w:t>
      </w:r>
      <w:r w:rsidR="00D61AB7" w:rsidRPr="00232810">
        <w:rPr>
          <w:rFonts w:ascii="Times New Roman" w:hAnsi="Times New Roman" w:cs="Times New Roman"/>
          <w:sz w:val="24"/>
          <w:szCs w:val="24"/>
          <w:lang w:val="en-US"/>
        </w:rPr>
        <w:t xml:space="preserve">Sanction </w:t>
      </w:r>
      <w:r w:rsidRPr="00232810">
        <w:rPr>
          <w:rFonts w:ascii="Times New Roman" w:hAnsi="Times New Roman" w:cs="Times New Roman"/>
          <w:sz w:val="24"/>
          <w:szCs w:val="24"/>
          <w:lang w:val="en-US"/>
        </w:rPr>
        <w:t xml:space="preserve">Torture and Other Cruel, Inhuman and </w:t>
      </w:r>
      <w:r w:rsidR="00D61AB7" w:rsidRPr="00232810">
        <w:rPr>
          <w:rFonts w:ascii="Times New Roman" w:hAnsi="Times New Roman" w:cs="Times New Roman"/>
          <w:sz w:val="24"/>
          <w:szCs w:val="24"/>
          <w:lang w:val="en-US"/>
        </w:rPr>
        <w:t>Degrading Treatment</w:t>
      </w:r>
      <w:r w:rsidR="0085292B" w:rsidRPr="00232810">
        <w:rPr>
          <w:rStyle w:val="Funotenzeichen"/>
          <w:rFonts w:ascii="Times New Roman" w:hAnsi="Times New Roman" w:cs="Times New Roman"/>
          <w:sz w:val="24"/>
          <w:szCs w:val="24"/>
        </w:rPr>
        <w:footnoteReference w:id="1"/>
      </w:r>
      <w:r w:rsidR="0085292B" w:rsidRPr="00232810">
        <w:rPr>
          <w:rFonts w:ascii="Times New Roman" w:hAnsi="Times New Roman" w:cs="Times New Roman"/>
          <w:sz w:val="24"/>
          <w:szCs w:val="24"/>
          <w:lang w:val="en-US"/>
        </w:rPr>
        <w:t>,</w:t>
      </w:r>
      <w:r w:rsidR="00D61AB7" w:rsidRPr="00232810">
        <w:rPr>
          <w:rFonts w:ascii="Times New Roman" w:hAnsi="Times New Roman" w:cs="Times New Roman"/>
          <w:sz w:val="24"/>
          <w:szCs w:val="24"/>
          <w:lang w:val="en-US"/>
        </w:rPr>
        <w:t xml:space="preserve"> </w:t>
      </w:r>
      <w:r w:rsidRPr="00232810">
        <w:rPr>
          <w:rFonts w:ascii="Times New Roman" w:hAnsi="Times New Roman" w:cs="Times New Roman"/>
          <w:sz w:val="24"/>
          <w:szCs w:val="24"/>
          <w:lang w:val="en-US"/>
        </w:rPr>
        <w:t xml:space="preserve">meeting the Recommendations of the Committee (CAT/C/CR/29/2. </w:t>
      </w:r>
      <w:proofErr w:type="gramStart"/>
      <w:r w:rsidRPr="00232810">
        <w:rPr>
          <w:rFonts w:ascii="Times New Roman" w:hAnsi="Times New Roman" w:cs="Times New Roman"/>
          <w:sz w:val="24"/>
          <w:szCs w:val="24"/>
          <w:lang w:val="en-US"/>
        </w:rPr>
        <w:t>Para.</w:t>
      </w:r>
      <w:proofErr w:type="gramEnd"/>
      <w:r w:rsidRPr="00232810">
        <w:rPr>
          <w:rFonts w:ascii="Times New Roman" w:hAnsi="Times New Roman" w:cs="Times New Roman"/>
          <w:sz w:val="24"/>
          <w:szCs w:val="24"/>
          <w:lang w:val="en-US"/>
        </w:rPr>
        <w:t xml:space="preserve"> 11.a ) and complying with the provisions of the Fourth Transitional Provision of the Constitution of the Bolivarian </w:t>
      </w:r>
      <w:r w:rsidRPr="00232810">
        <w:rPr>
          <w:rFonts w:ascii="Times New Roman" w:hAnsi="Times New Roman" w:cs="Times New Roman"/>
          <w:sz w:val="24"/>
          <w:szCs w:val="24"/>
          <w:lang w:val="en-US"/>
        </w:rPr>
        <w:lastRenderedPageBreak/>
        <w:t xml:space="preserve">Republic of Venezuela, which </w:t>
      </w:r>
      <w:r w:rsidR="0085292B" w:rsidRPr="00232810">
        <w:rPr>
          <w:rFonts w:ascii="Times New Roman" w:hAnsi="Times New Roman" w:cs="Times New Roman"/>
          <w:sz w:val="24"/>
          <w:szCs w:val="24"/>
          <w:lang w:val="en-US"/>
        </w:rPr>
        <w:t>dictates</w:t>
      </w:r>
      <w:r w:rsidRPr="00232810">
        <w:rPr>
          <w:rFonts w:ascii="Times New Roman" w:hAnsi="Times New Roman" w:cs="Times New Roman"/>
          <w:sz w:val="24"/>
          <w:szCs w:val="24"/>
          <w:lang w:val="en-US"/>
        </w:rPr>
        <w:t xml:space="preserve"> the obligation to legislate on the subject. The </w:t>
      </w:r>
      <w:r w:rsidR="0085292B" w:rsidRPr="00232810">
        <w:rPr>
          <w:rFonts w:ascii="Times New Roman" w:hAnsi="Times New Roman" w:cs="Times New Roman"/>
          <w:sz w:val="24"/>
          <w:szCs w:val="24"/>
          <w:lang w:val="en-US"/>
        </w:rPr>
        <w:t>Defensoría</w:t>
      </w:r>
      <w:r w:rsidRPr="00232810">
        <w:rPr>
          <w:rFonts w:ascii="Times New Roman" w:hAnsi="Times New Roman" w:cs="Times New Roman"/>
          <w:sz w:val="24"/>
          <w:szCs w:val="24"/>
          <w:lang w:val="en-US"/>
        </w:rPr>
        <w:t xml:space="preserve"> participated actively in the development process of this instrument within the National Parliament.</w:t>
      </w:r>
    </w:p>
    <w:p w:rsidR="0085292B" w:rsidRPr="00232810" w:rsidRDefault="0085292B" w:rsidP="00EB2205">
      <w:pPr>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t xml:space="preserve">5. In the opinion of the </w:t>
      </w:r>
      <w:r w:rsidR="000C08CA" w:rsidRPr="00232810">
        <w:rPr>
          <w:rFonts w:ascii="Times New Roman" w:hAnsi="Times New Roman" w:cs="Times New Roman"/>
          <w:sz w:val="24"/>
          <w:szCs w:val="24"/>
          <w:lang w:val="en-US"/>
        </w:rPr>
        <w:t>I</w:t>
      </w:r>
      <w:r w:rsidRPr="00232810">
        <w:rPr>
          <w:rFonts w:ascii="Times New Roman" w:hAnsi="Times New Roman" w:cs="Times New Roman"/>
          <w:sz w:val="24"/>
          <w:szCs w:val="24"/>
          <w:lang w:val="en-US"/>
        </w:rPr>
        <w:t xml:space="preserve">nstitution, the Special Law to Prevent and </w:t>
      </w:r>
      <w:r w:rsidR="000C08CA" w:rsidRPr="00232810">
        <w:rPr>
          <w:rFonts w:ascii="Times New Roman" w:hAnsi="Times New Roman" w:cs="Times New Roman"/>
          <w:sz w:val="24"/>
          <w:szCs w:val="24"/>
          <w:lang w:val="en-US"/>
        </w:rPr>
        <w:t>Sanction</w:t>
      </w:r>
      <w:r w:rsidRPr="00232810">
        <w:rPr>
          <w:rFonts w:ascii="Times New Roman" w:hAnsi="Times New Roman" w:cs="Times New Roman"/>
          <w:sz w:val="24"/>
          <w:szCs w:val="24"/>
          <w:lang w:val="en-US"/>
        </w:rPr>
        <w:t xml:space="preserve"> Torture and Other Cruel, Inhuman and Degrading </w:t>
      </w:r>
      <w:r w:rsidR="000C08CA" w:rsidRPr="00232810">
        <w:rPr>
          <w:rFonts w:ascii="Times New Roman" w:hAnsi="Times New Roman" w:cs="Times New Roman"/>
          <w:sz w:val="24"/>
          <w:szCs w:val="24"/>
          <w:lang w:val="en-US"/>
        </w:rPr>
        <w:t xml:space="preserve">Treatment </w:t>
      </w:r>
      <w:r w:rsidRPr="00232810">
        <w:rPr>
          <w:rFonts w:ascii="Times New Roman" w:hAnsi="Times New Roman" w:cs="Times New Roman"/>
          <w:sz w:val="24"/>
          <w:szCs w:val="24"/>
          <w:lang w:val="en-US"/>
        </w:rPr>
        <w:t>means a significant advance in the field of human rights</w:t>
      </w:r>
      <w:r w:rsidR="003268B8" w:rsidRPr="00232810">
        <w:rPr>
          <w:rFonts w:ascii="Times New Roman" w:hAnsi="Times New Roman" w:cs="Times New Roman"/>
          <w:sz w:val="24"/>
          <w:szCs w:val="24"/>
          <w:lang w:val="en-US"/>
        </w:rPr>
        <w:t xml:space="preserve"> because </w:t>
      </w:r>
      <w:r w:rsidRPr="00232810">
        <w:rPr>
          <w:rFonts w:ascii="Times New Roman" w:hAnsi="Times New Roman" w:cs="Times New Roman"/>
          <w:sz w:val="24"/>
          <w:szCs w:val="24"/>
          <w:lang w:val="en-US"/>
        </w:rPr>
        <w:t xml:space="preserve">not only </w:t>
      </w:r>
      <w:r w:rsidR="003268B8" w:rsidRPr="00232810">
        <w:rPr>
          <w:rFonts w:ascii="Times New Roman" w:hAnsi="Times New Roman" w:cs="Times New Roman"/>
          <w:sz w:val="24"/>
          <w:szCs w:val="24"/>
          <w:lang w:val="en-US"/>
        </w:rPr>
        <w:t xml:space="preserve">it </w:t>
      </w:r>
      <w:r w:rsidRPr="00232810">
        <w:rPr>
          <w:rFonts w:ascii="Times New Roman" w:hAnsi="Times New Roman" w:cs="Times New Roman"/>
          <w:sz w:val="24"/>
          <w:szCs w:val="24"/>
          <w:lang w:val="en-US"/>
        </w:rPr>
        <w:t xml:space="preserve">defines the crimes of </w:t>
      </w:r>
      <w:r w:rsidR="000C08CA" w:rsidRPr="00232810">
        <w:rPr>
          <w:rFonts w:ascii="Times New Roman" w:hAnsi="Times New Roman" w:cs="Times New Roman"/>
          <w:sz w:val="24"/>
          <w:szCs w:val="24"/>
          <w:lang w:val="en-US"/>
        </w:rPr>
        <w:t>torture,</w:t>
      </w:r>
      <w:r w:rsidRPr="00232810">
        <w:rPr>
          <w:rFonts w:ascii="Times New Roman" w:hAnsi="Times New Roman" w:cs="Times New Roman"/>
          <w:sz w:val="24"/>
          <w:szCs w:val="24"/>
          <w:lang w:val="en-US"/>
        </w:rPr>
        <w:t xml:space="preserve"> cruel and inhuman </w:t>
      </w:r>
      <w:r w:rsidR="00174699" w:rsidRPr="00232810">
        <w:rPr>
          <w:rFonts w:ascii="Times New Roman" w:hAnsi="Times New Roman" w:cs="Times New Roman"/>
          <w:sz w:val="24"/>
          <w:szCs w:val="24"/>
          <w:lang w:val="en-US"/>
        </w:rPr>
        <w:t xml:space="preserve">or </w:t>
      </w:r>
      <w:r w:rsidR="000C08CA" w:rsidRPr="00232810">
        <w:rPr>
          <w:rFonts w:ascii="Times New Roman" w:hAnsi="Times New Roman" w:cs="Times New Roman"/>
          <w:sz w:val="24"/>
          <w:szCs w:val="24"/>
          <w:lang w:val="en-US"/>
        </w:rPr>
        <w:t>degrading treatment,</w:t>
      </w:r>
      <w:r w:rsidRPr="00232810">
        <w:rPr>
          <w:rFonts w:ascii="Times New Roman" w:hAnsi="Times New Roman" w:cs="Times New Roman"/>
          <w:sz w:val="24"/>
          <w:szCs w:val="24"/>
          <w:lang w:val="en-US"/>
        </w:rPr>
        <w:t xml:space="preserve"> but also incorporates mechanisms to ensure the development of research to overcome the structural factors that favor the practice of torture and to ensure the repa</w:t>
      </w:r>
      <w:r w:rsidR="003268B8" w:rsidRPr="00232810">
        <w:rPr>
          <w:rFonts w:ascii="Times New Roman" w:hAnsi="Times New Roman" w:cs="Times New Roman"/>
          <w:sz w:val="24"/>
          <w:szCs w:val="24"/>
          <w:lang w:val="en-US"/>
        </w:rPr>
        <w:t xml:space="preserve">ration </w:t>
      </w:r>
      <w:r w:rsidRPr="00232810">
        <w:rPr>
          <w:rFonts w:ascii="Times New Roman" w:hAnsi="Times New Roman" w:cs="Times New Roman"/>
          <w:sz w:val="24"/>
          <w:szCs w:val="24"/>
          <w:lang w:val="en-US"/>
        </w:rPr>
        <w:t>and comprehensive care for victims of torture. It is now up to the State to ensure the implementation of the provisions of this instrument.</w:t>
      </w:r>
    </w:p>
    <w:p w:rsidR="0085292B" w:rsidRPr="00232810" w:rsidRDefault="0085292B" w:rsidP="00EB2205">
      <w:pPr>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t>6. The law criminalizes torture</w:t>
      </w:r>
      <w:r w:rsidR="0027174A" w:rsidRPr="00232810">
        <w:rPr>
          <w:rStyle w:val="Funotenzeichen"/>
          <w:rFonts w:ascii="Times New Roman" w:hAnsi="Times New Roman" w:cs="Times New Roman"/>
          <w:sz w:val="24"/>
          <w:szCs w:val="24"/>
          <w:lang w:val="en-US"/>
        </w:rPr>
        <w:footnoteReference w:id="2"/>
      </w:r>
      <w:r w:rsidRPr="00232810">
        <w:rPr>
          <w:rFonts w:ascii="Times New Roman" w:hAnsi="Times New Roman" w:cs="Times New Roman"/>
          <w:sz w:val="24"/>
          <w:szCs w:val="24"/>
          <w:lang w:val="en-US"/>
        </w:rPr>
        <w:t xml:space="preserve">, inspired by the terms of Section 1 and 4 of the Convention, attributing </w:t>
      </w:r>
      <w:r w:rsidR="008B48F4" w:rsidRPr="00232810">
        <w:rPr>
          <w:rFonts w:ascii="Times New Roman" w:hAnsi="Times New Roman" w:cs="Times New Roman"/>
          <w:sz w:val="24"/>
          <w:szCs w:val="24"/>
          <w:lang w:val="en-US"/>
        </w:rPr>
        <w:t xml:space="preserve">deprivation of liberty </w:t>
      </w:r>
      <w:r w:rsidRPr="00232810">
        <w:rPr>
          <w:rFonts w:ascii="Times New Roman" w:hAnsi="Times New Roman" w:cs="Times New Roman"/>
          <w:sz w:val="24"/>
          <w:szCs w:val="24"/>
          <w:lang w:val="en-US"/>
        </w:rPr>
        <w:t xml:space="preserve">of fifteen to twenty years in prison, and </w:t>
      </w:r>
      <w:r w:rsidR="00611FF6" w:rsidRPr="00232810">
        <w:rPr>
          <w:rFonts w:ascii="Times New Roman" w:hAnsi="Times New Roman" w:cs="Times New Roman"/>
          <w:sz w:val="24"/>
          <w:szCs w:val="24"/>
          <w:lang w:val="en-US"/>
        </w:rPr>
        <w:t xml:space="preserve">being barred from holding </w:t>
      </w:r>
      <w:r w:rsidRPr="00232810">
        <w:rPr>
          <w:rFonts w:ascii="Times New Roman" w:hAnsi="Times New Roman" w:cs="Times New Roman"/>
          <w:sz w:val="24"/>
          <w:szCs w:val="24"/>
          <w:lang w:val="en-US"/>
        </w:rPr>
        <w:t xml:space="preserve">public </w:t>
      </w:r>
      <w:r w:rsidR="00611FF6" w:rsidRPr="00232810">
        <w:rPr>
          <w:rFonts w:ascii="Times New Roman" w:hAnsi="Times New Roman" w:cs="Times New Roman"/>
          <w:sz w:val="24"/>
          <w:szCs w:val="24"/>
          <w:lang w:val="en-US"/>
        </w:rPr>
        <w:t xml:space="preserve">and political </w:t>
      </w:r>
      <w:r w:rsidRPr="00232810">
        <w:rPr>
          <w:rFonts w:ascii="Times New Roman" w:hAnsi="Times New Roman" w:cs="Times New Roman"/>
          <w:sz w:val="24"/>
          <w:szCs w:val="24"/>
          <w:lang w:val="en-US"/>
        </w:rPr>
        <w:t xml:space="preserve">function, </w:t>
      </w:r>
      <w:r w:rsidR="00C64354" w:rsidRPr="00232810">
        <w:rPr>
          <w:rFonts w:ascii="Times New Roman" w:hAnsi="Times New Roman" w:cs="Times New Roman"/>
          <w:sz w:val="24"/>
          <w:szCs w:val="24"/>
          <w:lang w:val="en-US"/>
        </w:rPr>
        <w:t>for a</w:t>
      </w:r>
      <w:r w:rsidR="00611FF6" w:rsidRPr="00232810">
        <w:rPr>
          <w:rFonts w:ascii="Times New Roman" w:hAnsi="Times New Roman" w:cs="Times New Roman"/>
          <w:sz w:val="24"/>
          <w:szCs w:val="24"/>
          <w:lang w:val="en-US"/>
        </w:rPr>
        <w:t xml:space="preserve"> </w:t>
      </w:r>
      <w:r w:rsidRPr="00232810">
        <w:rPr>
          <w:rFonts w:ascii="Times New Roman" w:hAnsi="Times New Roman" w:cs="Times New Roman"/>
          <w:sz w:val="24"/>
          <w:szCs w:val="24"/>
          <w:lang w:val="en-US"/>
        </w:rPr>
        <w:t>period equivalent to the penalty decreed. The Act also creates offenses of cruel</w:t>
      </w:r>
      <w:r w:rsidR="000A6F6C" w:rsidRPr="00232810">
        <w:rPr>
          <w:rStyle w:val="Funotenzeichen"/>
          <w:rFonts w:ascii="Times New Roman" w:hAnsi="Times New Roman" w:cs="Times New Roman"/>
          <w:sz w:val="24"/>
          <w:szCs w:val="24"/>
          <w:lang w:val="en-US"/>
        </w:rPr>
        <w:footnoteReference w:id="3"/>
      </w:r>
      <w:r w:rsidRPr="00232810">
        <w:rPr>
          <w:rFonts w:ascii="Times New Roman" w:hAnsi="Times New Roman" w:cs="Times New Roman"/>
          <w:sz w:val="24"/>
          <w:szCs w:val="24"/>
          <w:lang w:val="en-US"/>
        </w:rPr>
        <w:t xml:space="preserve"> and inhuman or degrading treatment</w:t>
      </w:r>
      <w:r w:rsidR="000A6F6C" w:rsidRPr="00232810">
        <w:rPr>
          <w:rStyle w:val="Funotenzeichen"/>
          <w:rFonts w:ascii="Times New Roman" w:hAnsi="Times New Roman" w:cs="Times New Roman"/>
          <w:sz w:val="24"/>
          <w:szCs w:val="24"/>
          <w:lang w:val="en-US"/>
        </w:rPr>
        <w:footnoteReference w:id="4"/>
      </w:r>
      <w:r w:rsidRPr="00232810">
        <w:rPr>
          <w:rFonts w:ascii="Times New Roman" w:hAnsi="Times New Roman" w:cs="Times New Roman"/>
          <w:sz w:val="24"/>
          <w:szCs w:val="24"/>
          <w:lang w:val="en-US"/>
        </w:rPr>
        <w:t xml:space="preserve">, in line with Article 16 of the Convention. </w:t>
      </w:r>
      <w:r w:rsidR="00C64354" w:rsidRPr="00232810">
        <w:rPr>
          <w:rFonts w:ascii="Times New Roman" w:hAnsi="Times New Roman" w:cs="Times New Roman"/>
          <w:sz w:val="24"/>
          <w:szCs w:val="24"/>
          <w:lang w:val="en-US"/>
        </w:rPr>
        <w:t>Moreover, it sanctions “</w:t>
      </w:r>
      <w:r w:rsidRPr="00232810">
        <w:rPr>
          <w:rFonts w:ascii="Times New Roman" w:hAnsi="Times New Roman" w:cs="Times New Roman"/>
          <w:sz w:val="24"/>
          <w:szCs w:val="24"/>
          <w:lang w:val="en-US"/>
        </w:rPr>
        <w:t xml:space="preserve">natural persons involved as perpetrators or </w:t>
      </w:r>
      <w:r w:rsidR="000A6F6C" w:rsidRPr="00232810">
        <w:rPr>
          <w:rFonts w:ascii="Times New Roman" w:hAnsi="Times New Roman" w:cs="Times New Roman"/>
          <w:sz w:val="24"/>
          <w:szCs w:val="24"/>
          <w:lang w:val="en-US"/>
        </w:rPr>
        <w:t xml:space="preserve">masterminds </w:t>
      </w:r>
      <w:r w:rsidRPr="00232810">
        <w:rPr>
          <w:rFonts w:ascii="Times New Roman" w:hAnsi="Times New Roman" w:cs="Times New Roman"/>
          <w:sz w:val="24"/>
          <w:szCs w:val="24"/>
          <w:lang w:val="en-US"/>
        </w:rPr>
        <w:t xml:space="preserve">of any form with </w:t>
      </w:r>
      <w:r w:rsidR="000A6F6C" w:rsidRPr="00232810">
        <w:rPr>
          <w:rFonts w:ascii="Times New Roman" w:hAnsi="Times New Roman" w:cs="Times New Roman"/>
          <w:sz w:val="24"/>
          <w:szCs w:val="24"/>
          <w:lang w:val="en-US"/>
        </w:rPr>
        <w:t xml:space="preserve">the active agent </w:t>
      </w:r>
      <w:r w:rsidRPr="00232810">
        <w:rPr>
          <w:rFonts w:ascii="Times New Roman" w:hAnsi="Times New Roman" w:cs="Times New Roman"/>
          <w:sz w:val="24"/>
          <w:szCs w:val="24"/>
          <w:lang w:val="en-US"/>
        </w:rPr>
        <w:t xml:space="preserve">or </w:t>
      </w:r>
      <w:r w:rsidR="000A6F6C" w:rsidRPr="00232810">
        <w:rPr>
          <w:rFonts w:ascii="Times New Roman" w:hAnsi="Times New Roman" w:cs="Times New Roman"/>
          <w:sz w:val="24"/>
          <w:szCs w:val="24"/>
          <w:lang w:val="en-US"/>
        </w:rPr>
        <w:t xml:space="preserve">active </w:t>
      </w:r>
      <w:r w:rsidRPr="00232810">
        <w:rPr>
          <w:rFonts w:ascii="Times New Roman" w:hAnsi="Times New Roman" w:cs="Times New Roman"/>
          <w:sz w:val="24"/>
          <w:szCs w:val="24"/>
          <w:lang w:val="en-US"/>
        </w:rPr>
        <w:t xml:space="preserve">agents “of </w:t>
      </w:r>
      <w:r w:rsidR="000A6F6C" w:rsidRPr="00232810">
        <w:rPr>
          <w:rFonts w:ascii="Times New Roman" w:hAnsi="Times New Roman" w:cs="Times New Roman"/>
          <w:sz w:val="24"/>
          <w:szCs w:val="24"/>
          <w:lang w:val="en-US"/>
        </w:rPr>
        <w:t xml:space="preserve">the crime of </w:t>
      </w:r>
      <w:r w:rsidRPr="00232810">
        <w:rPr>
          <w:rFonts w:ascii="Times New Roman" w:hAnsi="Times New Roman" w:cs="Times New Roman"/>
          <w:sz w:val="24"/>
          <w:szCs w:val="24"/>
          <w:lang w:val="en-US"/>
        </w:rPr>
        <w:t>torture and anyone who “collaborate with any form with the active agents</w:t>
      </w:r>
      <w:r w:rsidR="00DE6EA0" w:rsidRPr="00232810">
        <w:rPr>
          <w:rStyle w:val="Funotenzeichen"/>
          <w:rFonts w:ascii="Times New Roman" w:hAnsi="Times New Roman" w:cs="Times New Roman"/>
          <w:sz w:val="24"/>
          <w:szCs w:val="24"/>
          <w:lang w:val="en-US"/>
        </w:rPr>
        <w:footnoteReference w:id="5"/>
      </w:r>
      <w:r w:rsidRPr="00232810">
        <w:rPr>
          <w:rFonts w:ascii="Times New Roman" w:hAnsi="Times New Roman" w:cs="Times New Roman"/>
          <w:sz w:val="24"/>
          <w:szCs w:val="24"/>
          <w:lang w:val="en-US"/>
        </w:rPr>
        <w:t>.”</w:t>
      </w:r>
    </w:p>
    <w:p w:rsidR="00DE6EA0" w:rsidRPr="00232810" w:rsidRDefault="0085292B" w:rsidP="00EB2205">
      <w:pPr>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t xml:space="preserve">7. Similarly, the law punishes public officials </w:t>
      </w:r>
      <w:r w:rsidR="00DE6EA0" w:rsidRPr="00232810">
        <w:rPr>
          <w:rFonts w:ascii="Times New Roman" w:hAnsi="Times New Roman" w:cs="Times New Roman"/>
          <w:sz w:val="24"/>
          <w:szCs w:val="24"/>
          <w:lang w:val="en-US"/>
        </w:rPr>
        <w:t>“</w:t>
      </w:r>
      <w:r w:rsidRPr="00232810">
        <w:rPr>
          <w:rFonts w:ascii="Times New Roman" w:hAnsi="Times New Roman" w:cs="Times New Roman"/>
          <w:sz w:val="24"/>
          <w:szCs w:val="24"/>
          <w:lang w:val="en-US"/>
        </w:rPr>
        <w:t xml:space="preserve">responsible for the detention </w:t>
      </w:r>
      <w:r w:rsidR="006B5AA1" w:rsidRPr="00232810">
        <w:rPr>
          <w:rFonts w:ascii="Times New Roman" w:hAnsi="Times New Roman" w:cs="Times New Roman"/>
          <w:sz w:val="24"/>
          <w:szCs w:val="24"/>
          <w:lang w:val="en-US"/>
        </w:rPr>
        <w:t>centers,</w:t>
      </w:r>
      <w:r w:rsidRPr="00232810">
        <w:rPr>
          <w:rFonts w:ascii="Times New Roman" w:hAnsi="Times New Roman" w:cs="Times New Roman"/>
          <w:sz w:val="24"/>
          <w:szCs w:val="24"/>
          <w:lang w:val="en-US"/>
        </w:rPr>
        <w:t xml:space="preserve"> where the</w:t>
      </w:r>
      <w:r w:rsidR="00DE6EA0" w:rsidRPr="00232810">
        <w:rPr>
          <w:rFonts w:ascii="Times New Roman" w:hAnsi="Times New Roman" w:cs="Times New Roman"/>
          <w:sz w:val="24"/>
          <w:szCs w:val="24"/>
          <w:lang w:val="en-US"/>
        </w:rPr>
        <w:t>re</w:t>
      </w:r>
      <w:r w:rsidRPr="00232810">
        <w:rPr>
          <w:rFonts w:ascii="Times New Roman" w:hAnsi="Times New Roman" w:cs="Times New Roman"/>
          <w:sz w:val="24"/>
          <w:szCs w:val="24"/>
          <w:lang w:val="en-US"/>
        </w:rPr>
        <w:t xml:space="preserve"> are </w:t>
      </w:r>
      <w:r w:rsidR="00DE6EA0" w:rsidRPr="00232810">
        <w:rPr>
          <w:rFonts w:ascii="Times New Roman" w:hAnsi="Times New Roman" w:cs="Times New Roman"/>
          <w:sz w:val="24"/>
          <w:szCs w:val="24"/>
          <w:lang w:val="en-US"/>
        </w:rPr>
        <w:t xml:space="preserve">areas </w:t>
      </w:r>
      <w:r w:rsidRPr="00232810">
        <w:rPr>
          <w:rFonts w:ascii="Times New Roman" w:hAnsi="Times New Roman" w:cs="Times New Roman"/>
          <w:sz w:val="24"/>
          <w:szCs w:val="24"/>
          <w:lang w:val="en-US"/>
        </w:rPr>
        <w:t xml:space="preserve">or instruments used for </w:t>
      </w:r>
      <w:r w:rsidR="00DE6EA0" w:rsidRPr="00232810">
        <w:rPr>
          <w:rFonts w:ascii="Times New Roman" w:hAnsi="Times New Roman" w:cs="Times New Roman"/>
          <w:sz w:val="24"/>
          <w:szCs w:val="24"/>
          <w:lang w:val="en-US"/>
        </w:rPr>
        <w:t xml:space="preserve">inflicting </w:t>
      </w:r>
      <w:r w:rsidRPr="00232810">
        <w:rPr>
          <w:rFonts w:ascii="Times New Roman" w:hAnsi="Times New Roman" w:cs="Times New Roman"/>
          <w:sz w:val="24"/>
          <w:szCs w:val="24"/>
          <w:lang w:val="en-US"/>
        </w:rPr>
        <w:t>torture</w:t>
      </w:r>
      <w:r w:rsidR="00DE6EA0" w:rsidRPr="00232810">
        <w:rPr>
          <w:rFonts w:ascii="Times New Roman" w:hAnsi="Times New Roman" w:cs="Times New Roman"/>
          <w:sz w:val="24"/>
          <w:szCs w:val="24"/>
          <w:lang w:val="en-US"/>
        </w:rPr>
        <w:t>”</w:t>
      </w:r>
      <w:r w:rsidR="00DE6EA0" w:rsidRPr="00232810">
        <w:rPr>
          <w:rStyle w:val="Funotenzeichen"/>
          <w:rFonts w:ascii="Times New Roman" w:hAnsi="Times New Roman" w:cs="Times New Roman"/>
          <w:sz w:val="24"/>
          <w:szCs w:val="24"/>
          <w:lang w:val="en-US"/>
        </w:rPr>
        <w:footnoteReference w:id="6"/>
      </w:r>
      <w:r w:rsidRPr="00232810">
        <w:rPr>
          <w:rFonts w:ascii="Times New Roman" w:hAnsi="Times New Roman" w:cs="Times New Roman"/>
          <w:sz w:val="24"/>
          <w:szCs w:val="24"/>
          <w:lang w:val="en-US"/>
        </w:rPr>
        <w:t xml:space="preserve"> and the medical professional </w:t>
      </w:r>
      <w:r w:rsidR="00C608E9" w:rsidRPr="00232810">
        <w:rPr>
          <w:rFonts w:ascii="Times New Roman" w:hAnsi="Times New Roman" w:cs="Times New Roman"/>
          <w:sz w:val="24"/>
          <w:szCs w:val="24"/>
          <w:lang w:val="en-US"/>
        </w:rPr>
        <w:t xml:space="preserve">who </w:t>
      </w:r>
      <w:r w:rsidRPr="00232810">
        <w:rPr>
          <w:rFonts w:ascii="Times New Roman" w:hAnsi="Times New Roman" w:cs="Times New Roman"/>
          <w:sz w:val="24"/>
          <w:szCs w:val="24"/>
          <w:lang w:val="en-US"/>
        </w:rPr>
        <w:t>issues a legal</w:t>
      </w:r>
      <w:r w:rsidR="00C608E9" w:rsidRPr="00232810">
        <w:rPr>
          <w:rFonts w:ascii="Times New Roman" w:hAnsi="Times New Roman" w:cs="Times New Roman"/>
          <w:sz w:val="24"/>
          <w:szCs w:val="24"/>
          <w:lang w:val="en-US"/>
        </w:rPr>
        <w:t xml:space="preserve"> psychological or mental health medical false report or that </w:t>
      </w:r>
      <w:r w:rsidRPr="00232810">
        <w:rPr>
          <w:rFonts w:ascii="Times New Roman" w:hAnsi="Times New Roman" w:cs="Times New Roman"/>
          <w:sz w:val="24"/>
          <w:szCs w:val="24"/>
          <w:lang w:val="en-US"/>
        </w:rPr>
        <w:t>omit</w:t>
      </w:r>
      <w:r w:rsidR="00C608E9" w:rsidRPr="00232810">
        <w:rPr>
          <w:rFonts w:ascii="Times New Roman" w:hAnsi="Times New Roman" w:cs="Times New Roman"/>
          <w:sz w:val="24"/>
          <w:szCs w:val="24"/>
          <w:lang w:val="en-US"/>
        </w:rPr>
        <w:t>s</w:t>
      </w:r>
      <w:r w:rsidRPr="00232810">
        <w:rPr>
          <w:rFonts w:ascii="Times New Roman" w:hAnsi="Times New Roman" w:cs="Times New Roman"/>
          <w:sz w:val="24"/>
          <w:szCs w:val="24"/>
          <w:lang w:val="en-US"/>
        </w:rPr>
        <w:t xml:space="preserve"> </w:t>
      </w:r>
      <w:r w:rsidR="00C608E9" w:rsidRPr="00232810">
        <w:rPr>
          <w:rFonts w:ascii="Times New Roman" w:hAnsi="Times New Roman" w:cs="Times New Roman"/>
          <w:sz w:val="24"/>
          <w:szCs w:val="24"/>
          <w:lang w:val="en-US"/>
        </w:rPr>
        <w:t xml:space="preserve">to </w:t>
      </w:r>
      <w:r w:rsidRPr="00232810">
        <w:rPr>
          <w:rFonts w:ascii="Times New Roman" w:hAnsi="Times New Roman" w:cs="Times New Roman"/>
          <w:sz w:val="24"/>
          <w:szCs w:val="24"/>
          <w:lang w:val="en-US"/>
        </w:rPr>
        <w:t xml:space="preserve">mention </w:t>
      </w:r>
      <w:r w:rsidR="00C608E9" w:rsidRPr="00232810">
        <w:rPr>
          <w:rFonts w:ascii="Times New Roman" w:hAnsi="Times New Roman" w:cs="Times New Roman"/>
          <w:sz w:val="24"/>
          <w:szCs w:val="24"/>
          <w:lang w:val="en-US"/>
        </w:rPr>
        <w:t>the</w:t>
      </w:r>
      <w:r w:rsidRPr="00232810">
        <w:rPr>
          <w:rFonts w:ascii="Times New Roman" w:hAnsi="Times New Roman" w:cs="Times New Roman"/>
          <w:sz w:val="24"/>
          <w:szCs w:val="24"/>
          <w:lang w:val="en-US"/>
        </w:rPr>
        <w:t xml:space="preserve"> signs of torture or abuse</w:t>
      </w:r>
      <w:r w:rsidR="00C608E9" w:rsidRPr="00232810">
        <w:rPr>
          <w:rStyle w:val="Funotenzeichen"/>
          <w:rFonts w:ascii="Times New Roman" w:hAnsi="Times New Roman" w:cs="Times New Roman"/>
          <w:sz w:val="24"/>
          <w:szCs w:val="24"/>
          <w:lang w:val="en-US"/>
        </w:rPr>
        <w:footnoteReference w:id="7"/>
      </w:r>
      <w:r w:rsidRPr="00232810">
        <w:rPr>
          <w:rFonts w:ascii="Times New Roman" w:hAnsi="Times New Roman" w:cs="Times New Roman"/>
          <w:sz w:val="24"/>
          <w:szCs w:val="24"/>
          <w:lang w:val="en-US"/>
        </w:rPr>
        <w:t>.</w:t>
      </w:r>
    </w:p>
    <w:p w:rsidR="0085292B" w:rsidRPr="00232810" w:rsidRDefault="0085292B" w:rsidP="00EB2205">
      <w:pPr>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t xml:space="preserve">8. The organization particularly appreciates </w:t>
      </w:r>
      <w:r w:rsidR="00835504" w:rsidRPr="00232810">
        <w:rPr>
          <w:rFonts w:ascii="Times New Roman" w:hAnsi="Times New Roman" w:cs="Times New Roman"/>
          <w:sz w:val="24"/>
          <w:szCs w:val="24"/>
          <w:lang w:val="en-US"/>
        </w:rPr>
        <w:t xml:space="preserve">that </w:t>
      </w:r>
      <w:r w:rsidRPr="00232810">
        <w:rPr>
          <w:rFonts w:ascii="Times New Roman" w:hAnsi="Times New Roman" w:cs="Times New Roman"/>
          <w:sz w:val="24"/>
          <w:szCs w:val="24"/>
          <w:lang w:val="en-US"/>
        </w:rPr>
        <w:t xml:space="preserve">the Special Law to Prevent and </w:t>
      </w:r>
      <w:r w:rsidR="00835504" w:rsidRPr="00232810">
        <w:rPr>
          <w:rFonts w:ascii="Times New Roman" w:hAnsi="Times New Roman" w:cs="Times New Roman"/>
          <w:sz w:val="24"/>
          <w:szCs w:val="24"/>
          <w:lang w:val="en-US"/>
        </w:rPr>
        <w:t>Sanction</w:t>
      </w:r>
      <w:r w:rsidRPr="00232810">
        <w:rPr>
          <w:rFonts w:ascii="Times New Roman" w:hAnsi="Times New Roman" w:cs="Times New Roman"/>
          <w:sz w:val="24"/>
          <w:szCs w:val="24"/>
          <w:lang w:val="en-US"/>
        </w:rPr>
        <w:t xml:space="preserve"> Torture and Other Cruel, Inhuman and Degrading </w:t>
      </w:r>
      <w:r w:rsidR="00835504" w:rsidRPr="00232810">
        <w:rPr>
          <w:rFonts w:ascii="Times New Roman" w:hAnsi="Times New Roman" w:cs="Times New Roman"/>
          <w:sz w:val="24"/>
          <w:szCs w:val="24"/>
          <w:lang w:val="en-US"/>
        </w:rPr>
        <w:t>Treatments establishe</w:t>
      </w:r>
      <w:r w:rsidRPr="00232810">
        <w:rPr>
          <w:rFonts w:ascii="Times New Roman" w:hAnsi="Times New Roman" w:cs="Times New Roman"/>
          <w:sz w:val="24"/>
          <w:szCs w:val="24"/>
          <w:lang w:val="en-US"/>
        </w:rPr>
        <w:t xml:space="preserve">s the duty of every public official to </w:t>
      </w:r>
      <w:r w:rsidR="00903F7E" w:rsidRPr="00232810">
        <w:rPr>
          <w:rFonts w:ascii="Times New Roman" w:hAnsi="Times New Roman" w:cs="Times New Roman"/>
          <w:sz w:val="24"/>
          <w:szCs w:val="24"/>
          <w:lang w:val="en-US"/>
        </w:rPr>
        <w:t>report</w:t>
      </w:r>
      <w:r w:rsidRPr="00232810">
        <w:rPr>
          <w:rFonts w:ascii="Times New Roman" w:hAnsi="Times New Roman" w:cs="Times New Roman"/>
          <w:sz w:val="24"/>
          <w:szCs w:val="24"/>
          <w:lang w:val="en-US"/>
        </w:rPr>
        <w:t xml:space="preserve"> when</w:t>
      </w:r>
      <w:r w:rsidR="00835504" w:rsidRPr="00232810">
        <w:rPr>
          <w:rFonts w:ascii="Times New Roman" w:hAnsi="Times New Roman" w:cs="Times New Roman"/>
          <w:sz w:val="24"/>
          <w:szCs w:val="24"/>
          <w:lang w:val="en-US"/>
        </w:rPr>
        <w:t xml:space="preserve"> he or she </w:t>
      </w:r>
      <w:r w:rsidRPr="00232810">
        <w:rPr>
          <w:rFonts w:ascii="Times New Roman" w:hAnsi="Times New Roman" w:cs="Times New Roman"/>
          <w:sz w:val="24"/>
          <w:szCs w:val="24"/>
          <w:lang w:val="en-US"/>
        </w:rPr>
        <w:t xml:space="preserve">has knowledge of the commission or </w:t>
      </w:r>
      <w:r w:rsidR="00903F7E" w:rsidRPr="00232810">
        <w:rPr>
          <w:rFonts w:ascii="Times New Roman" w:hAnsi="Times New Roman" w:cs="Times New Roman"/>
          <w:sz w:val="24"/>
          <w:szCs w:val="24"/>
          <w:lang w:val="en-US"/>
        </w:rPr>
        <w:t xml:space="preserve">being </w:t>
      </w:r>
      <w:r w:rsidRPr="00232810">
        <w:rPr>
          <w:rFonts w:ascii="Times New Roman" w:hAnsi="Times New Roman" w:cs="Times New Roman"/>
          <w:sz w:val="24"/>
          <w:szCs w:val="24"/>
          <w:lang w:val="en-US"/>
        </w:rPr>
        <w:t>instruct</w:t>
      </w:r>
      <w:r w:rsidR="00903F7E" w:rsidRPr="00232810">
        <w:rPr>
          <w:rFonts w:ascii="Times New Roman" w:hAnsi="Times New Roman" w:cs="Times New Roman"/>
          <w:sz w:val="24"/>
          <w:szCs w:val="24"/>
          <w:lang w:val="en-US"/>
        </w:rPr>
        <w:t>ed</w:t>
      </w:r>
      <w:r w:rsidRPr="00232810">
        <w:rPr>
          <w:rFonts w:ascii="Times New Roman" w:hAnsi="Times New Roman" w:cs="Times New Roman"/>
          <w:sz w:val="24"/>
          <w:szCs w:val="24"/>
          <w:lang w:val="en-US"/>
        </w:rPr>
        <w:t xml:space="preserve"> </w:t>
      </w:r>
      <w:r w:rsidR="00903F7E" w:rsidRPr="00232810">
        <w:rPr>
          <w:rFonts w:ascii="Times New Roman" w:hAnsi="Times New Roman" w:cs="Times New Roman"/>
          <w:sz w:val="24"/>
          <w:szCs w:val="24"/>
          <w:lang w:val="en-US"/>
        </w:rPr>
        <w:t xml:space="preserve">to </w:t>
      </w:r>
      <w:r w:rsidRPr="00232810">
        <w:rPr>
          <w:rFonts w:ascii="Times New Roman" w:hAnsi="Times New Roman" w:cs="Times New Roman"/>
          <w:sz w:val="24"/>
          <w:szCs w:val="24"/>
          <w:lang w:val="en-US"/>
        </w:rPr>
        <w:t>commit any of the offenses specified in that instrument</w:t>
      </w:r>
      <w:r w:rsidR="00903F7E" w:rsidRPr="00232810">
        <w:rPr>
          <w:rStyle w:val="Funotenzeichen"/>
          <w:rFonts w:ascii="Times New Roman" w:hAnsi="Times New Roman" w:cs="Times New Roman"/>
          <w:sz w:val="24"/>
          <w:szCs w:val="24"/>
          <w:lang w:val="en-US"/>
        </w:rPr>
        <w:footnoteReference w:id="8"/>
      </w:r>
      <w:r w:rsidRPr="00232810">
        <w:rPr>
          <w:rFonts w:ascii="Times New Roman" w:hAnsi="Times New Roman" w:cs="Times New Roman"/>
          <w:sz w:val="24"/>
          <w:szCs w:val="24"/>
          <w:lang w:val="en-US"/>
        </w:rPr>
        <w:t>.</w:t>
      </w:r>
    </w:p>
    <w:p w:rsidR="00D62EEB" w:rsidRPr="00232810" w:rsidRDefault="0085292B" w:rsidP="00D62EEB">
      <w:pPr>
        <w:jc w:val="both"/>
        <w:rPr>
          <w:rFonts w:ascii="Times New Roman" w:eastAsia="Times New Roman" w:hAnsi="Times New Roman" w:cs="Times New Roman"/>
          <w:sz w:val="24"/>
          <w:szCs w:val="24"/>
          <w:lang w:val="en-US" w:eastAsia="es-VE"/>
        </w:rPr>
      </w:pPr>
      <w:r w:rsidRPr="00232810">
        <w:rPr>
          <w:rFonts w:ascii="Times New Roman" w:hAnsi="Times New Roman" w:cs="Times New Roman"/>
          <w:sz w:val="24"/>
          <w:szCs w:val="24"/>
          <w:lang w:val="en-US"/>
        </w:rPr>
        <w:lastRenderedPageBreak/>
        <w:t xml:space="preserve">9. Similarly, the </w:t>
      </w:r>
      <w:r w:rsidR="00903F7E" w:rsidRPr="00232810">
        <w:rPr>
          <w:rFonts w:ascii="Times New Roman" w:hAnsi="Times New Roman" w:cs="Times New Roman"/>
          <w:sz w:val="24"/>
          <w:szCs w:val="24"/>
          <w:lang w:val="en-US"/>
        </w:rPr>
        <w:t>Defensoría del Pueblo</w:t>
      </w:r>
      <w:r w:rsidRPr="00232810">
        <w:rPr>
          <w:rFonts w:ascii="Times New Roman" w:hAnsi="Times New Roman" w:cs="Times New Roman"/>
          <w:sz w:val="24"/>
          <w:szCs w:val="24"/>
          <w:lang w:val="en-US"/>
        </w:rPr>
        <w:t xml:space="preserve"> considers </w:t>
      </w:r>
      <w:r w:rsidR="00903F7E" w:rsidRPr="00232810">
        <w:rPr>
          <w:rFonts w:ascii="Times New Roman" w:hAnsi="Times New Roman" w:cs="Times New Roman"/>
          <w:sz w:val="24"/>
          <w:szCs w:val="24"/>
          <w:lang w:val="en-US"/>
        </w:rPr>
        <w:t xml:space="preserve">positive </w:t>
      </w:r>
      <w:r w:rsidRPr="00232810">
        <w:rPr>
          <w:rFonts w:ascii="Times New Roman" w:hAnsi="Times New Roman" w:cs="Times New Roman"/>
          <w:sz w:val="24"/>
          <w:szCs w:val="24"/>
          <w:lang w:val="en-US"/>
        </w:rPr>
        <w:t xml:space="preserve">that the </w:t>
      </w:r>
      <w:r w:rsidR="00903F7E" w:rsidRPr="00232810">
        <w:rPr>
          <w:rFonts w:ascii="Times New Roman" w:hAnsi="Times New Roman" w:cs="Times New Roman"/>
          <w:sz w:val="24"/>
          <w:szCs w:val="24"/>
          <w:lang w:val="en-US"/>
        </w:rPr>
        <w:t>Law</w:t>
      </w:r>
      <w:r w:rsidRPr="00232810">
        <w:rPr>
          <w:rFonts w:ascii="Times New Roman" w:hAnsi="Times New Roman" w:cs="Times New Roman"/>
          <w:sz w:val="24"/>
          <w:szCs w:val="24"/>
          <w:lang w:val="en-US"/>
        </w:rPr>
        <w:t xml:space="preserve"> proscribes </w:t>
      </w:r>
      <w:r w:rsidR="00E5203C" w:rsidRPr="00232810">
        <w:rPr>
          <w:rFonts w:ascii="Times New Roman" w:hAnsi="Times New Roman" w:cs="Times New Roman"/>
          <w:sz w:val="24"/>
          <w:szCs w:val="24"/>
          <w:lang w:val="en-US"/>
        </w:rPr>
        <w:t xml:space="preserve">the due </w:t>
      </w:r>
      <w:r w:rsidRPr="00232810">
        <w:rPr>
          <w:rFonts w:ascii="Times New Roman" w:hAnsi="Times New Roman" w:cs="Times New Roman"/>
          <w:sz w:val="24"/>
          <w:szCs w:val="24"/>
          <w:lang w:val="en-US"/>
        </w:rPr>
        <w:t>obedience as grounds for justification</w:t>
      </w:r>
      <w:r w:rsidR="00E5203C" w:rsidRPr="00232810">
        <w:rPr>
          <w:rStyle w:val="Funotenzeichen"/>
          <w:rFonts w:ascii="Times New Roman" w:hAnsi="Times New Roman" w:cs="Times New Roman"/>
          <w:sz w:val="24"/>
          <w:szCs w:val="24"/>
          <w:lang w:val="en-US"/>
        </w:rPr>
        <w:footnoteReference w:id="9"/>
      </w:r>
      <w:r w:rsidRPr="00232810">
        <w:rPr>
          <w:rFonts w:ascii="Times New Roman" w:hAnsi="Times New Roman" w:cs="Times New Roman"/>
          <w:sz w:val="24"/>
          <w:szCs w:val="24"/>
          <w:lang w:val="en-US"/>
        </w:rPr>
        <w:t xml:space="preserve"> and exclude</w:t>
      </w:r>
      <w:r w:rsidR="00AB2CE4" w:rsidRPr="00232810">
        <w:rPr>
          <w:rFonts w:ascii="Times New Roman" w:hAnsi="Times New Roman" w:cs="Times New Roman"/>
          <w:sz w:val="24"/>
          <w:szCs w:val="24"/>
          <w:lang w:val="en-US"/>
        </w:rPr>
        <w:t>s</w:t>
      </w:r>
      <w:r w:rsidRPr="00232810">
        <w:rPr>
          <w:rFonts w:ascii="Times New Roman" w:hAnsi="Times New Roman" w:cs="Times New Roman"/>
          <w:sz w:val="24"/>
          <w:szCs w:val="24"/>
          <w:lang w:val="en-US"/>
        </w:rPr>
        <w:t xml:space="preserve"> as causes of defenses</w:t>
      </w:r>
      <w:r w:rsidR="00AB2CE4" w:rsidRPr="00232810">
        <w:rPr>
          <w:rFonts w:ascii="Times New Roman" w:hAnsi="Times New Roman" w:cs="Times New Roman"/>
          <w:sz w:val="24"/>
          <w:szCs w:val="24"/>
          <w:lang w:val="en-US"/>
        </w:rPr>
        <w:t xml:space="preserve"> </w:t>
      </w:r>
      <w:r w:rsidR="00AB2CE4" w:rsidRPr="00232810">
        <w:rPr>
          <w:rStyle w:val="hps"/>
          <w:rFonts w:ascii="Times New Roman" w:hAnsi="Times New Roman" w:cs="Times New Roman"/>
          <w:sz w:val="24"/>
          <w:szCs w:val="24"/>
          <w:lang w:val="en-US"/>
        </w:rPr>
        <w:t>of</w:t>
      </w:r>
      <w:r w:rsidR="00AB2CE4" w:rsidRPr="00232810">
        <w:rPr>
          <w:rStyle w:val="shorttext"/>
          <w:rFonts w:ascii="Times New Roman" w:hAnsi="Times New Roman" w:cs="Times New Roman"/>
          <w:sz w:val="24"/>
          <w:szCs w:val="24"/>
          <w:lang w:val="en-US"/>
        </w:rPr>
        <w:t xml:space="preserve"> </w:t>
      </w:r>
      <w:r w:rsidR="00AB2CE4" w:rsidRPr="00232810">
        <w:rPr>
          <w:rStyle w:val="hps"/>
          <w:rFonts w:ascii="Times New Roman" w:hAnsi="Times New Roman" w:cs="Times New Roman"/>
          <w:sz w:val="24"/>
          <w:szCs w:val="24"/>
          <w:lang w:val="en-US"/>
        </w:rPr>
        <w:t>criminal liability</w:t>
      </w:r>
      <w:r w:rsidR="00D62EEB" w:rsidRPr="00232810">
        <w:rPr>
          <w:rStyle w:val="hps"/>
          <w:rFonts w:ascii="Times New Roman" w:hAnsi="Times New Roman" w:cs="Times New Roman"/>
          <w:sz w:val="24"/>
          <w:szCs w:val="24"/>
          <w:lang w:val="en-US"/>
        </w:rPr>
        <w:t xml:space="preserve"> the </w:t>
      </w:r>
      <w:r w:rsidR="00D62EEB" w:rsidRPr="00232810">
        <w:rPr>
          <w:rStyle w:val="hps"/>
          <w:rFonts w:ascii="Times New Roman" w:hAnsi="Times New Roman" w:cs="Times New Roman"/>
          <w:i/>
          <w:sz w:val="24"/>
          <w:szCs w:val="24"/>
          <w:lang w:val="en-US"/>
        </w:rPr>
        <w:t>“e</w:t>
      </w:r>
      <w:r w:rsidR="00D62EEB" w:rsidRPr="00232810">
        <w:rPr>
          <w:rFonts w:ascii="Times New Roman" w:eastAsia="Times New Roman" w:hAnsi="Times New Roman" w:cs="Times New Roman"/>
          <w:i/>
          <w:sz w:val="24"/>
          <w:szCs w:val="24"/>
          <w:lang w:val="en-US" w:eastAsia="es-VE"/>
        </w:rPr>
        <w:t>xceptional circumstances of social, economic, political, natural or organic order, which seriously affect the security of the nation, institutions and individuals, states of emergency, urgency of the investigations or other circumstances”</w:t>
      </w:r>
      <w:r w:rsidR="00D62EEB" w:rsidRPr="00232810">
        <w:rPr>
          <w:rStyle w:val="Funotenzeichen"/>
          <w:rFonts w:ascii="Times New Roman" w:eastAsia="Times New Roman" w:hAnsi="Times New Roman" w:cs="Times New Roman"/>
          <w:i/>
          <w:sz w:val="24"/>
          <w:szCs w:val="24"/>
          <w:lang w:eastAsia="es-VE"/>
        </w:rPr>
        <w:footnoteReference w:id="10"/>
      </w:r>
      <w:r w:rsidR="00D62EEB" w:rsidRPr="00232810">
        <w:rPr>
          <w:rFonts w:ascii="Times New Roman" w:eastAsia="Times New Roman" w:hAnsi="Times New Roman" w:cs="Times New Roman"/>
          <w:sz w:val="24"/>
          <w:szCs w:val="24"/>
          <w:lang w:val="en-US" w:eastAsia="es-VE"/>
        </w:rPr>
        <w:t xml:space="preserve"> in line with the provisions of Article 2 of the Convention. It also constitutes as an important advance that the rule considers as “fraud in law”, subject to criminal and administrative responsibility, the promotion of any piece of evidence that has been obtained through torture, cruel, inhuman or degrading treatment</w:t>
      </w:r>
      <w:r w:rsidR="00D62EEB" w:rsidRPr="00232810">
        <w:rPr>
          <w:rStyle w:val="Funotenzeichen"/>
          <w:rFonts w:ascii="Times New Roman" w:eastAsia="Times New Roman" w:hAnsi="Times New Roman" w:cs="Times New Roman"/>
          <w:sz w:val="24"/>
          <w:szCs w:val="24"/>
          <w:lang w:eastAsia="es-VE"/>
        </w:rPr>
        <w:footnoteReference w:id="11"/>
      </w:r>
      <w:r w:rsidR="00D62EEB" w:rsidRPr="00232810">
        <w:rPr>
          <w:rFonts w:ascii="Times New Roman" w:eastAsia="Times New Roman" w:hAnsi="Times New Roman" w:cs="Times New Roman"/>
          <w:sz w:val="24"/>
          <w:szCs w:val="24"/>
          <w:lang w:val="en-US" w:eastAsia="es-VE"/>
        </w:rPr>
        <w:t xml:space="preserve">, </w:t>
      </w:r>
      <w:r w:rsidR="00D8532C" w:rsidRPr="00232810">
        <w:rPr>
          <w:rFonts w:ascii="Times New Roman" w:eastAsia="Times New Roman" w:hAnsi="Times New Roman" w:cs="Times New Roman"/>
          <w:sz w:val="24"/>
          <w:szCs w:val="24"/>
          <w:lang w:val="en-US" w:eastAsia="es-VE"/>
        </w:rPr>
        <w:t xml:space="preserve">in line with </w:t>
      </w:r>
      <w:r w:rsidR="00D62EEB" w:rsidRPr="00232810">
        <w:rPr>
          <w:rFonts w:ascii="Times New Roman" w:eastAsia="Times New Roman" w:hAnsi="Times New Roman" w:cs="Times New Roman"/>
          <w:sz w:val="24"/>
          <w:szCs w:val="24"/>
          <w:lang w:val="en-US" w:eastAsia="es-VE"/>
        </w:rPr>
        <w:t xml:space="preserve">the provisions </w:t>
      </w:r>
      <w:r w:rsidR="00D8532C" w:rsidRPr="00232810">
        <w:rPr>
          <w:rFonts w:ascii="Times New Roman" w:eastAsia="Times New Roman" w:hAnsi="Times New Roman" w:cs="Times New Roman"/>
          <w:sz w:val="24"/>
          <w:szCs w:val="24"/>
          <w:lang w:val="en-US" w:eastAsia="es-VE"/>
        </w:rPr>
        <w:t xml:space="preserve">of </w:t>
      </w:r>
      <w:r w:rsidR="00D62EEB" w:rsidRPr="00232810">
        <w:rPr>
          <w:rFonts w:ascii="Times New Roman" w:eastAsia="Times New Roman" w:hAnsi="Times New Roman" w:cs="Times New Roman"/>
          <w:sz w:val="24"/>
          <w:szCs w:val="24"/>
          <w:lang w:val="en-US" w:eastAsia="es-VE"/>
        </w:rPr>
        <w:t>Article 15 of the Convention.</w:t>
      </w:r>
    </w:p>
    <w:p w:rsidR="001F49CF" w:rsidRPr="00232810" w:rsidRDefault="00D8532C" w:rsidP="00EB2205">
      <w:pPr>
        <w:jc w:val="both"/>
        <w:rPr>
          <w:rFonts w:ascii="Times New Roman" w:hAnsi="Times New Roman" w:cs="Times New Roman"/>
          <w:i/>
          <w:sz w:val="24"/>
          <w:szCs w:val="24"/>
          <w:lang w:val="en-US"/>
        </w:rPr>
      </w:pPr>
      <w:r w:rsidRPr="00232810">
        <w:rPr>
          <w:lang w:val="en-US"/>
        </w:rPr>
        <w:t>10</w:t>
      </w:r>
      <w:r w:rsidRPr="00232810">
        <w:rPr>
          <w:rFonts w:ascii="Times New Roman" w:hAnsi="Times New Roman" w:cs="Times New Roman"/>
          <w:sz w:val="24"/>
          <w:szCs w:val="24"/>
          <w:lang w:val="en-US"/>
        </w:rPr>
        <w:t xml:space="preserve">. The organization also </w:t>
      </w:r>
      <w:r w:rsidR="006857DF" w:rsidRPr="00232810">
        <w:rPr>
          <w:rFonts w:ascii="Times New Roman" w:hAnsi="Times New Roman" w:cs="Times New Roman"/>
          <w:sz w:val="24"/>
          <w:szCs w:val="24"/>
          <w:lang w:val="en-US"/>
        </w:rPr>
        <w:t>appreciates</w:t>
      </w:r>
      <w:r w:rsidRPr="00232810">
        <w:rPr>
          <w:rFonts w:ascii="Times New Roman" w:hAnsi="Times New Roman" w:cs="Times New Roman"/>
          <w:sz w:val="24"/>
          <w:szCs w:val="24"/>
          <w:lang w:val="en-US"/>
        </w:rPr>
        <w:t xml:space="preserve"> that the standard provide for the obligation of police officers , soldiers, prison service, Public Ministry, the Public Defender and the judges of the Republic to notify the </w:t>
      </w:r>
      <w:r w:rsidR="00F315A8" w:rsidRPr="00232810">
        <w:rPr>
          <w:rFonts w:ascii="Times New Roman" w:hAnsi="Times New Roman" w:cs="Times New Roman"/>
          <w:sz w:val="24"/>
          <w:szCs w:val="24"/>
          <w:lang w:val="en-US"/>
        </w:rPr>
        <w:t>Defensoría</w:t>
      </w:r>
      <w:r w:rsidRPr="00232810">
        <w:rPr>
          <w:rFonts w:ascii="Times New Roman" w:hAnsi="Times New Roman" w:cs="Times New Roman"/>
          <w:sz w:val="24"/>
          <w:szCs w:val="24"/>
          <w:lang w:val="en-US"/>
        </w:rPr>
        <w:t xml:space="preserve">, in a period not exceeding forty- eight hours, when they are aware that there has been an offense under the </w:t>
      </w:r>
      <w:r w:rsidR="006857DF" w:rsidRPr="00232810">
        <w:rPr>
          <w:rFonts w:ascii="Times New Roman" w:hAnsi="Times New Roman" w:cs="Times New Roman"/>
          <w:sz w:val="24"/>
          <w:szCs w:val="24"/>
          <w:lang w:val="en-US"/>
        </w:rPr>
        <w:t>Law</w:t>
      </w:r>
      <w:r w:rsidR="00C03527" w:rsidRPr="00232810">
        <w:rPr>
          <w:rStyle w:val="Funotenzeichen"/>
          <w:rFonts w:ascii="Times New Roman" w:hAnsi="Times New Roman" w:cs="Times New Roman"/>
          <w:sz w:val="24"/>
          <w:szCs w:val="24"/>
          <w:lang w:val="en-US"/>
        </w:rPr>
        <w:footnoteReference w:id="12"/>
      </w:r>
      <w:r w:rsidRPr="00232810">
        <w:rPr>
          <w:rFonts w:ascii="Times New Roman" w:hAnsi="Times New Roman" w:cs="Times New Roman"/>
          <w:sz w:val="24"/>
          <w:szCs w:val="24"/>
          <w:lang w:val="en-US"/>
        </w:rPr>
        <w:t xml:space="preserve"> and this institution will provide the opportunity to participate in the criminal investigation and access the record or any other information in the archives of State or private institutions</w:t>
      </w:r>
      <w:r w:rsidR="00C03527" w:rsidRPr="00232810">
        <w:rPr>
          <w:rStyle w:val="Funotenzeichen"/>
          <w:rFonts w:ascii="Times New Roman" w:hAnsi="Times New Roman" w:cs="Times New Roman"/>
          <w:sz w:val="24"/>
          <w:szCs w:val="24"/>
          <w:lang w:val="en-US"/>
        </w:rPr>
        <w:footnoteReference w:id="13"/>
      </w:r>
      <w:r w:rsidRPr="00232810">
        <w:rPr>
          <w:rFonts w:ascii="Times New Roman" w:hAnsi="Times New Roman" w:cs="Times New Roman"/>
          <w:sz w:val="24"/>
          <w:szCs w:val="24"/>
          <w:lang w:val="en-US"/>
        </w:rPr>
        <w:t xml:space="preserve">. Similarly, the </w:t>
      </w:r>
      <w:r w:rsidR="007E45AA" w:rsidRPr="00232810">
        <w:rPr>
          <w:rFonts w:ascii="Times New Roman" w:hAnsi="Times New Roman" w:cs="Times New Roman"/>
          <w:sz w:val="24"/>
          <w:szCs w:val="24"/>
          <w:lang w:val="en-US"/>
        </w:rPr>
        <w:t xml:space="preserve">fact that the </w:t>
      </w:r>
      <w:r w:rsidRPr="00232810">
        <w:rPr>
          <w:rFonts w:ascii="Times New Roman" w:hAnsi="Times New Roman" w:cs="Times New Roman"/>
          <w:sz w:val="24"/>
          <w:szCs w:val="24"/>
          <w:lang w:val="en-US"/>
        </w:rPr>
        <w:t>rule criminaliz</w:t>
      </w:r>
      <w:r w:rsidR="007E45AA" w:rsidRPr="00232810">
        <w:rPr>
          <w:rFonts w:ascii="Times New Roman" w:hAnsi="Times New Roman" w:cs="Times New Roman"/>
          <w:sz w:val="24"/>
          <w:szCs w:val="24"/>
          <w:lang w:val="en-US"/>
        </w:rPr>
        <w:t xml:space="preserve">es </w:t>
      </w:r>
      <w:r w:rsidRPr="00232810">
        <w:rPr>
          <w:rFonts w:ascii="Times New Roman" w:hAnsi="Times New Roman" w:cs="Times New Roman"/>
          <w:sz w:val="24"/>
          <w:szCs w:val="24"/>
          <w:lang w:val="en-US"/>
        </w:rPr>
        <w:t>the conduct of public officials</w:t>
      </w:r>
      <w:r w:rsidR="007E45AA" w:rsidRPr="00232810">
        <w:rPr>
          <w:rFonts w:ascii="Times New Roman" w:hAnsi="Times New Roman" w:cs="Times New Roman"/>
          <w:sz w:val="24"/>
          <w:szCs w:val="24"/>
          <w:lang w:val="en-US"/>
        </w:rPr>
        <w:t xml:space="preserve"> deserves special recognition,</w:t>
      </w:r>
      <w:r w:rsidRPr="00232810">
        <w:rPr>
          <w:rFonts w:ascii="Times New Roman" w:hAnsi="Times New Roman" w:cs="Times New Roman"/>
          <w:sz w:val="24"/>
          <w:szCs w:val="24"/>
          <w:lang w:val="en-US"/>
        </w:rPr>
        <w:t xml:space="preserve"> </w:t>
      </w:r>
      <w:r w:rsidR="001F49CF" w:rsidRPr="00232810">
        <w:rPr>
          <w:rFonts w:ascii="Times New Roman" w:hAnsi="Times New Roman" w:cs="Times New Roman"/>
          <w:sz w:val="24"/>
          <w:szCs w:val="24"/>
          <w:lang w:val="en-US"/>
        </w:rPr>
        <w:t>“</w:t>
      </w:r>
      <w:r w:rsidR="001F49CF" w:rsidRPr="00232810">
        <w:rPr>
          <w:rFonts w:ascii="Times New Roman" w:hAnsi="Times New Roman" w:cs="Times New Roman"/>
          <w:i/>
          <w:sz w:val="24"/>
          <w:szCs w:val="24"/>
          <w:lang w:val="en-US"/>
        </w:rPr>
        <w:t>who</w:t>
      </w:r>
      <w:r w:rsidRPr="00232810">
        <w:rPr>
          <w:rFonts w:ascii="Times New Roman" w:hAnsi="Times New Roman" w:cs="Times New Roman"/>
          <w:i/>
          <w:sz w:val="24"/>
          <w:szCs w:val="24"/>
          <w:lang w:val="en-US"/>
        </w:rPr>
        <w:t xml:space="preserve"> hinder the </w:t>
      </w:r>
      <w:r w:rsidR="00C03527" w:rsidRPr="00BE47A0">
        <w:rPr>
          <w:rStyle w:val="hps"/>
          <w:rFonts w:ascii="Times New Roman" w:hAnsi="Times New Roman" w:cs="Times New Roman"/>
          <w:i/>
          <w:sz w:val="24"/>
          <w:szCs w:val="24"/>
        </w:rPr>
        <w:t>corresponding investigations</w:t>
      </w:r>
      <w:r w:rsidRPr="00232810">
        <w:rPr>
          <w:rFonts w:ascii="Times New Roman" w:hAnsi="Times New Roman" w:cs="Times New Roman"/>
          <w:i/>
          <w:sz w:val="24"/>
          <w:szCs w:val="24"/>
          <w:lang w:val="en-US"/>
        </w:rPr>
        <w:t xml:space="preserve"> </w:t>
      </w:r>
      <w:r w:rsidR="00C03527" w:rsidRPr="00232810">
        <w:rPr>
          <w:rFonts w:ascii="Times New Roman" w:hAnsi="Times New Roman" w:cs="Times New Roman"/>
          <w:i/>
          <w:sz w:val="24"/>
          <w:szCs w:val="24"/>
          <w:lang w:val="en-US"/>
        </w:rPr>
        <w:t xml:space="preserve">that </w:t>
      </w:r>
      <w:r w:rsidRPr="00232810">
        <w:rPr>
          <w:rFonts w:ascii="Times New Roman" w:hAnsi="Times New Roman" w:cs="Times New Roman"/>
          <w:i/>
          <w:sz w:val="24"/>
          <w:szCs w:val="24"/>
          <w:lang w:val="en-US"/>
        </w:rPr>
        <w:t xml:space="preserve">instruct the Public </w:t>
      </w:r>
      <w:r w:rsidR="007E45AA" w:rsidRPr="00232810">
        <w:rPr>
          <w:rFonts w:ascii="Times New Roman" w:hAnsi="Times New Roman" w:cs="Times New Roman"/>
          <w:i/>
          <w:sz w:val="24"/>
          <w:szCs w:val="24"/>
          <w:lang w:val="en-US"/>
        </w:rPr>
        <w:t>Ministry</w:t>
      </w:r>
      <w:r w:rsidRPr="00232810">
        <w:rPr>
          <w:rFonts w:ascii="Times New Roman" w:hAnsi="Times New Roman" w:cs="Times New Roman"/>
          <w:i/>
          <w:sz w:val="24"/>
          <w:szCs w:val="24"/>
          <w:lang w:val="en-US"/>
        </w:rPr>
        <w:t xml:space="preserve"> and the </w:t>
      </w:r>
      <w:r w:rsidR="007E45AA" w:rsidRPr="00232810">
        <w:rPr>
          <w:rFonts w:ascii="Times New Roman" w:hAnsi="Times New Roman" w:cs="Times New Roman"/>
          <w:i/>
          <w:sz w:val="24"/>
          <w:szCs w:val="24"/>
          <w:lang w:val="en-US"/>
        </w:rPr>
        <w:t xml:space="preserve">Defensoría </w:t>
      </w:r>
      <w:proofErr w:type="gramStart"/>
      <w:r w:rsidR="007E45AA" w:rsidRPr="00232810">
        <w:rPr>
          <w:rFonts w:ascii="Times New Roman" w:hAnsi="Times New Roman" w:cs="Times New Roman"/>
          <w:i/>
          <w:sz w:val="24"/>
          <w:szCs w:val="24"/>
          <w:lang w:val="en-US"/>
        </w:rPr>
        <w:t>del</w:t>
      </w:r>
      <w:proofErr w:type="gramEnd"/>
      <w:r w:rsidR="007E45AA" w:rsidRPr="00232810">
        <w:rPr>
          <w:rFonts w:ascii="Times New Roman" w:hAnsi="Times New Roman" w:cs="Times New Roman"/>
          <w:i/>
          <w:sz w:val="24"/>
          <w:szCs w:val="24"/>
          <w:lang w:val="en-US"/>
        </w:rPr>
        <w:t xml:space="preserve"> Pueblo</w:t>
      </w:r>
      <w:r w:rsidR="001F49CF" w:rsidRPr="00232810">
        <w:rPr>
          <w:rFonts w:ascii="Times New Roman" w:hAnsi="Times New Roman" w:cs="Times New Roman"/>
          <w:i/>
          <w:sz w:val="24"/>
          <w:szCs w:val="24"/>
          <w:lang w:val="en-US"/>
        </w:rPr>
        <w:t>”</w:t>
      </w:r>
      <w:r w:rsidR="003773E8" w:rsidRPr="00232810">
        <w:rPr>
          <w:rStyle w:val="Funotenzeichen"/>
          <w:rFonts w:ascii="Times New Roman" w:hAnsi="Times New Roman" w:cs="Times New Roman"/>
          <w:i/>
          <w:sz w:val="24"/>
          <w:szCs w:val="24"/>
          <w:lang w:val="en-US"/>
        </w:rPr>
        <w:footnoteReference w:id="14"/>
      </w:r>
    </w:p>
    <w:p w:rsidR="001F49CF" w:rsidRPr="00232810" w:rsidRDefault="00D8532C" w:rsidP="00EB2205">
      <w:pPr>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br/>
        <w:t xml:space="preserve">11. The </w:t>
      </w:r>
      <w:r w:rsidR="003773E8" w:rsidRPr="00232810">
        <w:rPr>
          <w:rFonts w:ascii="Times New Roman" w:hAnsi="Times New Roman" w:cs="Times New Roman"/>
          <w:sz w:val="24"/>
          <w:szCs w:val="24"/>
          <w:lang w:val="en-US"/>
        </w:rPr>
        <w:t>Defensoría del Pueblo</w:t>
      </w:r>
      <w:r w:rsidRPr="00232810">
        <w:rPr>
          <w:rFonts w:ascii="Times New Roman" w:hAnsi="Times New Roman" w:cs="Times New Roman"/>
          <w:sz w:val="24"/>
          <w:szCs w:val="24"/>
          <w:lang w:val="en-US"/>
        </w:rPr>
        <w:t xml:space="preserve"> considers that the provisions of the </w:t>
      </w:r>
      <w:r w:rsidR="003773E8" w:rsidRPr="00232810">
        <w:rPr>
          <w:rFonts w:ascii="Times New Roman" w:hAnsi="Times New Roman" w:cs="Times New Roman"/>
          <w:sz w:val="24"/>
          <w:szCs w:val="24"/>
          <w:lang w:val="en-US"/>
        </w:rPr>
        <w:t>Law</w:t>
      </w:r>
      <w:r w:rsidRPr="00232810">
        <w:rPr>
          <w:rFonts w:ascii="Times New Roman" w:hAnsi="Times New Roman" w:cs="Times New Roman"/>
          <w:sz w:val="24"/>
          <w:szCs w:val="24"/>
          <w:lang w:val="en-US"/>
        </w:rPr>
        <w:t xml:space="preserve"> relating to the reporting and investigation of cases of torture are an important step to ensure prompt and impartial investigations of all cases of torture and cruel, inhuman or degrading treatment</w:t>
      </w:r>
      <w:r w:rsidR="001F49CF" w:rsidRPr="00232810">
        <w:rPr>
          <w:rFonts w:ascii="Times New Roman" w:hAnsi="Times New Roman" w:cs="Times New Roman"/>
          <w:sz w:val="24"/>
          <w:szCs w:val="24"/>
          <w:lang w:val="en-US"/>
        </w:rPr>
        <w:t>,</w:t>
      </w:r>
      <w:r w:rsidRPr="00232810">
        <w:rPr>
          <w:rFonts w:ascii="Times New Roman" w:hAnsi="Times New Roman" w:cs="Times New Roman"/>
          <w:sz w:val="24"/>
          <w:szCs w:val="24"/>
          <w:lang w:val="en-US"/>
        </w:rPr>
        <w:t xml:space="preserve"> </w:t>
      </w:r>
      <w:r w:rsidR="003773E8" w:rsidRPr="00232810">
        <w:rPr>
          <w:rFonts w:ascii="Times New Roman" w:hAnsi="Times New Roman" w:cs="Times New Roman"/>
          <w:sz w:val="24"/>
          <w:szCs w:val="24"/>
          <w:lang w:val="en-US"/>
        </w:rPr>
        <w:t xml:space="preserve">in the terms </w:t>
      </w:r>
      <w:r w:rsidRPr="00232810">
        <w:rPr>
          <w:rFonts w:ascii="Times New Roman" w:hAnsi="Times New Roman" w:cs="Times New Roman"/>
          <w:sz w:val="24"/>
          <w:szCs w:val="24"/>
          <w:lang w:val="en-US"/>
        </w:rPr>
        <w:t xml:space="preserve">contained </w:t>
      </w:r>
      <w:r w:rsidR="003773E8" w:rsidRPr="00232810">
        <w:rPr>
          <w:rFonts w:ascii="Times New Roman" w:hAnsi="Times New Roman" w:cs="Times New Roman"/>
          <w:sz w:val="24"/>
          <w:szCs w:val="24"/>
          <w:lang w:val="en-US"/>
        </w:rPr>
        <w:t xml:space="preserve">in </w:t>
      </w:r>
      <w:r w:rsidRPr="00232810">
        <w:rPr>
          <w:rFonts w:ascii="Times New Roman" w:hAnsi="Times New Roman" w:cs="Times New Roman"/>
          <w:sz w:val="24"/>
          <w:szCs w:val="24"/>
          <w:lang w:val="en-US"/>
        </w:rPr>
        <w:t xml:space="preserve">Article 12 of the Convention and the Recommendations of the Committee </w:t>
      </w:r>
      <w:r w:rsidR="001F49CF" w:rsidRPr="00232810">
        <w:rPr>
          <w:rFonts w:ascii="Times New Roman" w:hAnsi="Times New Roman" w:cs="Times New Roman"/>
          <w:sz w:val="24"/>
          <w:szCs w:val="24"/>
          <w:lang w:val="en-US"/>
        </w:rPr>
        <w:t>(CAT</w:t>
      </w:r>
      <w:r w:rsidRPr="00232810">
        <w:rPr>
          <w:rFonts w:ascii="Times New Roman" w:hAnsi="Times New Roman" w:cs="Times New Roman"/>
          <w:sz w:val="24"/>
          <w:szCs w:val="24"/>
          <w:lang w:val="en-US"/>
        </w:rPr>
        <w:t>/C/CR/29/</w:t>
      </w:r>
      <w:proofErr w:type="gramStart"/>
      <w:r w:rsidRPr="00232810">
        <w:rPr>
          <w:rFonts w:ascii="Times New Roman" w:hAnsi="Times New Roman" w:cs="Times New Roman"/>
          <w:sz w:val="24"/>
          <w:szCs w:val="24"/>
          <w:lang w:val="en-US"/>
        </w:rPr>
        <w:t>2 .</w:t>
      </w:r>
      <w:proofErr w:type="gramEnd"/>
      <w:r w:rsidRPr="00232810">
        <w:rPr>
          <w:rFonts w:ascii="Times New Roman" w:hAnsi="Times New Roman" w:cs="Times New Roman"/>
          <w:sz w:val="24"/>
          <w:szCs w:val="24"/>
          <w:lang w:val="en-US"/>
        </w:rPr>
        <w:t xml:space="preserve"> para. 11</w:t>
      </w:r>
      <w:proofErr w:type="gramStart"/>
      <w:r w:rsidRPr="00232810">
        <w:rPr>
          <w:rFonts w:ascii="Times New Roman" w:hAnsi="Times New Roman" w:cs="Times New Roman"/>
          <w:sz w:val="24"/>
          <w:szCs w:val="24"/>
          <w:lang w:val="en-US"/>
        </w:rPr>
        <w:t>.b</w:t>
      </w:r>
      <w:proofErr w:type="gramEnd"/>
      <w:r w:rsidRPr="00232810">
        <w:rPr>
          <w:rFonts w:ascii="Times New Roman" w:hAnsi="Times New Roman" w:cs="Times New Roman"/>
          <w:sz w:val="24"/>
          <w:szCs w:val="24"/>
          <w:lang w:val="en-US"/>
        </w:rPr>
        <w:t xml:space="preserve"> ). However, </w:t>
      </w:r>
      <w:r w:rsidR="004D158D" w:rsidRPr="00232810">
        <w:rPr>
          <w:rFonts w:ascii="Times New Roman" w:hAnsi="Times New Roman" w:cs="Times New Roman"/>
          <w:sz w:val="24"/>
          <w:szCs w:val="24"/>
          <w:lang w:val="en-US"/>
        </w:rPr>
        <w:t>the Defensoría</w:t>
      </w:r>
      <w:r w:rsidR="004D158D" w:rsidRPr="00232810">
        <w:rPr>
          <w:rStyle w:val="KopfzeileZchn"/>
        </w:rPr>
        <w:t xml:space="preserve"> </w:t>
      </w:r>
      <w:r w:rsidR="004D158D" w:rsidRPr="00232810">
        <w:rPr>
          <w:rStyle w:val="hps"/>
          <w:rFonts w:ascii="Times New Roman" w:hAnsi="Times New Roman" w:cs="Times New Roman"/>
          <w:sz w:val="24"/>
          <w:szCs w:val="24"/>
        </w:rPr>
        <w:t>considers necessary to</w:t>
      </w:r>
      <w:r w:rsidR="004D158D" w:rsidRPr="00232810">
        <w:t xml:space="preserve"> </w:t>
      </w:r>
      <w:r w:rsidR="004D158D" w:rsidRPr="00232810">
        <w:rPr>
          <w:rFonts w:ascii="Times New Roman" w:hAnsi="Times New Roman" w:cs="Times New Roman"/>
          <w:sz w:val="24"/>
          <w:szCs w:val="24"/>
        </w:rPr>
        <w:lastRenderedPageBreak/>
        <w:t xml:space="preserve">deepen </w:t>
      </w:r>
      <w:r w:rsidR="004D158D" w:rsidRPr="00232810">
        <w:rPr>
          <w:rStyle w:val="hps"/>
          <w:rFonts w:ascii="Times New Roman" w:hAnsi="Times New Roman" w:cs="Times New Roman"/>
          <w:sz w:val="24"/>
          <w:szCs w:val="24"/>
        </w:rPr>
        <w:t>the State's efforts</w:t>
      </w:r>
      <w:r w:rsidR="004D158D" w:rsidRPr="00232810">
        <w:rPr>
          <w:rFonts w:ascii="Times New Roman" w:hAnsi="Times New Roman" w:cs="Times New Roman"/>
          <w:sz w:val="24"/>
          <w:szCs w:val="24"/>
        </w:rPr>
        <w:t xml:space="preserve"> </w:t>
      </w:r>
      <w:r w:rsidRPr="00232810">
        <w:rPr>
          <w:rFonts w:ascii="Times New Roman" w:hAnsi="Times New Roman" w:cs="Times New Roman"/>
          <w:sz w:val="24"/>
          <w:szCs w:val="24"/>
          <w:lang w:val="en-US"/>
        </w:rPr>
        <w:t xml:space="preserve">to ensure that all acts of torture or cruel, inhuman or degrading treatment are duly investigated and </w:t>
      </w:r>
      <w:r w:rsidR="004D158D" w:rsidRPr="00232810">
        <w:rPr>
          <w:rFonts w:ascii="Times New Roman" w:hAnsi="Times New Roman" w:cs="Times New Roman"/>
          <w:sz w:val="24"/>
          <w:szCs w:val="24"/>
          <w:lang w:val="en-US"/>
        </w:rPr>
        <w:t xml:space="preserve">imposed the </w:t>
      </w:r>
      <w:r w:rsidRPr="00232810">
        <w:rPr>
          <w:rFonts w:ascii="Times New Roman" w:hAnsi="Times New Roman" w:cs="Times New Roman"/>
          <w:sz w:val="24"/>
          <w:szCs w:val="24"/>
          <w:lang w:val="en-US"/>
        </w:rPr>
        <w:t xml:space="preserve">responsibilities that may be </w:t>
      </w:r>
      <w:r w:rsidR="001F49CF" w:rsidRPr="00232810">
        <w:rPr>
          <w:rFonts w:ascii="Times New Roman" w:hAnsi="Times New Roman" w:cs="Times New Roman"/>
          <w:sz w:val="24"/>
          <w:szCs w:val="24"/>
          <w:lang w:val="en-US"/>
        </w:rPr>
        <w:t>required,</w:t>
      </w:r>
      <w:r w:rsidRPr="00232810">
        <w:rPr>
          <w:rFonts w:ascii="Times New Roman" w:hAnsi="Times New Roman" w:cs="Times New Roman"/>
          <w:sz w:val="24"/>
          <w:szCs w:val="24"/>
          <w:lang w:val="en-US"/>
        </w:rPr>
        <w:t xml:space="preserve"> within a reasonable time be imposed.</w:t>
      </w:r>
    </w:p>
    <w:p w:rsidR="001F49CF" w:rsidRPr="00232810" w:rsidRDefault="00D8532C" w:rsidP="00EB2205">
      <w:pPr>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br/>
        <w:t xml:space="preserve">12. One of the most </w:t>
      </w:r>
      <w:r w:rsidR="00815231" w:rsidRPr="00232810">
        <w:rPr>
          <w:rFonts w:ascii="Times New Roman" w:hAnsi="Times New Roman" w:cs="Times New Roman"/>
          <w:sz w:val="24"/>
          <w:szCs w:val="24"/>
          <w:lang w:val="en-US"/>
        </w:rPr>
        <w:t>remarkable</w:t>
      </w:r>
      <w:r w:rsidRPr="00232810">
        <w:rPr>
          <w:rFonts w:ascii="Times New Roman" w:hAnsi="Times New Roman" w:cs="Times New Roman"/>
          <w:sz w:val="24"/>
          <w:szCs w:val="24"/>
          <w:lang w:val="en-US"/>
        </w:rPr>
        <w:t xml:space="preserve"> elements of the Special Law to Prevent and </w:t>
      </w:r>
      <w:r w:rsidR="00815231" w:rsidRPr="00232810">
        <w:rPr>
          <w:rFonts w:ascii="Times New Roman" w:hAnsi="Times New Roman" w:cs="Times New Roman"/>
          <w:sz w:val="24"/>
          <w:szCs w:val="24"/>
          <w:lang w:val="en-US"/>
        </w:rPr>
        <w:t>Sanction</w:t>
      </w:r>
      <w:r w:rsidRPr="00232810">
        <w:rPr>
          <w:rFonts w:ascii="Times New Roman" w:hAnsi="Times New Roman" w:cs="Times New Roman"/>
          <w:sz w:val="24"/>
          <w:szCs w:val="24"/>
          <w:lang w:val="en-US"/>
        </w:rPr>
        <w:t xml:space="preserve"> Torture and Other Cruel, Inhuman and Degrading </w:t>
      </w:r>
      <w:r w:rsidR="00815231" w:rsidRPr="00232810">
        <w:rPr>
          <w:rFonts w:ascii="Times New Roman" w:hAnsi="Times New Roman" w:cs="Times New Roman"/>
          <w:sz w:val="24"/>
          <w:szCs w:val="24"/>
          <w:lang w:val="en-US"/>
        </w:rPr>
        <w:t xml:space="preserve">Treatments </w:t>
      </w:r>
      <w:r w:rsidRPr="00232810">
        <w:rPr>
          <w:rFonts w:ascii="Times New Roman" w:hAnsi="Times New Roman" w:cs="Times New Roman"/>
          <w:sz w:val="24"/>
          <w:szCs w:val="24"/>
          <w:lang w:val="en-US"/>
        </w:rPr>
        <w:t xml:space="preserve">is the creation of the </w:t>
      </w:r>
      <w:r w:rsidR="00815231" w:rsidRPr="00232810">
        <w:rPr>
          <w:rFonts w:ascii="Times New Roman" w:hAnsi="Times New Roman" w:cs="Times New Roman"/>
          <w:sz w:val="24"/>
          <w:szCs w:val="24"/>
          <w:lang w:val="en-US"/>
        </w:rPr>
        <w:t>“</w:t>
      </w:r>
      <w:r w:rsidRPr="00232810">
        <w:rPr>
          <w:rFonts w:ascii="Times New Roman" w:hAnsi="Times New Roman" w:cs="Times New Roman"/>
          <w:sz w:val="24"/>
          <w:szCs w:val="24"/>
          <w:lang w:val="en-US"/>
        </w:rPr>
        <w:t xml:space="preserve">National Commission for the Prevention of Torture and Other </w:t>
      </w:r>
      <w:r w:rsidR="001F49CF" w:rsidRPr="00232810">
        <w:rPr>
          <w:rFonts w:ascii="Times New Roman" w:hAnsi="Times New Roman" w:cs="Times New Roman"/>
          <w:sz w:val="24"/>
          <w:szCs w:val="24"/>
          <w:lang w:val="en-US"/>
        </w:rPr>
        <w:t>Cruel,</w:t>
      </w:r>
      <w:r w:rsidRPr="00232810">
        <w:rPr>
          <w:rFonts w:ascii="Times New Roman" w:hAnsi="Times New Roman" w:cs="Times New Roman"/>
          <w:sz w:val="24"/>
          <w:szCs w:val="24"/>
          <w:lang w:val="en-US"/>
        </w:rPr>
        <w:t xml:space="preserve"> Inhuman or Degrading </w:t>
      </w:r>
      <w:r w:rsidR="00815231" w:rsidRPr="00232810">
        <w:rPr>
          <w:rFonts w:ascii="Times New Roman" w:hAnsi="Times New Roman" w:cs="Times New Roman"/>
          <w:sz w:val="24"/>
          <w:szCs w:val="24"/>
          <w:lang w:val="en-US"/>
        </w:rPr>
        <w:t>Treatments”</w:t>
      </w:r>
      <w:r w:rsidR="004D158D" w:rsidRPr="00232810">
        <w:rPr>
          <w:rStyle w:val="Funotenzeichen"/>
          <w:rFonts w:ascii="Times New Roman" w:hAnsi="Times New Roman" w:cs="Times New Roman"/>
          <w:sz w:val="24"/>
          <w:szCs w:val="24"/>
          <w:lang w:val="en-US"/>
        </w:rPr>
        <w:footnoteReference w:id="15"/>
      </w:r>
      <w:r w:rsidRPr="00232810">
        <w:rPr>
          <w:rFonts w:ascii="Times New Roman" w:hAnsi="Times New Roman" w:cs="Times New Roman"/>
          <w:sz w:val="24"/>
          <w:szCs w:val="24"/>
          <w:lang w:val="en-US"/>
        </w:rPr>
        <w:t xml:space="preserve"> . This Committee </w:t>
      </w:r>
      <w:r w:rsidR="00815231" w:rsidRPr="00232810">
        <w:rPr>
          <w:rFonts w:ascii="Times New Roman" w:hAnsi="Times New Roman" w:cs="Times New Roman"/>
          <w:sz w:val="24"/>
          <w:szCs w:val="24"/>
          <w:lang w:val="en-US"/>
        </w:rPr>
        <w:t xml:space="preserve">has as objective to </w:t>
      </w:r>
      <w:r w:rsidR="001F49CF" w:rsidRPr="00232810">
        <w:rPr>
          <w:rFonts w:ascii="Times New Roman" w:hAnsi="Times New Roman" w:cs="Times New Roman"/>
          <w:sz w:val="24"/>
          <w:szCs w:val="24"/>
          <w:lang w:val="en-US"/>
        </w:rPr>
        <w:t>coordinate,</w:t>
      </w:r>
      <w:r w:rsidRPr="00232810">
        <w:rPr>
          <w:rFonts w:ascii="Times New Roman" w:hAnsi="Times New Roman" w:cs="Times New Roman"/>
          <w:sz w:val="24"/>
          <w:szCs w:val="24"/>
          <w:lang w:val="en-US"/>
        </w:rPr>
        <w:t xml:space="preserve"> promote, monitor and control the policies and plans for the prevention of torture and other </w:t>
      </w:r>
      <w:r w:rsidR="001F49CF" w:rsidRPr="00232810">
        <w:rPr>
          <w:rFonts w:ascii="Times New Roman" w:hAnsi="Times New Roman" w:cs="Times New Roman"/>
          <w:sz w:val="24"/>
          <w:szCs w:val="24"/>
          <w:lang w:val="en-US"/>
        </w:rPr>
        <w:t>cruel,</w:t>
      </w:r>
      <w:r w:rsidRPr="00232810">
        <w:rPr>
          <w:rFonts w:ascii="Times New Roman" w:hAnsi="Times New Roman" w:cs="Times New Roman"/>
          <w:sz w:val="24"/>
          <w:szCs w:val="24"/>
          <w:lang w:val="en-US"/>
        </w:rPr>
        <w:t xml:space="preserve"> inhuman or degrading </w:t>
      </w:r>
      <w:r w:rsidR="001F49CF" w:rsidRPr="00232810">
        <w:rPr>
          <w:rFonts w:ascii="Times New Roman" w:hAnsi="Times New Roman" w:cs="Times New Roman"/>
          <w:sz w:val="24"/>
          <w:szCs w:val="24"/>
          <w:lang w:val="en-US"/>
        </w:rPr>
        <w:t>treatment,</w:t>
      </w:r>
      <w:r w:rsidRPr="00232810">
        <w:rPr>
          <w:rFonts w:ascii="Times New Roman" w:hAnsi="Times New Roman" w:cs="Times New Roman"/>
          <w:sz w:val="24"/>
          <w:szCs w:val="24"/>
          <w:lang w:val="en-US"/>
        </w:rPr>
        <w:t xml:space="preserve"> and to ensure the guarantee of the right to physical, mental and moral integrity and prohibition of torture and other </w:t>
      </w:r>
      <w:r w:rsidR="001F49CF" w:rsidRPr="00232810">
        <w:rPr>
          <w:rFonts w:ascii="Times New Roman" w:hAnsi="Times New Roman" w:cs="Times New Roman"/>
          <w:sz w:val="24"/>
          <w:szCs w:val="24"/>
          <w:lang w:val="en-US"/>
        </w:rPr>
        <w:t>cruel,</w:t>
      </w:r>
      <w:r w:rsidRPr="00232810">
        <w:rPr>
          <w:rFonts w:ascii="Times New Roman" w:hAnsi="Times New Roman" w:cs="Times New Roman"/>
          <w:sz w:val="24"/>
          <w:szCs w:val="24"/>
          <w:lang w:val="en-US"/>
        </w:rPr>
        <w:t xml:space="preserve"> inhuman or degrading treatment.</w:t>
      </w:r>
    </w:p>
    <w:p w:rsidR="001F49CF" w:rsidRPr="00232810" w:rsidRDefault="00D8532C" w:rsidP="00EB2205">
      <w:pPr>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br/>
      </w:r>
      <w:r w:rsidR="001F49CF" w:rsidRPr="00232810">
        <w:rPr>
          <w:rFonts w:ascii="Times New Roman" w:hAnsi="Times New Roman" w:cs="Times New Roman"/>
          <w:sz w:val="24"/>
          <w:szCs w:val="24"/>
          <w:lang w:val="en-US"/>
        </w:rPr>
        <w:t xml:space="preserve">13. </w:t>
      </w:r>
      <w:r w:rsidRPr="00232810">
        <w:rPr>
          <w:rFonts w:ascii="Times New Roman" w:hAnsi="Times New Roman" w:cs="Times New Roman"/>
          <w:sz w:val="24"/>
          <w:szCs w:val="24"/>
          <w:lang w:val="en-US"/>
        </w:rPr>
        <w:t xml:space="preserve">The National Commission for the Prevention of Torture and Other Cruel , Inhuman or Degrading </w:t>
      </w:r>
      <w:r w:rsidR="00815231" w:rsidRPr="00232810">
        <w:rPr>
          <w:rFonts w:ascii="Times New Roman" w:hAnsi="Times New Roman" w:cs="Times New Roman"/>
          <w:sz w:val="24"/>
          <w:szCs w:val="24"/>
          <w:lang w:val="en-US"/>
        </w:rPr>
        <w:t xml:space="preserve">Treatments </w:t>
      </w:r>
      <w:r w:rsidRPr="00232810">
        <w:rPr>
          <w:rFonts w:ascii="Times New Roman" w:hAnsi="Times New Roman" w:cs="Times New Roman"/>
          <w:sz w:val="24"/>
          <w:szCs w:val="24"/>
          <w:lang w:val="en-US"/>
        </w:rPr>
        <w:t xml:space="preserve">consists of thirteen members, six of which represent bodies of the independent State of the Executive </w:t>
      </w:r>
      <w:r w:rsidR="00815231" w:rsidRPr="00232810">
        <w:rPr>
          <w:rFonts w:ascii="Times New Roman" w:hAnsi="Times New Roman" w:cs="Times New Roman"/>
          <w:sz w:val="24"/>
          <w:szCs w:val="24"/>
          <w:lang w:val="en-US"/>
        </w:rPr>
        <w:t xml:space="preserve">Power </w:t>
      </w:r>
      <w:r w:rsidRPr="00232810">
        <w:rPr>
          <w:rFonts w:ascii="Times New Roman" w:hAnsi="Times New Roman" w:cs="Times New Roman"/>
          <w:sz w:val="24"/>
          <w:szCs w:val="24"/>
          <w:lang w:val="en-US"/>
        </w:rPr>
        <w:t xml:space="preserve">(National Assembly , Public </w:t>
      </w:r>
      <w:r w:rsidR="00815231" w:rsidRPr="00232810">
        <w:rPr>
          <w:rFonts w:ascii="Times New Roman" w:hAnsi="Times New Roman" w:cs="Times New Roman"/>
          <w:sz w:val="24"/>
          <w:szCs w:val="24"/>
          <w:lang w:val="en-US"/>
        </w:rPr>
        <w:t>Ministry</w:t>
      </w:r>
      <w:r w:rsidRPr="00232810">
        <w:rPr>
          <w:rFonts w:ascii="Times New Roman" w:hAnsi="Times New Roman" w:cs="Times New Roman"/>
          <w:sz w:val="24"/>
          <w:szCs w:val="24"/>
          <w:lang w:val="en-US"/>
        </w:rPr>
        <w:t xml:space="preserve">, Public Defender , Supreme Court and two representatives of the </w:t>
      </w:r>
      <w:r w:rsidR="00815231" w:rsidRPr="00232810">
        <w:rPr>
          <w:rFonts w:ascii="Times New Roman" w:hAnsi="Times New Roman" w:cs="Times New Roman"/>
          <w:sz w:val="24"/>
          <w:szCs w:val="24"/>
          <w:lang w:val="en-US"/>
        </w:rPr>
        <w:t>Defensoría del Pueblo</w:t>
      </w:r>
      <w:r w:rsidRPr="00232810">
        <w:rPr>
          <w:rFonts w:ascii="Times New Roman" w:hAnsi="Times New Roman" w:cs="Times New Roman"/>
          <w:sz w:val="24"/>
          <w:szCs w:val="24"/>
          <w:lang w:val="en-US"/>
        </w:rPr>
        <w:t xml:space="preserve"> ), six representatives of the Executive</w:t>
      </w:r>
      <w:r w:rsidR="001F49CF" w:rsidRPr="00232810">
        <w:rPr>
          <w:rFonts w:ascii="Times New Roman" w:hAnsi="Times New Roman" w:cs="Times New Roman"/>
          <w:sz w:val="24"/>
          <w:szCs w:val="24"/>
          <w:lang w:val="en-US"/>
        </w:rPr>
        <w:t xml:space="preserve"> </w:t>
      </w:r>
      <w:r w:rsidR="00815231" w:rsidRPr="00232810">
        <w:rPr>
          <w:rFonts w:ascii="Times New Roman" w:hAnsi="Times New Roman" w:cs="Times New Roman"/>
          <w:sz w:val="24"/>
          <w:szCs w:val="24"/>
          <w:lang w:val="en-US"/>
        </w:rPr>
        <w:t xml:space="preserve">Power </w:t>
      </w:r>
      <w:r w:rsidRPr="00232810">
        <w:rPr>
          <w:rFonts w:ascii="Times New Roman" w:hAnsi="Times New Roman" w:cs="Times New Roman"/>
          <w:sz w:val="24"/>
          <w:szCs w:val="24"/>
          <w:lang w:val="en-US"/>
        </w:rPr>
        <w:t xml:space="preserve">(Ministry of Popular Power for </w:t>
      </w:r>
      <w:r w:rsidR="00815231" w:rsidRPr="00232810">
        <w:rPr>
          <w:rFonts w:ascii="Times New Roman" w:hAnsi="Times New Roman" w:cs="Times New Roman"/>
          <w:sz w:val="24"/>
          <w:szCs w:val="24"/>
          <w:lang w:val="en-US"/>
        </w:rPr>
        <w:t xml:space="preserve">Penitentiary </w:t>
      </w:r>
      <w:r w:rsidRPr="00232810">
        <w:rPr>
          <w:rFonts w:ascii="Times New Roman" w:hAnsi="Times New Roman" w:cs="Times New Roman"/>
          <w:sz w:val="24"/>
          <w:szCs w:val="24"/>
          <w:lang w:val="en-US"/>
        </w:rPr>
        <w:t xml:space="preserve"> Services, Ministry of Popular Powe</w:t>
      </w:r>
      <w:r w:rsidR="00815231" w:rsidRPr="00232810">
        <w:rPr>
          <w:rFonts w:ascii="Times New Roman" w:hAnsi="Times New Roman" w:cs="Times New Roman"/>
          <w:sz w:val="24"/>
          <w:szCs w:val="24"/>
          <w:lang w:val="en-US"/>
        </w:rPr>
        <w:t>r</w:t>
      </w:r>
      <w:r w:rsidR="00815231" w:rsidRPr="00232810">
        <w:rPr>
          <w:rStyle w:val="hps"/>
          <w:rFonts w:ascii="Times New Roman" w:hAnsi="Times New Roman" w:cs="Times New Roman"/>
          <w:sz w:val="24"/>
          <w:szCs w:val="24"/>
        </w:rPr>
        <w:t xml:space="preserve"> for the Internal Affairs</w:t>
      </w:r>
      <w:r w:rsidRPr="00232810">
        <w:rPr>
          <w:rFonts w:ascii="Times New Roman" w:hAnsi="Times New Roman" w:cs="Times New Roman"/>
          <w:sz w:val="24"/>
          <w:szCs w:val="24"/>
          <w:lang w:val="en-US"/>
        </w:rPr>
        <w:t>, Justice and Peace</w:t>
      </w:r>
      <w:r w:rsidR="00815231" w:rsidRPr="00232810">
        <w:rPr>
          <w:rFonts w:ascii="Times New Roman" w:hAnsi="Times New Roman" w:cs="Times New Roman"/>
          <w:sz w:val="24"/>
          <w:szCs w:val="24"/>
          <w:lang w:val="en-US"/>
        </w:rPr>
        <w:t>,</w:t>
      </w:r>
      <w:r w:rsidRPr="00232810">
        <w:rPr>
          <w:rFonts w:ascii="Times New Roman" w:hAnsi="Times New Roman" w:cs="Times New Roman"/>
          <w:sz w:val="24"/>
          <w:szCs w:val="24"/>
          <w:lang w:val="en-US"/>
        </w:rPr>
        <w:t xml:space="preserve"> Ministry of Popular Power for the Defense</w:t>
      </w:r>
      <w:r w:rsidR="00815231" w:rsidRPr="00232810">
        <w:rPr>
          <w:rFonts w:ascii="Times New Roman" w:hAnsi="Times New Roman" w:cs="Times New Roman"/>
          <w:sz w:val="24"/>
          <w:szCs w:val="24"/>
          <w:lang w:val="en-US"/>
        </w:rPr>
        <w:t>,</w:t>
      </w:r>
      <w:r w:rsidRPr="00232810">
        <w:rPr>
          <w:rFonts w:ascii="Times New Roman" w:hAnsi="Times New Roman" w:cs="Times New Roman"/>
          <w:sz w:val="24"/>
          <w:szCs w:val="24"/>
          <w:lang w:val="en-US"/>
        </w:rPr>
        <w:t xml:space="preserve"> Ministry of the Popular Power for Health</w:t>
      </w:r>
      <w:r w:rsidR="00815231" w:rsidRPr="00232810">
        <w:rPr>
          <w:rFonts w:ascii="Times New Roman" w:hAnsi="Times New Roman" w:cs="Times New Roman"/>
          <w:sz w:val="24"/>
          <w:szCs w:val="24"/>
          <w:lang w:val="en-US"/>
        </w:rPr>
        <w:t>,</w:t>
      </w:r>
      <w:r w:rsidRPr="00232810">
        <w:rPr>
          <w:rFonts w:ascii="Times New Roman" w:hAnsi="Times New Roman" w:cs="Times New Roman"/>
          <w:sz w:val="24"/>
          <w:szCs w:val="24"/>
          <w:lang w:val="en-US"/>
        </w:rPr>
        <w:t xml:space="preserve"> Ministry of Popular Power for </w:t>
      </w:r>
      <w:r w:rsidR="00815231" w:rsidRPr="00232810">
        <w:rPr>
          <w:rFonts w:ascii="Times New Roman" w:hAnsi="Times New Roman" w:cs="Times New Roman"/>
          <w:sz w:val="24"/>
          <w:szCs w:val="24"/>
          <w:lang w:val="en-US"/>
        </w:rPr>
        <w:t xml:space="preserve">Communes </w:t>
      </w:r>
      <w:r w:rsidRPr="00232810">
        <w:rPr>
          <w:rFonts w:ascii="Times New Roman" w:hAnsi="Times New Roman" w:cs="Times New Roman"/>
          <w:sz w:val="24"/>
          <w:szCs w:val="24"/>
          <w:lang w:val="en-US"/>
        </w:rPr>
        <w:t>and Ministry of Popular Power for Indigenous Peoples) and a representative of organized society , designated within the Federal Government Council</w:t>
      </w:r>
      <w:r w:rsidR="0093299B" w:rsidRPr="00232810">
        <w:rPr>
          <w:rStyle w:val="Funotenzeichen"/>
          <w:rFonts w:ascii="Times New Roman" w:hAnsi="Times New Roman" w:cs="Times New Roman"/>
          <w:sz w:val="24"/>
          <w:szCs w:val="24"/>
          <w:lang w:val="en-US"/>
        </w:rPr>
        <w:footnoteReference w:id="16"/>
      </w:r>
      <w:r w:rsidRPr="00232810">
        <w:rPr>
          <w:rFonts w:ascii="Times New Roman" w:hAnsi="Times New Roman" w:cs="Times New Roman"/>
          <w:sz w:val="24"/>
          <w:szCs w:val="24"/>
          <w:lang w:val="en-US"/>
        </w:rPr>
        <w:t>.</w:t>
      </w:r>
    </w:p>
    <w:p w:rsidR="001F49CF" w:rsidRPr="00232810" w:rsidRDefault="00D8532C" w:rsidP="00EB2205">
      <w:pPr>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br/>
      </w:r>
      <w:r w:rsidR="00815231" w:rsidRPr="00232810">
        <w:rPr>
          <w:rFonts w:ascii="Times New Roman" w:hAnsi="Times New Roman" w:cs="Times New Roman"/>
          <w:sz w:val="24"/>
          <w:szCs w:val="24"/>
          <w:lang w:val="en-US"/>
        </w:rPr>
        <w:t xml:space="preserve">14. </w:t>
      </w:r>
      <w:r w:rsidRPr="00232810">
        <w:rPr>
          <w:rFonts w:ascii="Times New Roman" w:hAnsi="Times New Roman" w:cs="Times New Roman"/>
          <w:sz w:val="24"/>
          <w:szCs w:val="24"/>
          <w:lang w:val="en-US"/>
        </w:rPr>
        <w:t xml:space="preserve">The National Commission for the Prevention of Torture and Other </w:t>
      </w:r>
      <w:r w:rsidR="001F49CF" w:rsidRPr="00232810">
        <w:rPr>
          <w:rFonts w:ascii="Times New Roman" w:hAnsi="Times New Roman" w:cs="Times New Roman"/>
          <w:sz w:val="24"/>
          <w:szCs w:val="24"/>
          <w:lang w:val="en-US"/>
        </w:rPr>
        <w:t>Cruel,</w:t>
      </w:r>
      <w:r w:rsidRPr="00232810">
        <w:rPr>
          <w:rFonts w:ascii="Times New Roman" w:hAnsi="Times New Roman" w:cs="Times New Roman"/>
          <w:sz w:val="24"/>
          <w:szCs w:val="24"/>
          <w:lang w:val="en-US"/>
        </w:rPr>
        <w:t xml:space="preserve"> Inhuman or Degrading </w:t>
      </w:r>
      <w:r w:rsidR="0093299B" w:rsidRPr="00232810">
        <w:rPr>
          <w:rFonts w:ascii="Times New Roman" w:hAnsi="Times New Roman" w:cs="Times New Roman"/>
          <w:sz w:val="24"/>
          <w:szCs w:val="24"/>
          <w:lang w:val="en-US"/>
        </w:rPr>
        <w:t xml:space="preserve">Treatments </w:t>
      </w:r>
      <w:r w:rsidRPr="00232810">
        <w:rPr>
          <w:rFonts w:ascii="Times New Roman" w:hAnsi="Times New Roman" w:cs="Times New Roman"/>
          <w:sz w:val="24"/>
          <w:szCs w:val="24"/>
          <w:lang w:val="en-US"/>
        </w:rPr>
        <w:t xml:space="preserve">is integrated into the organizational structure of the Office of the </w:t>
      </w:r>
      <w:r w:rsidR="0093299B" w:rsidRPr="00232810">
        <w:rPr>
          <w:rFonts w:ascii="Times New Roman" w:hAnsi="Times New Roman" w:cs="Times New Roman"/>
          <w:sz w:val="24"/>
          <w:szCs w:val="24"/>
          <w:lang w:val="en-US"/>
        </w:rPr>
        <w:t xml:space="preserve">Defensoría </w:t>
      </w:r>
      <w:proofErr w:type="gramStart"/>
      <w:r w:rsidR="0093299B" w:rsidRPr="00232810">
        <w:rPr>
          <w:rFonts w:ascii="Times New Roman" w:hAnsi="Times New Roman" w:cs="Times New Roman"/>
          <w:sz w:val="24"/>
          <w:szCs w:val="24"/>
          <w:lang w:val="en-US"/>
        </w:rPr>
        <w:t>del</w:t>
      </w:r>
      <w:proofErr w:type="gramEnd"/>
      <w:r w:rsidR="0093299B" w:rsidRPr="00232810">
        <w:rPr>
          <w:rFonts w:ascii="Times New Roman" w:hAnsi="Times New Roman" w:cs="Times New Roman"/>
          <w:sz w:val="24"/>
          <w:szCs w:val="24"/>
          <w:lang w:val="en-US"/>
        </w:rPr>
        <w:t xml:space="preserve"> Pueblo</w:t>
      </w:r>
      <w:r w:rsidR="0093299B" w:rsidRPr="00232810">
        <w:rPr>
          <w:rStyle w:val="Funotenzeichen"/>
          <w:rFonts w:ascii="Times New Roman" w:hAnsi="Times New Roman" w:cs="Times New Roman"/>
          <w:sz w:val="24"/>
          <w:szCs w:val="24"/>
        </w:rPr>
        <w:footnoteReference w:id="17"/>
      </w:r>
      <w:r w:rsidR="001F49CF" w:rsidRPr="00232810">
        <w:rPr>
          <w:rFonts w:ascii="Times New Roman" w:hAnsi="Times New Roman" w:cs="Times New Roman"/>
          <w:sz w:val="24"/>
          <w:szCs w:val="24"/>
          <w:lang w:val="en-US"/>
        </w:rPr>
        <w:t xml:space="preserve">. </w:t>
      </w:r>
      <w:r w:rsidRPr="00232810">
        <w:rPr>
          <w:rFonts w:ascii="Times New Roman" w:hAnsi="Times New Roman" w:cs="Times New Roman"/>
          <w:sz w:val="24"/>
          <w:szCs w:val="24"/>
          <w:lang w:val="en-US"/>
        </w:rPr>
        <w:t>Its operating costs are provided from the budget of th</w:t>
      </w:r>
      <w:r w:rsidR="0093299B" w:rsidRPr="00232810">
        <w:rPr>
          <w:rFonts w:ascii="Times New Roman" w:hAnsi="Times New Roman" w:cs="Times New Roman"/>
          <w:sz w:val="24"/>
          <w:szCs w:val="24"/>
          <w:lang w:val="en-US"/>
        </w:rPr>
        <w:t>is</w:t>
      </w:r>
      <w:r w:rsidRPr="00232810">
        <w:rPr>
          <w:rFonts w:ascii="Times New Roman" w:hAnsi="Times New Roman" w:cs="Times New Roman"/>
          <w:sz w:val="24"/>
          <w:szCs w:val="24"/>
          <w:lang w:val="en-US"/>
        </w:rPr>
        <w:t xml:space="preserve"> National </w:t>
      </w:r>
      <w:r w:rsidRPr="00232810">
        <w:rPr>
          <w:rFonts w:ascii="Times New Roman" w:hAnsi="Times New Roman" w:cs="Times New Roman"/>
          <w:sz w:val="24"/>
          <w:szCs w:val="24"/>
          <w:lang w:val="en-US"/>
        </w:rPr>
        <w:lastRenderedPageBreak/>
        <w:t xml:space="preserve">Human Rights </w:t>
      </w:r>
      <w:r w:rsidR="001F49CF" w:rsidRPr="00232810">
        <w:rPr>
          <w:rFonts w:ascii="Times New Roman" w:hAnsi="Times New Roman" w:cs="Times New Roman"/>
          <w:sz w:val="24"/>
          <w:szCs w:val="24"/>
          <w:lang w:val="en-US"/>
        </w:rPr>
        <w:t>Institution</w:t>
      </w:r>
      <w:r w:rsidR="0093299B" w:rsidRPr="00232810">
        <w:rPr>
          <w:rStyle w:val="Funotenzeichen"/>
          <w:rFonts w:ascii="Times New Roman" w:hAnsi="Times New Roman" w:cs="Times New Roman"/>
          <w:sz w:val="24"/>
          <w:szCs w:val="24"/>
          <w:lang w:val="en-US"/>
        </w:rPr>
        <w:footnoteReference w:id="18"/>
      </w:r>
      <w:r w:rsidR="001F49CF" w:rsidRPr="00232810">
        <w:rPr>
          <w:rFonts w:ascii="Times New Roman" w:hAnsi="Times New Roman" w:cs="Times New Roman"/>
          <w:sz w:val="24"/>
          <w:szCs w:val="24"/>
          <w:lang w:val="en-US"/>
        </w:rPr>
        <w:t xml:space="preserve">. </w:t>
      </w:r>
      <w:r w:rsidRPr="00232810">
        <w:rPr>
          <w:rFonts w:ascii="Times New Roman" w:hAnsi="Times New Roman" w:cs="Times New Roman"/>
          <w:sz w:val="24"/>
          <w:szCs w:val="24"/>
          <w:lang w:val="en-US"/>
        </w:rPr>
        <w:t xml:space="preserve">By mandate of the </w:t>
      </w:r>
      <w:r w:rsidR="0093299B" w:rsidRPr="00232810">
        <w:rPr>
          <w:rFonts w:ascii="Times New Roman" w:hAnsi="Times New Roman" w:cs="Times New Roman"/>
          <w:sz w:val="24"/>
          <w:szCs w:val="24"/>
          <w:lang w:val="en-US"/>
        </w:rPr>
        <w:t>Law</w:t>
      </w:r>
      <w:r w:rsidRPr="00232810">
        <w:rPr>
          <w:rFonts w:ascii="Times New Roman" w:hAnsi="Times New Roman" w:cs="Times New Roman"/>
          <w:sz w:val="24"/>
          <w:szCs w:val="24"/>
          <w:lang w:val="en-US"/>
        </w:rPr>
        <w:t xml:space="preserve">, the </w:t>
      </w:r>
      <w:r w:rsidR="0093299B" w:rsidRPr="00232810">
        <w:rPr>
          <w:rFonts w:ascii="Times New Roman" w:hAnsi="Times New Roman" w:cs="Times New Roman"/>
          <w:sz w:val="24"/>
          <w:szCs w:val="24"/>
          <w:lang w:val="en-US"/>
        </w:rPr>
        <w:t xml:space="preserve">Defensoría </w:t>
      </w:r>
      <w:proofErr w:type="gramStart"/>
      <w:r w:rsidR="0093299B" w:rsidRPr="00232810">
        <w:rPr>
          <w:rFonts w:ascii="Times New Roman" w:hAnsi="Times New Roman" w:cs="Times New Roman"/>
          <w:sz w:val="24"/>
          <w:szCs w:val="24"/>
          <w:lang w:val="en-US"/>
        </w:rPr>
        <w:t>del</w:t>
      </w:r>
      <w:proofErr w:type="gramEnd"/>
      <w:r w:rsidR="0093299B" w:rsidRPr="00232810">
        <w:rPr>
          <w:rFonts w:ascii="Times New Roman" w:hAnsi="Times New Roman" w:cs="Times New Roman"/>
          <w:sz w:val="24"/>
          <w:szCs w:val="24"/>
          <w:lang w:val="en-US"/>
        </w:rPr>
        <w:t xml:space="preserve"> Pueblo</w:t>
      </w:r>
      <w:r w:rsidRPr="00232810">
        <w:rPr>
          <w:rFonts w:ascii="Times New Roman" w:hAnsi="Times New Roman" w:cs="Times New Roman"/>
          <w:sz w:val="24"/>
          <w:szCs w:val="24"/>
          <w:lang w:val="en-US"/>
        </w:rPr>
        <w:t xml:space="preserve"> is the Chairman of the Commission</w:t>
      </w:r>
      <w:r w:rsidR="0093299B" w:rsidRPr="00232810">
        <w:rPr>
          <w:rStyle w:val="Funotenzeichen"/>
          <w:rFonts w:ascii="Times New Roman" w:hAnsi="Times New Roman" w:cs="Times New Roman"/>
          <w:sz w:val="24"/>
          <w:szCs w:val="24"/>
          <w:lang w:val="en-US"/>
        </w:rPr>
        <w:footnoteReference w:id="19"/>
      </w:r>
      <w:r w:rsidRPr="00232810">
        <w:rPr>
          <w:rFonts w:ascii="Times New Roman" w:hAnsi="Times New Roman" w:cs="Times New Roman"/>
          <w:sz w:val="24"/>
          <w:szCs w:val="24"/>
          <w:lang w:val="en-US"/>
        </w:rPr>
        <w:t>.</w:t>
      </w:r>
    </w:p>
    <w:p w:rsidR="001F49CF" w:rsidRPr="00232810" w:rsidRDefault="00D8532C" w:rsidP="00EB2205">
      <w:pPr>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br/>
      </w:r>
      <w:r w:rsidR="001F49CF" w:rsidRPr="00232810">
        <w:rPr>
          <w:rFonts w:ascii="Times New Roman" w:hAnsi="Times New Roman" w:cs="Times New Roman"/>
          <w:sz w:val="24"/>
          <w:szCs w:val="24"/>
          <w:lang w:val="en-US"/>
        </w:rPr>
        <w:t xml:space="preserve">15. </w:t>
      </w:r>
      <w:r w:rsidRPr="00232810">
        <w:rPr>
          <w:rFonts w:ascii="Times New Roman" w:hAnsi="Times New Roman" w:cs="Times New Roman"/>
          <w:sz w:val="24"/>
          <w:szCs w:val="24"/>
          <w:lang w:val="en-US"/>
        </w:rPr>
        <w:t xml:space="preserve">The </w:t>
      </w:r>
      <w:r w:rsidR="00377736" w:rsidRPr="00232810">
        <w:rPr>
          <w:rFonts w:ascii="Times New Roman" w:hAnsi="Times New Roman" w:cs="Times New Roman"/>
          <w:sz w:val="24"/>
          <w:szCs w:val="24"/>
          <w:lang w:val="en-US"/>
        </w:rPr>
        <w:t xml:space="preserve">Defensoría </w:t>
      </w:r>
      <w:proofErr w:type="gramStart"/>
      <w:r w:rsidR="00377736" w:rsidRPr="00232810">
        <w:rPr>
          <w:rFonts w:ascii="Times New Roman" w:hAnsi="Times New Roman" w:cs="Times New Roman"/>
          <w:sz w:val="24"/>
          <w:szCs w:val="24"/>
          <w:lang w:val="en-US"/>
        </w:rPr>
        <w:t>del</w:t>
      </w:r>
      <w:proofErr w:type="gramEnd"/>
      <w:r w:rsidR="00377736" w:rsidRPr="00232810">
        <w:rPr>
          <w:rFonts w:ascii="Times New Roman" w:hAnsi="Times New Roman" w:cs="Times New Roman"/>
          <w:sz w:val="24"/>
          <w:szCs w:val="24"/>
          <w:lang w:val="en-US"/>
        </w:rPr>
        <w:t xml:space="preserve"> Pueblo</w:t>
      </w:r>
      <w:r w:rsidRPr="00232810">
        <w:rPr>
          <w:rFonts w:ascii="Times New Roman" w:hAnsi="Times New Roman" w:cs="Times New Roman"/>
          <w:sz w:val="24"/>
          <w:szCs w:val="24"/>
          <w:lang w:val="en-US"/>
        </w:rPr>
        <w:t xml:space="preserve"> notes with satisfaction that the </w:t>
      </w:r>
      <w:r w:rsidR="00377736" w:rsidRPr="00232810">
        <w:rPr>
          <w:rFonts w:ascii="Times New Roman" w:hAnsi="Times New Roman" w:cs="Times New Roman"/>
          <w:sz w:val="24"/>
          <w:szCs w:val="24"/>
          <w:lang w:val="en-US"/>
        </w:rPr>
        <w:t>Law</w:t>
      </w:r>
      <w:r w:rsidRPr="00232810">
        <w:rPr>
          <w:rFonts w:ascii="Times New Roman" w:hAnsi="Times New Roman" w:cs="Times New Roman"/>
          <w:sz w:val="24"/>
          <w:szCs w:val="24"/>
          <w:lang w:val="en-US"/>
        </w:rPr>
        <w:t xml:space="preserve"> granted to the National Commission for the Prevention of Torture and Other </w:t>
      </w:r>
      <w:r w:rsidR="001F49CF" w:rsidRPr="00232810">
        <w:rPr>
          <w:rFonts w:ascii="Times New Roman" w:hAnsi="Times New Roman" w:cs="Times New Roman"/>
          <w:sz w:val="24"/>
          <w:szCs w:val="24"/>
          <w:lang w:val="en-US"/>
        </w:rPr>
        <w:t>Cruel,</w:t>
      </w:r>
      <w:r w:rsidRPr="00232810">
        <w:rPr>
          <w:rFonts w:ascii="Times New Roman" w:hAnsi="Times New Roman" w:cs="Times New Roman"/>
          <w:sz w:val="24"/>
          <w:szCs w:val="24"/>
          <w:lang w:val="en-US"/>
        </w:rPr>
        <w:t xml:space="preserve"> Inhuman or Degrading </w:t>
      </w:r>
      <w:r w:rsidR="00377736" w:rsidRPr="00232810">
        <w:rPr>
          <w:rFonts w:ascii="Times New Roman" w:hAnsi="Times New Roman" w:cs="Times New Roman"/>
          <w:sz w:val="24"/>
          <w:szCs w:val="24"/>
          <w:lang w:val="en-US"/>
        </w:rPr>
        <w:t xml:space="preserve">Treatments </w:t>
      </w:r>
      <w:r w:rsidRPr="00232810">
        <w:rPr>
          <w:rFonts w:ascii="Times New Roman" w:hAnsi="Times New Roman" w:cs="Times New Roman"/>
          <w:sz w:val="24"/>
          <w:szCs w:val="24"/>
          <w:lang w:val="en-US"/>
        </w:rPr>
        <w:t>broad powers for the prevention of torture and other cruel treatment</w:t>
      </w:r>
      <w:r w:rsidR="00377736" w:rsidRPr="00232810">
        <w:rPr>
          <w:rFonts w:ascii="Times New Roman" w:hAnsi="Times New Roman" w:cs="Times New Roman"/>
          <w:sz w:val="24"/>
          <w:szCs w:val="24"/>
          <w:lang w:val="en-US"/>
        </w:rPr>
        <w:t>s</w:t>
      </w:r>
      <w:r w:rsidRPr="00232810">
        <w:rPr>
          <w:rFonts w:ascii="Times New Roman" w:hAnsi="Times New Roman" w:cs="Times New Roman"/>
          <w:sz w:val="24"/>
          <w:szCs w:val="24"/>
          <w:lang w:val="en-US"/>
        </w:rPr>
        <w:t>.</w:t>
      </w:r>
    </w:p>
    <w:p w:rsidR="001F49CF" w:rsidRPr="00232810" w:rsidRDefault="00D8532C" w:rsidP="00EB2205">
      <w:pPr>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br/>
      </w:r>
      <w:r w:rsidR="001F49CF" w:rsidRPr="00232810">
        <w:rPr>
          <w:rFonts w:ascii="Times New Roman" w:hAnsi="Times New Roman" w:cs="Times New Roman"/>
          <w:sz w:val="24"/>
          <w:szCs w:val="24"/>
          <w:lang w:val="en-US"/>
        </w:rPr>
        <w:t xml:space="preserve">16. </w:t>
      </w:r>
      <w:r w:rsidRPr="00232810">
        <w:rPr>
          <w:rFonts w:ascii="Times New Roman" w:hAnsi="Times New Roman" w:cs="Times New Roman"/>
          <w:sz w:val="24"/>
          <w:szCs w:val="24"/>
          <w:lang w:val="en-US"/>
        </w:rPr>
        <w:t xml:space="preserve">In this regard, </w:t>
      </w:r>
      <w:r w:rsidR="00377736" w:rsidRPr="00232810">
        <w:rPr>
          <w:rFonts w:ascii="Times New Roman" w:hAnsi="Times New Roman" w:cs="Times New Roman"/>
          <w:sz w:val="24"/>
          <w:szCs w:val="24"/>
          <w:lang w:val="en-US"/>
        </w:rPr>
        <w:t xml:space="preserve">it </w:t>
      </w:r>
      <w:r w:rsidRPr="00232810">
        <w:rPr>
          <w:rFonts w:ascii="Times New Roman" w:hAnsi="Times New Roman" w:cs="Times New Roman"/>
          <w:sz w:val="24"/>
          <w:szCs w:val="24"/>
          <w:lang w:val="en-US"/>
        </w:rPr>
        <w:t>is particularly relevant</w:t>
      </w:r>
      <w:r w:rsidR="00377736" w:rsidRPr="00232810">
        <w:rPr>
          <w:rFonts w:ascii="Times New Roman" w:hAnsi="Times New Roman" w:cs="Times New Roman"/>
          <w:sz w:val="24"/>
          <w:szCs w:val="24"/>
          <w:lang w:val="en-US"/>
        </w:rPr>
        <w:t>, for this National Institution for Human Rights,</w:t>
      </w:r>
      <w:r w:rsidRPr="00232810">
        <w:rPr>
          <w:rFonts w:ascii="Times New Roman" w:hAnsi="Times New Roman" w:cs="Times New Roman"/>
          <w:sz w:val="24"/>
          <w:szCs w:val="24"/>
          <w:lang w:val="en-US"/>
        </w:rPr>
        <w:t xml:space="preserve"> that the </w:t>
      </w:r>
      <w:r w:rsidR="00377736" w:rsidRPr="00232810">
        <w:rPr>
          <w:rFonts w:ascii="Times New Roman" w:hAnsi="Times New Roman" w:cs="Times New Roman"/>
          <w:sz w:val="24"/>
          <w:szCs w:val="24"/>
          <w:lang w:val="en-US"/>
        </w:rPr>
        <w:t>Law</w:t>
      </w:r>
      <w:r w:rsidRPr="00232810">
        <w:rPr>
          <w:rFonts w:ascii="Times New Roman" w:hAnsi="Times New Roman" w:cs="Times New Roman"/>
          <w:sz w:val="24"/>
          <w:szCs w:val="24"/>
          <w:lang w:val="en-US"/>
        </w:rPr>
        <w:t xml:space="preserve"> empowers the Commission to promote the inclusion of human rights materials in all school and university levels of education, and to design and implement national training plans and human rights awareness and prevention of torture and other cruel, inhuman or degrading treatment, targeting public officials and employees of public or private establishments likely to </w:t>
      </w:r>
      <w:r w:rsidR="00515FDA" w:rsidRPr="00232810">
        <w:rPr>
          <w:rFonts w:ascii="Times New Roman" w:hAnsi="Times New Roman" w:cs="Times New Roman"/>
          <w:sz w:val="24"/>
          <w:szCs w:val="24"/>
          <w:lang w:val="en-US"/>
        </w:rPr>
        <w:t>hide</w:t>
      </w:r>
      <w:r w:rsidRPr="00232810">
        <w:rPr>
          <w:rFonts w:ascii="Times New Roman" w:hAnsi="Times New Roman" w:cs="Times New Roman"/>
          <w:sz w:val="24"/>
          <w:szCs w:val="24"/>
          <w:lang w:val="en-US"/>
        </w:rPr>
        <w:t xml:space="preserve"> practices of torture, and execute campaigns to disseminate nationally Law and other rules and principles for the protection of physical, mental and moral integrity, including the Convention against Torture</w:t>
      </w:r>
      <w:r w:rsidR="00515FDA" w:rsidRPr="00232810">
        <w:rPr>
          <w:rStyle w:val="Funotenzeichen"/>
          <w:rFonts w:ascii="Times New Roman" w:hAnsi="Times New Roman" w:cs="Times New Roman"/>
          <w:sz w:val="24"/>
          <w:szCs w:val="24"/>
          <w:lang w:val="en-US"/>
        </w:rPr>
        <w:footnoteReference w:id="20"/>
      </w:r>
      <w:r w:rsidRPr="00232810">
        <w:rPr>
          <w:rFonts w:ascii="Times New Roman" w:hAnsi="Times New Roman" w:cs="Times New Roman"/>
          <w:sz w:val="24"/>
          <w:szCs w:val="24"/>
          <w:lang w:val="en-US"/>
        </w:rPr>
        <w:t>.</w:t>
      </w:r>
    </w:p>
    <w:p w:rsidR="001F49CF" w:rsidRPr="00232810" w:rsidRDefault="00D8532C" w:rsidP="00EB2205">
      <w:pPr>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br/>
      </w:r>
      <w:r w:rsidR="00815231" w:rsidRPr="00232810">
        <w:rPr>
          <w:rFonts w:ascii="Times New Roman" w:hAnsi="Times New Roman" w:cs="Times New Roman"/>
          <w:sz w:val="24"/>
          <w:szCs w:val="24"/>
          <w:lang w:val="en-US"/>
        </w:rPr>
        <w:t xml:space="preserve">17. </w:t>
      </w:r>
      <w:r w:rsidRPr="00232810">
        <w:rPr>
          <w:rFonts w:ascii="Times New Roman" w:hAnsi="Times New Roman" w:cs="Times New Roman"/>
          <w:sz w:val="24"/>
          <w:szCs w:val="24"/>
          <w:lang w:val="en-US"/>
        </w:rPr>
        <w:t xml:space="preserve">The </w:t>
      </w:r>
      <w:r w:rsidR="003476C0" w:rsidRPr="00232810">
        <w:rPr>
          <w:rFonts w:ascii="Times New Roman" w:hAnsi="Times New Roman" w:cs="Times New Roman"/>
          <w:sz w:val="24"/>
          <w:szCs w:val="24"/>
          <w:lang w:val="en-US"/>
        </w:rPr>
        <w:t xml:space="preserve">Defensoría </w:t>
      </w:r>
      <w:proofErr w:type="gramStart"/>
      <w:r w:rsidR="003476C0" w:rsidRPr="00232810">
        <w:rPr>
          <w:rFonts w:ascii="Times New Roman" w:hAnsi="Times New Roman" w:cs="Times New Roman"/>
          <w:sz w:val="24"/>
          <w:szCs w:val="24"/>
          <w:lang w:val="en-US"/>
        </w:rPr>
        <w:t>del</w:t>
      </w:r>
      <w:proofErr w:type="gramEnd"/>
      <w:r w:rsidR="003476C0" w:rsidRPr="00232810">
        <w:rPr>
          <w:rFonts w:ascii="Times New Roman" w:hAnsi="Times New Roman" w:cs="Times New Roman"/>
          <w:sz w:val="24"/>
          <w:szCs w:val="24"/>
          <w:lang w:val="en-US"/>
        </w:rPr>
        <w:t xml:space="preserve"> Pueblo</w:t>
      </w:r>
      <w:r w:rsidRPr="00232810">
        <w:rPr>
          <w:rFonts w:ascii="Times New Roman" w:hAnsi="Times New Roman" w:cs="Times New Roman"/>
          <w:sz w:val="24"/>
          <w:szCs w:val="24"/>
          <w:lang w:val="en-US"/>
        </w:rPr>
        <w:t xml:space="preserve"> considers as a major breakthrough that will enable the National Commission for the Prevention of Torture and Other Cruel, Inhuman or Degrading </w:t>
      </w:r>
      <w:r w:rsidR="003476C0" w:rsidRPr="00232810">
        <w:rPr>
          <w:rFonts w:ascii="Times New Roman" w:hAnsi="Times New Roman" w:cs="Times New Roman"/>
          <w:sz w:val="24"/>
          <w:szCs w:val="24"/>
          <w:lang w:val="en-US"/>
        </w:rPr>
        <w:t xml:space="preserve">Treatments </w:t>
      </w:r>
      <w:r w:rsidRPr="00232810">
        <w:rPr>
          <w:rFonts w:ascii="Times New Roman" w:hAnsi="Times New Roman" w:cs="Times New Roman"/>
          <w:sz w:val="24"/>
          <w:szCs w:val="24"/>
          <w:lang w:val="en-US"/>
        </w:rPr>
        <w:t xml:space="preserve">develop a process of regular and independent </w:t>
      </w:r>
      <w:r w:rsidR="003476C0" w:rsidRPr="00232810">
        <w:rPr>
          <w:rFonts w:ascii="Times New Roman" w:hAnsi="Times New Roman" w:cs="Times New Roman"/>
          <w:sz w:val="24"/>
          <w:szCs w:val="24"/>
          <w:lang w:val="en-US"/>
        </w:rPr>
        <w:t xml:space="preserve">inspections </w:t>
      </w:r>
      <w:r w:rsidRPr="00232810">
        <w:rPr>
          <w:rFonts w:ascii="Times New Roman" w:hAnsi="Times New Roman" w:cs="Times New Roman"/>
          <w:sz w:val="24"/>
          <w:szCs w:val="24"/>
          <w:lang w:val="en-US"/>
        </w:rPr>
        <w:t xml:space="preserve">to all types of detention center without notice, in order to ensure respect for personal integrity and validity of the prohibition of torture. It is especially important that the Commission is empowered to </w:t>
      </w:r>
      <w:r w:rsidR="00515FDA" w:rsidRPr="00232810">
        <w:rPr>
          <w:rFonts w:ascii="Times New Roman" w:hAnsi="Times New Roman" w:cs="Times New Roman"/>
          <w:i/>
          <w:sz w:val="24"/>
          <w:szCs w:val="24"/>
          <w:lang w:val="en-US"/>
        </w:rPr>
        <w:t>“</w:t>
      </w:r>
      <w:r w:rsidRPr="00232810">
        <w:rPr>
          <w:rFonts w:ascii="Times New Roman" w:hAnsi="Times New Roman" w:cs="Times New Roman"/>
          <w:i/>
          <w:sz w:val="24"/>
          <w:szCs w:val="24"/>
          <w:lang w:val="en-US"/>
        </w:rPr>
        <w:t>freely choose the places to be visited and the people who you want to interview</w:t>
      </w:r>
      <w:r w:rsidR="003476C0" w:rsidRPr="00232810">
        <w:rPr>
          <w:rStyle w:val="Funotenzeichen"/>
          <w:rFonts w:ascii="Times New Roman" w:hAnsi="Times New Roman" w:cs="Times New Roman"/>
          <w:i/>
          <w:sz w:val="24"/>
          <w:szCs w:val="24"/>
          <w:lang w:val="en-US"/>
        </w:rPr>
        <w:footnoteReference w:id="21"/>
      </w:r>
      <w:r w:rsidR="00377736" w:rsidRPr="00232810">
        <w:rPr>
          <w:rFonts w:ascii="Times New Roman" w:hAnsi="Times New Roman" w:cs="Times New Roman"/>
          <w:i/>
          <w:sz w:val="24"/>
          <w:szCs w:val="24"/>
          <w:lang w:val="en-US"/>
        </w:rPr>
        <w:t>”</w:t>
      </w:r>
      <w:r w:rsidRPr="00232810">
        <w:rPr>
          <w:rFonts w:ascii="Times New Roman" w:hAnsi="Times New Roman" w:cs="Times New Roman"/>
          <w:i/>
          <w:sz w:val="24"/>
          <w:szCs w:val="24"/>
          <w:lang w:val="en-US"/>
        </w:rPr>
        <w:t xml:space="preserve"> conversation with " persons deprived of liberty without witnesses, either personally or with the assistance of an interpreter if </w:t>
      </w:r>
      <w:r w:rsidR="001F49CF" w:rsidRPr="00232810">
        <w:rPr>
          <w:rFonts w:ascii="Times New Roman" w:hAnsi="Times New Roman" w:cs="Times New Roman"/>
          <w:i/>
          <w:sz w:val="24"/>
          <w:szCs w:val="24"/>
          <w:lang w:val="en-US"/>
        </w:rPr>
        <w:t>necessary,</w:t>
      </w:r>
      <w:r w:rsidRPr="00232810">
        <w:rPr>
          <w:rFonts w:ascii="Times New Roman" w:hAnsi="Times New Roman" w:cs="Times New Roman"/>
          <w:i/>
          <w:sz w:val="24"/>
          <w:szCs w:val="24"/>
          <w:lang w:val="en-US"/>
        </w:rPr>
        <w:t xml:space="preserve"> and anyone else who considers may assist or mediate for the interview</w:t>
      </w:r>
      <w:r w:rsidR="003476C0" w:rsidRPr="00232810">
        <w:rPr>
          <w:rStyle w:val="Funotenzeichen"/>
          <w:rFonts w:ascii="Times New Roman" w:hAnsi="Times New Roman" w:cs="Times New Roman"/>
          <w:i/>
          <w:sz w:val="24"/>
          <w:szCs w:val="24"/>
          <w:lang w:val="en-US"/>
        </w:rPr>
        <w:footnoteReference w:id="22"/>
      </w:r>
      <w:r w:rsidR="00377736" w:rsidRPr="00232810">
        <w:rPr>
          <w:rFonts w:ascii="Times New Roman" w:hAnsi="Times New Roman" w:cs="Times New Roman"/>
          <w:i/>
          <w:sz w:val="24"/>
          <w:szCs w:val="24"/>
          <w:lang w:val="en-US"/>
        </w:rPr>
        <w:t>”</w:t>
      </w:r>
      <w:r w:rsidRPr="00232810">
        <w:rPr>
          <w:rFonts w:ascii="Times New Roman" w:hAnsi="Times New Roman" w:cs="Times New Roman"/>
          <w:sz w:val="24"/>
          <w:szCs w:val="24"/>
          <w:lang w:val="en-US"/>
        </w:rPr>
        <w:t xml:space="preserve"> and make recommendations to the heads of the centers </w:t>
      </w:r>
      <w:r w:rsidR="001F49CF" w:rsidRPr="00232810">
        <w:rPr>
          <w:rFonts w:ascii="Times New Roman" w:hAnsi="Times New Roman" w:cs="Times New Roman"/>
          <w:sz w:val="24"/>
          <w:szCs w:val="24"/>
          <w:lang w:val="en-US"/>
        </w:rPr>
        <w:t>visited,</w:t>
      </w:r>
      <w:r w:rsidRPr="00232810">
        <w:rPr>
          <w:rFonts w:ascii="Times New Roman" w:hAnsi="Times New Roman" w:cs="Times New Roman"/>
          <w:sz w:val="24"/>
          <w:szCs w:val="24"/>
          <w:lang w:val="en-US"/>
        </w:rPr>
        <w:t xml:space="preserve"> from the findings of </w:t>
      </w:r>
      <w:r w:rsidR="00377736" w:rsidRPr="00232810">
        <w:rPr>
          <w:rFonts w:ascii="Times New Roman" w:hAnsi="Times New Roman" w:cs="Times New Roman"/>
          <w:sz w:val="24"/>
          <w:szCs w:val="24"/>
          <w:lang w:val="en-US"/>
        </w:rPr>
        <w:t>inspections,</w:t>
      </w:r>
      <w:r w:rsidRPr="00232810">
        <w:rPr>
          <w:rFonts w:ascii="Times New Roman" w:hAnsi="Times New Roman" w:cs="Times New Roman"/>
          <w:sz w:val="24"/>
          <w:szCs w:val="24"/>
          <w:lang w:val="en-US"/>
        </w:rPr>
        <w:t xml:space="preserve"> ensuring follow-up. In the </w:t>
      </w:r>
      <w:r w:rsidRPr="00232810">
        <w:rPr>
          <w:rFonts w:ascii="Times New Roman" w:hAnsi="Times New Roman" w:cs="Times New Roman"/>
          <w:sz w:val="24"/>
          <w:szCs w:val="24"/>
          <w:lang w:val="en-US"/>
        </w:rPr>
        <w:lastRenderedPageBreak/>
        <w:t>opinion of this institution, the establishment of an independent mechanism for monitoring the inspections and detention centers contribute positively to continue to improve the conditions of detention and prevent the occurrence of torture practices in line with the recommendations issued by the Committee</w:t>
      </w:r>
      <w:r w:rsidR="003476C0" w:rsidRPr="00232810">
        <w:rPr>
          <w:rFonts w:ascii="Times New Roman" w:hAnsi="Times New Roman" w:cs="Times New Roman"/>
          <w:sz w:val="24"/>
          <w:szCs w:val="24"/>
          <w:lang w:val="en-US"/>
        </w:rPr>
        <w:t xml:space="preserve"> </w:t>
      </w:r>
      <w:r w:rsidRPr="00232810">
        <w:rPr>
          <w:rFonts w:ascii="Times New Roman" w:hAnsi="Times New Roman" w:cs="Times New Roman"/>
          <w:sz w:val="24"/>
          <w:szCs w:val="24"/>
          <w:lang w:val="en-US"/>
        </w:rPr>
        <w:t>( CAT/C/CR/29/2 . para. 11</w:t>
      </w:r>
      <w:r w:rsidR="001F49CF" w:rsidRPr="00232810">
        <w:rPr>
          <w:rFonts w:ascii="Times New Roman" w:hAnsi="Times New Roman" w:cs="Times New Roman"/>
          <w:sz w:val="24"/>
          <w:szCs w:val="24"/>
          <w:lang w:val="en-US"/>
        </w:rPr>
        <w:t xml:space="preserve">. </w:t>
      </w:r>
      <w:proofErr w:type="gramStart"/>
      <w:r w:rsidR="001F49CF" w:rsidRPr="00232810">
        <w:rPr>
          <w:rFonts w:ascii="Times New Roman" w:hAnsi="Times New Roman" w:cs="Times New Roman"/>
          <w:sz w:val="24"/>
          <w:szCs w:val="24"/>
          <w:lang w:val="en-US"/>
        </w:rPr>
        <w:t>e</w:t>
      </w:r>
      <w:proofErr w:type="gramEnd"/>
      <w:r w:rsidR="001F49CF" w:rsidRPr="00232810">
        <w:rPr>
          <w:rFonts w:ascii="Times New Roman" w:hAnsi="Times New Roman" w:cs="Times New Roman"/>
          <w:sz w:val="24"/>
          <w:szCs w:val="24"/>
          <w:lang w:val="en-US"/>
        </w:rPr>
        <w:t>)</w:t>
      </w:r>
    </w:p>
    <w:p w:rsidR="001F49CF" w:rsidRPr="00232810" w:rsidRDefault="001F49CF" w:rsidP="00EB2205">
      <w:pPr>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t xml:space="preserve">18. </w:t>
      </w:r>
      <w:r w:rsidR="00D8532C" w:rsidRPr="00232810">
        <w:rPr>
          <w:rFonts w:ascii="Times New Roman" w:hAnsi="Times New Roman" w:cs="Times New Roman"/>
          <w:sz w:val="24"/>
          <w:szCs w:val="24"/>
          <w:lang w:val="en-US"/>
        </w:rPr>
        <w:t>Similarly, th</w:t>
      </w:r>
      <w:r w:rsidR="003476C0" w:rsidRPr="00232810">
        <w:rPr>
          <w:rFonts w:ascii="Times New Roman" w:hAnsi="Times New Roman" w:cs="Times New Roman"/>
          <w:sz w:val="24"/>
          <w:szCs w:val="24"/>
          <w:lang w:val="en-US"/>
        </w:rPr>
        <w:t>is</w:t>
      </w:r>
      <w:r w:rsidR="00D8532C" w:rsidRPr="00232810">
        <w:rPr>
          <w:rFonts w:ascii="Times New Roman" w:hAnsi="Times New Roman" w:cs="Times New Roman"/>
          <w:sz w:val="24"/>
          <w:szCs w:val="24"/>
          <w:lang w:val="en-US"/>
        </w:rPr>
        <w:t xml:space="preserve"> National Human Rights considers </w:t>
      </w:r>
      <w:r w:rsidRPr="00232810">
        <w:rPr>
          <w:rFonts w:ascii="Times New Roman" w:hAnsi="Times New Roman" w:cs="Times New Roman"/>
          <w:sz w:val="24"/>
          <w:szCs w:val="24"/>
          <w:lang w:val="en-US"/>
        </w:rPr>
        <w:t>valuable,</w:t>
      </w:r>
      <w:r w:rsidR="00D8532C" w:rsidRPr="00232810">
        <w:rPr>
          <w:rFonts w:ascii="Times New Roman" w:hAnsi="Times New Roman" w:cs="Times New Roman"/>
          <w:sz w:val="24"/>
          <w:szCs w:val="24"/>
          <w:lang w:val="en-US"/>
        </w:rPr>
        <w:t xml:space="preserve"> in line with the provisions of Article 11 of the </w:t>
      </w:r>
      <w:r w:rsidRPr="00232810">
        <w:rPr>
          <w:rFonts w:ascii="Times New Roman" w:hAnsi="Times New Roman" w:cs="Times New Roman"/>
          <w:sz w:val="24"/>
          <w:szCs w:val="24"/>
          <w:lang w:val="en-US"/>
        </w:rPr>
        <w:t>Convention,</w:t>
      </w:r>
      <w:r w:rsidR="00D8532C" w:rsidRPr="00232810">
        <w:rPr>
          <w:rFonts w:ascii="Times New Roman" w:hAnsi="Times New Roman" w:cs="Times New Roman"/>
          <w:sz w:val="24"/>
          <w:szCs w:val="24"/>
          <w:lang w:val="en-US"/>
        </w:rPr>
        <w:t xml:space="preserve"> be entrusted to the Commission the task of reviewing the existing law and bills, as well as protocols and detention </w:t>
      </w:r>
      <w:r w:rsidRPr="00232810">
        <w:rPr>
          <w:rFonts w:ascii="Times New Roman" w:hAnsi="Times New Roman" w:cs="Times New Roman"/>
          <w:sz w:val="24"/>
          <w:szCs w:val="24"/>
          <w:lang w:val="en-US"/>
        </w:rPr>
        <w:t>interrogation,</w:t>
      </w:r>
      <w:r w:rsidR="00D8532C" w:rsidRPr="00232810">
        <w:rPr>
          <w:rFonts w:ascii="Times New Roman" w:hAnsi="Times New Roman" w:cs="Times New Roman"/>
          <w:sz w:val="24"/>
          <w:szCs w:val="24"/>
          <w:lang w:val="en-US"/>
        </w:rPr>
        <w:t xml:space="preserve"> in order to ensure compatibility with the </w:t>
      </w:r>
      <w:r w:rsidRPr="00232810">
        <w:rPr>
          <w:rFonts w:ascii="Times New Roman" w:hAnsi="Times New Roman" w:cs="Times New Roman"/>
          <w:sz w:val="24"/>
          <w:szCs w:val="24"/>
          <w:lang w:val="en-US"/>
        </w:rPr>
        <w:t>Convention,</w:t>
      </w:r>
      <w:r w:rsidR="00D8532C" w:rsidRPr="00232810">
        <w:rPr>
          <w:rFonts w:ascii="Times New Roman" w:hAnsi="Times New Roman" w:cs="Times New Roman"/>
          <w:sz w:val="24"/>
          <w:szCs w:val="24"/>
          <w:lang w:val="en-US"/>
        </w:rPr>
        <w:t xml:space="preserve"> the Constitution and the Special Law to Prevent and Punish Torture and Other Cruel, Inhuman and </w:t>
      </w:r>
      <w:r w:rsidRPr="00232810">
        <w:rPr>
          <w:rFonts w:ascii="Times New Roman" w:hAnsi="Times New Roman" w:cs="Times New Roman"/>
          <w:sz w:val="24"/>
          <w:szCs w:val="24"/>
          <w:lang w:val="en-US"/>
        </w:rPr>
        <w:t>Degrading</w:t>
      </w:r>
      <w:r w:rsidR="003476C0" w:rsidRPr="00232810">
        <w:rPr>
          <w:rFonts w:ascii="Times New Roman" w:hAnsi="Times New Roman" w:cs="Times New Roman"/>
          <w:sz w:val="24"/>
          <w:szCs w:val="24"/>
          <w:lang w:val="en-US"/>
        </w:rPr>
        <w:t xml:space="preserve"> Treatments</w:t>
      </w:r>
      <w:r w:rsidR="003476C0" w:rsidRPr="00232810">
        <w:rPr>
          <w:rStyle w:val="Funotenzeichen"/>
          <w:rFonts w:ascii="Times New Roman" w:hAnsi="Times New Roman" w:cs="Times New Roman"/>
          <w:sz w:val="24"/>
          <w:szCs w:val="24"/>
          <w:lang w:val="en-US"/>
        </w:rPr>
        <w:footnoteReference w:id="23"/>
      </w:r>
      <w:r w:rsidRPr="00232810">
        <w:rPr>
          <w:rFonts w:ascii="Times New Roman" w:hAnsi="Times New Roman" w:cs="Times New Roman"/>
          <w:sz w:val="24"/>
          <w:szCs w:val="24"/>
          <w:lang w:val="en-US"/>
        </w:rPr>
        <w:t>.</w:t>
      </w:r>
    </w:p>
    <w:p w:rsidR="001F49CF" w:rsidRPr="00232810" w:rsidRDefault="00D8532C" w:rsidP="00EB2205">
      <w:pPr>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br/>
      </w:r>
      <w:r w:rsidR="001F49CF" w:rsidRPr="00232810">
        <w:rPr>
          <w:rFonts w:ascii="Times New Roman" w:hAnsi="Times New Roman" w:cs="Times New Roman"/>
          <w:sz w:val="24"/>
          <w:szCs w:val="24"/>
          <w:lang w:val="en-US"/>
        </w:rPr>
        <w:t xml:space="preserve">19. </w:t>
      </w:r>
      <w:r w:rsidRPr="00232810">
        <w:rPr>
          <w:rFonts w:ascii="Times New Roman" w:hAnsi="Times New Roman" w:cs="Times New Roman"/>
          <w:sz w:val="24"/>
          <w:szCs w:val="24"/>
          <w:lang w:val="en-US"/>
        </w:rPr>
        <w:t xml:space="preserve">The </w:t>
      </w:r>
      <w:r w:rsidR="00F703A0" w:rsidRPr="00232810">
        <w:rPr>
          <w:rFonts w:ascii="Times New Roman" w:hAnsi="Times New Roman" w:cs="Times New Roman"/>
          <w:sz w:val="24"/>
          <w:szCs w:val="24"/>
          <w:lang w:val="en-US"/>
        </w:rPr>
        <w:t xml:space="preserve">Defensoría </w:t>
      </w:r>
      <w:proofErr w:type="gramStart"/>
      <w:r w:rsidR="00F703A0" w:rsidRPr="00232810">
        <w:rPr>
          <w:rFonts w:ascii="Times New Roman" w:hAnsi="Times New Roman" w:cs="Times New Roman"/>
          <w:sz w:val="24"/>
          <w:szCs w:val="24"/>
          <w:lang w:val="en-US"/>
        </w:rPr>
        <w:t>del</w:t>
      </w:r>
      <w:proofErr w:type="gramEnd"/>
      <w:r w:rsidR="00F703A0" w:rsidRPr="00232810">
        <w:rPr>
          <w:rFonts w:ascii="Times New Roman" w:hAnsi="Times New Roman" w:cs="Times New Roman"/>
          <w:sz w:val="24"/>
          <w:szCs w:val="24"/>
          <w:lang w:val="en-US"/>
        </w:rPr>
        <w:t xml:space="preserve"> Pueblo</w:t>
      </w:r>
      <w:r w:rsidRPr="00232810">
        <w:rPr>
          <w:rFonts w:ascii="Times New Roman" w:hAnsi="Times New Roman" w:cs="Times New Roman"/>
          <w:sz w:val="24"/>
          <w:szCs w:val="24"/>
          <w:lang w:val="en-US"/>
        </w:rPr>
        <w:t xml:space="preserve"> welcomes the fact that the law provides important mechanisms to ensure compliance with the mandate of the National Commission for the Prevention of Torture and Other </w:t>
      </w:r>
      <w:r w:rsidR="001F49CF" w:rsidRPr="00232810">
        <w:rPr>
          <w:rFonts w:ascii="Times New Roman" w:hAnsi="Times New Roman" w:cs="Times New Roman"/>
          <w:sz w:val="24"/>
          <w:szCs w:val="24"/>
          <w:lang w:val="en-US"/>
        </w:rPr>
        <w:t>Cruel,</w:t>
      </w:r>
      <w:r w:rsidRPr="00232810">
        <w:rPr>
          <w:rFonts w:ascii="Times New Roman" w:hAnsi="Times New Roman" w:cs="Times New Roman"/>
          <w:sz w:val="24"/>
          <w:szCs w:val="24"/>
          <w:lang w:val="en-US"/>
        </w:rPr>
        <w:t xml:space="preserve"> Inhuman or </w:t>
      </w:r>
      <w:r w:rsidR="001F49CF" w:rsidRPr="00232810">
        <w:rPr>
          <w:rFonts w:ascii="Times New Roman" w:hAnsi="Times New Roman" w:cs="Times New Roman"/>
          <w:sz w:val="24"/>
          <w:szCs w:val="24"/>
          <w:lang w:val="en-US"/>
        </w:rPr>
        <w:t>Degrading</w:t>
      </w:r>
      <w:r w:rsidR="00F703A0" w:rsidRPr="00232810">
        <w:rPr>
          <w:rFonts w:ascii="Times New Roman" w:hAnsi="Times New Roman" w:cs="Times New Roman"/>
          <w:sz w:val="24"/>
          <w:szCs w:val="24"/>
          <w:lang w:val="en-US"/>
        </w:rPr>
        <w:t xml:space="preserve"> Treatment</w:t>
      </w:r>
      <w:r w:rsidR="001F49CF" w:rsidRPr="00232810">
        <w:rPr>
          <w:rFonts w:ascii="Times New Roman" w:hAnsi="Times New Roman" w:cs="Times New Roman"/>
          <w:sz w:val="24"/>
          <w:szCs w:val="24"/>
          <w:lang w:val="en-US"/>
        </w:rPr>
        <w:t xml:space="preserve">. </w:t>
      </w:r>
      <w:r w:rsidRPr="00232810">
        <w:rPr>
          <w:rFonts w:ascii="Times New Roman" w:hAnsi="Times New Roman" w:cs="Times New Roman"/>
          <w:sz w:val="24"/>
          <w:szCs w:val="24"/>
          <w:lang w:val="en-US"/>
        </w:rPr>
        <w:t xml:space="preserve">In </w:t>
      </w:r>
      <w:r w:rsidR="001F49CF" w:rsidRPr="00232810">
        <w:rPr>
          <w:rFonts w:ascii="Times New Roman" w:hAnsi="Times New Roman" w:cs="Times New Roman"/>
          <w:sz w:val="24"/>
          <w:szCs w:val="24"/>
          <w:lang w:val="en-US"/>
        </w:rPr>
        <w:t>particular,</w:t>
      </w:r>
      <w:r w:rsidRPr="00232810">
        <w:rPr>
          <w:rFonts w:ascii="Times New Roman" w:hAnsi="Times New Roman" w:cs="Times New Roman"/>
          <w:sz w:val="24"/>
          <w:szCs w:val="24"/>
          <w:lang w:val="en-US"/>
        </w:rPr>
        <w:t xml:space="preserve"> it highlights the inclusion of a provision that punishes with imprisonment and a fine </w:t>
      </w:r>
      <w:r w:rsidR="00F703A0" w:rsidRPr="00232810">
        <w:rPr>
          <w:rFonts w:ascii="Times New Roman" w:hAnsi="Times New Roman" w:cs="Times New Roman"/>
          <w:sz w:val="24"/>
          <w:szCs w:val="24"/>
          <w:lang w:val="en-US"/>
        </w:rPr>
        <w:t xml:space="preserve">to a </w:t>
      </w:r>
      <w:r w:rsidRPr="00232810">
        <w:rPr>
          <w:rFonts w:ascii="Times New Roman" w:hAnsi="Times New Roman" w:cs="Times New Roman"/>
          <w:sz w:val="24"/>
          <w:szCs w:val="24"/>
          <w:lang w:val="en-US"/>
        </w:rPr>
        <w:t xml:space="preserve">public servant who </w:t>
      </w:r>
      <w:r w:rsidR="00F703A0" w:rsidRPr="00232810">
        <w:rPr>
          <w:rFonts w:ascii="Times New Roman" w:hAnsi="Times New Roman" w:cs="Times New Roman"/>
          <w:sz w:val="24"/>
          <w:szCs w:val="24"/>
          <w:lang w:val="en-US"/>
        </w:rPr>
        <w:t>“</w:t>
      </w:r>
      <w:r w:rsidRPr="00232810">
        <w:rPr>
          <w:rFonts w:ascii="Times New Roman" w:hAnsi="Times New Roman" w:cs="Times New Roman"/>
          <w:sz w:val="24"/>
          <w:szCs w:val="24"/>
          <w:lang w:val="en-US"/>
        </w:rPr>
        <w:t xml:space="preserve">denies access to the records center or detention of the person </w:t>
      </w:r>
      <w:r w:rsidR="001F49CF" w:rsidRPr="00232810">
        <w:rPr>
          <w:rFonts w:ascii="Times New Roman" w:hAnsi="Times New Roman" w:cs="Times New Roman"/>
          <w:sz w:val="24"/>
          <w:szCs w:val="24"/>
          <w:lang w:val="en-US"/>
        </w:rPr>
        <w:t>arrested,</w:t>
      </w:r>
      <w:r w:rsidRPr="00232810">
        <w:rPr>
          <w:rFonts w:ascii="Times New Roman" w:hAnsi="Times New Roman" w:cs="Times New Roman"/>
          <w:sz w:val="24"/>
          <w:szCs w:val="24"/>
          <w:lang w:val="en-US"/>
        </w:rPr>
        <w:t xml:space="preserve"> detained or log prevent the interview with the same or refuses entry to a detention center or somewhere inside the detention center</w:t>
      </w:r>
      <w:r w:rsidR="00F703A0" w:rsidRPr="00232810">
        <w:rPr>
          <w:rStyle w:val="Funotenzeichen"/>
          <w:rFonts w:ascii="Times New Roman" w:hAnsi="Times New Roman" w:cs="Times New Roman"/>
          <w:sz w:val="24"/>
          <w:szCs w:val="24"/>
          <w:lang w:val="en-US"/>
        </w:rPr>
        <w:footnoteReference w:id="24"/>
      </w:r>
      <w:r w:rsidR="001F49CF" w:rsidRPr="00232810">
        <w:rPr>
          <w:rFonts w:ascii="Times New Roman" w:hAnsi="Times New Roman" w:cs="Times New Roman"/>
          <w:sz w:val="24"/>
          <w:szCs w:val="24"/>
          <w:lang w:val="en-US"/>
        </w:rPr>
        <w:t>.”</w:t>
      </w:r>
    </w:p>
    <w:p w:rsidR="001F49CF" w:rsidRPr="00232810" w:rsidRDefault="00D8532C" w:rsidP="00EB2205">
      <w:pPr>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br/>
      </w:r>
      <w:r w:rsidR="001F49CF" w:rsidRPr="00232810">
        <w:rPr>
          <w:rFonts w:ascii="Times New Roman" w:hAnsi="Times New Roman" w:cs="Times New Roman"/>
          <w:sz w:val="24"/>
          <w:szCs w:val="24"/>
          <w:lang w:val="en-US"/>
        </w:rPr>
        <w:t xml:space="preserve">20. </w:t>
      </w:r>
      <w:r w:rsidRPr="00232810">
        <w:rPr>
          <w:rFonts w:ascii="Times New Roman" w:hAnsi="Times New Roman" w:cs="Times New Roman"/>
          <w:sz w:val="24"/>
          <w:szCs w:val="24"/>
          <w:lang w:val="en-US"/>
        </w:rPr>
        <w:t>Th</w:t>
      </w:r>
      <w:r w:rsidR="00F703A0" w:rsidRPr="00232810">
        <w:rPr>
          <w:rFonts w:ascii="Times New Roman" w:hAnsi="Times New Roman" w:cs="Times New Roman"/>
          <w:sz w:val="24"/>
          <w:szCs w:val="24"/>
          <w:lang w:val="en-US"/>
        </w:rPr>
        <w:t>is</w:t>
      </w:r>
      <w:r w:rsidRPr="00232810">
        <w:rPr>
          <w:rFonts w:ascii="Times New Roman" w:hAnsi="Times New Roman" w:cs="Times New Roman"/>
          <w:sz w:val="24"/>
          <w:szCs w:val="24"/>
          <w:lang w:val="en-US"/>
        </w:rPr>
        <w:t xml:space="preserve"> National Human Rights considers that the creation of the National Commission for the Prevention of Torture and Other </w:t>
      </w:r>
      <w:r w:rsidR="001F49CF" w:rsidRPr="00232810">
        <w:rPr>
          <w:rFonts w:ascii="Times New Roman" w:hAnsi="Times New Roman" w:cs="Times New Roman"/>
          <w:sz w:val="24"/>
          <w:szCs w:val="24"/>
          <w:lang w:val="en-US"/>
        </w:rPr>
        <w:t>Cruel,</w:t>
      </w:r>
      <w:r w:rsidRPr="00232810">
        <w:rPr>
          <w:rFonts w:ascii="Times New Roman" w:hAnsi="Times New Roman" w:cs="Times New Roman"/>
          <w:sz w:val="24"/>
          <w:szCs w:val="24"/>
          <w:lang w:val="en-US"/>
        </w:rPr>
        <w:t xml:space="preserve"> Inhuman or Degrading </w:t>
      </w:r>
      <w:r w:rsidR="00F703A0" w:rsidRPr="00232810">
        <w:rPr>
          <w:rFonts w:ascii="Times New Roman" w:hAnsi="Times New Roman" w:cs="Times New Roman"/>
          <w:sz w:val="24"/>
          <w:szCs w:val="24"/>
          <w:lang w:val="en-US"/>
        </w:rPr>
        <w:t xml:space="preserve">Treatments </w:t>
      </w:r>
      <w:r w:rsidRPr="00232810">
        <w:rPr>
          <w:rFonts w:ascii="Times New Roman" w:hAnsi="Times New Roman" w:cs="Times New Roman"/>
          <w:sz w:val="24"/>
          <w:szCs w:val="24"/>
          <w:lang w:val="en-US"/>
        </w:rPr>
        <w:t xml:space="preserve">constitutes a good measure in order to ensure compliance with the Convention and the recommendations of this </w:t>
      </w:r>
      <w:r w:rsidR="001F49CF" w:rsidRPr="00232810">
        <w:rPr>
          <w:rFonts w:ascii="Times New Roman" w:hAnsi="Times New Roman" w:cs="Times New Roman"/>
          <w:sz w:val="24"/>
          <w:szCs w:val="24"/>
          <w:lang w:val="en-US"/>
        </w:rPr>
        <w:t>Committee,</w:t>
      </w:r>
      <w:r w:rsidRPr="00232810">
        <w:rPr>
          <w:rFonts w:ascii="Times New Roman" w:hAnsi="Times New Roman" w:cs="Times New Roman"/>
          <w:sz w:val="24"/>
          <w:szCs w:val="24"/>
          <w:lang w:val="en-US"/>
        </w:rPr>
        <w:t xml:space="preserve"> further evidence State will ensure respect for the rights of persons within their jurisdiction. </w:t>
      </w:r>
      <w:r w:rsidR="00F703A0" w:rsidRPr="00232810">
        <w:rPr>
          <w:rFonts w:ascii="Times New Roman" w:hAnsi="Times New Roman" w:cs="Times New Roman"/>
          <w:sz w:val="24"/>
          <w:szCs w:val="24"/>
          <w:lang w:val="en-US"/>
        </w:rPr>
        <w:t xml:space="preserve">In this respect, the Defensoría </w:t>
      </w:r>
      <w:r w:rsidRPr="00232810">
        <w:rPr>
          <w:rFonts w:ascii="Times New Roman" w:hAnsi="Times New Roman" w:cs="Times New Roman"/>
          <w:sz w:val="24"/>
          <w:szCs w:val="24"/>
          <w:lang w:val="en-US"/>
        </w:rPr>
        <w:t>recommends that the State provide the necessary resources to ensure the proper functioning of the Commission.</w:t>
      </w:r>
    </w:p>
    <w:p w:rsidR="00F703A0" w:rsidRPr="00232810" w:rsidRDefault="00D8532C" w:rsidP="00EB2205">
      <w:pPr>
        <w:jc w:val="both"/>
        <w:rPr>
          <w:rFonts w:ascii="Times New Roman" w:hAnsi="Times New Roman" w:cs="Times New Roman"/>
          <w:b/>
          <w:sz w:val="24"/>
          <w:szCs w:val="24"/>
          <w:lang w:val="en-US"/>
        </w:rPr>
      </w:pPr>
      <w:r w:rsidRPr="00232810">
        <w:rPr>
          <w:rFonts w:ascii="Times New Roman" w:hAnsi="Times New Roman" w:cs="Times New Roman"/>
          <w:sz w:val="24"/>
          <w:szCs w:val="24"/>
          <w:lang w:val="en-US"/>
        </w:rPr>
        <w:br/>
      </w:r>
      <w:r w:rsidRPr="00232810">
        <w:rPr>
          <w:rFonts w:ascii="Times New Roman" w:hAnsi="Times New Roman" w:cs="Times New Roman"/>
          <w:b/>
          <w:sz w:val="24"/>
          <w:szCs w:val="24"/>
          <w:lang w:val="en-US"/>
        </w:rPr>
        <w:t>ARTICLE 2</w:t>
      </w:r>
    </w:p>
    <w:p w:rsidR="001F49CF" w:rsidRPr="00232810" w:rsidRDefault="00D8532C" w:rsidP="00EB2205">
      <w:pPr>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br/>
      </w:r>
      <w:r w:rsidR="00F703A0" w:rsidRPr="00232810">
        <w:rPr>
          <w:rFonts w:ascii="Times New Roman" w:hAnsi="Times New Roman" w:cs="Times New Roman"/>
          <w:sz w:val="24"/>
          <w:szCs w:val="24"/>
          <w:lang w:val="en-US"/>
        </w:rPr>
        <w:t xml:space="preserve">21. </w:t>
      </w:r>
      <w:r w:rsidRPr="00232810">
        <w:rPr>
          <w:rFonts w:ascii="Times New Roman" w:hAnsi="Times New Roman" w:cs="Times New Roman"/>
          <w:sz w:val="24"/>
          <w:szCs w:val="24"/>
          <w:lang w:val="en-US"/>
        </w:rPr>
        <w:t xml:space="preserve">The National Commission for the Prevention of Torture and Other </w:t>
      </w:r>
      <w:r w:rsidR="001F49CF" w:rsidRPr="00232810">
        <w:rPr>
          <w:rFonts w:ascii="Times New Roman" w:hAnsi="Times New Roman" w:cs="Times New Roman"/>
          <w:sz w:val="24"/>
          <w:szCs w:val="24"/>
          <w:lang w:val="en-US"/>
        </w:rPr>
        <w:t>Cruel,</w:t>
      </w:r>
      <w:r w:rsidRPr="00232810">
        <w:rPr>
          <w:rFonts w:ascii="Times New Roman" w:hAnsi="Times New Roman" w:cs="Times New Roman"/>
          <w:sz w:val="24"/>
          <w:szCs w:val="24"/>
          <w:lang w:val="en-US"/>
        </w:rPr>
        <w:t xml:space="preserve"> Inhuman or Degrading </w:t>
      </w:r>
      <w:r w:rsidR="00F703A0" w:rsidRPr="00232810">
        <w:rPr>
          <w:rFonts w:ascii="Times New Roman" w:hAnsi="Times New Roman" w:cs="Times New Roman"/>
          <w:sz w:val="24"/>
          <w:szCs w:val="24"/>
          <w:lang w:val="en-US"/>
        </w:rPr>
        <w:t xml:space="preserve">Treatment </w:t>
      </w:r>
      <w:r w:rsidRPr="00232810">
        <w:rPr>
          <w:rFonts w:ascii="Times New Roman" w:hAnsi="Times New Roman" w:cs="Times New Roman"/>
          <w:sz w:val="24"/>
          <w:szCs w:val="24"/>
          <w:lang w:val="en-US"/>
        </w:rPr>
        <w:t>was sworn in on August 31</w:t>
      </w:r>
      <w:r w:rsidR="000A61D2" w:rsidRPr="00232810">
        <w:rPr>
          <w:rFonts w:ascii="Times New Roman" w:hAnsi="Times New Roman" w:cs="Times New Roman"/>
          <w:sz w:val="24"/>
          <w:szCs w:val="24"/>
          <w:vertAlign w:val="superscript"/>
          <w:lang w:val="en-US"/>
        </w:rPr>
        <w:t>st</w:t>
      </w:r>
      <w:r w:rsidRPr="00232810">
        <w:rPr>
          <w:rFonts w:ascii="Times New Roman" w:hAnsi="Times New Roman" w:cs="Times New Roman"/>
          <w:sz w:val="24"/>
          <w:szCs w:val="24"/>
          <w:lang w:val="en-US"/>
        </w:rPr>
        <w:t xml:space="preserve">, </w:t>
      </w:r>
      <w:r w:rsidR="00F703A0" w:rsidRPr="00232810">
        <w:rPr>
          <w:rFonts w:ascii="Times New Roman" w:hAnsi="Times New Roman" w:cs="Times New Roman"/>
          <w:sz w:val="24"/>
          <w:szCs w:val="24"/>
          <w:lang w:val="en-US"/>
        </w:rPr>
        <w:t>2013,</w:t>
      </w:r>
      <w:r w:rsidRPr="00232810">
        <w:rPr>
          <w:rFonts w:ascii="Times New Roman" w:hAnsi="Times New Roman" w:cs="Times New Roman"/>
          <w:sz w:val="24"/>
          <w:szCs w:val="24"/>
          <w:lang w:val="en-US"/>
        </w:rPr>
        <w:t xml:space="preserve"> </w:t>
      </w:r>
      <w:r w:rsidR="000A61D2" w:rsidRPr="00232810">
        <w:rPr>
          <w:rFonts w:ascii="Times New Roman" w:hAnsi="Times New Roman" w:cs="Times New Roman"/>
          <w:sz w:val="24"/>
          <w:szCs w:val="24"/>
          <w:lang w:val="en-US"/>
        </w:rPr>
        <w:t>that is,</w:t>
      </w:r>
      <w:r w:rsidRPr="00232810">
        <w:rPr>
          <w:rFonts w:ascii="Times New Roman" w:hAnsi="Times New Roman" w:cs="Times New Roman"/>
          <w:sz w:val="24"/>
          <w:szCs w:val="24"/>
          <w:lang w:val="en-US"/>
        </w:rPr>
        <w:t xml:space="preserve"> forty days after </w:t>
      </w:r>
      <w:r w:rsidR="000A61D2" w:rsidRPr="00232810">
        <w:rPr>
          <w:rFonts w:ascii="Times New Roman" w:hAnsi="Times New Roman" w:cs="Times New Roman"/>
          <w:sz w:val="24"/>
          <w:szCs w:val="24"/>
          <w:lang w:val="en-US"/>
        </w:rPr>
        <w:t xml:space="preserve">being </w:t>
      </w:r>
      <w:r w:rsidRPr="00232810">
        <w:rPr>
          <w:rFonts w:ascii="Times New Roman" w:hAnsi="Times New Roman" w:cs="Times New Roman"/>
          <w:sz w:val="24"/>
          <w:szCs w:val="24"/>
          <w:lang w:val="en-US"/>
        </w:rPr>
        <w:t>published in the Official Gazette the</w:t>
      </w:r>
      <w:r w:rsidR="000A61D2" w:rsidRPr="00232810">
        <w:rPr>
          <w:rFonts w:ascii="Times New Roman" w:hAnsi="Times New Roman" w:cs="Times New Roman"/>
          <w:sz w:val="24"/>
          <w:szCs w:val="24"/>
          <w:lang w:val="en-US"/>
        </w:rPr>
        <w:t xml:space="preserve"> aforementioned Law. It </w:t>
      </w:r>
      <w:r w:rsidRPr="00232810">
        <w:rPr>
          <w:rFonts w:ascii="Times New Roman" w:hAnsi="Times New Roman" w:cs="Times New Roman"/>
          <w:sz w:val="24"/>
          <w:szCs w:val="24"/>
          <w:lang w:val="en-US"/>
        </w:rPr>
        <w:t xml:space="preserve">is important to </w:t>
      </w:r>
      <w:r w:rsidR="000A61D2" w:rsidRPr="00232810">
        <w:rPr>
          <w:rFonts w:ascii="Times New Roman" w:hAnsi="Times New Roman" w:cs="Times New Roman"/>
          <w:sz w:val="24"/>
          <w:szCs w:val="24"/>
          <w:lang w:val="en-US"/>
        </w:rPr>
        <w:t>stress</w:t>
      </w:r>
      <w:r w:rsidRPr="00232810">
        <w:rPr>
          <w:rFonts w:ascii="Times New Roman" w:hAnsi="Times New Roman" w:cs="Times New Roman"/>
          <w:sz w:val="24"/>
          <w:szCs w:val="24"/>
          <w:lang w:val="en-US"/>
        </w:rPr>
        <w:t xml:space="preserve"> that the Second Transitional Provision of Law fixed a maximum period of four months for the appointment of the members and the swearing in of the Commission. In the opinion of the </w:t>
      </w:r>
      <w:r w:rsidR="00D453AB" w:rsidRPr="00232810">
        <w:rPr>
          <w:rFonts w:ascii="Times New Roman" w:hAnsi="Times New Roman" w:cs="Times New Roman"/>
          <w:sz w:val="24"/>
          <w:szCs w:val="24"/>
          <w:lang w:val="en-US"/>
        </w:rPr>
        <w:lastRenderedPageBreak/>
        <w:t xml:space="preserve">Defensoría </w:t>
      </w:r>
      <w:proofErr w:type="gramStart"/>
      <w:r w:rsidR="00D453AB" w:rsidRPr="00232810">
        <w:rPr>
          <w:rFonts w:ascii="Times New Roman" w:hAnsi="Times New Roman" w:cs="Times New Roman"/>
          <w:sz w:val="24"/>
          <w:szCs w:val="24"/>
          <w:lang w:val="en-US"/>
        </w:rPr>
        <w:t>del</w:t>
      </w:r>
      <w:proofErr w:type="gramEnd"/>
      <w:r w:rsidR="00D453AB" w:rsidRPr="00232810">
        <w:rPr>
          <w:rFonts w:ascii="Times New Roman" w:hAnsi="Times New Roman" w:cs="Times New Roman"/>
          <w:sz w:val="24"/>
          <w:szCs w:val="24"/>
          <w:lang w:val="en-US"/>
        </w:rPr>
        <w:t xml:space="preserve"> Pueblo</w:t>
      </w:r>
      <w:r w:rsidRPr="00232810">
        <w:rPr>
          <w:rFonts w:ascii="Times New Roman" w:hAnsi="Times New Roman" w:cs="Times New Roman"/>
          <w:sz w:val="24"/>
          <w:szCs w:val="24"/>
          <w:lang w:val="en-US"/>
        </w:rPr>
        <w:t xml:space="preserve">, the diligence shown by the various public institutions to appoint their representatives to the </w:t>
      </w:r>
      <w:r w:rsidR="00D453AB" w:rsidRPr="00232810">
        <w:rPr>
          <w:rFonts w:ascii="Times New Roman" w:hAnsi="Times New Roman" w:cs="Times New Roman"/>
          <w:sz w:val="24"/>
          <w:szCs w:val="24"/>
          <w:lang w:val="en-US"/>
        </w:rPr>
        <w:t>Commission,</w:t>
      </w:r>
      <w:r w:rsidRPr="00232810">
        <w:rPr>
          <w:rFonts w:ascii="Times New Roman" w:hAnsi="Times New Roman" w:cs="Times New Roman"/>
          <w:sz w:val="24"/>
          <w:szCs w:val="24"/>
          <w:lang w:val="en-US"/>
        </w:rPr>
        <w:t xml:space="preserve"> shows his commitment to the full realization of the Special Law to Prevent and </w:t>
      </w:r>
      <w:r w:rsidR="00D453AB" w:rsidRPr="00232810">
        <w:rPr>
          <w:rFonts w:ascii="Times New Roman" w:hAnsi="Times New Roman" w:cs="Times New Roman"/>
          <w:sz w:val="24"/>
          <w:szCs w:val="24"/>
          <w:lang w:val="en-US"/>
        </w:rPr>
        <w:t>Sanction</w:t>
      </w:r>
      <w:r w:rsidRPr="00232810">
        <w:rPr>
          <w:rFonts w:ascii="Times New Roman" w:hAnsi="Times New Roman" w:cs="Times New Roman"/>
          <w:sz w:val="24"/>
          <w:szCs w:val="24"/>
          <w:lang w:val="en-US"/>
        </w:rPr>
        <w:t xml:space="preserve"> Torture and Other </w:t>
      </w:r>
      <w:r w:rsidR="00D453AB" w:rsidRPr="00232810">
        <w:rPr>
          <w:rFonts w:ascii="Times New Roman" w:hAnsi="Times New Roman" w:cs="Times New Roman"/>
          <w:sz w:val="24"/>
          <w:szCs w:val="24"/>
          <w:lang w:val="en-US"/>
        </w:rPr>
        <w:t>Cruel,</w:t>
      </w:r>
      <w:r w:rsidRPr="00232810">
        <w:rPr>
          <w:rFonts w:ascii="Times New Roman" w:hAnsi="Times New Roman" w:cs="Times New Roman"/>
          <w:sz w:val="24"/>
          <w:szCs w:val="24"/>
          <w:lang w:val="en-US"/>
        </w:rPr>
        <w:t xml:space="preserve"> inhuman and Degrading </w:t>
      </w:r>
      <w:r w:rsidR="00D453AB" w:rsidRPr="00232810">
        <w:rPr>
          <w:rFonts w:ascii="Times New Roman" w:hAnsi="Times New Roman" w:cs="Times New Roman"/>
          <w:sz w:val="24"/>
          <w:szCs w:val="24"/>
          <w:lang w:val="en-US"/>
        </w:rPr>
        <w:t>Treatments</w:t>
      </w:r>
      <w:r w:rsidRPr="00232810">
        <w:rPr>
          <w:rFonts w:ascii="Times New Roman" w:hAnsi="Times New Roman" w:cs="Times New Roman"/>
          <w:sz w:val="24"/>
          <w:szCs w:val="24"/>
          <w:lang w:val="en-US"/>
        </w:rPr>
        <w:t>.</w:t>
      </w:r>
    </w:p>
    <w:p w:rsidR="001F49CF" w:rsidRPr="00232810" w:rsidRDefault="00D8532C" w:rsidP="00EB2205">
      <w:pPr>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br/>
      </w:r>
      <w:r w:rsidR="001F49CF" w:rsidRPr="00232810">
        <w:rPr>
          <w:rFonts w:ascii="Times New Roman" w:hAnsi="Times New Roman" w:cs="Times New Roman"/>
          <w:sz w:val="24"/>
          <w:szCs w:val="24"/>
          <w:lang w:val="en-US"/>
        </w:rPr>
        <w:t xml:space="preserve">22. </w:t>
      </w:r>
      <w:r w:rsidRPr="00232810">
        <w:rPr>
          <w:rFonts w:ascii="Times New Roman" w:hAnsi="Times New Roman" w:cs="Times New Roman"/>
          <w:sz w:val="24"/>
          <w:szCs w:val="24"/>
          <w:lang w:val="en-US"/>
        </w:rPr>
        <w:t xml:space="preserve">In October </w:t>
      </w:r>
      <w:r w:rsidR="001F49CF" w:rsidRPr="00232810">
        <w:rPr>
          <w:rFonts w:ascii="Times New Roman" w:hAnsi="Times New Roman" w:cs="Times New Roman"/>
          <w:sz w:val="24"/>
          <w:szCs w:val="24"/>
          <w:lang w:val="en-US"/>
        </w:rPr>
        <w:t>2013,</w:t>
      </w:r>
      <w:r w:rsidRPr="00232810">
        <w:rPr>
          <w:rFonts w:ascii="Times New Roman" w:hAnsi="Times New Roman" w:cs="Times New Roman"/>
          <w:sz w:val="24"/>
          <w:szCs w:val="24"/>
          <w:lang w:val="en-US"/>
        </w:rPr>
        <w:t xml:space="preserve"> the National Commission for the Prevention of Torture and Other </w:t>
      </w:r>
      <w:r w:rsidR="001F49CF" w:rsidRPr="00232810">
        <w:rPr>
          <w:rFonts w:ascii="Times New Roman" w:hAnsi="Times New Roman" w:cs="Times New Roman"/>
          <w:sz w:val="24"/>
          <w:szCs w:val="24"/>
          <w:lang w:val="en-US"/>
        </w:rPr>
        <w:t>Cruel,</w:t>
      </w:r>
      <w:r w:rsidRPr="00232810">
        <w:rPr>
          <w:rFonts w:ascii="Times New Roman" w:hAnsi="Times New Roman" w:cs="Times New Roman"/>
          <w:sz w:val="24"/>
          <w:szCs w:val="24"/>
          <w:lang w:val="en-US"/>
        </w:rPr>
        <w:t xml:space="preserve"> Inhuman or Degrading </w:t>
      </w:r>
      <w:r w:rsidR="00D453AB" w:rsidRPr="00232810">
        <w:rPr>
          <w:rFonts w:ascii="Times New Roman" w:hAnsi="Times New Roman" w:cs="Times New Roman"/>
          <w:sz w:val="24"/>
          <w:szCs w:val="24"/>
          <w:lang w:val="en-US"/>
        </w:rPr>
        <w:t xml:space="preserve">Treatments </w:t>
      </w:r>
      <w:r w:rsidRPr="00232810">
        <w:rPr>
          <w:rFonts w:ascii="Times New Roman" w:hAnsi="Times New Roman" w:cs="Times New Roman"/>
          <w:sz w:val="24"/>
          <w:szCs w:val="24"/>
          <w:lang w:val="en-US"/>
        </w:rPr>
        <w:t xml:space="preserve">approved the </w:t>
      </w:r>
      <w:r w:rsidR="001F49CF" w:rsidRPr="00232810">
        <w:rPr>
          <w:rFonts w:ascii="Times New Roman" w:hAnsi="Times New Roman" w:cs="Times New Roman"/>
          <w:sz w:val="24"/>
          <w:szCs w:val="24"/>
          <w:lang w:val="en-US"/>
        </w:rPr>
        <w:t>“National</w:t>
      </w:r>
      <w:r w:rsidRPr="00232810">
        <w:rPr>
          <w:rFonts w:ascii="Times New Roman" w:hAnsi="Times New Roman" w:cs="Times New Roman"/>
          <w:sz w:val="24"/>
          <w:szCs w:val="24"/>
          <w:lang w:val="en-US"/>
        </w:rPr>
        <w:t xml:space="preserve"> Plan for the Prevention of Torture and Other Cruel, Inhuman or Degrading</w:t>
      </w:r>
      <w:r w:rsidR="00D453AB" w:rsidRPr="00232810">
        <w:rPr>
          <w:rFonts w:ascii="Times New Roman" w:hAnsi="Times New Roman" w:cs="Times New Roman"/>
          <w:sz w:val="24"/>
          <w:szCs w:val="24"/>
          <w:lang w:val="en-US"/>
        </w:rPr>
        <w:t xml:space="preserve"> Treatment”</w:t>
      </w:r>
      <w:r w:rsidR="001F49CF" w:rsidRPr="00232810">
        <w:rPr>
          <w:rFonts w:ascii="Times New Roman" w:hAnsi="Times New Roman" w:cs="Times New Roman"/>
          <w:sz w:val="24"/>
          <w:szCs w:val="24"/>
          <w:lang w:val="en-US"/>
        </w:rPr>
        <w:t xml:space="preserve">. </w:t>
      </w:r>
      <w:r w:rsidRPr="00232810">
        <w:rPr>
          <w:rFonts w:ascii="Times New Roman" w:hAnsi="Times New Roman" w:cs="Times New Roman"/>
          <w:sz w:val="24"/>
          <w:szCs w:val="24"/>
          <w:lang w:val="en-US"/>
        </w:rPr>
        <w:t xml:space="preserve">Under this Plan the Commission </w:t>
      </w:r>
      <w:r w:rsidR="00D453AB" w:rsidRPr="00232810">
        <w:rPr>
          <w:rFonts w:ascii="Times New Roman" w:hAnsi="Times New Roman" w:cs="Times New Roman"/>
          <w:sz w:val="24"/>
          <w:szCs w:val="24"/>
          <w:lang w:val="en-US"/>
        </w:rPr>
        <w:t>assumes as an objective “</w:t>
      </w:r>
      <w:r w:rsidRPr="00232810">
        <w:rPr>
          <w:rFonts w:ascii="Times New Roman" w:hAnsi="Times New Roman" w:cs="Times New Roman"/>
          <w:sz w:val="24"/>
          <w:szCs w:val="24"/>
          <w:lang w:val="en-US"/>
        </w:rPr>
        <w:t xml:space="preserve">Preventing the occurrence of acts of torture or cruel, inhuman or degrading </w:t>
      </w:r>
      <w:r w:rsidR="001F49CF" w:rsidRPr="00232810">
        <w:rPr>
          <w:rFonts w:ascii="Times New Roman" w:hAnsi="Times New Roman" w:cs="Times New Roman"/>
          <w:sz w:val="24"/>
          <w:szCs w:val="24"/>
          <w:lang w:val="en-US"/>
        </w:rPr>
        <w:t>treatment</w:t>
      </w:r>
      <w:r w:rsidR="00D453AB" w:rsidRPr="00232810">
        <w:rPr>
          <w:rFonts w:ascii="Times New Roman" w:hAnsi="Times New Roman" w:cs="Times New Roman"/>
          <w:sz w:val="24"/>
          <w:szCs w:val="24"/>
          <w:lang w:val="en-US"/>
        </w:rPr>
        <w:t>s</w:t>
      </w:r>
      <w:r w:rsidR="001F49CF" w:rsidRPr="00232810">
        <w:rPr>
          <w:rFonts w:ascii="Times New Roman" w:hAnsi="Times New Roman" w:cs="Times New Roman"/>
          <w:sz w:val="24"/>
          <w:szCs w:val="24"/>
          <w:lang w:val="en-US"/>
        </w:rPr>
        <w:t>,</w:t>
      </w:r>
      <w:r w:rsidRPr="00232810">
        <w:rPr>
          <w:rFonts w:ascii="Times New Roman" w:hAnsi="Times New Roman" w:cs="Times New Roman"/>
          <w:sz w:val="24"/>
          <w:szCs w:val="24"/>
          <w:lang w:val="en-US"/>
        </w:rPr>
        <w:t xml:space="preserve"> by transforming the conditions that favor continuous surveillance and on spaces that can host </w:t>
      </w:r>
      <w:r w:rsidR="001F49CF" w:rsidRPr="00232810">
        <w:rPr>
          <w:rFonts w:ascii="Times New Roman" w:hAnsi="Times New Roman" w:cs="Times New Roman"/>
          <w:sz w:val="24"/>
          <w:szCs w:val="24"/>
          <w:lang w:val="en-US"/>
        </w:rPr>
        <w:t>it,</w:t>
      </w:r>
      <w:r w:rsidRPr="00232810">
        <w:rPr>
          <w:rFonts w:ascii="Times New Roman" w:hAnsi="Times New Roman" w:cs="Times New Roman"/>
          <w:sz w:val="24"/>
          <w:szCs w:val="24"/>
          <w:lang w:val="en-US"/>
        </w:rPr>
        <w:t xml:space="preserve"> ensuring full compensation of victims and organized participation of People's </w:t>
      </w:r>
      <w:r w:rsidR="001F49CF" w:rsidRPr="00232810">
        <w:rPr>
          <w:rFonts w:ascii="Times New Roman" w:hAnsi="Times New Roman" w:cs="Times New Roman"/>
          <w:sz w:val="24"/>
          <w:szCs w:val="24"/>
          <w:lang w:val="en-US"/>
        </w:rPr>
        <w:t>Power”</w:t>
      </w:r>
    </w:p>
    <w:p w:rsidR="001F49CF" w:rsidRPr="00232810" w:rsidRDefault="00D8532C" w:rsidP="00EB2205">
      <w:pPr>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br/>
      </w:r>
      <w:r w:rsidR="001F49CF" w:rsidRPr="00232810">
        <w:rPr>
          <w:rFonts w:ascii="Times New Roman" w:hAnsi="Times New Roman" w:cs="Times New Roman"/>
          <w:sz w:val="24"/>
          <w:szCs w:val="24"/>
          <w:lang w:val="en-US"/>
        </w:rPr>
        <w:t xml:space="preserve">23. </w:t>
      </w:r>
      <w:r w:rsidRPr="00232810">
        <w:rPr>
          <w:rFonts w:ascii="Times New Roman" w:hAnsi="Times New Roman" w:cs="Times New Roman"/>
          <w:sz w:val="24"/>
          <w:szCs w:val="24"/>
          <w:lang w:val="en-US"/>
        </w:rPr>
        <w:t xml:space="preserve">To achieve the above </w:t>
      </w:r>
      <w:r w:rsidR="001F49CF" w:rsidRPr="00232810">
        <w:rPr>
          <w:rFonts w:ascii="Times New Roman" w:hAnsi="Times New Roman" w:cs="Times New Roman"/>
          <w:sz w:val="24"/>
          <w:szCs w:val="24"/>
          <w:lang w:val="en-US"/>
        </w:rPr>
        <w:t>objective,</w:t>
      </w:r>
      <w:r w:rsidRPr="00232810">
        <w:rPr>
          <w:rFonts w:ascii="Times New Roman" w:hAnsi="Times New Roman" w:cs="Times New Roman"/>
          <w:sz w:val="24"/>
          <w:szCs w:val="24"/>
          <w:lang w:val="en-US"/>
        </w:rPr>
        <w:t xml:space="preserve"> the Plan is based on four strategic pillars built from the provisions of the </w:t>
      </w:r>
      <w:r w:rsidR="00D453AB" w:rsidRPr="00232810">
        <w:rPr>
          <w:rFonts w:ascii="Times New Roman" w:hAnsi="Times New Roman" w:cs="Times New Roman"/>
          <w:sz w:val="24"/>
          <w:szCs w:val="24"/>
          <w:lang w:val="en-US"/>
        </w:rPr>
        <w:t>Law</w:t>
      </w:r>
      <w:r w:rsidRPr="00232810">
        <w:rPr>
          <w:rFonts w:ascii="Times New Roman" w:hAnsi="Times New Roman" w:cs="Times New Roman"/>
          <w:sz w:val="24"/>
          <w:szCs w:val="24"/>
          <w:lang w:val="en-US"/>
        </w:rPr>
        <w:t xml:space="preserve"> to </w:t>
      </w:r>
      <w:proofErr w:type="gramStart"/>
      <w:r w:rsidRPr="00232810">
        <w:rPr>
          <w:rFonts w:ascii="Times New Roman" w:hAnsi="Times New Roman" w:cs="Times New Roman"/>
          <w:sz w:val="24"/>
          <w:szCs w:val="24"/>
          <w:lang w:val="en-US"/>
        </w:rPr>
        <w:t>Prevent</w:t>
      </w:r>
      <w:proofErr w:type="gramEnd"/>
      <w:r w:rsidRPr="00232810">
        <w:rPr>
          <w:rFonts w:ascii="Times New Roman" w:hAnsi="Times New Roman" w:cs="Times New Roman"/>
          <w:sz w:val="24"/>
          <w:szCs w:val="24"/>
          <w:lang w:val="en-US"/>
        </w:rPr>
        <w:t xml:space="preserve"> and </w:t>
      </w:r>
      <w:r w:rsidR="00D453AB" w:rsidRPr="00232810">
        <w:rPr>
          <w:rFonts w:ascii="Times New Roman" w:hAnsi="Times New Roman" w:cs="Times New Roman"/>
          <w:sz w:val="24"/>
          <w:szCs w:val="24"/>
          <w:lang w:val="en-US"/>
        </w:rPr>
        <w:t>Sanction</w:t>
      </w:r>
      <w:r w:rsidRPr="00232810">
        <w:rPr>
          <w:rFonts w:ascii="Times New Roman" w:hAnsi="Times New Roman" w:cs="Times New Roman"/>
          <w:sz w:val="24"/>
          <w:szCs w:val="24"/>
          <w:lang w:val="en-US"/>
        </w:rPr>
        <w:t xml:space="preserve"> Torture and Other Cruel, Inhuman and Degrading </w:t>
      </w:r>
      <w:r w:rsidR="00D453AB" w:rsidRPr="00232810">
        <w:rPr>
          <w:rFonts w:ascii="Times New Roman" w:hAnsi="Times New Roman" w:cs="Times New Roman"/>
          <w:sz w:val="24"/>
          <w:szCs w:val="24"/>
          <w:lang w:val="en-US"/>
        </w:rPr>
        <w:t>Treatments, the</w:t>
      </w:r>
      <w:r w:rsidRPr="00232810">
        <w:rPr>
          <w:rFonts w:ascii="Times New Roman" w:hAnsi="Times New Roman" w:cs="Times New Roman"/>
          <w:sz w:val="24"/>
          <w:szCs w:val="24"/>
          <w:lang w:val="en-US"/>
        </w:rPr>
        <w:t xml:space="preserve"> Convention and other applicable international and national </w:t>
      </w:r>
      <w:r w:rsidR="001F49CF" w:rsidRPr="00232810">
        <w:rPr>
          <w:rFonts w:ascii="Times New Roman" w:hAnsi="Times New Roman" w:cs="Times New Roman"/>
          <w:sz w:val="24"/>
          <w:szCs w:val="24"/>
          <w:lang w:val="en-US"/>
        </w:rPr>
        <w:t>instruments.</w:t>
      </w:r>
    </w:p>
    <w:p w:rsidR="001F49CF" w:rsidRPr="00232810" w:rsidRDefault="00D8532C" w:rsidP="00EB2205">
      <w:pPr>
        <w:jc w:val="both"/>
        <w:rPr>
          <w:rFonts w:ascii="Times New Roman" w:hAnsi="Times New Roman" w:cs="Times New Roman"/>
          <w:i/>
          <w:sz w:val="24"/>
          <w:szCs w:val="24"/>
          <w:lang w:val="en-US"/>
        </w:rPr>
      </w:pPr>
      <w:r w:rsidRPr="00232810">
        <w:rPr>
          <w:rFonts w:ascii="Times New Roman" w:hAnsi="Times New Roman" w:cs="Times New Roman"/>
          <w:sz w:val="24"/>
          <w:szCs w:val="24"/>
          <w:lang w:val="en-US"/>
        </w:rPr>
        <w:br/>
      </w:r>
      <w:r w:rsidR="001F49CF" w:rsidRPr="00232810">
        <w:rPr>
          <w:rFonts w:ascii="Times New Roman" w:hAnsi="Times New Roman" w:cs="Times New Roman"/>
          <w:sz w:val="24"/>
          <w:szCs w:val="24"/>
          <w:lang w:val="en-US"/>
        </w:rPr>
        <w:t xml:space="preserve">24. </w:t>
      </w:r>
      <w:r w:rsidRPr="00232810">
        <w:rPr>
          <w:rFonts w:ascii="Times New Roman" w:hAnsi="Times New Roman" w:cs="Times New Roman"/>
          <w:sz w:val="24"/>
          <w:szCs w:val="24"/>
          <w:lang w:val="en-US"/>
        </w:rPr>
        <w:t xml:space="preserve">The first strategic axis is called </w:t>
      </w:r>
      <w:r w:rsidR="00D453AB" w:rsidRPr="00232810">
        <w:rPr>
          <w:rFonts w:ascii="Times New Roman" w:hAnsi="Times New Roman" w:cs="Times New Roman"/>
          <w:i/>
          <w:sz w:val="24"/>
          <w:szCs w:val="24"/>
          <w:lang w:val="en-US"/>
        </w:rPr>
        <w:t>“</w:t>
      </w:r>
      <w:r w:rsidRPr="00232810">
        <w:rPr>
          <w:rFonts w:ascii="Times New Roman" w:hAnsi="Times New Roman" w:cs="Times New Roman"/>
          <w:i/>
          <w:sz w:val="24"/>
          <w:szCs w:val="24"/>
          <w:lang w:val="en-US"/>
        </w:rPr>
        <w:t>Culture of respect for personal integrity</w:t>
      </w:r>
      <w:r w:rsidR="00D453AB" w:rsidRPr="00232810">
        <w:rPr>
          <w:rFonts w:ascii="Times New Roman" w:hAnsi="Times New Roman" w:cs="Times New Roman"/>
          <w:i/>
          <w:sz w:val="24"/>
          <w:szCs w:val="24"/>
          <w:lang w:val="en-US"/>
        </w:rPr>
        <w:t>”</w:t>
      </w:r>
      <w:r w:rsidRPr="00232810">
        <w:rPr>
          <w:rFonts w:ascii="Times New Roman" w:hAnsi="Times New Roman" w:cs="Times New Roman"/>
          <w:i/>
          <w:sz w:val="24"/>
          <w:szCs w:val="24"/>
          <w:lang w:val="en-US"/>
        </w:rPr>
        <w:t xml:space="preserve"> </w:t>
      </w:r>
      <w:r w:rsidRPr="00232810">
        <w:rPr>
          <w:rFonts w:ascii="Times New Roman" w:hAnsi="Times New Roman" w:cs="Times New Roman"/>
          <w:sz w:val="24"/>
          <w:szCs w:val="24"/>
          <w:lang w:val="en-US"/>
        </w:rPr>
        <w:t xml:space="preserve">and aims to </w:t>
      </w:r>
      <w:r w:rsidR="001F49CF" w:rsidRPr="00232810">
        <w:rPr>
          <w:rFonts w:ascii="Times New Roman" w:hAnsi="Times New Roman" w:cs="Times New Roman"/>
          <w:i/>
          <w:sz w:val="24"/>
          <w:szCs w:val="24"/>
          <w:lang w:val="en-US"/>
        </w:rPr>
        <w:t>“Build</w:t>
      </w:r>
      <w:r w:rsidRPr="00232810">
        <w:rPr>
          <w:rFonts w:ascii="Times New Roman" w:hAnsi="Times New Roman" w:cs="Times New Roman"/>
          <w:i/>
          <w:sz w:val="24"/>
          <w:szCs w:val="24"/>
          <w:lang w:val="en-US"/>
        </w:rPr>
        <w:t xml:space="preserve"> a culture of respect for human rights, especially the right to personal integrity and the prohibition of torture, the officials serving Venezuelan state and service workers in private schools subject to practices of torture and cruel, inhuman or degrading treatment. "</w:t>
      </w:r>
    </w:p>
    <w:p w:rsidR="001F49CF" w:rsidRPr="00232810" w:rsidRDefault="00D8532C" w:rsidP="00EB2205">
      <w:pPr>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br/>
      </w:r>
      <w:r w:rsidR="001F49CF" w:rsidRPr="00232810">
        <w:rPr>
          <w:rFonts w:ascii="Times New Roman" w:hAnsi="Times New Roman" w:cs="Times New Roman"/>
          <w:sz w:val="24"/>
          <w:szCs w:val="24"/>
          <w:lang w:val="en-US"/>
        </w:rPr>
        <w:t xml:space="preserve">25. </w:t>
      </w:r>
      <w:r w:rsidRPr="00232810">
        <w:rPr>
          <w:rFonts w:ascii="Times New Roman" w:hAnsi="Times New Roman" w:cs="Times New Roman"/>
          <w:sz w:val="24"/>
          <w:szCs w:val="24"/>
          <w:lang w:val="en-US"/>
        </w:rPr>
        <w:t xml:space="preserve">The second strategic axis is called </w:t>
      </w:r>
      <w:r w:rsidR="001F49CF" w:rsidRPr="00232810">
        <w:rPr>
          <w:rFonts w:ascii="Times New Roman" w:hAnsi="Times New Roman" w:cs="Times New Roman"/>
          <w:i/>
          <w:sz w:val="24"/>
          <w:szCs w:val="24"/>
          <w:lang w:val="en-US"/>
        </w:rPr>
        <w:t>“</w:t>
      </w:r>
      <w:r w:rsidR="006868A5" w:rsidRPr="00232810">
        <w:rPr>
          <w:rFonts w:ascii="Times New Roman" w:hAnsi="Times New Roman" w:cs="Times New Roman"/>
          <w:i/>
          <w:sz w:val="24"/>
          <w:szCs w:val="24"/>
          <w:lang w:val="en-US"/>
        </w:rPr>
        <w:t>Free spaces</w:t>
      </w:r>
      <w:r w:rsidRPr="00232810">
        <w:rPr>
          <w:rFonts w:ascii="Times New Roman" w:hAnsi="Times New Roman" w:cs="Times New Roman"/>
          <w:i/>
          <w:sz w:val="24"/>
          <w:szCs w:val="24"/>
          <w:lang w:val="en-US"/>
        </w:rPr>
        <w:t xml:space="preserve"> of torture and other cruel, inhuman or degrading treatment</w:t>
      </w:r>
      <w:r w:rsidR="006868A5" w:rsidRPr="00232810">
        <w:rPr>
          <w:rFonts w:ascii="Times New Roman" w:hAnsi="Times New Roman" w:cs="Times New Roman"/>
          <w:i/>
          <w:sz w:val="24"/>
          <w:szCs w:val="24"/>
          <w:lang w:val="en-US"/>
        </w:rPr>
        <w:t>s</w:t>
      </w:r>
      <w:r w:rsidR="001F49CF" w:rsidRPr="00232810">
        <w:rPr>
          <w:rFonts w:ascii="Times New Roman" w:hAnsi="Times New Roman" w:cs="Times New Roman"/>
          <w:i/>
          <w:sz w:val="24"/>
          <w:szCs w:val="24"/>
          <w:lang w:val="en-US"/>
        </w:rPr>
        <w:t>”.</w:t>
      </w:r>
      <w:r w:rsidR="001F49CF" w:rsidRPr="00232810">
        <w:rPr>
          <w:rFonts w:ascii="Times New Roman" w:hAnsi="Times New Roman" w:cs="Times New Roman"/>
          <w:sz w:val="24"/>
          <w:szCs w:val="24"/>
          <w:lang w:val="en-US"/>
        </w:rPr>
        <w:t xml:space="preserve"> </w:t>
      </w:r>
      <w:r w:rsidRPr="00232810">
        <w:rPr>
          <w:rFonts w:ascii="Times New Roman" w:hAnsi="Times New Roman" w:cs="Times New Roman"/>
          <w:sz w:val="24"/>
          <w:szCs w:val="24"/>
          <w:lang w:val="en-US"/>
        </w:rPr>
        <w:t xml:space="preserve">This axis aims to </w:t>
      </w:r>
      <w:r w:rsidR="001F49CF" w:rsidRPr="00232810">
        <w:rPr>
          <w:rFonts w:ascii="Times New Roman" w:hAnsi="Times New Roman" w:cs="Times New Roman"/>
          <w:sz w:val="24"/>
          <w:szCs w:val="24"/>
          <w:lang w:val="en-US"/>
        </w:rPr>
        <w:t>“</w:t>
      </w:r>
      <w:r w:rsidR="006868A5" w:rsidRPr="00232810">
        <w:rPr>
          <w:rFonts w:ascii="Times New Roman" w:hAnsi="Times New Roman" w:cs="Times New Roman"/>
          <w:sz w:val="24"/>
          <w:szCs w:val="24"/>
          <w:lang w:val="en-US"/>
        </w:rPr>
        <w:t>F</w:t>
      </w:r>
      <w:r w:rsidR="001F49CF" w:rsidRPr="00232810">
        <w:rPr>
          <w:rFonts w:ascii="Times New Roman" w:hAnsi="Times New Roman" w:cs="Times New Roman"/>
          <w:sz w:val="24"/>
          <w:szCs w:val="24"/>
          <w:lang w:val="en-US"/>
        </w:rPr>
        <w:t>oster</w:t>
      </w:r>
      <w:r w:rsidRPr="00232810">
        <w:rPr>
          <w:rFonts w:ascii="Times New Roman" w:hAnsi="Times New Roman" w:cs="Times New Roman"/>
          <w:sz w:val="24"/>
          <w:szCs w:val="24"/>
          <w:lang w:val="en-US"/>
        </w:rPr>
        <w:t xml:space="preserve"> the eradication of structural and situational conditions that favor the occurrence of acts of torture and other cruel, inhuman or degrading treatment</w:t>
      </w:r>
      <w:r w:rsidR="00EE4922" w:rsidRPr="00232810">
        <w:rPr>
          <w:rFonts w:ascii="Times New Roman" w:hAnsi="Times New Roman" w:cs="Times New Roman"/>
          <w:sz w:val="24"/>
          <w:szCs w:val="24"/>
          <w:lang w:val="en-US"/>
        </w:rPr>
        <w:t>s</w:t>
      </w:r>
      <w:r w:rsidRPr="00232810">
        <w:rPr>
          <w:rFonts w:ascii="Times New Roman" w:hAnsi="Times New Roman" w:cs="Times New Roman"/>
          <w:sz w:val="24"/>
          <w:szCs w:val="24"/>
          <w:lang w:val="en-US"/>
        </w:rPr>
        <w:t xml:space="preserve"> in public or private establishments where remain</w:t>
      </w:r>
      <w:r w:rsidR="00EE4922" w:rsidRPr="00232810">
        <w:rPr>
          <w:rFonts w:ascii="Times New Roman" w:hAnsi="Times New Roman" w:cs="Times New Roman"/>
          <w:sz w:val="24"/>
          <w:szCs w:val="24"/>
          <w:lang w:val="en-US"/>
        </w:rPr>
        <w:t xml:space="preserve"> persons</w:t>
      </w:r>
      <w:r w:rsidRPr="00232810">
        <w:rPr>
          <w:rFonts w:ascii="Times New Roman" w:hAnsi="Times New Roman" w:cs="Times New Roman"/>
          <w:sz w:val="24"/>
          <w:szCs w:val="24"/>
          <w:lang w:val="en-US"/>
        </w:rPr>
        <w:t xml:space="preserve"> arrested, detained or interned against their will "</w:t>
      </w:r>
    </w:p>
    <w:p w:rsidR="0085292B" w:rsidRPr="00232810" w:rsidRDefault="00D8532C" w:rsidP="00EB2205">
      <w:pPr>
        <w:jc w:val="both"/>
        <w:rPr>
          <w:rFonts w:ascii="Times New Roman" w:hAnsi="Times New Roman" w:cs="Times New Roman"/>
          <w:i/>
          <w:sz w:val="24"/>
          <w:szCs w:val="24"/>
          <w:lang w:val="en-US"/>
        </w:rPr>
      </w:pPr>
      <w:r w:rsidRPr="00232810">
        <w:rPr>
          <w:rFonts w:ascii="Times New Roman" w:hAnsi="Times New Roman" w:cs="Times New Roman"/>
          <w:sz w:val="24"/>
          <w:szCs w:val="24"/>
          <w:lang w:val="en-US"/>
        </w:rPr>
        <w:br/>
      </w:r>
      <w:r w:rsidR="001F49CF" w:rsidRPr="00232810">
        <w:rPr>
          <w:rFonts w:ascii="Times New Roman" w:hAnsi="Times New Roman" w:cs="Times New Roman"/>
          <w:sz w:val="24"/>
          <w:szCs w:val="24"/>
          <w:lang w:val="en-US"/>
        </w:rPr>
        <w:t xml:space="preserve">26. </w:t>
      </w:r>
      <w:r w:rsidRPr="00232810">
        <w:rPr>
          <w:rFonts w:ascii="Times New Roman" w:hAnsi="Times New Roman" w:cs="Times New Roman"/>
          <w:sz w:val="24"/>
          <w:szCs w:val="24"/>
          <w:lang w:val="en-US"/>
        </w:rPr>
        <w:t xml:space="preserve">The third pillar of the National Strategic Plan for the Prevention of Torture is </w:t>
      </w:r>
      <w:r w:rsidR="001F49CF" w:rsidRPr="00232810">
        <w:rPr>
          <w:rFonts w:ascii="Times New Roman" w:hAnsi="Times New Roman" w:cs="Times New Roman"/>
          <w:sz w:val="24"/>
          <w:szCs w:val="24"/>
          <w:lang w:val="en-US"/>
        </w:rPr>
        <w:t>“Defense</w:t>
      </w:r>
      <w:r w:rsidRPr="00232810">
        <w:rPr>
          <w:rFonts w:ascii="Times New Roman" w:hAnsi="Times New Roman" w:cs="Times New Roman"/>
          <w:sz w:val="24"/>
          <w:szCs w:val="24"/>
          <w:lang w:val="en-US"/>
        </w:rPr>
        <w:t xml:space="preserve"> and comprehensive care for victims of torture and other cruel, inhuman or degrading treatment</w:t>
      </w:r>
      <w:r w:rsidR="00EE4922" w:rsidRPr="00232810">
        <w:rPr>
          <w:rFonts w:ascii="Times New Roman" w:hAnsi="Times New Roman" w:cs="Times New Roman"/>
          <w:sz w:val="24"/>
          <w:szCs w:val="24"/>
          <w:lang w:val="en-US"/>
        </w:rPr>
        <w:t>s</w:t>
      </w:r>
      <w:r w:rsidR="001F49CF" w:rsidRPr="00232810">
        <w:rPr>
          <w:rFonts w:ascii="Times New Roman" w:hAnsi="Times New Roman" w:cs="Times New Roman"/>
          <w:sz w:val="24"/>
          <w:szCs w:val="24"/>
          <w:lang w:val="en-US"/>
        </w:rPr>
        <w:t xml:space="preserve">”. </w:t>
      </w:r>
      <w:r w:rsidRPr="00232810">
        <w:rPr>
          <w:rFonts w:ascii="Times New Roman" w:hAnsi="Times New Roman" w:cs="Times New Roman"/>
          <w:sz w:val="24"/>
          <w:szCs w:val="24"/>
          <w:lang w:val="en-US"/>
        </w:rPr>
        <w:t xml:space="preserve">With the establishment of this axis </w:t>
      </w:r>
      <w:r w:rsidR="00EE4922" w:rsidRPr="00232810">
        <w:rPr>
          <w:rFonts w:ascii="Times New Roman" w:hAnsi="Times New Roman" w:cs="Times New Roman"/>
          <w:sz w:val="24"/>
          <w:szCs w:val="24"/>
          <w:lang w:val="en-US"/>
        </w:rPr>
        <w:t xml:space="preserve">it is intended </w:t>
      </w:r>
      <w:r w:rsidRPr="00232810">
        <w:rPr>
          <w:rFonts w:ascii="Times New Roman" w:hAnsi="Times New Roman" w:cs="Times New Roman"/>
          <w:sz w:val="24"/>
          <w:szCs w:val="24"/>
          <w:lang w:val="en-US"/>
        </w:rPr>
        <w:t xml:space="preserve">to </w:t>
      </w:r>
      <w:r w:rsidR="001F49CF" w:rsidRPr="00232810">
        <w:rPr>
          <w:rFonts w:ascii="Times New Roman" w:hAnsi="Times New Roman" w:cs="Times New Roman"/>
          <w:i/>
          <w:sz w:val="24"/>
          <w:szCs w:val="24"/>
          <w:lang w:val="en-US"/>
        </w:rPr>
        <w:t>“Generate</w:t>
      </w:r>
      <w:r w:rsidRPr="00232810">
        <w:rPr>
          <w:rFonts w:ascii="Times New Roman" w:hAnsi="Times New Roman" w:cs="Times New Roman"/>
          <w:i/>
          <w:sz w:val="24"/>
          <w:szCs w:val="24"/>
          <w:lang w:val="en-US"/>
        </w:rPr>
        <w:t xml:space="preserve"> mechanisms for comprehensive care, repa</w:t>
      </w:r>
      <w:r w:rsidR="007F1F9F" w:rsidRPr="00232810">
        <w:rPr>
          <w:rFonts w:ascii="Times New Roman" w:hAnsi="Times New Roman" w:cs="Times New Roman"/>
          <w:i/>
          <w:sz w:val="24"/>
          <w:szCs w:val="24"/>
          <w:lang w:val="en-US"/>
        </w:rPr>
        <w:t xml:space="preserve">ration </w:t>
      </w:r>
      <w:r w:rsidRPr="00232810">
        <w:rPr>
          <w:rFonts w:ascii="Times New Roman" w:hAnsi="Times New Roman" w:cs="Times New Roman"/>
          <w:i/>
          <w:sz w:val="24"/>
          <w:szCs w:val="24"/>
          <w:lang w:val="en-US"/>
        </w:rPr>
        <w:t>and rehabilitation of victims of torture and other cruel, inhuman or degrading treatment</w:t>
      </w:r>
      <w:r w:rsidR="00EE4922" w:rsidRPr="00232810">
        <w:rPr>
          <w:rFonts w:ascii="Times New Roman" w:hAnsi="Times New Roman" w:cs="Times New Roman"/>
          <w:i/>
          <w:sz w:val="24"/>
          <w:szCs w:val="24"/>
          <w:lang w:val="en-US"/>
        </w:rPr>
        <w:t>s</w:t>
      </w:r>
      <w:r w:rsidRPr="00232810">
        <w:rPr>
          <w:rFonts w:ascii="Times New Roman" w:hAnsi="Times New Roman" w:cs="Times New Roman"/>
          <w:i/>
          <w:sz w:val="24"/>
          <w:szCs w:val="24"/>
          <w:lang w:val="en-US"/>
        </w:rPr>
        <w:t xml:space="preserve"> and </w:t>
      </w:r>
      <w:r w:rsidR="007F1F9F" w:rsidRPr="00232810">
        <w:rPr>
          <w:rFonts w:ascii="Times New Roman" w:hAnsi="Times New Roman" w:cs="Times New Roman"/>
          <w:i/>
          <w:sz w:val="24"/>
          <w:szCs w:val="24"/>
          <w:lang w:val="en-US"/>
        </w:rPr>
        <w:t>Sanctions</w:t>
      </w:r>
      <w:r w:rsidRPr="00232810">
        <w:rPr>
          <w:rFonts w:ascii="Times New Roman" w:hAnsi="Times New Roman" w:cs="Times New Roman"/>
          <w:i/>
          <w:sz w:val="24"/>
          <w:szCs w:val="24"/>
          <w:lang w:val="en-US"/>
        </w:rPr>
        <w:t xml:space="preserve"> of those responsible and the eradication of the factors that facilitate or favor</w:t>
      </w:r>
      <w:r w:rsidR="007F1F9F" w:rsidRPr="00232810">
        <w:rPr>
          <w:rFonts w:ascii="Times New Roman" w:hAnsi="Times New Roman" w:cs="Times New Roman"/>
          <w:i/>
          <w:sz w:val="24"/>
          <w:szCs w:val="24"/>
          <w:lang w:val="en-US"/>
        </w:rPr>
        <w:t xml:space="preserve"> it</w:t>
      </w:r>
      <w:r w:rsidR="00EE4922" w:rsidRPr="00232810">
        <w:rPr>
          <w:rFonts w:ascii="Times New Roman" w:hAnsi="Times New Roman" w:cs="Times New Roman"/>
          <w:i/>
          <w:sz w:val="24"/>
          <w:szCs w:val="24"/>
          <w:lang w:val="en-US"/>
        </w:rPr>
        <w:t>”.</w:t>
      </w:r>
    </w:p>
    <w:p w:rsidR="00232810" w:rsidRPr="00232810" w:rsidRDefault="00232810" w:rsidP="00EB2205">
      <w:pPr>
        <w:jc w:val="both"/>
        <w:rPr>
          <w:rFonts w:ascii="Times New Roman" w:hAnsi="Times New Roman" w:cs="Times New Roman"/>
          <w:i/>
          <w:sz w:val="24"/>
          <w:szCs w:val="24"/>
          <w:lang w:val="en-US"/>
        </w:rPr>
      </w:pPr>
    </w:p>
    <w:p w:rsidR="00232810" w:rsidRPr="00232810" w:rsidRDefault="00232810" w:rsidP="00232810">
      <w:pPr>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lastRenderedPageBreak/>
        <w:t>27. The fourth strategic pillar is called “National Movement for the prevention of torture and other cruel, inhuman or degrading treatment" and aims to " Building a national movement around respect for personal integrity and the prohibition of torture, which contributes to avoid the occurrence of such events and to establish the responsibilities of the case, through the effective and timely complaint”.</w:t>
      </w:r>
    </w:p>
    <w:p w:rsidR="00232810" w:rsidRPr="00232810" w:rsidRDefault="00232810" w:rsidP="00232810">
      <w:pPr>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t xml:space="preserve">28. The </w:t>
      </w:r>
      <w:r w:rsidRPr="00232810">
        <w:rPr>
          <w:rFonts w:ascii="Times New Roman" w:hAnsi="Times New Roman" w:cs="Times New Roman"/>
          <w:bCs/>
          <w:sz w:val="24"/>
          <w:szCs w:val="24"/>
          <w:lang w:val="en-US"/>
        </w:rPr>
        <w:t xml:space="preserve">Defensoría </w:t>
      </w:r>
      <w:proofErr w:type="gramStart"/>
      <w:r w:rsidRPr="00232810">
        <w:rPr>
          <w:rFonts w:ascii="Times New Roman" w:hAnsi="Times New Roman" w:cs="Times New Roman"/>
          <w:bCs/>
          <w:sz w:val="24"/>
          <w:szCs w:val="24"/>
          <w:lang w:val="en-US"/>
        </w:rPr>
        <w:t>del</w:t>
      </w:r>
      <w:proofErr w:type="gramEnd"/>
      <w:r w:rsidRPr="00232810">
        <w:rPr>
          <w:rFonts w:ascii="Times New Roman" w:hAnsi="Times New Roman" w:cs="Times New Roman"/>
          <w:bCs/>
          <w:sz w:val="24"/>
          <w:szCs w:val="24"/>
          <w:lang w:val="en-US"/>
        </w:rPr>
        <w:t xml:space="preserve"> Pueblo </w:t>
      </w:r>
      <w:r w:rsidRPr="00232810">
        <w:rPr>
          <w:rFonts w:ascii="Times New Roman" w:hAnsi="Times New Roman" w:cs="Times New Roman"/>
          <w:sz w:val="24"/>
          <w:szCs w:val="24"/>
          <w:lang w:val="en-US"/>
        </w:rPr>
        <w:t>considers that the effective implementation of the National Plan for the Prevention of Torture requires the commitment and willingness of all state institutions linked to this matter. The National Human Rights Institution encourages the State to maintain and strengthen the efforts, incorporating the pillars of the Plan within their respective projects and actions.</w:t>
      </w:r>
    </w:p>
    <w:p w:rsidR="00232810" w:rsidRPr="00232810" w:rsidRDefault="00232810" w:rsidP="00232810">
      <w:pPr>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br/>
        <w:t>29. The National Human Rights Institution welcomes the actions developed by the State to ensure the right to humane treatment by police officers. In that sense, it recognizes the adoption of the Organic Law of Police Service and the Bolivarian National Police</w:t>
      </w:r>
      <w:r w:rsidRPr="00232810">
        <w:rPr>
          <w:rStyle w:val="Funotenzeichen"/>
          <w:rFonts w:ascii="Times New Roman" w:hAnsi="Times New Roman" w:cs="Times New Roman"/>
          <w:sz w:val="24"/>
          <w:szCs w:val="24"/>
        </w:rPr>
        <w:footnoteReference w:id="25"/>
      </w:r>
      <w:r w:rsidRPr="00232810">
        <w:rPr>
          <w:rFonts w:ascii="Times New Roman" w:hAnsi="Times New Roman" w:cs="Times New Roman"/>
          <w:sz w:val="24"/>
          <w:szCs w:val="24"/>
          <w:lang w:val="en-US"/>
        </w:rPr>
        <w:t>, with which, for the first time in republican history the key aspects related to police service and the performance of existing police forces were regulated in the country at national, state and municipal level.</w:t>
      </w:r>
    </w:p>
    <w:p w:rsidR="00232810" w:rsidRPr="00232810" w:rsidRDefault="00232810" w:rsidP="00232810">
      <w:pPr>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t>30. The Organic Law of Police Service and the Bolivarian National Police is one of the unpublished results of police reform process initiated in 2006 in order to eradicate practices that violate human rights historically entrenched and gives people a service police in harmony with the principles of the Constitution of the Bolivarian Republic of Venezuela.</w:t>
      </w:r>
    </w:p>
    <w:p w:rsidR="00232810" w:rsidRPr="00232810" w:rsidRDefault="00232810" w:rsidP="00232810">
      <w:pPr>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br/>
        <w:t>31. This legislation designed a new policing model which, being in harmony with the principles of the Bolivarian Constitution, assumes full respect for the human rights of all people, as his axiological foundation and its transverse axis. Indeed, according to the Organic Law of Police Service and the Bolivarian National Police, respect and protection of human rights is one of the objectives of the police service, a guiding principle, a duty for the officer and a basic rule governing their actions</w:t>
      </w:r>
      <w:r w:rsidRPr="00232810">
        <w:rPr>
          <w:rStyle w:val="Funotenzeichen"/>
          <w:rFonts w:ascii="Times New Roman" w:hAnsi="Times New Roman" w:cs="Times New Roman"/>
          <w:sz w:val="24"/>
          <w:szCs w:val="24"/>
        </w:rPr>
        <w:footnoteReference w:id="26"/>
      </w:r>
      <w:r w:rsidRPr="00232810">
        <w:rPr>
          <w:rFonts w:ascii="Times New Roman" w:hAnsi="Times New Roman" w:cs="Times New Roman"/>
          <w:sz w:val="24"/>
          <w:szCs w:val="24"/>
          <w:lang w:val="en-US"/>
        </w:rPr>
        <w:t>.</w:t>
      </w:r>
    </w:p>
    <w:p w:rsidR="00232810" w:rsidRPr="00232810" w:rsidRDefault="00232810" w:rsidP="00232810">
      <w:pPr>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t xml:space="preserve">32. The National Human Rights Institution welcomes the creation of the Bolivarian National Police. The NHRI conducted in 2011 a report by which the performance of the first deployment of the National Police in Sucre parish, </w:t>
      </w:r>
      <w:proofErr w:type="spellStart"/>
      <w:r w:rsidRPr="00232810">
        <w:rPr>
          <w:rFonts w:ascii="Times New Roman" w:hAnsi="Times New Roman" w:cs="Times New Roman"/>
          <w:sz w:val="24"/>
          <w:szCs w:val="24"/>
          <w:lang w:val="en-US"/>
        </w:rPr>
        <w:t>Libertador</w:t>
      </w:r>
      <w:proofErr w:type="spellEnd"/>
      <w:r w:rsidRPr="00232810">
        <w:rPr>
          <w:rFonts w:ascii="Times New Roman" w:hAnsi="Times New Roman" w:cs="Times New Roman"/>
          <w:sz w:val="24"/>
          <w:szCs w:val="24"/>
          <w:lang w:val="en-US"/>
        </w:rPr>
        <w:t xml:space="preserve"> municipality of Caracas was evaluated. At that time, 77.4% of people surveyed in Sucre parish rated between “good" (48.2%) or </w:t>
      </w:r>
      <w:proofErr w:type="gramStart"/>
      <w:r w:rsidRPr="00232810">
        <w:rPr>
          <w:rFonts w:ascii="Times New Roman" w:hAnsi="Times New Roman" w:cs="Times New Roman"/>
          <w:sz w:val="24"/>
          <w:szCs w:val="24"/>
          <w:lang w:val="en-US"/>
        </w:rPr>
        <w:t>" very</w:t>
      </w:r>
      <w:proofErr w:type="gramEnd"/>
      <w:r w:rsidRPr="00232810">
        <w:rPr>
          <w:rFonts w:ascii="Times New Roman" w:hAnsi="Times New Roman" w:cs="Times New Roman"/>
          <w:sz w:val="24"/>
          <w:szCs w:val="24"/>
          <w:lang w:val="en-US"/>
        </w:rPr>
        <w:t xml:space="preserve"> good" ( 29.2%) the treatment by officials of the Bolivarian National Police . This data, in the context of police history, is significant because it </w:t>
      </w:r>
      <w:r w:rsidRPr="00232810">
        <w:rPr>
          <w:rFonts w:ascii="Times New Roman" w:hAnsi="Times New Roman" w:cs="Times New Roman"/>
          <w:sz w:val="24"/>
          <w:szCs w:val="24"/>
          <w:lang w:val="en-US"/>
        </w:rPr>
        <w:lastRenderedPageBreak/>
        <w:t>indicates the genesis and positioning, at least at the level of the parish, a picture of a police force that respects human rights in their dealings with the public.</w:t>
      </w:r>
    </w:p>
    <w:p w:rsidR="00232810" w:rsidRPr="00232810" w:rsidRDefault="00232810" w:rsidP="00232810">
      <w:pPr>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t xml:space="preserve">33. However, the </w:t>
      </w:r>
      <w:r w:rsidRPr="00232810">
        <w:rPr>
          <w:rFonts w:ascii="Times New Roman" w:hAnsi="Times New Roman" w:cs="Times New Roman"/>
          <w:bCs/>
          <w:sz w:val="24"/>
          <w:szCs w:val="24"/>
          <w:lang w:val="en-US"/>
        </w:rPr>
        <w:t xml:space="preserve">Defensoría </w:t>
      </w:r>
      <w:proofErr w:type="gramStart"/>
      <w:r w:rsidRPr="00232810">
        <w:rPr>
          <w:rFonts w:ascii="Times New Roman" w:hAnsi="Times New Roman" w:cs="Times New Roman"/>
          <w:bCs/>
          <w:sz w:val="24"/>
          <w:szCs w:val="24"/>
          <w:lang w:val="en-US"/>
        </w:rPr>
        <w:t>del</w:t>
      </w:r>
      <w:proofErr w:type="gramEnd"/>
      <w:r w:rsidRPr="00232810">
        <w:rPr>
          <w:rFonts w:ascii="Times New Roman" w:hAnsi="Times New Roman" w:cs="Times New Roman"/>
          <w:bCs/>
          <w:sz w:val="24"/>
          <w:szCs w:val="24"/>
          <w:lang w:val="en-US"/>
        </w:rPr>
        <w:t xml:space="preserve"> Pueblo</w:t>
      </w:r>
      <w:r w:rsidRPr="00232810">
        <w:rPr>
          <w:rFonts w:ascii="Times New Roman" w:hAnsi="Times New Roman" w:cs="Times New Roman"/>
          <w:sz w:val="24"/>
          <w:szCs w:val="24"/>
          <w:lang w:val="en-US"/>
        </w:rPr>
        <w:t xml:space="preserve"> is concerned that the vast majority of respondents (69.4%) did not know the places where they can report officials of National Police in case they commit any violation of human rights. Therefore, it is recommended to increase efforts to inform the community about the mechanisms and places through which prosecute complaints of alleged human rights violations committed by officials of National Police.</w:t>
      </w:r>
    </w:p>
    <w:p w:rsidR="00232810" w:rsidRPr="00232810" w:rsidRDefault="00232810" w:rsidP="00232810">
      <w:pPr>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br/>
        <w:t>34. The National Human Rights Institution welcomes the adoption of the Rules and Principles for the Progressive and Differential Use of Force by Police officials and officers of the Police in its various territorial political scopes</w:t>
      </w:r>
      <w:r w:rsidRPr="00232810">
        <w:rPr>
          <w:rStyle w:val="Funotenzeichen"/>
          <w:rFonts w:ascii="Times New Roman" w:hAnsi="Times New Roman" w:cs="Times New Roman"/>
          <w:sz w:val="24"/>
          <w:szCs w:val="24"/>
        </w:rPr>
        <w:footnoteReference w:id="27"/>
      </w:r>
      <w:r w:rsidRPr="00232810">
        <w:rPr>
          <w:rFonts w:ascii="Times New Roman" w:hAnsi="Times New Roman" w:cs="Times New Roman"/>
          <w:sz w:val="24"/>
          <w:szCs w:val="24"/>
          <w:lang w:val="en-US"/>
        </w:rPr>
        <w:t>, through which criteria and principles that guide the use of police force in response to the level of resistance of the citizen are established.</w:t>
      </w:r>
    </w:p>
    <w:p w:rsidR="00232810" w:rsidRPr="00232810" w:rsidRDefault="00232810" w:rsidP="00232810">
      <w:pPr>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br/>
        <w:t>35. Similarly, the National Human Rights Institution welcomes the adoption of the Rules on the performance of the Police in its various territorial policy areas to ensure public order, social peace and coexistence among citizens in public meetings and demonstrations</w:t>
      </w:r>
      <w:r w:rsidRPr="00232810">
        <w:rPr>
          <w:rStyle w:val="Funotenzeichen"/>
          <w:rFonts w:ascii="Times New Roman" w:hAnsi="Times New Roman" w:cs="Times New Roman"/>
          <w:sz w:val="24"/>
          <w:szCs w:val="24"/>
        </w:rPr>
        <w:footnoteReference w:id="28"/>
      </w:r>
      <w:r w:rsidRPr="00232810">
        <w:rPr>
          <w:rFonts w:ascii="Times New Roman" w:hAnsi="Times New Roman" w:cs="Times New Roman"/>
          <w:sz w:val="24"/>
          <w:szCs w:val="24"/>
          <w:lang w:val="en-US"/>
        </w:rPr>
        <w:t>. These rules regulate the actions of the police to ensure public order, social peace and peaceful coexistence in public meetings and demonstrations, under a culture of protection of human rights, all in harmony with the guidelines of the new Venezuelan police model.</w:t>
      </w:r>
    </w:p>
    <w:p w:rsidR="00232810" w:rsidRPr="00232810" w:rsidRDefault="00232810" w:rsidP="00232810">
      <w:pPr>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t>36. The organization commends the action taken by the Venezuelan state of reshaping the Body of Scientific, Penal and Criminal Investigations (CICPC). The Organic Law of Police Service Research, the CICPC and the National Medicine and Forensic Sciences were approved within the frame of this process.</w:t>
      </w:r>
    </w:p>
    <w:p w:rsidR="00232810" w:rsidRPr="00232810" w:rsidRDefault="00232810" w:rsidP="00232810">
      <w:pPr>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t xml:space="preserve">37. The </w:t>
      </w:r>
      <w:r w:rsidRPr="00232810">
        <w:rPr>
          <w:rFonts w:ascii="Times New Roman" w:hAnsi="Times New Roman" w:cs="Times New Roman"/>
          <w:bCs/>
          <w:sz w:val="24"/>
          <w:szCs w:val="24"/>
          <w:lang w:val="en-US"/>
        </w:rPr>
        <w:t xml:space="preserve">Defensoría </w:t>
      </w:r>
      <w:proofErr w:type="gramStart"/>
      <w:r w:rsidRPr="00232810">
        <w:rPr>
          <w:rFonts w:ascii="Times New Roman" w:hAnsi="Times New Roman" w:cs="Times New Roman"/>
          <w:bCs/>
          <w:sz w:val="24"/>
          <w:szCs w:val="24"/>
          <w:lang w:val="en-US"/>
        </w:rPr>
        <w:t>del</w:t>
      </w:r>
      <w:proofErr w:type="gramEnd"/>
      <w:r w:rsidRPr="00232810">
        <w:rPr>
          <w:rFonts w:ascii="Times New Roman" w:hAnsi="Times New Roman" w:cs="Times New Roman"/>
          <w:bCs/>
          <w:sz w:val="24"/>
          <w:szCs w:val="24"/>
          <w:lang w:val="en-US"/>
        </w:rPr>
        <w:t xml:space="preserve"> Pueblo</w:t>
      </w:r>
      <w:r w:rsidRPr="00232810">
        <w:rPr>
          <w:rFonts w:ascii="Times New Roman" w:hAnsi="Times New Roman" w:cs="Times New Roman"/>
          <w:sz w:val="24"/>
          <w:szCs w:val="24"/>
          <w:lang w:val="en-US"/>
        </w:rPr>
        <w:t xml:space="preserve"> notes that the instrument is intended to improve the performance of the function or activity of criminal investigation and correct deviations and bad policing. The Decree states that the agencies and entities with jurisdiction in criminal investigation and police should act in strict compliance, respect and guarantee human rights</w:t>
      </w:r>
      <w:r w:rsidRPr="00232810">
        <w:rPr>
          <w:rStyle w:val="Funotenzeichen"/>
          <w:rFonts w:ascii="Times New Roman" w:hAnsi="Times New Roman" w:cs="Times New Roman"/>
          <w:sz w:val="24"/>
          <w:szCs w:val="24"/>
        </w:rPr>
        <w:footnoteReference w:id="29"/>
      </w:r>
      <w:r w:rsidRPr="00232810">
        <w:rPr>
          <w:rFonts w:ascii="Times New Roman" w:hAnsi="Times New Roman" w:cs="Times New Roman"/>
          <w:sz w:val="24"/>
          <w:szCs w:val="24"/>
          <w:lang w:val="en-US"/>
        </w:rPr>
        <w:t>.</w:t>
      </w:r>
    </w:p>
    <w:p w:rsidR="00232810" w:rsidRPr="00232810" w:rsidRDefault="00232810" w:rsidP="00232810">
      <w:pPr>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t xml:space="preserve">38. The organization notes that Decree Law incorporates a rule that orders investigation police officers investigation to respect the physical, mental and moral integrity of all </w:t>
      </w:r>
      <w:r w:rsidRPr="00232810">
        <w:rPr>
          <w:rFonts w:ascii="Times New Roman" w:hAnsi="Times New Roman" w:cs="Times New Roman"/>
          <w:sz w:val="24"/>
          <w:szCs w:val="24"/>
          <w:lang w:val="en-US"/>
        </w:rPr>
        <w:lastRenderedPageBreak/>
        <w:t>persons and under no circumstances inflict, instigate or tolerate any arbitrary act , illegal, discriminatory or of torture or other cruel , inhuman or degrading punishment</w:t>
      </w:r>
      <w:r w:rsidRPr="00232810">
        <w:rPr>
          <w:rStyle w:val="Funotenzeichen"/>
          <w:rFonts w:ascii="Times New Roman" w:hAnsi="Times New Roman" w:cs="Times New Roman"/>
          <w:sz w:val="24"/>
          <w:szCs w:val="24"/>
        </w:rPr>
        <w:footnoteReference w:id="30"/>
      </w:r>
      <w:r w:rsidRPr="00232810">
        <w:rPr>
          <w:rFonts w:ascii="Times New Roman" w:hAnsi="Times New Roman" w:cs="Times New Roman"/>
          <w:sz w:val="24"/>
          <w:szCs w:val="24"/>
          <w:lang w:val="en-US"/>
        </w:rPr>
        <w:t>.</w:t>
      </w:r>
    </w:p>
    <w:p w:rsidR="00232810" w:rsidRPr="00232810" w:rsidRDefault="00232810" w:rsidP="00232810">
      <w:pPr>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t>39. However, the National Human Rights Institution is concerned that , despite all actions taken , there are still research techniques and performance models , learned over a tradition of service that deviate from the constitutional principles and laws, as well as the orientation of state policy favoring the occurrence of incidents of torture and cruel, inhuman or degrading treatment. Therefore it recommends that the State increase efforts to ensure the effective implementation of the policing model in the Organic Law of Police Service and the Bolivarian National Police, as well as the Organic Law of Police Service Research, CICPC and the National Medical and Forensic Sciences.</w:t>
      </w:r>
    </w:p>
    <w:p w:rsidR="00232810" w:rsidRPr="00232810" w:rsidRDefault="00232810" w:rsidP="00232810">
      <w:pPr>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br/>
        <w:t xml:space="preserve">40. The </w:t>
      </w:r>
      <w:r w:rsidRPr="00232810">
        <w:rPr>
          <w:rFonts w:ascii="Times New Roman" w:hAnsi="Times New Roman" w:cs="Times New Roman"/>
          <w:bCs/>
          <w:sz w:val="24"/>
          <w:szCs w:val="24"/>
          <w:lang w:val="en-US"/>
        </w:rPr>
        <w:t xml:space="preserve">Defensoría del Pueblo </w:t>
      </w:r>
      <w:r w:rsidRPr="00232810">
        <w:rPr>
          <w:rFonts w:ascii="Times New Roman" w:hAnsi="Times New Roman" w:cs="Times New Roman"/>
          <w:sz w:val="24"/>
          <w:szCs w:val="24"/>
          <w:lang w:val="en-US"/>
        </w:rPr>
        <w:t>within its organizational structure counts on Special Delegate NHRI to which correspond to  support technically for the various departments of the institution, and as a specialized advisory bodies must design , plan and coordinate actions that contribute to the promotion, protection and monitoring of rights and guarantees enshrined in the Constitution. In that sense, a Special Office on Police Affairs</w:t>
      </w:r>
      <w:r w:rsidRPr="00232810">
        <w:rPr>
          <w:rStyle w:val="Funotenzeichen"/>
          <w:rFonts w:ascii="Times New Roman" w:hAnsi="Times New Roman" w:cs="Times New Roman"/>
          <w:sz w:val="24"/>
          <w:szCs w:val="24"/>
        </w:rPr>
        <w:footnoteReference w:id="31"/>
      </w:r>
      <w:r w:rsidRPr="00232810">
        <w:rPr>
          <w:rFonts w:ascii="Times New Roman" w:hAnsi="Times New Roman" w:cs="Times New Roman"/>
          <w:sz w:val="24"/>
          <w:szCs w:val="24"/>
          <w:lang w:val="en-US"/>
        </w:rPr>
        <w:t xml:space="preserve"> was created, responsible for launching independent investigations regarding human rights violations committed by officials or police officers, as well as making recommendations and observations to improve police performance.</w:t>
      </w:r>
    </w:p>
    <w:p w:rsidR="00232810" w:rsidRPr="00232810" w:rsidRDefault="00232810" w:rsidP="00232810">
      <w:pPr>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t>41. Similarly, the NHRI has a Special Office on Competency of Prison Matters, whose mission is to ensure the effective protection of human rights of persons deprived of liberty.</w:t>
      </w:r>
      <w:r w:rsidRPr="00232810">
        <w:rPr>
          <w:rFonts w:ascii="Times New Roman" w:hAnsi="Times New Roman" w:cs="Times New Roman"/>
          <w:sz w:val="24"/>
          <w:szCs w:val="24"/>
          <w:lang w:val="en-US"/>
        </w:rPr>
        <w:br/>
      </w:r>
      <w:r w:rsidRPr="00232810">
        <w:rPr>
          <w:rFonts w:ascii="Times New Roman" w:hAnsi="Times New Roman" w:cs="Times New Roman"/>
          <w:sz w:val="24"/>
          <w:szCs w:val="24"/>
          <w:lang w:val="en-US"/>
        </w:rPr>
        <w:br/>
        <w:t>42. The institution exercising its constitutional power to protect the rights and guarantees of persons that for any cause have been deprived of liberty, detained, interned, detained or somehow have limited their freedom, periodically conducts facility inspections and remand prisons, in order to ascertain the conditions under which the detainees are, making relevant comments with a view to correcting the circumstances that may adversely affect the rights of this population. Similarly, the Ombudsman has an ongoing monitoring compliance with the provisional measures ordered by the Inter-American Court of Human Rights on behalf of inmates of various prisons in the country.</w:t>
      </w:r>
    </w:p>
    <w:p w:rsidR="00232810" w:rsidRPr="00232810" w:rsidRDefault="00232810" w:rsidP="00232810">
      <w:pPr>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t xml:space="preserve">43. Between 2002 and 2012 the </w:t>
      </w:r>
      <w:r w:rsidRPr="00232810">
        <w:rPr>
          <w:rFonts w:ascii="Times New Roman" w:hAnsi="Times New Roman" w:cs="Times New Roman"/>
          <w:bCs/>
          <w:sz w:val="24"/>
          <w:szCs w:val="24"/>
          <w:lang w:val="en-US"/>
        </w:rPr>
        <w:t xml:space="preserve">Defensoría </w:t>
      </w:r>
      <w:proofErr w:type="gramStart"/>
      <w:r w:rsidRPr="00232810">
        <w:rPr>
          <w:rFonts w:ascii="Times New Roman" w:hAnsi="Times New Roman" w:cs="Times New Roman"/>
          <w:bCs/>
          <w:sz w:val="24"/>
          <w:szCs w:val="24"/>
          <w:lang w:val="en-US"/>
        </w:rPr>
        <w:t>del</w:t>
      </w:r>
      <w:proofErr w:type="gramEnd"/>
      <w:r w:rsidRPr="00232810">
        <w:rPr>
          <w:rFonts w:ascii="Times New Roman" w:hAnsi="Times New Roman" w:cs="Times New Roman"/>
          <w:bCs/>
          <w:sz w:val="24"/>
          <w:szCs w:val="24"/>
          <w:lang w:val="en-US"/>
        </w:rPr>
        <w:t xml:space="preserve"> Pueblo</w:t>
      </w:r>
      <w:r w:rsidRPr="00232810">
        <w:rPr>
          <w:rFonts w:ascii="Times New Roman" w:hAnsi="Times New Roman" w:cs="Times New Roman"/>
          <w:sz w:val="24"/>
          <w:szCs w:val="24"/>
          <w:lang w:val="en-US"/>
        </w:rPr>
        <w:t xml:space="preserve"> conducted 9,998 inspections at detention centers, including correctional centers, alternative formulas for serving the sentence, institutions for children in conflict with the law and remand.</w:t>
      </w:r>
    </w:p>
    <w:p w:rsidR="00232810" w:rsidRPr="00232810" w:rsidRDefault="00232810" w:rsidP="00232810">
      <w:pPr>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lastRenderedPageBreak/>
        <w:t xml:space="preserve">44. Most situations known for the </w:t>
      </w:r>
      <w:r w:rsidRPr="00232810">
        <w:rPr>
          <w:rFonts w:ascii="Times New Roman" w:hAnsi="Times New Roman" w:cs="Times New Roman"/>
          <w:bCs/>
          <w:sz w:val="24"/>
          <w:szCs w:val="24"/>
          <w:lang w:val="en-US"/>
        </w:rPr>
        <w:t>Defensoría del Pueblo</w:t>
      </w:r>
      <w:r w:rsidRPr="00232810">
        <w:rPr>
          <w:rFonts w:ascii="Times New Roman" w:hAnsi="Times New Roman" w:cs="Times New Roman"/>
          <w:sz w:val="24"/>
          <w:szCs w:val="24"/>
          <w:lang w:val="en-US"/>
        </w:rPr>
        <w:t xml:space="preserve"> under the inspections relate to the progressive deterioration of the physical plant of prisons, lack of maintenance or collapse of basic services , overcrowding, violence among inmates, failure professional and technical care to the prison population.</w:t>
      </w:r>
    </w:p>
    <w:p w:rsidR="00232810" w:rsidRPr="00232810" w:rsidRDefault="00232810" w:rsidP="00232810">
      <w:pPr>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t>45. The National Human Rights Institution welcomes the efforts made by the State to ensure respect for the rights of detainees. In that sense, the creation of the Ministry of Popular Power for the Prison Service and the adoption of various plans and policies to guarantee the human rights of prisoners. The organization recommends that the State continue to deepen prison policies, in order to overcome the vulnerability condition in which detainees still remain.</w:t>
      </w:r>
    </w:p>
    <w:p w:rsidR="00232810" w:rsidRPr="00232810" w:rsidRDefault="00232810" w:rsidP="00232810">
      <w:pPr>
        <w:jc w:val="both"/>
        <w:rPr>
          <w:rFonts w:ascii="Times New Roman" w:hAnsi="Times New Roman" w:cs="Times New Roman"/>
          <w:b/>
          <w:sz w:val="24"/>
          <w:szCs w:val="24"/>
          <w:lang w:val="en-US"/>
        </w:rPr>
      </w:pPr>
      <w:r w:rsidRPr="00232810">
        <w:rPr>
          <w:rFonts w:ascii="Times New Roman" w:hAnsi="Times New Roman" w:cs="Times New Roman"/>
          <w:sz w:val="24"/>
          <w:szCs w:val="24"/>
          <w:lang w:val="en-US"/>
        </w:rPr>
        <w:br/>
      </w:r>
      <w:r w:rsidRPr="00232810">
        <w:rPr>
          <w:rFonts w:ascii="Times New Roman" w:hAnsi="Times New Roman" w:cs="Times New Roman"/>
          <w:b/>
          <w:sz w:val="24"/>
          <w:szCs w:val="24"/>
          <w:lang w:val="en-US"/>
        </w:rPr>
        <w:t>ARTICLE 10</w:t>
      </w:r>
    </w:p>
    <w:p w:rsidR="00232810" w:rsidRPr="00232810" w:rsidRDefault="00232810" w:rsidP="00232810">
      <w:pPr>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br/>
        <w:t>46. The Defensoría welcomes the establishment of the National Experimental University of Security (UNES), which is a university specializing in professional and comprehensive development of officials and security officials.</w:t>
      </w:r>
    </w:p>
    <w:p w:rsidR="00232810" w:rsidRPr="00232810" w:rsidRDefault="00232810" w:rsidP="00232810">
      <w:pPr>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t xml:space="preserve">47. The abovementioned University is designed to train officials and officials of security with a deep social </w:t>
      </w:r>
      <w:proofErr w:type="gramStart"/>
      <w:r w:rsidRPr="00232810">
        <w:rPr>
          <w:rFonts w:ascii="Times New Roman" w:hAnsi="Times New Roman" w:cs="Times New Roman"/>
          <w:sz w:val="24"/>
          <w:szCs w:val="24"/>
          <w:lang w:val="en-US"/>
        </w:rPr>
        <w:t>conscience ,</w:t>
      </w:r>
      <w:proofErr w:type="gramEnd"/>
      <w:r w:rsidRPr="00232810">
        <w:rPr>
          <w:rFonts w:ascii="Times New Roman" w:hAnsi="Times New Roman" w:cs="Times New Roman"/>
          <w:sz w:val="24"/>
          <w:szCs w:val="24"/>
          <w:lang w:val="en-US"/>
        </w:rPr>
        <w:t xml:space="preserve"> to protect people and their rights, promote coexistence , ensure the common good, respect for human rights and an action attached to it established in law. The National Human Rights Institution recommends accelerating the processes to achieve the national rollout of the National Experimental University of Security.</w:t>
      </w:r>
    </w:p>
    <w:p w:rsidR="00232810" w:rsidRPr="00232810" w:rsidRDefault="00232810" w:rsidP="00232810">
      <w:pPr>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br/>
        <w:t>48. The National Human Rights Institution plays an important role regarding the promotion and dissemination of standards related to policing and the rights of detainees. In line with the recommendations issued by the Committee (CAT/C/CR/29/</w:t>
      </w:r>
      <w:proofErr w:type="gramStart"/>
      <w:r w:rsidRPr="00232810">
        <w:rPr>
          <w:rFonts w:ascii="Times New Roman" w:hAnsi="Times New Roman" w:cs="Times New Roman"/>
          <w:sz w:val="24"/>
          <w:szCs w:val="24"/>
          <w:lang w:val="en-US"/>
        </w:rPr>
        <w:t>2 .</w:t>
      </w:r>
      <w:proofErr w:type="gramEnd"/>
      <w:r w:rsidRPr="00232810">
        <w:rPr>
          <w:rFonts w:ascii="Times New Roman" w:hAnsi="Times New Roman" w:cs="Times New Roman"/>
          <w:sz w:val="24"/>
          <w:szCs w:val="24"/>
          <w:lang w:val="en-US"/>
        </w:rPr>
        <w:t xml:space="preserve"> </w:t>
      </w:r>
      <w:proofErr w:type="gramStart"/>
      <w:r w:rsidRPr="00232810">
        <w:rPr>
          <w:rFonts w:ascii="Times New Roman" w:hAnsi="Times New Roman" w:cs="Times New Roman"/>
          <w:sz w:val="24"/>
          <w:szCs w:val="24"/>
          <w:lang w:val="en-US"/>
        </w:rPr>
        <w:t>Para.</w:t>
      </w:r>
      <w:proofErr w:type="gramEnd"/>
      <w:r w:rsidRPr="00232810">
        <w:rPr>
          <w:rFonts w:ascii="Times New Roman" w:hAnsi="Times New Roman" w:cs="Times New Roman"/>
          <w:sz w:val="24"/>
          <w:szCs w:val="24"/>
          <w:lang w:val="en-US"/>
        </w:rPr>
        <w:t xml:space="preserve"> 11.d ) , between 2008 and 2013 the NHRI , through the School of Human Rights , 259 training activities developed of various kinds ( diplomas and courses ) aimed at public officials and the general community , with a total of 11,981 participants and 5,508 academic hours dictated . Activities undertaken include the Course on the Rights of Persons Deprived of Liberty, Course on Policing and Human Rights, Course on Dynamics of Prison Society and Course Execution of Sentences System.</w:t>
      </w:r>
    </w:p>
    <w:p w:rsidR="00232810" w:rsidRPr="00232810" w:rsidRDefault="00232810" w:rsidP="00232810">
      <w:pPr>
        <w:spacing w:after="0"/>
        <w:jc w:val="both"/>
        <w:rPr>
          <w:rFonts w:ascii="Times New Roman" w:eastAsia="Times New Roman" w:hAnsi="Times New Roman" w:cs="Times New Roman"/>
          <w:sz w:val="24"/>
          <w:szCs w:val="24"/>
          <w:lang w:val="en-US" w:eastAsia="es-VE"/>
        </w:rPr>
      </w:pPr>
      <w:r w:rsidRPr="00232810">
        <w:rPr>
          <w:rFonts w:ascii="Times New Roman" w:eastAsia="Times New Roman" w:hAnsi="Times New Roman" w:cs="Times New Roman"/>
          <w:sz w:val="24"/>
          <w:szCs w:val="24"/>
          <w:lang w:val="en-US" w:eastAsia="es-VE"/>
        </w:rPr>
        <w:t>49. Between 2010 and 2013, the organization developed a program of human rights training for National Guard officers. This program involved 485 members of the National Guard and 84 students of the National University Institute for Prison Studies.</w:t>
      </w:r>
    </w:p>
    <w:p w:rsidR="00232810" w:rsidRPr="00232810" w:rsidRDefault="00232810" w:rsidP="00232810">
      <w:pPr>
        <w:spacing w:after="0"/>
        <w:jc w:val="both"/>
        <w:rPr>
          <w:rFonts w:ascii="Times New Roman" w:eastAsia="Times New Roman" w:hAnsi="Times New Roman" w:cs="Times New Roman"/>
          <w:sz w:val="24"/>
          <w:szCs w:val="24"/>
          <w:lang w:val="en-US" w:eastAsia="es-VE"/>
        </w:rPr>
      </w:pPr>
      <w:r w:rsidRPr="00232810">
        <w:rPr>
          <w:rFonts w:ascii="Times New Roman" w:eastAsia="Times New Roman" w:hAnsi="Times New Roman" w:cs="Times New Roman"/>
          <w:sz w:val="24"/>
          <w:szCs w:val="24"/>
          <w:lang w:val="en-US" w:eastAsia="es-VE"/>
        </w:rPr>
        <w:br/>
      </w:r>
    </w:p>
    <w:p w:rsidR="00232810" w:rsidRPr="00232810" w:rsidRDefault="00232810" w:rsidP="00232810">
      <w:pPr>
        <w:spacing w:after="0"/>
        <w:jc w:val="both"/>
        <w:rPr>
          <w:rFonts w:ascii="Times New Roman" w:eastAsia="Times New Roman" w:hAnsi="Times New Roman" w:cs="Times New Roman"/>
          <w:sz w:val="24"/>
          <w:szCs w:val="24"/>
          <w:lang w:val="en-US" w:eastAsia="es-VE"/>
        </w:rPr>
      </w:pPr>
    </w:p>
    <w:p w:rsidR="00232810" w:rsidRPr="00232810" w:rsidRDefault="00232810" w:rsidP="00232810">
      <w:pPr>
        <w:spacing w:after="0"/>
        <w:jc w:val="both"/>
        <w:rPr>
          <w:rFonts w:ascii="Times New Roman" w:eastAsia="Times New Roman" w:hAnsi="Times New Roman" w:cs="Times New Roman"/>
          <w:sz w:val="24"/>
          <w:szCs w:val="24"/>
          <w:lang w:val="en-US" w:eastAsia="es-VE"/>
        </w:rPr>
      </w:pPr>
    </w:p>
    <w:p w:rsidR="00232810" w:rsidRPr="00232810" w:rsidRDefault="00232810" w:rsidP="00232810">
      <w:pPr>
        <w:spacing w:after="0"/>
        <w:jc w:val="both"/>
        <w:rPr>
          <w:rFonts w:ascii="Times New Roman" w:eastAsia="Times New Roman" w:hAnsi="Times New Roman" w:cs="Times New Roman"/>
          <w:b/>
          <w:sz w:val="24"/>
          <w:szCs w:val="24"/>
          <w:lang w:val="en-US" w:eastAsia="es-VE"/>
        </w:rPr>
      </w:pPr>
      <w:r w:rsidRPr="00232810">
        <w:rPr>
          <w:rFonts w:ascii="Times New Roman" w:eastAsia="Times New Roman" w:hAnsi="Times New Roman" w:cs="Times New Roman"/>
          <w:b/>
          <w:sz w:val="24"/>
          <w:szCs w:val="24"/>
          <w:lang w:val="en-US" w:eastAsia="es-VE"/>
        </w:rPr>
        <w:t>ARTICLE 14</w:t>
      </w:r>
    </w:p>
    <w:p w:rsidR="00232810" w:rsidRPr="00232810" w:rsidRDefault="00232810" w:rsidP="00232810">
      <w:pPr>
        <w:spacing w:after="0"/>
        <w:jc w:val="both"/>
        <w:rPr>
          <w:rFonts w:ascii="Times New Roman" w:eastAsia="Times New Roman" w:hAnsi="Times New Roman" w:cs="Times New Roman"/>
          <w:sz w:val="24"/>
          <w:szCs w:val="24"/>
          <w:lang w:val="en-US" w:eastAsia="es-VE"/>
        </w:rPr>
      </w:pPr>
      <w:r w:rsidRPr="00232810">
        <w:rPr>
          <w:rFonts w:ascii="Times New Roman" w:eastAsia="Times New Roman" w:hAnsi="Times New Roman" w:cs="Times New Roman"/>
          <w:sz w:val="24"/>
          <w:szCs w:val="24"/>
          <w:lang w:val="en-US" w:eastAsia="es-VE"/>
        </w:rPr>
        <w:br/>
        <w:t xml:space="preserve">50. The organization is pleased that the Special Law to Prevent and Punish Torture and Other Cruel, Inhuman and Degrading incorporates provisions related to the repair and rehabilitation of victims of torture , in line with Article 14 of the Convention and recommendations arising from the Committee ( CAT/C/CR/29/2 . para. </w:t>
      </w:r>
      <w:proofErr w:type="gramStart"/>
      <w:r w:rsidRPr="00232810">
        <w:rPr>
          <w:rFonts w:ascii="Times New Roman" w:eastAsia="Times New Roman" w:hAnsi="Times New Roman" w:cs="Times New Roman"/>
          <w:sz w:val="24"/>
          <w:szCs w:val="24"/>
          <w:lang w:val="en-US" w:eastAsia="es-VE"/>
        </w:rPr>
        <w:t>11.</w:t>
      </w:r>
      <w:proofErr w:type="gramEnd"/>
      <w:r w:rsidRPr="00232810">
        <w:rPr>
          <w:rFonts w:ascii="Times New Roman" w:eastAsia="Times New Roman" w:hAnsi="Times New Roman" w:cs="Times New Roman"/>
          <w:sz w:val="24"/>
          <w:szCs w:val="24"/>
          <w:lang w:val="en-US" w:eastAsia="es-VE"/>
        </w:rPr>
        <w:t>c )</w:t>
      </w:r>
    </w:p>
    <w:p w:rsidR="00232810" w:rsidRPr="00232810" w:rsidRDefault="00232810" w:rsidP="00232810">
      <w:pPr>
        <w:spacing w:after="0"/>
        <w:jc w:val="both"/>
        <w:rPr>
          <w:rFonts w:ascii="Times New Roman" w:eastAsia="Times New Roman" w:hAnsi="Times New Roman" w:cs="Times New Roman"/>
          <w:sz w:val="24"/>
          <w:szCs w:val="24"/>
          <w:lang w:val="en-US" w:eastAsia="es-VE"/>
        </w:rPr>
      </w:pPr>
    </w:p>
    <w:p w:rsidR="00232810" w:rsidRPr="00232810" w:rsidRDefault="00232810" w:rsidP="00232810">
      <w:pPr>
        <w:spacing w:after="0"/>
        <w:jc w:val="both"/>
        <w:rPr>
          <w:rFonts w:ascii="Times New Roman" w:eastAsia="Times New Roman" w:hAnsi="Times New Roman" w:cs="Times New Roman"/>
          <w:sz w:val="24"/>
          <w:szCs w:val="24"/>
          <w:lang w:val="en-US" w:eastAsia="es-VE"/>
        </w:rPr>
      </w:pPr>
      <w:r w:rsidRPr="00232810">
        <w:rPr>
          <w:rFonts w:ascii="Times New Roman" w:eastAsia="Times New Roman" w:hAnsi="Times New Roman" w:cs="Times New Roman"/>
          <w:sz w:val="24"/>
          <w:szCs w:val="24"/>
          <w:lang w:val="en-US" w:eastAsia="es-VE"/>
        </w:rPr>
        <w:t xml:space="preserve">51. </w:t>
      </w:r>
      <w:proofErr w:type="gramStart"/>
      <w:r w:rsidRPr="00232810">
        <w:rPr>
          <w:rFonts w:ascii="Times New Roman" w:eastAsia="Times New Roman" w:hAnsi="Times New Roman" w:cs="Times New Roman"/>
          <w:sz w:val="24"/>
          <w:szCs w:val="24"/>
          <w:lang w:val="en-US" w:eastAsia="es-VE"/>
        </w:rPr>
        <w:t>In</w:t>
      </w:r>
      <w:proofErr w:type="gramEnd"/>
      <w:r w:rsidRPr="00232810">
        <w:rPr>
          <w:rFonts w:ascii="Times New Roman" w:eastAsia="Times New Roman" w:hAnsi="Times New Roman" w:cs="Times New Roman"/>
          <w:sz w:val="24"/>
          <w:szCs w:val="24"/>
          <w:lang w:val="en-US" w:eastAsia="es-VE"/>
        </w:rPr>
        <w:t xml:space="preserve"> that sense, the law establishes the right of victims and relatives of torture, cruel, inhuman and degrading treatment to require protective measures and monitoring the bodies and competent authorities, in order to preserve their physical integrity and the necessary protection treatment. It also establishes the obligation of the competent bodies in the field of public safety and prevention to immediately foster the received requests action and protect victims of cruel, inhuman and degrading treatment</w:t>
      </w:r>
      <w:r w:rsidRPr="00232810">
        <w:rPr>
          <w:rStyle w:val="Funotenzeichen"/>
          <w:rFonts w:ascii="Times New Roman" w:eastAsia="Times New Roman" w:hAnsi="Times New Roman" w:cs="Times New Roman"/>
          <w:sz w:val="24"/>
          <w:szCs w:val="24"/>
          <w:lang w:eastAsia="es-VE"/>
        </w:rPr>
        <w:footnoteReference w:id="32"/>
      </w:r>
      <w:r w:rsidRPr="00232810">
        <w:rPr>
          <w:rFonts w:ascii="Times New Roman" w:eastAsia="Times New Roman" w:hAnsi="Times New Roman" w:cs="Times New Roman"/>
          <w:sz w:val="24"/>
          <w:szCs w:val="24"/>
          <w:lang w:val="en-US" w:eastAsia="es-VE"/>
        </w:rPr>
        <w:t>.</w:t>
      </w:r>
    </w:p>
    <w:p w:rsidR="00232810" w:rsidRPr="00232810" w:rsidRDefault="00232810" w:rsidP="00232810">
      <w:pPr>
        <w:spacing w:after="0"/>
        <w:jc w:val="both"/>
        <w:rPr>
          <w:rFonts w:ascii="Times New Roman" w:eastAsia="Times New Roman" w:hAnsi="Times New Roman" w:cs="Times New Roman"/>
          <w:i/>
          <w:sz w:val="24"/>
          <w:szCs w:val="24"/>
          <w:lang w:val="en-US" w:eastAsia="es-VE"/>
        </w:rPr>
      </w:pPr>
      <w:r w:rsidRPr="00232810">
        <w:rPr>
          <w:rFonts w:ascii="Times New Roman" w:eastAsia="Times New Roman" w:hAnsi="Times New Roman" w:cs="Times New Roman"/>
          <w:sz w:val="24"/>
          <w:szCs w:val="24"/>
          <w:lang w:val="en-US" w:eastAsia="es-VE"/>
        </w:rPr>
        <w:br/>
        <w:t>52. Similarly, the Law provides victims of crimes of torture the right to adapt or reduce their working hours, to change the workplace and the temporary suspension of the employment relationship. It is of special recognition that the rule should recognize that “</w:t>
      </w:r>
      <w:r w:rsidRPr="00232810">
        <w:rPr>
          <w:rFonts w:ascii="Times New Roman" w:eastAsia="Times New Roman" w:hAnsi="Times New Roman" w:cs="Times New Roman"/>
          <w:i/>
          <w:sz w:val="24"/>
          <w:szCs w:val="24"/>
          <w:lang w:val="en-US" w:eastAsia="es-VE"/>
        </w:rPr>
        <w:t>the job absences, caused by physical or psychological condition resulting from torture or cruel, inhuman or degrading treatment are not considered for suspending the employment relationship in accordance with the labor legislation</w:t>
      </w:r>
      <w:r w:rsidRPr="00232810">
        <w:rPr>
          <w:rStyle w:val="Funotenzeichen"/>
          <w:rFonts w:ascii="Times New Roman" w:eastAsia="Times New Roman" w:hAnsi="Times New Roman" w:cs="Times New Roman"/>
          <w:i/>
          <w:sz w:val="24"/>
          <w:szCs w:val="24"/>
          <w:lang w:eastAsia="es-VE"/>
        </w:rPr>
        <w:footnoteReference w:id="33"/>
      </w:r>
      <w:r w:rsidRPr="00232810">
        <w:rPr>
          <w:rFonts w:ascii="Times New Roman" w:eastAsia="Times New Roman" w:hAnsi="Times New Roman" w:cs="Times New Roman"/>
          <w:i/>
          <w:sz w:val="24"/>
          <w:szCs w:val="24"/>
          <w:lang w:val="en-US" w:eastAsia="es-VE"/>
        </w:rPr>
        <w:t xml:space="preserve"> "</w:t>
      </w:r>
    </w:p>
    <w:p w:rsidR="00232810" w:rsidRPr="00232810" w:rsidRDefault="00232810" w:rsidP="00232810">
      <w:pPr>
        <w:spacing w:after="0"/>
        <w:jc w:val="both"/>
        <w:rPr>
          <w:rFonts w:ascii="Times New Roman" w:eastAsia="Times New Roman" w:hAnsi="Times New Roman" w:cs="Times New Roman"/>
          <w:sz w:val="24"/>
          <w:szCs w:val="24"/>
          <w:lang w:val="en-US" w:eastAsia="es-VE"/>
        </w:rPr>
      </w:pPr>
      <w:r w:rsidRPr="00232810">
        <w:rPr>
          <w:rFonts w:ascii="Times New Roman" w:eastAsia="Times New Roman" w:hAnsi="Times New Roman" w:cs="Times New Roman"/>
          <w:sz w:val="24"/>
          <w:szCs w:val="24"/>
          <w:lang w:val="en-US" w:eastAsia="es-VE"/>
        </w:rPr>
        <w:br/>
        <w:t xml:space="preserve">53. Similarly, the organization considers valuable that the Law reiterate the State's duty to compensate the victims of the crimes of torture and other cruel, inhuman or degrading treatments, recognizing " </w:t>
      </w:r>
      <w:r w:rsidRPr="00232810">
        <w:rPr>
          <w:rFonts w:ascii="Times New Roman" w:eastAsia="Times New Roman" w:hAnsi="Times New Roman" w:cs="Times New Roman"/>
          <w:i/>
          <w:sz w:val="24"/>
          <w:szCs w:val="24"/>
          <w:lang w:val="en-US" w:eastAsia="es-VE"/>
        </w:rPr>
        <w:t>obligation to provide medical, psychological and social assistance to victims and their families, to their complete rehabilitation</w:t>
      </w:r>
      <w:r w:rsidRPr="00232810">
        <w:rPr>
          <w:rFonts w:ascii="Times New Roman" w:eastAsia="Times New Roman" w:hAnsi="Times New Roman" w:cs="Times New Roman"/>
          <w:sz w:val="24"/>
          <w:szCs w:val="24"/>
          <w:lang w:val="en-US" w:eastAsia="es-VE"/>
        </w:rPr>
        <w:t xml:space="preserve"> "as well as to generate the necessary public policies to comply with this obligation</w:t>
      </w:r>
      <w:r w:rsidRPr="00232810">
        <w:rPr>
          <w:rStyle w:val="Funotenzeichen"/>
          <w:rFonts w:ascii="Times New Roman" w:eastAsia="Times New Roman" w:hAnsi="Times New Roman" w:cs="Times New Roman"/>
          <w:sz w:val="24"/>
          <w:szCs w:val="24"/>
          <w:lang w:eastAsia="es-VE"/>
        </w:rPr>
        <w:footnoteReference w:id="34"/>
      </w:r>
      <w:r w:rsidRPr="00232810">
        <w:rPr>
          <w:rFonts w:ascii="Times New Roman" w:eastAsia="Times New Roman" w:hAnsi="Times New Roman" w:cs="Times New Roman"/>
          <w:sz w:val="24"/>
          <w:szCs w:val="24"/>
          <w:lang w:val="en-US" w:eastAsia="es-VE"/>
        </w:rPr>
        <w:t>.</w:t>
      </w:r>
    </w:p>
    <w:p w:rsidR="00232810" w:rsidRPr="00232810" w:rsidRDefault="00232810" w:rsidP="00232810">
      <w:pPr>
        <w:spacing w:after="0"/>
        <w:jc w:val="both"/>
        <w:rPr>
          <w:rFonts w:ascii="Times New Roman" w:eastAsia="Times New Roman" w:hAnsi="Times New Roman" w:cs="Times New Roman"/>
          <w:sz w:val="24"/>
          <w:szCs w:val="24"/>
          <w:lang w:val="en-US" w:eastAsia="es-VE"/>
        </w:rPr>
      </w:pPr>
    </w:p>
    <w:p w:rsidR="00232810" w:rsidRPr="00232810" w:rsidRDefault="00232810" w:rsidP="00232810">
      <w:pPr>
        <w:spacing w:after="0"/>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t>54. However, the National Human Rights Institution is concerned that, according to the data provided by the National Survey on Victimization and Perception of Public Safety</w:t>
      </w:r>
      <w:r w:rsidRPr="00232810">
        <w:rPr>
          <w:rStyle w:val="Funotenzeichen"/>
          <w:rFonts w:ascii="Times New Roman" w:hAnsi="Times New Roman" w:cs="Times New Roman"/>
          <w:sz w:val="24"/>
          <w:szCs w:val="24"/>
          <w:lang w:val="en-US"/>
        </w:rPr>
        <w:footnoteReference w:id="35"/>
      </w:r>
      <w:r w:rsidRPr="00232810">
        <w:rPr>
          <w:rFonts w:ascii="Times New Roman" w:hAnsi="Times New Roman" w:cs="Times New Roman"/>
          <w:sz w:val="24"/>
          <w:szCs w:val="24"/>
          <w:lang w:val="en-US"/>
        </w:rPr>
        <w:t xml:space="preserve">, only 18% of crime victims reported having received institutional support after the crime was committed and not more than 15 % of the population stated their support as appropriate, all in spite of the existence of the Law on Protection of Victims, Witnesses and Other Proceedings. The data above show the need for action to ensure that victims receive </w:t>
      </w:r>
      <w:r w:rsidRPr="00232810">
        <w:rPr>
          <w:rFonts w:ascii="Times New Roman" w:hAnsi="Times New Roman" w:cs="Times New Roman"/>
          <w:sz w:val="24"/>
          <w:szCs w:val="24"/>
          <w:lang w:val="en-US"/>
        </w:rPr>
        <w:lastRenderedPageBreak/>
        <w:t>comprehensive, multidisciplinary care that includes medical, psychological and social assistance, rehabilitation and legal support for the exercise of their rights in the criminal proceedings.</w:t>
      </w:r>
    </w:p>
    <w:p w:rsidR="00232810" w:rsidRPr="00232810" w:rsidRDefault="00232810" w:rsidP="00232810">
      <w:pPr>
        <w:spacing w:after="0"/>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br/>
      </w:r>
      <w:r w:rsidRPr="00232810">
        <w:rPr>
          <w:rFonts w:ascii="Times New Roman" w:hAnsi="Times New Roman" w:cs="Times New Roman"/>
          <w:sz w:val="24"/>
          <w:szCs w:val="24"/>
          <w:lang w:val="en-US"/>
        </w:rPr>
        <w:br/>
        <w:t>ARTICLE 16</w:t>
      </w:r>
    </w:p>
    <w:p w:rsidR="00232810" w:rsidRPr="00232810" w:rsidRDefault="00232810" w:rsidP="00232810">
      <w:pPr>
        <w:spacing w:after="0"/>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t>55. The D has a presence in all states. The institution has 34 State delegates Defenders through which it ensures accessibility to the entire population. In addition, the institution has mobile units that reach inaccessible places of the country and there is the 08000 -Pueblo a 24 hour hotline available.</w:t>
      </w:r>
    </w:p>
    <w:p w:rsidR="00232810" w:rsidRPr="00232810" w:rsidRDefault="00232810" w:rsidP="00232810">
      <w:pPr>
        <w:spacing w:after="0"/>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br/>
        <w:t>56. In exercising its constitutional allocation of prosecuting the organization has presented various legal remedies designed to protect the right to personal liberty. In this regard, in 2010 was exercised before the Constitutional Chamber of the Supreme Court a petition for annulment on grounds of unconstitutionality of articles 13.3, 16.2 and 22 of the Criminal Code, which provide the additional penalty of subjection to monitoring public authority.</w:t>
      </w:r>
    </w:p>
    <w:p w:rsidR="00232810" w:rsidRPr="00232810" w:rsidRDefault="00232810" w:rsidP="00232810">
      <w:pPr>
        <w:spacing w:after="0"/>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br/>
        <w:t>57. In this appeal it was argued that the rules in reference to establishing the subject of monitoring public authority was argued , once it has complied with the penalty of imprisonment or imprisonment , that involve excessive restriction on the freedom of the citizen that limits without reason no satisfactory answer, the human right to personal liberty.</w:t>
      </w:r>
    </w:p>
    <w:p w:rsidR="00232810" w:rsidRPr="00232810" w:rsidRDefault="00232810" w:rsidP="00232810">
      <w:pPr>
        <w:spacing w:after="0"/>
        <w:jc w:val="both"/>
        <w:rPr>
          <w:rFonts w:ascii="Times New Roman" w:hAnsi="Times New Roman" w:cs="Times New Roman"/>
          <w:sz w:val="24"/>
          <w:szCs w:val="24"/>
          <w:lang w:val="en-US"/>
        </w:rPr>
      </w:pPr>
    </w:p>
    <w:p w:rsidR="00232810" w:rsidRPr="00232810" w:rsidRDefault="00232810" w:rsidP="00232810">
      <w:pPr>
        <w:spacing w:after="0"/>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t>58. Similarly, in 2011 came before the Constitutional Chamber of the Supreme Court a petition for annulment on grounds of unconstitutionality against Articles 256.8, 257 and 258 of the Code of Criminal Procedure, which will establish the substitutive Precautionary measure for freedom of bail or custody.</w:t>
      </w:r>
    </w:p>
    <w:p w:rsidR="00232810" w:rsidRPr="00232810" w:rsidRDefault="00232810" w:rsidP="00232810">
      <w:pPr>
        <w:spacing w:after="0"/>
        <w:jc w:val="both"/>
        <w:rPr>
          <w:rFonts w:ascii="Times New Roman" w:hAnsi="Times New Roman" w:cs="Times New Roman"/>
          <w:sz w:val="24"/>
          <w:szCs w:val="24"/>
          <w:lang w:val="en-US"/>
        </w:rPr>
      </w:pPr>
      <w:r w:rsidRPr="00232810">
        <w:rPr>
          <w:rFonts w:ascii="Times New Roman" w:hAnsi="Times New Roman" w:cs="Times New Roman"/>
          <w:sz w:val="24"/>
          <w:szCs w:val="24"/>
          <w:lang w:val="en-US"/>
        </w:rPr>
        <w:br/>
        <w:t xml:space="preserve">59. The indicated resource is argued that when such items require to deliver a certain amount of money or property for the exercise of personal freedom will make this right in a commodity that is only available to a tiny social elite, violating the principles derived from Article 2 of our fundamental charter that advocates a model of democratic and social State law and Justice. Similarly, it was argued that under the application of these articles some of the people remain behind bars, despite not requiring </w:t>
      </w:r>
      <w:proofErr w:type="gramStart"/>
      <w:r w:rsidRPr="00232810">
        <w:rPr>
          <w:rFonts w:ascii="Times New Roman" w:hAnsi="Times New Roman" w:cs="Times New Roman"/>
          <w:sz w:val="24"/>
          <w:szCs w:val="24"/>
          <w:lang w:val="en-US"/>
        </w:rPr>
        <w:t>to continue</w:t>
      </w:r>
      <w:proofErr w:type="gramEnd"/>
      <w:r w:rsidRPr="00232810">
        <w:rPr>
          <w:rFonts w:ascii="Times New Roman" w:hAnsi="Times New Roman" w:cs="Times New Roman"/>
          <w:sz w:val="24"/>
          <w:szCs w:val="24"/>
          <w:lang w:val="en-US"/>
        </w:rPr>
        <w:t xml:space="preserve"> deprived of liberty, because they do not have the financial resources necessary to pay the bail or staff that have been imposed to them.</w:t>
      </w:r>
    </w:p>
    <w:p w:rsidR="00232810" w:rsidRPr="00232810" w:rsidRDefault="00232810" w:rsidP="00232810">
      <w:pPr>
        <w:spacing w:after="0"/>
        <w:jc w:val="both"/>
        <w:rPr>
          <w:rFonts w:ascii="Times New Roman" w:eastAsia="Times New Roman" w:hAnsi="Times New Roman" w:cs="Times New Roman"/>
          <w:sz w:val="24"/>
          <w:szCs w:val="24"/>
          <w:lang w:val="en-US" w:eastAsia="es-VE"/>
        </w:rPr>
      </w:pPr>
      <w:r w:rsidRPr="00232810">
        <w:rPr>
          <w:rFonts w:ascii="Times New Roman" w:hAnsi="Times New Roman" w:cs="Times New Roman"/>
          <w:sz w:val="24"/>
          <w:szCs w:val="24"/>
          <w:lang w:val="en-US"/>
        </w:rPr>
        <w:br/>
        <w:t>60. Finally, the National Human Rights reiterates its commitment to the Committee against Torture, and to continue disclosing the Convention as the recommendations made to the Venezuelan State.</w:t>
      </w:r>
    </w:p>
    <w:p w:rsidR="00232810" w:rsidRPr="00232810" w:rsidRDefault="00232810" w:rsidP="00232810">
      <w:pPr>
        <w:jc w:val="both"/>
        <w:rPr>
          <w:rFonts w:ascii="Times New Roman" w:hAnsi="Times New Roman" w:cs="Times New Roman"/>
          <w:sz w:val="24"/>
          <w:szCs w:val="24"/>
          <w:lang w:val="en-US"/>
        </w:rPr>
      </w:pPr>
    </w:p>
    <w:sectPr w:rsidR="00232810" w:rsidRPr="00232810" w:rsidSect="00F6275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F8D" w:rsidRDefault="003D5F8D" w:rsidP="0085292B">
      <w:pPr>
        <w:spacing w:after="0" w:line="240" w:lineRule="auto"/>
      </w:pPr>
      <w:r>
        <w:separator/>
      </w:r>
    </w:p>
  </w:endnote>
  <w:endnote w:type="continuationSeparator" w:id="0">
    <w:p w:rsidR="003D5F8D" w:rsidRDefault="003D5F8D" w:rsidP="00852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F8D" w:rsidRDefault="003D5F8D" w:rsidP="0085292B">
      <w:pPr>
        <w:spacing w:after="0" w:line="240" w:lineRule="auto"/>
      </w:pPr>
      <w:r>
        <w:separator/>
      </w:r>
    </w:p>
  </w:footnote>
  <w:footnote w:type="continuationSeparator" w:id="0">
    <w:p w:rsidR="003D5F8D" w:rsidRDefault="003D5F8D" w:rsidP="0085292B">
      <w:pPr>
        <w:spacing w:after="0" w:line="240" w:lineRule="auto"/>
      </w:pPr>
      <w:r>
        <w:continuationSeparator/>
      </w:r>
    </w:p>
  </w:footnote>
  <w:footnote w:id="1">
    <w:p w:rsidR="0085292B" w:rsidRPr="0085292B" w:rsidRDefault="0085292B" w:rsidP="0085292B">
      <w:pPr>
        <w:rPr>
          <w:rFonts w:ascii="Times New Roman" w:eastAsia="Times New Roman" w:hAnsi="Times New Roman" w:cs="Times New Roman"/>
          <w:sz w:val="24"/>
          <w:szCs w:val="24"/>
          <w:lang w:val="en-US" w:eastAsia="es-VE"/>
        </w:rPr>
      </w:pPr>
      <w:r>
        <w:rPr>
          <w:rStyle w:val="Funotenzeichen"/>
        </w:rPr>
        <w:footnoteRef/>
      </w:r>
      <w:r w:rsidRPr="0085292B">
        <w:rPr>
          <w:lang w:val="en-US"/>
        </w:rPr>
        <w:t xml:space="preserve"> </w:t>
      </w:r>
      <w:proofErr w:type="gramStart"/>
      <w:r w:rsidRPr="003268B8">
        <w:rPr>
          <w:rFonts w:ascii="Times New Roman" w:eastAsia="Times New Roman" w:hAnsi="Times New Roman" w:cs="Times New Roman"/>
          <w:sz w:val="20"/>
          <w:szCs w:val="20"/>
          <w:lang w:val="en-US" w:eastAsia="es-VE"/>
        </w:rPr>
        <w:t>Published in Official Gazette No. 40.212 dated July 22</w:t>
      </w:r>
      <w:r w:rsidRPr="003268B8">
        <w:rPr>
          <w:rFonts w:ascii="Times New Roman" w:eastAsia="Times New Roman" w:hAnsi="Times New Roman" w:cs="Times New Roman"/>
          <w:sz w:val="20"/>
          <w:szCs w:val="20"/>
          <w:vertAlign w:val="superscript"/>
          <w:lang w:val="en-US" w:eastAsia="es-VE"/>
        </w:rPr>
        <w:t>nd</w:t>
      </w:r>
      <w:r w:rsidRPr="003268B8">
        <w:rPr>
          <w:rFonts w:ascii="Times New Roman" w:eastAsia="Times New Roman" w:hAnsi="Times New Roman" w:cs="Times New Roman"/>
          <w:sz w:val="20"/>
          <w:szCs w:val="20"/>
          <w:lang w:val="en-US" w:eastAsia="es-VE"/>
        </w:rPr>
        <w:t>, 2013.</w:t>
      </w:r>
      <w:proofErr w:type="gramEnd"/>
    </w:p>
    <w:p w:rsidR="0085292B" w:rsidRPr="0085292B" w:rsidRDefault="0085292B">
      <w:pPr>
        <w:pStyle w:val="Funotentext"/>
        <w:rPr>
          <w:lang w:val="en-US"/>
        </w:rPr>
      </w:pPr>
    </w:p>
  </w:footnote>
  <w:footnote w:id="2">
    <w:p w:rsidR="0027174A" w:rsidRPr="0027174A" w:rsidRDefault="0027174A">
      <w:pPr>
        <w:pStyle w:val="Funotentext"/>
        <w:rPr>
          <w:lang w:val="en-US"/>
        </w:rPr>
      </w:pPr>
      <w:r>
        <w:rPr>
          <w:rStyle w:val="Funotenzeichen"/>
        </w:rPr>
        <w:footnoteRef/>
      </w:r>
      <w:r w:rsidRPr="0027174A">
        <w:rPr>
          <w:lang w:val="en-US"/>
        </w:rPr>
        <w:t xml:space="preserve"> </w:t>
      </w:r>
      <w:r w:rsidRPr="006857DF">
        <w:rPr>
          <w:rStyle w:val="hps"/>
          <w:lang w:val="en-US"/>
        </w:rPr>
        <w:t>Article 17</w:t>
      </w:r>
      <w:r w:rsidRPr="006857DF">
        <w:rPr>
          <w:lang w:val="en-US"/>
        </w:rPr>
        <w:t xml:space="preserve"> </w:t>
      </w:r>
      <w:r w:rsidRPr="006857DF">
        <w:rPr>
          <w:rStyle w:val="hps"/>
          <w:lang w:val="en-US"/>
        </w:rPr>
        <w:t>of the Special Law</w:t>
      </w:r>
      <w:r w:rsidRPr="006857DF">
        <w:rPr>
          <w:lang w:val="en-US"/>
        </w:rPr>
        <w:t xml:space="preserve"> </w:t>
      </w:r>
      <w:r w:rsidRPr="006857DF">
        <w:rPr>
          <w:rStyle w:val="hps"/>
          <w:lang w:val="en-US"/>
        </w:rPr>
        <w:t>to Prevent and</w:t>
      </w:r>
      <w:r w:rsidRPr="006857DF">
        <w:rPr>
          <w:lang w:val="en-US"/>
        </w:rPr>
        <w:t xml:space="preserve"> </w:t>
      </w:r>
      <w:r w:rsidRPr="006857DF">
        <w:rPr>
          <w:rStyle w:val="hps"/>
          <w:lang w:val="en-US"/>
        </w:rPr>
        <w:t>Sanction Torture and</w:t>
      </w:r>
      <w:r w:rsidRPr="006857DF">
        <w:rPr>
          <w:lang w:val="en-US"/>
        </w:rPr>
        <w:t xml:space="preserve"> </w:t>
      </w:r>
      <w:r w:rsidRPr="006857DF">
        <w:rPr>
          <w:rStyle w:val="hps"/>
          <w:lang w:val="en-US"/>
        </w:rPr>
        <w:t>Other Cruel,</w:t>
      </w:r>
      <w:r w:rsidRPr="006857DF">
        <w:rPr>
          <w:lang w:val="en-US"/>
        </w:rPr>
        <w:t xml:space="preserve"> </w:t>
      </w:r>
      <w:r w:rsidRPr="006857DF">
        <w:rPr>
          <w:rStyle w:val="hps"/>
          <w:lang w:val="en-US"/>
        </w:rPr>
        <w:t>Inhuman</w:t>
      </w:r>
      <w:r w:rsidRPr="006857DF">
        <w:rPr>
          <w:lang w:val="en-US"/>
        </w:rPr>
        <w:t xml:space="preserve"> </w:t>
      </w:r>
      <w:r w:rsidRPr="006857DF">
        <w:rPr>
          <w:rStyle w:val="hps"/>
          <w:lang w:val="en-US"/>
        </w:rPr>
        <w:t>and</w:t>
      </w:r>
      <w:r w:rsidRPr="006857DF">
        <w:rPr>
          <w:lang w:val="en-US"/>
        </w:rPr>
        <w:t xml:space="preserve"> </w:t>
      </w:r>
      <w:r w:rsidRPr="006857DF">
        <w:rPr>
          <w:rStyle w:val="hps"/>
          <w:lang w:val="en-US"/>
        </w:rPr>
        <w:t xml:space="preserve">Degrading Treatments </w:t>
      </w:r>
    </w:p>
  </w:footnote>
  <w:footnote w:id="3">
    <w:p w:rsidR="000A6F6C" w:rsidRPr="000A6F6C" w:rsidRDefault="000A6F6C">
      <w:pPr>
        <w:pStyle w:val="Funotentext"/>
        <w:rPr>
          <w:lang w:val="en-US"/>
        </w:rPr>
      </w:pPr>
      <w:r>
        <w:rPr>
          <w:rStyle w:val="Funotenzeichen"/>
        </w:rPr>
        <w:footnoteRef/>
      </w:r>
      <w:r w:rsidRPr="000A6F6C">
        <w:rPr>
          <w:lang w:val="en-US"/>
        </w:rPr>
        <w:t xml:space="preserve"> </w:t>
      </w:r>
      <w:r w:rsidRPr="006857DF">
        <w:rPr>
          <w:rStyle w:val="hps"/>
          <w:lang w:val="en-US"/>
        </w:rPr>
        <w:t>Article 18</w:t>
      </w:r>
      <w:r w:rsidRPr="006857DF">
        <w:rPr>
          <w:lang w:val="en-US"/>
        </w:rPr>
        <w:t xml:space="preserve"> </w:t>
      </w:r>
      <w:r w:rsidRPr="006857DF">
        <w:rPr>
          <w:rStyle w:val="hps"/>
          <w:lang w:val="en-US"/>
        </w:rPr>
        <w:t>of the Special Law</w:t>
      </w:r>
      <w:r w:rsidRPr="006857DF">
        <w:rPr>
          <w:lang w:val="en-US"/>
        </w:rPr>
        <w:t xml:space="preserve"> </w:t>
      </w:r>
      <w:r w:rsidRPr="006857DF">
        <w:rPr>
          <w:rStyle w:val="hps"/>
          <w:lang w:val="en-US"/>
        </w:rPr>
        <w:t>to Prevent and</w:t>
      </w:r>
      <w:r w:rsidRPr="006857DF">
        <w:rPr>
          <w:lang w:val="en-US"/>
        </w:rPr>
        <w:t xml:space="preserve"> </w:t>
      </w:r>
      <w:r w:rsidRPr="006857DF">
        <w:rPr>
          <w:rStyle w:val="hps"/>
          <w:lang w:val="en-US"/>
        </w:rPr>
        <w:t>Sanction Torture and</w:t>
      </w:r>
      <w:r w:rsidRPr="006857DF">
        <w:rPr>
          <w:lang w:val="en-US"/>
        </w:rPr>
        <w:t xml:space="preserve"> </w:t>
      </w:r>
      <w:r w:rsidRPr="006857DF">
        <w:rPr>
          <w:rStyle w:val="hps"/>
          <w:lang w:val="en-US"/>
        </w:rPr>
        <w:t>Other Cruel,</w:t>
      </w:r>
      <w:r w:rsidRPr="006857DF">
        <w:rPr>
          <w:lang w:val="en-US"/>
        </w:rPr>
        <w:t xml:space="preserve"> </w:t>
      </w:r>
      <w:r w:rsidRPr="006857DF">
        <w:rPr>
          <w:rStyle w:val="hps"/>
          <w:lang w:val="en-US"/>
        </w:rPr>
        <w:t>Inhuman</w:t>
      </w:r>
      <w:r w:rsidRPr="006857DF">
        <w:rPr>
          <w:lang w:val="en-US"/>
        </w:rPr>
        <w:t xml:space="preserve"> </w:t>
      </w:r>
      <w:r w:rsidRPr="006857DF">
        <w:rPr>
          <w:rStyle w:val="hps"/>
          <w:lang w:val="en-US"/>
        </w:rPr>
        <w:t>and</w:t>
      </w:r>
      <w:r w:rsidRPr="006857DF">
        <w:rPr>
          <w:lang w:val="en-US"/>
        </w:rPr>
        <w:t xml:space="preserve"> </w:t>
      </w:r>
      <w:r w:rsidRPr="006857DF">
        <w:rPr>
          <w:rStyle w:val="hps"/>
          <w:lang w:val="en-US"/>
        </w:rPr>
        <w:t xml:space="preserve">Degrading Treatments </w:t>
      </w:r>
    </w:p>
  </w:footnote>
  <w:footnote w:id="4">
    <w:p w:rsidR="000A6F6C" w:rsidRPr="000A6F6C" w:rsidRDefault="000A6F6C">
      <w:pPr>
        <w:pStyle w:val="Funotentext"/>
        <w:rPr>
          <w:lang w:val="en-US"/>
        </w:rPr>
      </w:pPr>
      <w:r>
        <w:rPr>
          <w:rStyle w:val="Funotenzeichen"/>
        </w:rPr>
        <w:footnoteRef/>
      </w:r>
      <w:r w:rsidRPr="000A6F6C">
        <w:rPr>
          <w:lang w:val="en-US"/>
        </w:rPr>
        <w:t xml:space="preserve"> </w:t>
      </w:r>
      <w:r w:rsidRPr="006857DF">
        <w:rPr>
          <w:rStyle w:val="hps"/>
          <w:lang w:val="en-US"/>
        </w:rPr>
        <w:t>Article 21</w:t>
      </w:r>
      <w:r w:rsidRPr="006857DF">
        <w:rPr>
          <w:lang w:val="en-US"/>
        </w:rPr>
        <w:t xml:space="preserve"> </w:t>
      </w:r>
      <w:r w:rsidRPr="006857DF">
        <w:rPr>
          <w:rStyle w:val="hps"/>
          <w:lang w:val="en-US"/>
        </w:rPr>
        <w:t>of the Special Law</w:t>
      </w:r>
      <w:r w:rsidRPr="006857DF">
        <w:rPr>
          <w:lang w:val="en-US"/>
        </w:rPr>
        <w:t xml:space="preserve"> </w:t>
      </w:r>
      <w:r w:rsidRPr="006857DF">
        <w:rPr>
          <w:rStyle w:val="hps"/>
          <w:lang w:val="en-US"/>
        </w:rPr>
        <w:t>to Prevent and</w:t>
      </w:r>
      <w:r w:rsidRPr="006857DF">
        <w:rPr>
          <w:lang w:val="en-US"/>
        </w:rPr>
        <w:t xml:space="preserve"> </w:t>
      </w:r>
      <w:r w:rsidRPr="006857DF">
        <w:rPr>
          <w:rStyle w:val="hps"/>
          <w:lang w:val="en-US"/>
        </w:rPr>
        <w:t>Sanction Torture and</w:t>
      </w:r>
      <w:r w:rsidRPr="006857DF">
        <w:rPr>
          <w:lang w:val="en-US"/>
        </w:rPr>
        <w:t xml:space="preserve"> </w:t>
      </w:r>
      <w:r w:rsidRPr="006857DF">
        <w:rPr>
          <w:rStyle w:val="hps"/>
          <w:lang w:val="en-US"/>
        </w:rPr>
        <w:t>Other Cruel,</w:t>
      </w:r>
      <w:r w:rsidRPr="006857DF">
        <w:rPr>
          <w:lang w:val="en-US"/>
        </w:rPr>
        <w:t xml:space="preserve"> </w:t>
      </w:r>
      <w:r w:rsidRPr="006857DF">
        <w:rPr>
          <w:rStyle w:val="hps"/>
          <w:lang w:val="en-US"/>
        </w:rPr>
        <w:t>Inhuman</w:t>
      </w:r>
      <w:r w:rsidRPr="006857DF">
        <w:rPr>
          <w:lang w:val="en-US"/>
        </w:rPr>
        <w:t xml:space="preserve"> </w:t>
      </w:r>
      <w:r w:rsidRPr="006857DF">
        <w:rPr>
          <w:rStyle w:val="hps"/>
          <w:lang w:val="en-US"/>
        </w:rPr>
        <w:t>and</w:t>
      </w:r>
      <w:r w:rsidRPr="006857DF">
        <w:rPr>
          <w:lang w:val="en-US"/>
        </w:rPr>
        <w:t xml:space="preserve"> </w:t>
      </w:r>
      <w:r w:rsidRPr="006857DF">
        <w:rPr>
          <w:rStyle w:val="hps"/>
          <w:lang w:val="en-US"/>
        </w:rPr>
        <w:t xml:space="preserve">Degrading Treatments </w:t>
      </w:r>
    </w:p>
  </w:footnote>
  <w:footnote w:id="5">
    <w:p w:rsidR="00DE6EA0" w:rsidRPr="00DE6EA0" w:rsidRDefault="00DE6EA0">
      <w:pPr>
        <w:pStyle w:val="Funotentext"/>
        <w:rPr>
          <w:lang w:val="en-US"/>
        </w:rPr>
      </w:pPr>
      <w:r>
        <w:rPr>
          <w:rStyle w:val="Funotenzeichen"/>
        </w:rPr>
        <w:footnoteRef/>
      </w:r>
      <w:r w:rsidRPr="00DE6EA0">
        <w:rPr>
          <w:lang w:val="en-US"/>
        </w:rPr>
        <w:t xml:space="preserve"> </w:t>
      </w:r>
      <w:r w:rsidRPr="006857DF">
        <w:rPr>
          <w:rStyle w:val="hps"/>
          <w:lang w:val="en-US"/>
        </w:rPr>
        <w:t>Article 20</w:t>
      </w:r>
      <w:r w:rsidRPr="006857DF">
        <w:rPr>
          <w:lang w:val="en-US"/>
        </w:rPr>
        <w:t xml:space="preserve"> </w:t>
      </w:r>
      <w:r w:rsidRPr="006857DF">
        <w:rPr>
          <w:rStyle w:val="hps"/>
          <w:lang w:val="en-US"/>
        </w:rPr>
        <w:t>of the Special Law</w:t>
      </w:r>
      <w:r w:rsidRPr="006857DF">
        <w:rPr>
          <w:lang w:val="en-US"/>
        </w:rPr>
        <w:t xml:space="preserve"> </w:t>
      </w:r>
      <w:r w:rsidRPr="006857DF">
        <w:rPr>
          <w:rStyle w:val="hps"/>
          <w:lang w:val="en-US"/>
        </w:rPr>
        <w:t>to Prevent and</w:t>
      </w:r>
      <w:r w:rsidRPr="006857DF">
        <w:rPr>
          <w:lang w:val="en-US"/>
        </w:rPr>
        <w:t xml:space="preserve"> </w:t>
      </w:r>
      <w:r w:rsidRPr="006857DF">
        <w:rPr>
          <w:rStyle w:val="hps"/>
          <w:lang w:val="en-US"/>
        </w:rPr>
        <w:t>Sanction Torture and</w:t>
      </w:r>
      <w:r w:rsidRPr="006857DF">
        <w:rPr>
          <w:lang w:val="en-US"/>
        </w:rPr>
        <w:t xml:space="preserve"> </w:t>
      </w:r>
      <w:r w:rsidRPr="006857DF">
        <w:rPr>
          <w:rStyle w:val="hps"/>
          <w:lang w:val="en-US"/>
        </w:rPr>
        <w:t>Other Cruel,</w:t>
      </w:r>
      <w:r w:rsidRPr="006857DF">
        <w:rPr>
          <w:lang w:val="en-US"/>
        </w:rPr>
        <w:t xml:space="preserve"> </w:t>
      </w:r>
      <w:r w:rsidRPr="006857DF">
        <w:rPr>
          <w:rStyle w:val="hps"/>
          <w:lang w:val="en-US"/>
        </w:rPr>
        <w:t>Inhuman</w:t>
      </w:r>
      <w:r w:rsidRPr="006857DF">
        <w:rPr>
          <w:lang w:val="en-US"/>
        </w:rPr>
        <w:t xml:space="preserve"> </w:t>
      </w:r>
      <w:r w:rsidRPr="006857DF">
        <w:rPr>
          <w:rStyle w:val="hps"/>
          <w:lang w:val="en-US"/>
        </w:rPr>
        <w:t>and</w:t>
      </w:r>
      <w:r w:rsidRPr="006857DF">
        <w:rPr>
          <w:lang w:val="en-US"/>
        </w:rPr>
        <w:t xml:space="preserve"> </w:t>
      </w:r>
      <w:r w:rsidRPr="006857DF">
        <w:rPr>
          <w:rStyle w:val="hps"/>
          <w:lang w:val="en-US"/>
        </w:rPr>
        <w:t>Degrading Treatments</w:t>
      </w:r>
    </w:p>
  </w:footnote>
  <w:footnote w:id="6">
    <w:p w:rsidR="00DE6EA0" w:rsidRPr="00C608E9" w:rsidRDefault="00DE6EA0">
      <w:pPr>
        <w:pStyle w:val="Funotentext"/>
        <w:rPr>
          <w:lang w:val="en-US"/>
        </w:rPr>
      </w:pPr>
      <w:r>
        <w:rPr>
          <w:rStyle w:val="Funotenzeichen"/>
        </w:rPr>
        <w:footnoteRef/>
      </w:r>
      <w:r w:rsidRPr="00C608E9">
        <w:rPr>
          <w:lang w:val="en-US"/>
        </w:rPr>
        <w:t xml:space="preserve"> </w:t>
      </w:r>
      <w:r w:rsidR="00C608E9" w:rsidRPr="006857DF">
        <w:rPr>
          <w:rStyle w:val="hps"/>
          <w:lang w:val="en-US"/>
        </w:rPr>
        <w:t>Article 23</w:t>
      </w:r>
      <w:r w:rsidR="00C608E9" w:rsidRPr="006857DF">
        <w:rPr>
          <w:lang w:val="en-US"/>
        </w:rPr>
        <w:t xml:space="preserve"> </w:t>
      </w:r>
      <w:r w:rsidR="00C608E9" w:rsidRPr="006857DF">
        <w:rPr>
          <w:rStyle w:val="hps"/>
          <w:lang w:val="en-US"/>
        </w:rPr>
        <w:t>of the Special Law</w:t>
      </w:r>
      <w:r w:rsidR="00C608E9" w:rsidRPr="006857DF">
        <w:rPr>
          <w:lang w:val="en-US"/>
        </w:rPr>
        <w:t xml:space="preserve"> </w:t>
      </w:r>
      <w:r w:rsidR="00C608E9" w:rsidRPr="006857DF">
        <w:rPr>
          <w:rStyle w:val="hps"/>
          <w:lang w:val="en-US"/>
        </w:rPr>
        <w:t>to Prevent and</w:t>
      </w:r>
      <w:r w:rsidR="00C608E9" w:rsidRPr="006857DF">
        <w:rPr>
          <w:lang w:val="en-US"/>
        </w:rPr>
        <w:t xml:space="preserve"> </w:t>
      </w:r>
      <w:r w:rsidR="00C608E9" w:rsidRPr="006857DF">
        <w:rPr>
          <w:rStyle w:val="hps"/>
          <w:lang w:val="en-US"/>
        </w:rPr>
        <w:t>Sanction Torture and</w:t>
      </w:r>
      <w:r w:rsidR="00C608E9" w:rsidRPr="006857DF">
        <w:rPr>
          <w:lang w:val="en-US"/>
        </w:rPr>
        <w:t xml:space="preserve"> </w:t>
      </w:r>
      <w:r w:rsidR="00C608E9" w:rsidRPr="006857DF">
        <w:rPr>
          <w:rStyle w:val="hps"/>
          <w:lang w:val="en-US"/>
        </w:rPr>
        <w:t>Other Cruel,</w:t>
      </w:r>
      <w:r w:rsidR="00C608E9" w:rsidRPr="006857DF">
        <w:rPr>
          <w:lang w:val="en-US"/>
        </w:rPr>
        <w:t xml:space="preserve"> </w:t>
      </w:r>
      <w:r w:rsidR="00C608E9" w:rsidRPr="006857DF">
        <w:rPr>
          <w:rStyle w:val="hps"/>
          <w:lang w:val="en-US"/>
        </w:rPr>
        <w:t>Inhuman</w:t>
      </w:r>
      <w:r w:rsidR="00C608E9" w:rsidRPr="006857DF">
        <w:rPr>
          <w:lang w:val="en-US"/>
        </w:rPr>
        <w:t xml:space="preserve"> </w:t>
      </w:r>
      <w:r w:rsidR="00C608E9" w:rsidRPr="006857DF">
        <w:rPr>
          <w:rStyle w:val="hps"/>
          <w:lang w:val="en-US"/>
        </w:rPr>
        <w:t>and</w:t>
      </w:r>
      <w:r w:rsidR="00C608E9" w:rsidRPr="006857DF">
        <w:rPr>
          <w:lang w:val="en-US"/>
        </w:rPr>
        <w:t xml:space="preserve"> </w:t>
      </w:r>
      <w:r w:rsidR="00C608E9" w:rsidRPr="006857DF">
        <w:rPr>
          <w:rStyle w:val="hps"/>
          <w:lang w:val="en-US"/>
        </w:rPr>
        <w:t>Degrading Treatments</w:t>
      </w:r>
    </w:p>
  </w:footnote>
  <w:footnote w:id="7">
    <w:p w:rsidR="00C608E9" w:rsidRPr="006B5AA1" w:rsidRDefault="00C608E9">
      <w:pPr>
        <w:pStyle w:val="Funotentext"/>
        <w:rPr>
          <w:lang w:val="en-US"/>
        </w:rPr>
      </w:pPr>
      <w:r>
        <w:rPr>
          <w:rStyle w:val="Funotenzeichen"/>
        </w:rPr>
        <w:footnoteRef/>
      </w:r>
      <w:r w:rsidRPr="006B5AA1">
        <w:rPr>
          <w:lang w:val="en-US"/>
        </w:rPr>
        <w:t xml:space="preserve"> </w:t>
      </w:r>
      <w:r w:rsidR="006B5AA1" w:rsidRPr="006857DF">
        <w:rPr>
          <w:rStyle w:val="hps"/>
          <w:lang w:val="en-US"/>
        </w:rPr>
        <w:t>Article 27</w:t>
      </w:r>
      <w:r w:rsidR="006B5AA1" w:rsidRPr="006857DF">
        <w:rPr>
          <w:lang w:val="en-US"/>
        </w:rPr>
        <w:t xml:space="preserve"> </w:t>
      </w:r>
      <w:r w:rsidR="006B5AA1" w:rsidRPr="006857DF">
        <w:rPr>
          <w:rStyle w:val="hps"/>
          <w:lang w:val="en-US"/>
        </w:rPr>
        <w:t>of the Special Law</w:t>
      </w:r>
      <w:r w:rsidR="006B5AA1" w:rsidRPr="006857DF">
        <w:rPr>
          <w:lang w:val="en-US"/>
        </w:rPr>
        <w:t xml:space="preserve"> </w:t>
      </w:r>
      <w:r w:rsidR="006B5AA1" w:rsidRPr="006857DF">
        <w:rPr>
          <w:rStyle w:val="hps"/>
          <w:lang w:val="en-US"/>
        </w:rPr>
        <w:t>to Prevent and</w:t>
      </w:r>
      <w:r w:rsidR="006B5AA1" w:rsidRPr="006857DF">
        <w:rPr>
          <w:lang w:val="en-US"/>
        </w:rPr>
        <w:t xml:space="preserve"> </w:t>
      </w:r>
      <w:r w:rsidR="006B5AA1" w:rsidRPr="006857DF">
        <w:rPr>
          <w:rStyle w:val="hps"/>
          <w:lang w:val="en-US"/>
        </w:rPr>
        <w:t>Sanction Torture and</w:t>
      </w:r>
      <w:r w:rsidR="006B5AA1" w:rsidRPr="006857DF">
        <w:rPr>
          <w:lang w:val="en-US"/>
        </w:rPr>
        <w:t xml:space="preserve"> </w:t>
      </w:r>
      <w:r w:rsidR="006B5AA1" w:rsidRPr="006857DF">
        <w:rPr>
          <w:rStyle w:val="hps"/>
          <w:lang w:val="en-US"/>
        </w:rPr>
        <w:t>Other Cruel,</w:t>
      </w:r>
      <w:r w:rsidR="006B5AA1" w:rsidRPr="006857DF">
        <w:rPr>
          <w:lang w:val="en-US"/>
        </w:rPr>
        <w:t xml:space="preserve"> </w:t>
      </w:r>
      <w:r w:rsidR="006B5AA1" w:rsidRPr="006857DF">
        <w:rPr>
          <w:rStyle w:val="hps"/>
          <w:lang w:val="en-US"/>
        </w:rPr>
        <w:t>Inhuman</w:t>
      </w:r>
      <w:r w:rsidR="006B5AA1" w:rsidRPr="006857DF">
        <w:rPr>
          <w:lang w:val="en-US"/>
        </w:rPr>
        <w:t xml:space="preserve"> </w:t>
      </w:r>
      <w:r w:rsidR="006B5AA1" w:rsidRPr="006857DF">
        <w:rPr>
          <w:rStyle w:val="hps"/>
          <w:lang w:val="en-US"/>
        </w:rPr>
        <w:t>and</w:t>
      </w:r>
      <w:r w:rsidR="006B5AA1" w:rsidRPr="006857DF">
        <w:rPr>
          <w:lang w:val="en-US"/>
        </w:rPr>
        <w:t xml:space="preserve"> </w:t>
      </w:r>
      <w:r w:rsidR="006B5AA1" w:rsidRPr="006857DF">
        <w:rPr>
          <w:rStyle w:val="hps"/>
          <w:lang w:val="en-US"/>
        </w:rPr>
        <w:t>Degrading Treatments</w:t>
      </w:r>
    </w:p>
  </w:footnote>
  <w:footnote w:id="8">
    <w:p w:rsidR="00903F7E" w:rsidRPr="006B5AA1" w:rsidRDefault="00903F7E" w:rsidP="00903F7E">
      <w:pPr>
        <w:pStyle w:val="Funotentext"/>
        <w:rPr>
          <w:lang w:val="en-US"/>
        </w:rPr>
      </w:pPr>
      <w:r>
        <w:rPr>
          <w:rStyle w:val="Funotenzeichen"/>
        </w:rPr>
        <w:footnoteRef/>
      </w:r>
      <w:r w:rsidRPr="00903F7E">
        <w:rPr>
          <w:lang w:val="en-US"/>
        </w:rPr>
        <w:t xml:space="preserve"> </w:t>
      </w:r>
      <w:r w:rsidRPr="006857DF">
        <w:rPr>
          <w:rStyle w:val="hps"/>
          <w:lang w:val="en-US"/>
        </w:rPr>
        <w:t>Article 31</w:t>
      </w:r>
      <w:r w:rsidRPr="006857DF">
        <w:rPr>
          <w:lang w:val="en-US"/>
        </w:rPr>
        <w:t xml:space="preserve"> </w:t>
      </w:r>
      <w:r w:rsidRPr="006857DF">
        <w:rPr>
          <w:rStyle w:val="hps"/>
          <w:lang w:val="en-US"/>
        </w:rPr>
        <w:t>of the Special Law</w:t>
      </w:r>
      <w:r w:rsidRPr="006857DF">
        <w:rPr>
          <w:lang w:val="en-US"/>
        </w:rPr>
        <w:t xml:space="preserve"> </w:t>
      </w:r>
      <w:r w:rsidRPr="006857DF">
        <w:rPr>
          <w:rStyle w:val="hps"/>
          <w:lang w:val="en-US"/>
        </w:rPr>
        <w:t>to Prevent and</w:t>
      </w:r>
      <w:r w:rsidRPr="006857DF">
        <w:rPr>
          <w:lang w:val="en-US"/>
        </w:rPr>
        <w:t xml:space="preserve"> </w:t>
      </w:r>
      <w:r w:rsidRPr="006857DF">
        <w:rPr>
          <w:rStyle w:val="hps"/>
          <w:lang w:val="en-US"/>
        </w:rPr>
        <w:t>Sanction Torture and</w:t>
      </w:r>
      <w:r w:rsidRPr="006857DF">
        <w:rPr>
          <w:lang w:val="en-US"/>
        </w:rPr>
        <w:t xml:space="preserve"> </w:t>
      </w:r>
      <w:r w:rsidRPr="006857DF">
        <w:rPr>
          <w:rStyle w:val="hps"/>
          <w:lang w:val="en-US"/>
        </w:rPr>
        <w:t>Other Cruel,</w:t>
      </w:r>
      <w:r w:rsidRPr="006857DF">
        <w:rPr>
          <w:lang w:val="en-US"/>
        </w:rPr>
        <w:t xml:space="preserve"> </w:t>
      </w:r>
      <w:r w:rsidRPr="006857DF">
        <w:rPr>
          <w:rStyle w:val="hps"/>
          <w:lang w:val="en-US"/>
        </w:rPr>
        <w:t>Inhuman</w:t>
      </w:r>
      <w:r w:rsidRPr="006857DF">
        <w:rPr>
          <w:lang w:val="en-US"/>
        </w:rPr>
        <w:t xml:space="preserve"> </w:t>
      </w:r>
      <w:r w:rsidRPr="006857DF">
        <w:rPr>
          <w:rStyle w:val="hps"/>
          <w:lang w:val="en-US"/>
        </w:rPr>
        <w:t>and</w:t>
      </w:r>
      <w:r w:rsidRPr="006857DF">
        <w:rPr>
          <w:lang w:val="en-US"/>
        </w:rPr>
        <w:t xml:space="preserve"> </w:t>
      </w:r>
      <w:r w:rsidRPr="006857DF">
        <w:rPr>
          <w:rStyle w:val="hps"/>
          <w:lang w:val="en-US"/>
        </w:rPr>
        <w:t>Degrading Treatments</w:t>
      </w:r>
    </w:p>
    <w:p w:rsidR="00903F7E" w:rsidRPr="00903F7E" w:rsidRDefault="00903F7E">
      <w:pPr>
        <w:pStyle w:val="Funotentext"/>
        <w:rPr>
          <w:lang w:val="en-US"/>
        </w:rPr>
      </w:pPr>
    </w:p>
  </w:footnote>
  <w:footnote w:id="9">
    <w:p w:rsidR="00E5203C" w:rsidRPr="006B5AA1" w:rsidRDefault="00E5203C" w:rsidP="00E5203C">
      <w:pPr>
        <w:pStyle w:val="Funotentext"/>
        <w:rPr>
          <w:lang w:val="en-US"/>
        </w:rPr>
      </w:pPr>
      <w:r>
        <w:rPr>
          <w:rStyle w:val="Funotenzeichen"/>
        </w:rPr>
        <w:footnoteRef/>
      </w:r>
      <w:r w:rsidRPr="00E5203C">
        <w:rPr>
          <w:lang w:val="en-US"/>
        </w:rPr>
        <w:t xml:space="preserve"> </w:t>
      </w:r>
      <w:r w:rsidRPr="006857DF">
        <w:rPr>
          <w:rStyle w:val="hps"/>
          <w:lang w:val="en-US"/>
        </w:rPr>
        <w:t>Article 30</w:t>
      </w:r>
      <w:r w:rsidRPr="006857DF">
        <w:rPr>
          <w:lang w:val="en-US"/>
        </w:rPr>
        <w:t xml:space="preserve"> </w:t>
      </w:r>
      <w:r w:rsidRPr="006857DF">
        <w:rPr>
          <w:rStyle w:val="hps"/>
          <w:lang w:val="en-US"/>
        </w:rPr>
        <w:t>of the Special Law</w:t>
      </w:r>
      <w:r w:rsidRPr="006857DF">
        <w:rPr>
          <w:lang w:val="en-US"/>
        </w:rPr>
        <w:t xml:space="preserve"> </w:t>
      </w:r>
      <w:r w:rsidRPr="006857DF">
        <w:rPr>
          <w:rStyle w:val="hps"/>
          <w:lang w:val="en-US"/>
        </w:rPr>
        <w:t>to Prevent and</w:t>
      </w:r>
      <w:r w:rsidRPr="006857DF">
        <w:rPr>
          <w:lang w:val="en-US"/>
        </w:rPr>
        <w:t xml:space="preserve"> </w:t>
      </w:r>
      <w:r w:rsidRPr="006857DF">
        <w:rPr>
          <w:rStyle w:val="hps"/>
          <w:lang w:val="en-US"/>
        </w:rPr>
        <w:t>Sanction Torture and</w:t>
      </w:r>
      <w:r w:rsidRPr="006857DF">
        <w:rPr>
          <w:lang w:val="en-US"/>
        </w:rPr>
        <w:t xml:space="preserve"> </w:t>
      </w:r>
      <w:r w:rsidRPr="006857DF">
        <w:rPr>
          <w:rStyle w:val="hps"/>
          <w:lang w:val="en-US"/>
        </w:rPr>
        <w:t>Other Cruel,</w:t>
      </w:r>
      <w:r w:rsidRPr="006857DF">
        <w:rPr>
          <w:lang w:val="en-US"/>
        </w:rPr>
        <w:t xml:space="preserve"> </w:t>
      </w:r>
      <w:r w:rsidRPr="006857DF">
        <w:rPr>
          <w:rStyle w:val="hps"/>
          <w:lang w:val="en-US"/>
        </w:rPr>
        <w:t>Inhuman</w:t>
      </w:r>
      <w:r w:rsidRPr="006857DF">
        <w:rPr>
          <w:lang w:val="en-US"/>
        </w:rPr>
        <w:t xml:space="preserve"> </w:t>
      </w:r>
      <w:r w:rsidRPr="006857DF">
        <w:rPr>
          <w:rStyle w:val="hps"/>
          <w:lang w:val="en-US"/>
        </w:rPr>
        <w:t>and</w:t>
      </w:r>
      <w:r w:rsidRPr="006857DF">
        <w:rPr>
          <w:lang w:val="en-US"/>
        </w:rPr>
        <w:t xml:space="preserve"> </w:t>
      </w:r>
      <w:r w:rsidRPr="006857DF">
        <w:rPr>
          <w:rStyle w:val="hps"/>
          <w:lang w:val="en-US"/>
        </w:rPr>
        <w:t>Degrading Treatments</w:t>
      </w:r>
    </w:p>
    <w:p w:rsidR="00E5203C" w:rsidRPr="00E5203C" w:rsidRDefault="00E5203C">
      <w:pPr>
        <w:pStyle w:val="Funotentext"/>
        <w:rPr>
          <w:lang w:val="en-US"/>
        </w:rPr>
      </w:pPr>
    </w:p>
  </w:footnote>
  <w:footnote w:id="10">
    <w:p w:rsidR="00D62EEB" w:rsidRPr="006B5AA1" w:rsidRDefault="00D62EEB" w:rsidP="00D62EEB">
      <w:pPr>
        <w:pStyle w:val="Funotentext"/>
        <w:rPr>
          <w:lang w:val="en-US"/>
        </w:rPr>
      </w:pPr>
      <w:r>
        <w:rPr>
          <w:rStyle w:val="Funotenzeichen"/>
        </w:rPr>
        <w:footnoteRef/>
      </w:r>
      <w:r w:rsidRPr="00D62EEB">
        <w:rPr>
          <w:lang w:val="en-US"/>
        </w:rPr>
        <w:t xml:space="preserve"> </w:t>
      </w:r>
      <w:r w:rsidRPr="006857DF">
        <w:rPr>
          <w:rStyle w:val="hps"/>
          <w:lang w:val="en-US"/>
        </w:rPr>
        <w:t>Article 30</w:t>
      </w:r>
      <w:r w:rsidRPr="006857DF">
        <w:rPr>
          <w:lang w:val="en-US"/>
        </w:rPr>
        <w:t xml:space="preserve"> </w:t>
      </w:r>
      <w:r w:rsidRPr="006857DF">
        <w:rPr>
          <w:rStyle w:val="hps"/>
          <w:lang w:val="en-US"/>
        </w:rPr>
        <w:t>of the Special Law</w:t>
      </w:r>
      <w:r w:rsidRPr="006857DF">
        <w:rPr>
          <w:lang w:val="en-US"/>
        </w:rPr>
        <w:t xml:space="preserve"> </w:t>
      </w:r>
      <w:r w:rsidRPr="006857DF">
        <w:rPr>
          <w:rStyle w:val="hps"/>
          <w:lang w:val="en-US"/>
        </w:rPr>
        <w:t>to Prevent and</w:t>
      </w:r>
      <w:r w:rsidRPr="006857DF">
        <w:rPr>
          <w:lang w:val="en-US"/>
        </w:rPr>
        <w:t xml:space="preserve"> </w:t>
      </w:r>
      <w:r w:rsidRPr="006857DF">
        <w:rPr>
          <w:rStyle w:val="hps"/>
          <w:lang w:val="en-US"/>
        </w:rPr>
        <w:t>Sanction Torture and</w:t>
      </w:r>
      <w:r w:rsidRPr="006857DF">
        <w:rPr>
          <w:lang w:val="en-US"/>
        </w:rPr>
        <w:t xml:space="preserve"> </w:t>
      </w:r>
      <w:r w:rsidRPr="006857DF">
        <w:rPr>
          <w:rStyle w:val="hps"/>
          <w:lang w:val="en-US"/>
        </w:rPr>
        <w:t>Other Cruel,</w:t>
      </w:r>
      <w:r w:rsidRPr="006857DF">
        <w:rPr>
          <w:lang w:val="en-US"/>
        </w:rPr>
        <w:t xml:space="preserve"> </w:t>
      </w:r>
      <w:r w:rsidRPr="006857DF">
        <w:rPr>
          <w:rStyle w:val="hps"/>
          <w:lang w:val="en-US"/>
        </w:rPr>
        <w:t>Inhuman</w:t>
      </w:r>
      <w:r w:rsidRPr="006857DF">
        <w:rPr>
          <w:lang w:val="en-US"/>
        </w:rPr>
        <w:t xml:space="preserve"> </w:t>
      </w:r>
      <w:r w:rsidRPr="006857DF">
        <w:rPr>
          <w:rStyle w:val="hps"/>
          <w:lang w:val="en-US"/>
        </w:rPr>
        <w:t>and</w:t>
      </w:r>
      <w:r w:rsidRPr="006857DF">
        <w:rPr>
          <w:lang w:val="en-US"/>
        </w:rPr>
        <w:t xml:space="preserve"> </w:t>
      </w:r>
      <w:r w:rsidRPr="006857DF">
        <w:rPr>
          <w:rStyle w:val="hps"/>
          <w:lang w:val="en-US"/>
        </w:rPr>
        <w:t>Degrading Treatments</w:t>
      </w:r>
    </w:p>
    <w:p w:rsidR="00D62EEB" w:rsidRPr="00D62EEB" w:rsidRDefault="00D62EEB">
      <w:pPr>
        <w:pStyle w:val="Funotentext"/>
        <w:rPr>
          <w:lang w:val="en-US"/>
        </w:rPr>
      </w:pPr>
    </w:p>
  </w:footnote>
  <w:footnote w:id="11">
    <w:p w:rsidR="00D8532C" w:rsidRPr="006B5AA1" w:rsidRDefault="00D62EEB" w:rsidP="00D8532C">
      <w:pPr>
        <w:pStyle w:val="Funotentext"/>
        <w:rPr>
          <w:lang w:val="en-US"/>
        </w:rPr>
      </w:pPr>
      <w:r>
        <w:rPr>
          <w:rStyle w:val="Funotenzeichen"/>
        </w:rPr>
        <w:footnoteRef/>
      </w:r>
      <w:r w:rsidRPr="00D8532C">
        <w:rPr>
          <w:lang w:val="en-US"/>
        </w:rPr>
        <w:t xml:space="preserve"> </w:t>
      </w:r>
      <w:r w:rsidR="00D8532C" w:rsidRPr="006857DF">
        <w:rPr>
          <w:rStyle w:val="hps"/>
          <w:lang w:val="en-US"/>
        </w:rPr>
        <w:t>Article 33</w:t>
      </w:r>
      <w:r w:rsidR="00D8532C" w:rsidRPr="006857DF">
        <w:rPr>
          <w:lang w:val="en-US"/>
        </w:rPr>
        <w:t xml:space="preserve"> </w:t>
      </w:r>
      <w:r w:rsidR="00D8532C" w:rsidRPr="006857DF">
        <w:rPr>
          <w:rStyle w:val="hps"/>
          <w:lang w:val="en-US"/>
        </w:rPr>
        <w:t>of the Special Law</w:t>
      </w:r>
      <w:r w:rsidR="00D8532C" w:rsidRPr="006857DF">
        <w:rPr>
          <w:lang w:val="en-US"/>
        </w:rPr>
        <w:t xml:space="preserve"> </w:t>
      </w:r>
      <w:r w:rsidR="00D8532C" w:rsidRPr="006857DF">
        <w:rPr>
          <w:rStyle w:val="hps"/>
          <w:lang w:val="en-US"/>
        </w:rPr>
        <w:t>to Prevent and</w:t>
      </w:r>
      <w:r w:rsidR="00D8532C" w:rsidRPr="006857DF">
        <w:rPr>
          <w:lang w:val="en-US"/>
        </w:rPr>
        <w:t xml:space="preserve"> </w:t>
      </w:r>
      <w:r w:rsidR="00D8532C" w:rsidRPr="006857DF">
        <w:rPr>
          <w:rStyle w:val="hps"/>
          <w:lang w:val="en-US"/>
        </w:rPr>
        <w:t>Sanction Torture and</w:t>
      </w:r>
      <w:r w:rsidR="00D8532C" w:rsidRPr="006857DF">
        <w:rPr>
          <w:lang w:val="en-US"/>
        </w:rPr>
        <w:t xml:space="preserve"> </w:t>
      </w:r>
      <w:r w:rsidR="00D8532C" w:rsidRPr="006857DF">
        <w:rPr>
          <w:rStyle w:val="hps"/>
          <w:lang w:val="en-US"/>
        </w:rPr>
        <w:t>Other Cruel,</w:t>
      </w:r>
      <w:r w:rsidR="00D8532C" w:rsidRPr="006857DF">
        <w:rPr>
          <w:lang w:val="en-US"/>
        </w:rPr>
        <w:t xml:space="preserve"> </w:t>
      </w:r>
      <w:r w:rsidR="00D8532C" w:rsidRPr="006857DF">
        <w:rPr>
          <w:rStyle w:val="hps"/>
          <w:lang w:val="en-US"/>
        </w:rPr>
        <w:t>Inhuman</w:t>
      </w:r>
      <w:r w:rsidR="00D8532C" w:rsidRPr="006857DF">
        <w:rPr>
          <w:lang w:val="en-US"/>
        </w:rPr>
        <w:t xml:space="preserve"> </w:t>
      </w:r>
      <w:r w:rsidR="00D8532C" w:rsidRPr="006857DF">
        <w:rPr>
          <w:rStyle w:val="hps"/>
          <w:lang w:val="en-US"/>
        </w:rPr>
        <w:t>and</w:t>
      </w:r>
      <w:r w:rsidR="00D8532C" w:rsidRPr="006857DF">
        <w:rPr>
          <w:lang w:val="en-US"/>
        </w:rPr>
        <w:t xml:space="preserve"> </w:t>
      </w:r>
      <w:r w:rsidR="00D8532C" w:rsidRPr="006857DF">
        <w:rPr>
          <w:rStyle w:val="hps"/>
          <w:lang w:val="en-US"/>
        </w:rPr>
        <w:t>Degrading Treatments</w:t>
      </w:r>
    </w:p>
    <w:p w:rsidR="00D62EEB" w:rsidRPr="00D8532C" w:rsidRDefault="00D62EEB">
      <w:pPr>
        <w:pStyle w:val="Funotentext"/>
        <w:rPr>
          <w:lang w:val="en-US"/>
        </w:rPr>
      </w:pPr>
    </w:p>
  </w:footnote>
  <w:footnote w:id="12">
    <w:p w:rsidR="00C03527" w:rsidRPr="006B5AA1" w:rsidRDefault="00C03527" w:rsidP="00C03527">
      <w:pPr>
        <w:pStyle w:val="Funotentext"/>
        <w:rPr>
          <w:lang w:val="en-US"/>
        </w:rPr>
      </w:pPr>
      <w:r>
        <w:rPr>
          <w:rStyle w:val="Funotenzeichen"/>
        </w:rPr>
        <w:footnoteRef/>
      </w:r>
      <w:r w:rsidRPr="00C03527">
        <w:rPr>
          <w:lang w:val="en-US"/>
        </w:rPr>
        <w:t xml:space="preserve"> </w:t>
      </w:r>
      <w:r w:rsidRPr="006857DF">
        <w:rPr>
          <w:rStyle w:val="hps"/>
          <w:lang w:val="en-US"/>
        </w:rPr>
        <w:t>Article</w:t>
      </w:r>
      <w:r>
        <w:rPr>
          <w:rStyle w:val="hps"/>
          <w:lang w:val="en-US"/>
        </w:rPr>
        <w:t>s 15 and 24</w:t>
      </w:r>
      <w:r w:rsidRPr="006857DF">
        <w:rPr>
          <w:lang w:val="en-US"/>
        </w:rPr>
        <w:t xml:space="preserve"> </w:t>
      </w:r>
      <w:r w:rsidRPr="006857DF">
        <w:rPr>
          <w:rStyle w:val="hps"/>
          <w:lang w:val="en-US"/>
        </w:rPr>
        <w:t>of the Special Law</w:t>
      </w:r>
      <w:r w:rsidRPr="006857DF">
        <w:rPr>
          <w:lang w:val="en-US"/>
        </w:rPr>
        <w:t xml:space="preserve"> </w:t>
      </w:r>
      <w:r w:rsidRPr="006857DF">
        <w:rPr>
          <w:rStyle w:val="hps"/>
          <w:lang w:val="en-US"/>
        </w:rPr>
        <w:t>to Prevent and</w:t>
      </w:r>
      <w:r w:rsidRPr="006857DF">
        <w:rPr>
          <w:lang w:val="en-US"/>
        </w:rPr>
        <w:t xml:space="preserve"> </w:t>
      </w:r>
      <w:r w:rsidRPr="006857DF">
        <w:rPr>
          <w:rStyle w:val="hps"/>
          <w:lang w:val="en-US"/>
        </w:rPr>
        <w:t>Sanction Torture and</w:t>
      </w:r>
      <w:r w:rsidRPr="006857DF">
        <w:rPr>
          <w:lang w:val="en-US"/>
        </w:rPr>
        <w:t xml:space="preserve"> </w:t>
      </w:r>
      <w:r w:rsidRPr="006857DF">
        <w:rPr>
          <w:rStyle w:val="hps"/>
          <w:lang w:val="en-US"/>
        </w:rPr>
        <w:t>Other Cruel,</w:t>
      </w:r>
      <w:r w:rsidRPr="006857DF">
        <w:rPr>
          <w:lang w:val="en-US"/>
        </w:rPr>
        <w:t xml:space="preserve"> </w:t>
      </w:r>
      <w:r w:rsidRPr="006857DF">
        <w:rPr>
          <w:rStyle w:val="hps"/>
          <w:lang w:val="en-US"/>
        </w:rPr>
        <w:t>Inhuman</w:t>
      </w:r>
      <w:r w:rsidRPr="006857DF">
        <w:rPr>
          <w:lang w:val="en-US"/>
        </w:rPr>
        <w:t xml:space="preserve"> </w:t>
      </w:r>
      <w:r w:rsidRPr="006857DF">
        <w:rPr>
          <w:rStyle w:val="hps"/>
          <w:lang w:val="en-US"/>
        </w:rPr>
        <w:t>and</w:t>
      </w:r>
      <w:r w:rsidRPr="006857DF">
        <w:rPr>
          <w:lang w:val="en-US"/>
        </w:rPr>
        <w:t xml:space="preserve"> </w:t>
      </w:r>
      <w:r w:rsidRPr="006857DF">
        <w:rPr>
          <w:rStyle w:val="hps"/>
          <w:lang w:val="en-US"/>
        </w:rPr>
        <w:t>Degrading Treatments</w:t>
      </w:r>
    </w:p>
    <w:p w:rsidR="00C03527" w:rsidRPr="00C03527" w:rsidRDefault="00C03527">
      <w:pPr>
        <w:pStyle w:val="Funotentext"/>
        <w:rPr>
          <w:lang w:val="en-US"/>
        </w:rPr>
      </w:pPr>
    </w:p>
  </w:footnote>
  <w:footnote w:id="13">
    <w:p w:rsidR="003773E8" w:rsidRPr="006B5AA1" w:rsidRDefault="00C03527" w:rsidP="003773E8">
      <w:pPr>
        <w:pStyle w:val="Funotentext"/>
        <w:rPr>
          <w:lang w:val="en-US"/>
        </w:rPr>
      </w:pPr>
      <w:r>
        <w:rPr>
          <w:rStyle w:val="Funotenzeichen"/>
        </w:rPr>
        <w:footnoteRef/>
      </w:r>
      <w:r w:rsidRPr="003773E8">
        <w:rPr>
          <w:lang w:val="en-US"/>
        </w:rPr>
        <w:t xml:space="preserve"> </w:t>
      </w:r>
      <w:r w:rsidR="003773E8" w:rsidRPr="006857DF">
        <w:rPr>
          <w:rStyle w:val="hps"/>
          <w:lang w:val="en-US"/>
        </w:rPr>
        <w:t>Article 3</w:t>
      </w:r>
      <w:r w:rsidR="003773E8">
        <w:rPr>
          <w:rStyle w:val="hps"/>
          <w:lang w:val="en-US"/>
        </w:rPr>
        <w:t>2</w:t>
      </w:r>
      <w:r w:rsidR="003773E8" w:rsidRPr="006857DF">
        <w:rPr>
          <w:lang w:val="en-US"/>
        </w:rPr>
        <w:t xml:space="preserve"> </w:t>
      </w:r>
      <w:r w:rsidR="003773E8" w:rsidRPr="006857DF">
        <w:rPr>
          <w:rStyle w:val="hps"/>
          <w:lang w:val="en-US"/>
        </w:rPr>
        <w:t>of the Special Law</w:t>
      </w:r>
      <w:r w:rsidR="003773E8" w:rsidRPr="006857DF">
        <w:rPr>
          <w:lang w:val="en-US"/>
        </w:rPr>
        <w:t xml:space="preserve"> </w:t>
      </w:r>
      <w:r w:rsidR="003773E8" w:rsidRPr="006857DF">
        <w:rPr>
          <w:rStyle w:val="hps"/>
          <w:lang w:val="en-US"/>
        </w:rPr>
        <w:t>to Prevent and</w:t>
      </w:r>
      <w:r w:rsidR="003773E8" w:rsidRPr="006857DF">
        <w:rPr>
          <w:lang w:val="en-US"/>
        </w:rPr>
        <w:t xml:space="preserve"> </w:t>
      </w:r>
      <w:r w:rsidR="003773E8" w:rsidRPr="006857DF">
        <w:rPr>
          <w:rStyle w:val="hps"/>
          <w:lang w:val="en-US"/>
        </w:rPr>
        <w:t>Sanction Torture and</w:t>
      </w:r>
      <w:r w:rsidR="003773E8" w:rsidRPr="006857DF">
        <w:rPr>
          <w:lang w:val="en-US"/>
        </w:rPr>
        <w:t xml:space="preserve"> </w:t>
      </w:r>
      <w:r w:rsidR="003773E8" w:rsidRPr="006857DF">
        <w:rPr>
          <w:rStyle w:val="hps"/>
          <w:lang w:val="en-US"/>
        </w:rPr>
        <w:t>Other Cruel,</w:t>
      </w:r>
      <w:r w:rsidR="003773E8" w:rsidRPr="006857DF">
        <w:rPr>
          <w:lang w:val="en-US"/>
        </w:rPr>
        <w:t xml:space="preserve"> </w:t>
      </w:r>
      <w:r w:rsidR="003773E8" w:rsidRPr="006857DF">
        <w:rPr>
          <w:rStyle w:val="hps"/>
          <w:lang w:val="en-US"/>
        </w:rPr>
        <w:t>Inhuman</w:t>
      </w:r>
      <w:r w:rsidR="003773E8" w:rsidRPr="006857DF">
        <w:rPr>
          <w:lang w:val="en-US"/>
        </w:rPr>
        <w:t xml:space="preserve"> </w:t>
      </w:r>
      <w:r w:rsidR="003773E8" w:rsidRPr="006857DF">
        <w:rPr>
          <w:rStyle w:val="hps"/>
          <w:lang w:val="en-US"/>
        </w:rPr>
        <w:t>and</w:t>
      </w:r>
      <w:r w:rsidR="003773E8" w:rsidRPr="006857DF">
        <w:rPr>
          <w:lang w:val="en-US"/>
        </w:rPr>
        <w:t xml:space="preserve"> </w:t>
      </w:r>
      <w:r w:rsidR="003773E8" w:rsidRPr="006857DF">
        <w:rPr>
          <w:rStyle w:val="hps"/>
          <w:lang w:val="en-US"/>
        </w:rPr>
        <w:t>Degrading Treatments</w:t>
      </w:r>
    </w:p>
    <w:p w:rsidR="00C03527" w:rsidRPr="003773E8" w:rsidRDefault="00C03527">
      <w:pPr>
        <w:pStyle w:val="Funotentext"/>
        <w:rPr>
          <w:lang w:val="en-US"/>
        </w:rPr>
      </w:pPr>
    </w:p>
  </w:footnote>
  <w:footnote w:id="14">
    <w:p w:rsidR="003773E8" w:rsidRPr="006B5AA1" w:rsidRDefault="003773E8" w:rsidP="003773E8">
      <w:pPr>
        <w:pStyle w:val="Funotentext"/>
        <w:rPr>
          <w:lang w:val="en-US"/>
        </w:rPr>
      </w:pPr>
      <w:r>
        <w:rPr>
          <w:rStyle w:val="Funotenzeichen"/>
        </w:rPr>
        <w:footnoteRef/>
      </w:r>
      <w:r w:rsidRPr="003773E8">
        <w:rPr>
          <w:lang w:val="en-US"/>
        </w:rPr>
        <w:t xml:space="preserve"> </w:t>
      </w:r>
      <w:r w:rsidRPr="006857DF">
        <w:rPr>
          <w:rStyle w:val="hps"/>
          <w:lang w:val="en-US"/>
        </w:rPr>
        <w:t xml:space="preserve">Article </w:t>
      </w:r>
      <w:r>
        <w:rPr>
          <w:rStyle w:val="hps"/>
          <w:lang w:val="en-US"/>
        </w:rPr>
        <w:t>19</w:t>
      </w:r>
      <w:r w:rsidRPr="006857DF">
        <w:rPr>
          <w:lang w:val="en-US"/>
        </w:rPr>
        <w:t xml:space="preserve"> </w:t>
      </w:r>
      <w:r w:rsidRPr="006857DF">
        <w:rPr>
          <w:rStyle w:val="hps"/>
          <w:lang w:val="en-US"/>
        </w:rPr>
        <w:t>of the Special Law</w:t>
      </w:r>
      <w:r w:rsidRPr="006857DF">
        <w:rPr>
          <w:lang w:val="en-US"/>
        </w:rPr>
        <w:t xml:space="preserve"> </w:t>
      </w:r>
      <w:r w:rsidRPr="006857DF">
        <w:rPr>
          <w:rStyle w:val="hps"/>
          <w:lang w:val="en-US"/>
        </w:rPr>
        <w:t>to Prevent and</w:t>
      </w:r>
      <w:r w:rsidRPr="006857DF">
        <w:rPr>
          <w:lang w:val="en-US"/>
        </w:rPr>
        <w:t xml:space="preserve"> </w:t>
      </w:r>
      <w:r w:rsidRPr="006857DF">
        <w:rPr>
          <w:rStyle w:val="hps"/>
          <w:lang w:val="en-US"/>
        </w:rPr>
        <w:t>Sanction Torture and</w:t>
      </w:r>
      <w:r w:rsidRPr="006857DF">
        <w:rPr>
          <w:lang w:val="en-US"/>
        </w:rPr>
        <w:t xml:space="preserve"> </w:t>
      </w:r>
      <w:r w:rsidRPr="006857DF">
        <w:rPr>
          <w:rStyle w:val="hps"/>
          <w:lang w:val="en-US"/>
        </w:rPr>
        <w:t>Other Cruel,</w:t>
      </w:r>
      <w:r w:rsidRPr="006857DF">
        <w:rPr>
          <w:lang w:val="en-US"/>
        </w:rPr>
        <w:t xml:space="preserve"> </w:t>
      </w:r>
      <w:r w:rsidRPr="006857DF">
        <w:rPr>
          <w:rStyle w:val="hps"/>
          <w:lang w:val="en-US"/>
        </w:rPr>
        <w:t>Inhuman</w:t>
      </w:r>
      <w:r w:rsidRPr="006857DF">
        <w:rPr>
          <w:lang w:val="en-US"/>
        </w:rPr>
        <w:t xml:space="preserve"> </w:t>
      </w:r>
      <w:r w:rsidRPr="006857DF">
        <w:rPr>
          <w:rStyle w:val="hps"/>
          <w:lang w:val="en-US"/>
        </w:rPr>
        <w:t>and</w:t>
      </w:r>
      <w:r w:rsidRPr="006857DF">
        <w:rPr>
          <w:lang w:val="en-US"/>
        </w:rPr>
        <w:t xml:space="preserve"> </w:t>
      </w:r>
      <w:r w:rsidRPr="006857DF">
        <w:rPr>
          <w:rStyle w:val="hps"/>
          <w:lang w:val="en-US"/>
        </w:rPr>
        <w:t>Degrading Treatments</w:t>
      </w:r>
    </w:p>
    <w:p w:rsidR="003773E8" w:rsidRPr="003773E8" w:rsidRDefault="003773E8">
      <w:pPr>
        <w:pStyle w:val="Funotentext"/>
        <w:rPr>
          <w:lang w:val="en-US"/>
        </w:rPr>
      </w:pPr>
    </w:p>
  </w:footnote>
  <w:footnote w:id="15">
    <w:p w:rsidR="004D158D" w:rsidRPr="006B5AA1" w:rsidRDefault="004D158D" w:rsidP="004D158D">
      <w:pPr>
        <w:pStyle w:val="Funotentext"/>
        <w:rPr>
          <w:lang w:val="en-US"/>
        </w:rPr>
      </w:pPr>
      <w:r>
        <w:rPr>
          <w:rStyle w:val="Funotenzeichen"/>
        </w:rPr>
        <w:footnoteRef/>
      </w:r>
      <w:r w:rsidRPr="004D158D">
        <w:rPr>
          <w:lang w:val="en-US"/>
        </w:rPr>
        <w:t xml:space="preserve"> </w:t>
      </w:r>
      <w:r w:rsidRPr="006857DF">
        <w:rPr>
          <w:rStyle w:val="hps"/>
          <w:lang w:val="en-US"/>
        </w:rPr>
        <w:t xml:space="preserve">Article </w:t>
      </w:r>
      <w:r>
        <w:rPr>
          <w:rStyle w:val="hps"/>
          <w:lang w:val="en-US"/>
        </w:rPr>
        <w:t>11</w:t>
      </w:r>
      <w:r w:rsidRPr="006857DF">
        <w:rPr>
          <w:lang w:val="en-US"/>
        </w:rPr>
        <w:t xml:space="preserve"> </w:t>
      </w:r>
      <w:r w:rsidRPr="006857DF">
        <w:rPr>
          <w:rStyle w:val="hps"/>
          <w:lang w:val="en-US"/>
        </w:rPr>
        <w:t>of the Special Law</w:t>
      </w:r>
      <w:r w:rsidRPr="006857DF">
        <w:rPr>
          <w:lang w:val="en-US"/>
        </w:rPr>
        <w:t xml:space="preserve"> </w:t>
      </w:r>
      <w:r w:rsidRPr="006857DF">
        <w:rPr>
          <w:rStyle w:val="hps"/>
          <w:lang w:val="en-US"/>
        </w:rPr>
        <w:t>to Prevent and</w:t>
      </w:r>
      <w:r w:rsidRPr="006857DF">
        <w:rPr>
          <w:lang w:val="en-US"/>
        </w:rPr>
        <w:t xml:space="preserve"> </w:t>
      </w:r>
      <w:r w:rsidRPr="006857DF">
        <w:rPr>
          <w:rStyle w:val="hps"/>
          <w:lang w:val="en-US"/>
        </w:rPr>
        <w:t>Sanction Torture and</w:t>
      </w:r>
      <w:r w:rsidRPr="006857DF">
        <w:rPr>
          <w:lang w:val="en-US"/>
        </w:rPr>
        <w:t xml:space="preserve"> </w:t>
      </w:r>
      <w:r w:rsidRPr="006857DF">
        <w:rPr>
          <w:rStyle w:val="hps"/>
          <w:lang w:val="en-US"/>
        </w:rPr>
        <w:t>Other Cruel,</w:t>
      </w:r>
      <w:r w:rsidRPr="006857DF">
        <w:rPr>
          <w:lang w:val="en-US"/>
        </w:rPr>
        <w:t xml:space="preserve"> </w:t>
      </w:r>
      <w:r w:rsidRPr="006857DF">
        <w:rPr>
          <w:rStyle w:val="hps"/>
          <w:lang w:val="en-US"/>
        </w:rPr>
        <w:t>Inhuman</w:t>
      </w:r>
      <w:r w:rsidRPr="006857DF">
        <w:rPr>
          <w:lang w:val="en-US"/>
        </w:rPr>
        <w:t xml:space="preserve"> </w:t>
      </w:r>
      <w:r w:rsidRPr="006857DF">
        <w:rPr>
          <w:rStyle w:val="hps"/>
          <w:lang w:val="en-US"/>
        </w:rPr>
        <w:t>and</w:t>
      </w:r>
      <w:r w:rsidRPr="006857DF">
        <w:rPr>
          <w:lang w:val="en-US"/>
        </w:rPr>
        <w:t xml:space="preserve"> </w:t>
      </w:r>
      <w:r w:rsidRPr="006857DF">
        <w:rPr>
          <w:rStyle w:val="hps"/>
          <w:lang w:val="en-US"/>
        </w:rPr>
        <w:t>Degrading Treatments</w:t>
      </w:r>
    </w:p>
    <w:p w:rsidR="004D158D" w:rsidRPr="004D158D" w:rsidRDefault="004D158D">
      <w:pPr>
        <w:pStyle w:val="Funotentext"/>
        <w:rPr>
          <w:lang w:val="en-US"/>
        </w:rPr>
      </w:pPr>
    </w:p>
  </w:footnote>
  <w:footnote w:id="16">
    <w:p w:rsidR="0093299B" w:rsidRPr="006B5AA1" w:rsidRDefault="0093299B" w:rsidP="0093299B">
      <w:pPr>
        <w:pStyle w:val="Funotentext"/>
        <w:rPr>
          <w:lang w:val="en-US"/>
        </w:rPr>
      </w:pPr>
      <w:r>
        <w:rPr>
          <w:rStyle w:val="Funotenzeichen"/>
        </w:rPr>
        <w:footnoteRef/>
      </w:r>
      <w:r w:rsidRPr="0093299B">
        <w:rPr>
          <w:lang w:val="en-US"/>
        </w:rPr>
        <w:t xml:space="preserve"> </w:t>
      </w:r>
      <w:r w:rsidRPr="006857DF">
        <w:rPr>
          <w:rStyle w:val="hps"/>
          <w:lang w:val="en-US"/>
        </w:rPr>
        <w:t xml:space="preserve">Article </w:t>
      </w:r>
      <w:r>
        <w:rPr>
          <w:rStyle w:val="hps"/>
          <w:lang w:val="en-US"/>
        </w:rPr>
        <w:t>13</w:t>
      </w:r>
      <w:r w:rsidRPr="006857DF">
        <w:rPr>
          <w:lang w:val="en-US"/>
        </w:rPr>
        <w:t xml:space="preserve"> </w:t>
      </w:r>
      <w:r w:rsidRPr="006857DF">
        <w:rPr>
          <w:rStyle w:val="hps"/>
          <w:lang w:val="en-US"/>
        </w:rPr>
        <w:t>of the Special Law</w:t>
      </w:r>
      <w:r w:rsidRPr="006857DF">
        <w:rPr>
          <w:lang w:val="en-US"/>
        </w:rPr>
        <w:t xml:space="preserve"> </w:t>
      </w:r>
      <w:r w:rsidRPr="006857DF">
        <w:rPr>
          <w:rStyle w:val="hps"/>
          <w:lang w:val="en-US"/>
        </w:rPr>
        <w:t>to Prevent and</w:t>
      </w:r>
      <w:r w:rsidRPr="006857DF">
        <w:rPr>
          <w:lang w:val="en-US"/>
        </w:rPr>
        <w:t xml:space="preserve"> </w:t>
      </w:r>
      <w:r w:rsidRPr="006857DF">
        <w:rPr>
          <w:rStyle w:val="hps"/>
          <w:lang w:val="en-US"/>
        </w:rPr>
        <w:t>Sanction Torture and</w:t>
      </w:r>
      <w:r w:rsidRPr="006857DF">
        <w:rPr>
          <w:lang w:val="en-US"/>
        </w:rPr>
        <w:t xml:space="preserve"> </w:t>
      </w:r>
      <w:r w:rsidRPr="006857DF">
        <w:rPr>
          <w:rStyle w:val="hps"/>
          <w:lang w:val="en-US"/>
        </w:rPr>
        <w:t>Other Cruel,</w:t>
      </w:r>
      <w:r w:rsidRPr="006857DF">
        <w:rPr>
          <w:lang w:val="en-US"/>
        </w:rPr>
        <w:t xml:space="preserve"> </w:t>
      </w:r>
      <w:r w:rsidRPr="006857DF">
        <w:rPr>
          <w:rStyle w:val="hps"/>
          <w:lang w:val="en-US"/>
        </w:rPr>
        <w:t>Inhuman</w:t>
      </w:r>
      <w:r w:rsidRPr="006857DF">
        <w:rPr>
          <w:lang w:val="en-US"/>
        </w:rPr>
        <w:t xml:space="preserve"> </w:t>
      </w:r>
      <w:r w:rsidRPr="006857DF">
        <w:rPr>
          <w:rStyle w:val="hps"/>
          <w:lang w:val="en-US"/>
        </w:rPr>
        <w:t>and</w:t>
      </w:r>
      <w:r w:rsidRPr="006857DF">
        <w:rPr>
          <w:lang w:val="en-US"/>
        </w:rPr>
        <w:t xml:space="preserve"> </w:t>
      </w:r>
      <w:r w:rsidRPr="006857DF">
        <w:rPr>
          <w:rStyle w:val="hps"/>
          <w:lang w:val="en-US"/>
        </w:rPr>
        <w:t>Degrading Treatments</w:t>
      </w:r>
    </w:p>
    <w:p w:rsidR="0093299B" w:rsidRPr="0093299B" w:rsidRDefault="0093299B">
      <w:pPr>
        <w:pStyle w:val="Funotentext"/>
        <w:rPr>
          <w:lang w:val="en-US"/>
        </w:rPr>
      </w:pPr>
    </w:p>
  </w:footnote>
  <w:footnote w:id="17">
    <w:p w:rsidR="0093299B" w:rsidRPr="006B5AA1" w:rsidRDefault="0093299B" w:rsidP="0093299B">
      <w:pPr>
        <w:pStyle w:val="Funotentext"/>
        <w:rPr>
          <w:lang w:val="en-US"/>
        </w:rPr>
      </w:pPr>
      <w:r>
        <w:rPr>
          <w:rStyle w:val="Funotenzeichen"/>
        </w:rPr>
        <w:footnoteRef/>
      </w:r>
      <w:r w:rsidRPr="0093299B">
        <w:rPr>
          <w:lang w:val="en-US"/>
        </w:rPr>
        <w:t xml:space="preserve"> </w:t>
      </w:r>
      <w:r w:rsidRPr="006857DF">
        <w:rPr>
          <w:rStyle w:val="hps"/>
          <w:lang w:val="en-US"/>
        </w:rPr>
        <w:t xml:space="preserve">Article </w:t>
      </w:r>
      <w:r>
        <w:rPr>
          <w:rStyle w:val="hps"/>
          <w:lang w:val="en-US"/>
        </w:rPr>
        <w:t>11</w:t>
      </w:r>
      <w:r w:rsidRPr="006857DF">
        <w:rPr>
          <w:lang w:val="en-US"/>
        </w:rPr>
        <w:t xml:space="preserve"> </w:t>
      </w:r>
      <w:r w:rsidRPr="006857DF">
        <w:rPr>
          <w:rStyle w:val="hps"/>
          <w:lang w:val="en-US"/>
        </w:rPr>
        <w:t>of the Special Law</w:t>
      </w:r>
      <w:r w:rsidRPr="006857DF">
        <w:rPr>
          <w:lang w:val="en-US"/>
        </w:rPr>
        <w:t xml:space="preserve"> </w:t>
      </w:r>
      <w:r w:rsidRPr="006857DF">
        <w:rPr>
          <w:rStyle w:val="hps"/>
          <w:lang w:val="en-US"/>
        </w:rPr>
        <w:t>to Prevent and</w:t>
      </w:r>
      <w:r w:rsidRPr="006857DF">
        <w:rPr>
          <w:lang w:val="en-US"/>
        </w:rPr>
        <w:t xml:space="preserve"> </w:t>
      </w:r>
      <w:r w:rsidRPr="006857DF">
        <w:rPr>
          <w:rStyle w:val="hps"/>
          <w:lang w:val="en-US"/>
        </w:rPr>
        <w:t>Sanction Torture and</w:t>
      </w:r>
      <w:r w:rsidRPr="006857DF">
        <w:rPr>
          <w:lang w:val="en-US"/>
        </w:rPr>
        <w:t xml:space="preserve"> </w:t>
      </w:r>
      <w:r w:rsidRPr="006857DF">
        <w:rPr>
          <w:rStyle w:val="hps"/>
          <w:lang w:val="en-US"/>
        </w:rPr>
        <w:t>Other Cruel,</w:t>
      </w:r>
      <w:r w:rsidRPr="006857DF">
        <w:rPr>
          <w:lang w:val="en-US"/>
        </w:rPr>
        <w:t xml:space="preserve"> </w:t>
      </w:r>
      <w:r w:rsidRPr="006857DF">
        <w:rPr>
          <w:rStyle w:val="hps"/>
          <w:lang w:val="en-US"/>
        </w:rPr>
        <w:t>Inhuman</w:t>
      </w:r>
      <w:r w:rsidRPr="006857DF">
        <w:rPr>
          <w:lang w:val="en-US"/>
        </w:rPr>
        <w:t xml:space="preserve"> </w:t>
      </w:r>
      <w:r w:rsidRPr="006857DF">
        <w:rPr>
          <w:rStyle w:val="hps"/>
          <w:lang w:val="en-US"/>
        </w:rPr>
        <w:t>and</w:t>
      </w:r>
      <w:r w:rsidRPr="006857DF">
        <w:rPr>
          <w:lang w:val="en-US"/>
        </w:rPr>
        <w:t xml:space="preserve"> </w:t>
      </w:r>
      <w:r w:rsidRPr="006857DF">
        <w:rPr>
          <w:rStyle w:val="hps"/>
          <w:lang w:val="en-US"/>
        </w:rPr>
        <w:t>Degrading Treatments</w:t>
      </w:r>
    </w:p>
    <w:p w:rsidR="0093299B" w:rsidRPr="0093299B" w:rsidRDefault="0093299B">
      <w:pPr>
        <w:pStyle w:val="Funotentext"/>
        <w:rPr>
          <w:lang w:val="en-US"/>
        </w:rPr>
      </w:pPr>
    </w:p>
  </w:footnote>
  <w:footnote w:id="18">
    <w:p w:rsidR="0093299B" w:rsidRPr="006B5AA1" w:rsidRDefault="0093299B" w:rsidP="0093299B">
      <w:pPr>
        <w:pStyle w:val="Funotentext"/>
        <w:rPr>
          <w:lang w:val="en-US"/>
        </w:rPr>
      </w:pPr>
      <w:r>
        <w:rPr>
          <w:rStyle w:val="Funotenzeichen"/>
        </w:rPr>
        <w:footnoteRef/>
      </w:r>
      <w:r w:rsidRPr="0093299B">
        <w:rPr>
          <w:lang w:val="en-US"/>
        </w:rPr>
        <w:t xml:space="preserve"> </w:t>
      </w:r>
      <w:r w:rsidRPr="006857DF">
        <w:rPr>
          <w:rStyle w:val="hps"/>
          <w:lang w:val="en-US"/>
        </w:rPr>
        <w:t xml:space="preserve">Article </w:t>
      </w:r>
      <w:r>
        <w:rPr>
          <w:rStyle w:val="hps"/>
          <w:lang w:val="en-US"/>
        </w:rPr>
        <w:t>14</w:t>
      </w:r>
      <w:r w:rsidRPr="006857DF">
        <w:rPr>
          <w:lang w:val="en-US"/>
        </w:rPr>
        <w:t xml:space="preserve"> </w:t>
      </w:r>
      <w:r w:rsidRPr="006857DF">
        <w:rPr>
          <w:rStyle w:val="hps"/>
          <w:lang w:val="en-US"/>
        </w:rPr>
        <w:t>of the Special Law</w:t>
      </w:r>
      <w:r w:rsidRPr="006857DF">
        <w:rPr>
          <w:lang w:val="en-US"/>
        </w:rPr>
        <w:t xml:space="preserve"> </w:t>
      </w:r>
      <w:r w:rsidRPr="006857DF">
        <w:rPr>
          <w:rStyle w:val="hps"/>
          <w:lang w:val="en-US"/>
        </w:rPr>
        <w:t>to Prevent and</w:t>
      </w:r>
      <w:r w:rsidRPr="006857DF">
        <w:rPr>
          <w:lang w:val="en-US"/>
        </w:rPr>
        <w:t xml:space="preserve"> </w:t>
      </w:r>
      <w:r w:rsidRPr="006857DF">
        <w:rPr>
          <w:rStyle w:val="hps"/>
          <w:lang w:val="en-US"/>
        </w:rPr>
        <w:t>Sanction Torture and</w:t>
      </w:r>
      <w:r w:rsidRPr="006857DF">
        <w:rPr>
          <w:lang w:val="en-US"/>
        </w:rPr>
        <w:t xml:space="preserve"> </w:t>
      </w:r>
      <w:r w:rsidRPr="006857DF">
        <w:rPr>
          <w:rStyle w:val="hps"/>
          <w:lang w:val="en-US"/>
        </w:rPr>
        <w:t>Other Cruel,</w:t>
      </w:r>
      <w:r w:rsidRPr="006857DF">
        <w:rPr>
          <w:lang w:val="en-US"/>
        </w:rPr>
        <w:t xml:space="preserve"> </w:t>
      </w:r>
      <w:r w:rsidRPr="006857DF">
        <w:rPr>
          <w:rStyle w:val="hps"/>
          <w:lang w:val="en-US"/>
        </w:rPr>
        <w:t>Inhuman</w:t>
      </w:r>
      <w:r w:rsidRPr="006857DF">
        <w:rPr>
          <w:lang w:val="en-US"/>
        </w:rPr>
        <w:t xml:space="preserve"> </w:t>
      </w:r>
      <w:r w:rsidRPr="006857DF">
        <w:rPr>
          <w:rStyle w:val="hps"/>
          <w:lang w:val="en-US"/>
        </w:rPr>
        <w:t>and</w:t>
      </w:r>
      <w:r w:rsidRPr="006857DF">
        <w:rPr>
          <w:lang w:val="en-US"/>
        </w:rPr>
        <w:t xml:space="preserve"> </w:t>
      </w:r>
      <w:r w:rsidRPr="006857DF">
        <w:rPr>
          <w:rStyle w:val="hps"/>
          <w:lang w:val="en-US"/>
        </w:rPr>
        <w:t>Degrading Treatments</w:t>
      </w:r>
    </w:p>
    <w:p w:rsidR="0093299B" w:rsidRPr="0093299B" w:rsidRDefault="0093299B">
      <w:pPr>
        <w:pStyle w:val="Funotentext"/>
        <w:rPr>
          <w:lang w:val="en-US"/>
        </w:rPr>
      </w:pPr>
    </w:p>
  </w:footnote>
  <w:footnote w:id="19">
    <w:p w:rsidR="00341696" w:rsidRPr="006B5AA1" w:rsidRDefault="0093299B" w:rsidP="00341696">
      <w:pPr>
        <w:pStyle w:val="Funotentext"/>
        <w:rPr>
          <w:lang w:val="en-US"/>
        </w:rPr>
      </w:pPr>
      <w:r>
        <w:rPr>
          <w:rStyle w:val="Funotenzeichen"/>
        </w:rPr>
        <w:footnoteRef/>
      </w:r>
      <w:r w:rsidRPr="00341696">
        <w:rPr>
          <w:lang w:val="en-US"/>
        </w:rPr>
        <w:t xml:space="preserve"> </w:t>
      </w:r>
      <w:r w:rsidR="00341696" w:rsidRPr="006857DF">
        <w:rPr>
          <w:rStyle w:val="hps"/>
          <w:lang w:val="en-US"/>
        </w:rPr>
        <w:t xml:space="preserve">Article </w:t>
      </w:r>
      <w:r w:rsidR="00341696">
        <w:rPr>
          <w:rStyle w:val="hps"/>
          <w:lang w:val="en-US"/>
        </w:rPr>
        <w:t>19</w:t>
      </w:r>
      <w:r w:rsidR="00341696" w:rsidRPr="006857DF">
        <w:rPr>
          <w:lang w:val="en-US"/>
        </w:rPr>
        <w:t xml:space="preserve"> </w:t>
      </w:r>
      <w:r w:rsidR="00341696" w:rsidRPr="006857DF">
        <w:rPr>
          <w:rStyle w:val="hps"/>
          <w:lang w:val="en-US"/>
        </w:rPr>
        <w:t>of the Special Law</w:t>
      </w:r>
      <w:r w:rsidR="00341696" w:rsidRPr="006857DF">
        <w:rPr>
          <w:lang w:val="en-US"/>
        </w:rPr>
        <w:t xml:space="preserve"> </w:t>
      </w:r>
      <w:r w:rsidR="00341696" w:rsidRPr="006857DF">
        <w:rPr>
          <w:rStyle w:val="hps"/>
          <w:lang w:val="en-US"/>
        </w:rPr>
        <w:t>to Prevent and</w:t>
      </w:r>
      <w:r w:rsidR="00341696" w:rsidRPr="006857DF">
        <w:rPr>
          <w:lang w:val="en-US"/>
        </w:rPr>
        <w:t xml:space="preserve"> </w:t>
      </w:r>
      <w:r w:rsidR="00341696" w:rsidRPr="006857DF">
        <w:rPr>
          <w:rStyle w:val="hps"/>
          <w:lang w:val="en-US"/>
        </w:rPr>
        <w:t>Sanction Torture and</w:t>
      </w:r>
      <w:r w:rsidR="00341696" w:rsidRPr="006857DF">
        <w:rPr>
          <w:lang w:val="en-US"/>
        </w:rPr>
        <w:t xml:space="preserve"> </w:t>
      </w:r>
      <w:r w:rsidR="00341696" w:rsidRPr="006857DF">
        <w:rPr>
          <w:rStyle w:val="hps"/>
          <w:lang w:val="en-US"/>
        </w:rPr>
        <w:t>Other Cruel,</w:t>
      </w:r>
      <w:r w:rsidR="00341696" w:rsidRPr="006857DF">
        <w:rPr>
          <w:lang w:val="en-US"/>
        </w:rPr>
        <w:t xml:space="preserve"> </w:t>
      </w:r>
      <w:r w:rsidR="00341696" w:rsidRPr="006857DF">
        <w:rPr>
          <w:rStyle w:val="hps"/>
          <w:lang w:val="en-US"/>
        </w:rPr>
        <w:t>Inhuman</w:t>
      </w:r>
      <w:r w:rsidR="00341696" w:rsidRPr="006857DF">
        <w:rPr>
          <w:lang w:val="en-US"/>
        </w:rPr>
        <w:t xml:space="preserve"> </w:t>
      </w:r>
      <w:r w:rsidR="00341696" w:rsidRPr="006857DF">
        <w:rPr>
          <w:rStyle w:val="hps"/>
          <w:lang w:val="en-US"/>
        </w:rPr>
        <w:t>and</w:t>
      </w:r>
      <w:r w:rsidR="00341696" w:rsidRPr="006857DF">
        <w:rPr>
          <w:lang w:val="en-US"/>
        </w:rPr>
        <w:t xml:space="preserve"> </w:t>
      </w:r>
      <w:r w:rsidR="00341696" w:rsidRPr="006857DF">
        <w:rPr>
          <w:rStyle w:val="hps"/>
          <w:lang w:val="en-US"/>
        </w:rPr>
        <w:t>Degrading Treatments</w:t>
      </w:r>
    </w:p>
    <w:p w:rsidR="0093299B" w:rsidRPr="00341696" w:rsidRDefault="0093299B">
      <w:pPr>
        <w:pStyle w:val="Funotentext"/>
        <w:rPr>
          <w:lang w:val="en-US"/>
        </w:rPr>
      </w:pPr>
    </w:p>
  </w:footnote>
  <w:footnote w:id="20">
    <w:p w:rsidR="00341696" w:rsidRPr="006B5AA1" w:rsidRDefault="00515FDA" w:rsidP="00341696">
      <w:pPr>
        <w:pStyle w:val="Funotentext"/>
        <w:rPr>
          <w:lang w:val="en-US"/>
        </w:rPr>
      </w:pPr>
      <w:r>
        <w:rPr>
          <w:rStyle w:val="Funotenzeichen"/>
        </w:rPr>
        <w:footnoteRef/>
      </w:r>
      <w:r w:rsidRPr="00341696">
        <w:rPr>
          <w:lang w:val="en-US"/>
        </w:rPr>
        <w:t xml:space="preserve"> </w:t>
      </w:r>
      <w:r w:rsidR="00341696" w:rsidRPr="006857DF">
        <w:rPr>
          <w:rStyle w:val="hps"/>
          <w:lang w:val="en-US"/>
        </w:rPr>
        <w:t xml:space="preserve">Article </w:t>
      </w:r>
      <w:r w:rsidR="00341696" w:rsidRPr="00341696">
        <w:rPr>
          <w:rFonts w:ascii="Times New Roman" w:hAnsi="Times New Roman" w:cs="Times New Roman"/>
          <w:lang w:val="en-US"/>
        </w:rPr>
        <w:t xml:space="preserve">12.1.2.3.4.5 </w:t>
      </w:r>
      <w:r w:rsidR="00341696" w:rsidRPr="006857DF">
        <w:rPr>
          <w:lang w:val="en-US"/>
        </w:rPr>
        <w:t xml:space="preserve"> </w:t>
      </w:r>
      <w:r w:rsidR="00341696" w:rsidRPr="006857DF">
        <w:rPr>
          <w:rStyle w:val="hps"/>
          <w:lang w:val="en-US"/>
        </w:rPr>
        <w:t>of the Special Law</w:t>
      </w:r>
      <w:r w:rsidR="00341696" w:rsidRPr="006857DF">
        <w:rPr>
          <w:lang w:val="en-US"/>
        </w:rPr>
        <w:t xml:space="preserve"> </w:t>
      </w:r>
      <w:r w:rsidR="00341696" w:rsidRPr="006857DF">
        <w:rPr>
          <w:rStyle w:val="hps"/>
          <w:lang w:val="en-US"/>
        </w:rPr>
        <w:t>to Prevent and</w:t>
      </w:r>
      <w:r w:rsidR="00341696" w:rsidRPr="006857DF">
        <w:rPr>
          <w:lang w:val="en-US"/>
        </w:rPr>
        <w:t xml:space="preserve"> </w:t>
      </w:r>
      <w:r w:rsidR="00341696" w:rsidRPr="006857DF">
        <w:rPr>
          <w:rStyle w:val="hps"/>
          <w:lang w:val="en-US"/>
        </w:rPr>
        <w:t>Sanction Torture and</w:t>
      </w:r>
      <w:r w:rsidR="00341696" w:rsidRPr="006857DF">
        <w:rPr>
          <w:lang w:val="en-US"/>
        </w:rPr>
        <w:t xml:space="preserve"> </w:t>
      </w:r>
      <w:r w:rsidR="00341696" w:rsidRPr="006857DF">
        <w:rPr>
          <w:rStyle w:val="hps"/>
          <w:lang w:val="en-US"/>
        </w:rPr>
        <w:t>Other Cruel,</w:t>
      </w:r>
      <w:r w:rsidR="00341696" w:rsidRPr="006857DF">
        <w:rPr>
          <w:lang w:val="en-US"/>
        </w:rPr>
        <w:t xml:space="preserve"> </w:t>
      </w:r>
      <w:r w:rsidR="00341696" w:rsidRPr="006857DF">
        <w:rPr>
          <w:rStyle w:val="hps"/>
          <w:lang w:val="en-US"/>
        </w:rPr>
        <w:t>Inhuman</w:t>
      </w:r>
      <w:r w:rsidR="00341696" w:rsidRPr="006857DF">
        <w:rPr>
          <w:lang w:val="en-US"/>
        </w:rPr>
        <w:t xml:space="preserve"> </w:t>
      </w:r>
      <w:r w:rsidR="00341696" w:rsidRPr="006857DF">
        <w:rPr>
          <w:rStyle w:val="hps"/>
          <w:lang w:val="en-US"/>
        </w:rPr>
        <w:t>and</w:t>
      </w:r>
      <w:r w:rsidR="00341696" w:rsidRPr="006857DF">
        <w:rPr>
          <w:lang w:val="en-US"/>
        </w:rPr>
        <w:t xml:space="preserve"> </w:t>
      </w:r>
      <w:r w:rsidR="00341696" w:rsidRPr="006857DF">
        <w:rPr>
          <w:rStyle w:val="hps"/>
          <w:lang w:val="en-US"/>
        </w:rPr>
        <w:t>Degrading Treatments</w:t>
      </w:r>
    </w:p>
    <w:p w:rsidR="00515FDA" w:rsidRPr="00341696" w:rsidRDefault="00515FDA">
      <w:pPr>
        <w:pStyle w:val="Funotentext"/>
        <w:rPr>
          <w:lang w:val="en-US"/>
        </w:rPr>
      </w:pPr>
    </w:p>
  </w:footnote>
  <w:footnote w:id="21">
    <w:p w:rsidR="00F703A0" w:rsidRPr="006B5AA1" w:rsidRDefault="003476C0" w:rsidP="00F703A0">
      <w:pPr>
        <w:pStyle w:val="Funotentext"/>
        <w:rPr>
          <w:lang w:val="en-US"/>
        </w:rPr>
      </w:pPr>
      <w:r>
        <w:rPr>
          <w:rStyle w:val="Funotenzeichen"/>
        </w:rPr>
        <w:footnoteRef/>
      </w:r>
      <w:r w:rsidRPr="00F703A0">
        <w:rPr>
          <w:lang w:val="en-US"/>
        </w:rPr>
        <w:t xml:space="preserve"> </w:t>
      </w:r>
      <w:r w:rsidR="00F703A0" w:rsidRPr="006857DF">
        <w:rPr>
          <w:rStyle w:val="hps"/>
          <w:lang w:val="en-US"/>
        </w:rPr>
        <w:t xml:space="preserve">Article </w:t>
      </w:r>
      <w:r w:rsidR="00F703A0" w:rsidRPr="00341696">
        <w:rPr>
          <w:rFonts w:ascii="Times New Roman" w:hAnsi="Times New Roman" w:cs="Times New Roman"/>
          <w:lang w:val="en-US"/>
        </w:rPr>
        <w:t>12.</w:t>
      </w:r>
      <w:r w:rsidR="00F703A0">
        <w:rPr>
          <w:rFonts w:ascii="Times New Roman" w:hAnsi="Times New Roman" w:cs="Times New Roman"/>
          <w:lang w:val="en-US"/>
        </w:rPr>
        <w:t>9</w:t>
      </w:r>
      <w:r w:rsidR="00F703A0" w:rsidRPr="00341696">
        <w:rPr>
          <w:rFonts w:ascii="Times New Roman" w:hAnsi="Times New Roman" w:cs="Times New Roman"/>
          <w:lang w:val="en-US"/>
        </w:rPr>
        <w:t xml:space="preserve"> </w:t>
      </w:r>
      <w:r w:rsidR="00F703A0" w:rsidRPr="006857DF">
        <w:rPr>
          <w:lang w:val="en-US"/>
        </w:rPr>
        <w:t xml:space="preserve"> </w:t>
      </w:r>
      <w:r w:rsidR="00F703A0" w:rsidRPr="006857DF">
        <w:rPr>
          <w:rStyle w:val="hps"/>
          <w:lang w:val="en-US"/>
        </w:rPr>
        <w:t>of the Special Law</w:t>
      </w:r>
      <w:r w:rsidR="00F703A0" w:rsidRPr="006857DF">
        <w:rPr>
          <w:lang w:val="en-US"/>
        </w:rPr>
        <w:t xml:space="preserve"> </w:t>
      </w:r>
      <w:r w:rsidR="00F703A0" w:rsidRPr="006857DF">
        <w:rPr>
          <w:rStyle w:val="hps"/>
          <w:lang w:val="en-US"/>
        </w:rPr>
        <w:t>to Prevent and</w:t>
      </w:r>
      <w:r w:rsidR="00F703A0" w:rsidRPr="006857DF">
        <w:rPr>
          <w:lang w:val="en-US"/>
        </w:rPr>
        <w:t xml:space="preserve"> </w:t>
      </w:r>
      <w:r w:rsidR="00F703A0" w:rsidRPr="006857DF">
        <w:rPr>
          <w:rStyle w:val="hps"/>
          <w:lang w:val="en-US"/>
        </w:rPr>
        <w:t>Sanction Torture and</w:t>
      </w:r>
      <w:r w:rsidR="00F703A0" w:rsidRPr="006857DF">
        <w:rPr>
          <w:lang w:val="en-US"/>
        </w:rPr>
        <w:t xml:space="preserve"> </w:t>
      </w:r>
      <w:r w:rsidR="00F703A0" w:rsidRPr="006857DF">
        <w:rPr>
          <w:rStyle w:val="hps"/>
          <w:lang w:val="en-US"/>
        </w:rPr>
        <w:t>Other Cruel,</w:t>
      </w:r>
      <w:r w:rsidR="00F703A0" w:rsidRPr="006857DF">
        <w:rPr>
          <w:lang w:val="en-US"/>
        </w:rPr>
        <w:t xml:space="preserve"> </w:t>
      </w:r>
      <w:r w:rsidR="00F703A0" w:rsidRPr="006857DF">
        <w:rPr>
          <w:rStyle w:val="hps"/>
          <w:lang w:val="en-US"/>
        </w:rPr>
        <w:t>Inhuman</w:t>
      </w:r>
      <w:r w:rsidR="00F703A0" w:rsidRPr="006857DF">
        <w:rPr>
          <w:lang w:val="en-US"/>
        </w:rPr>
        <w:t xml:space="preserve"> </w:t>
      </w:r>
      <w:r w:rsidR="00F703A0" w:rsidRPr="006857DF">
        <w:rPr>
          <w:rStyle w:val="hps"/>
          <w:lang w:val="en-US"/>
        </w:rPr>
        <w:t>and</w:t>
      </w:r>
      <w:r w:rsidR="00F703A0" w:rsidRPr="006857DF">
        <w:rPr>
          <w:lang w:val="en-US"/>
        </w:rPr>
        <w:t xml:space="preserve"> </w:t>
      </w:r>
      <w:r w:rsidR="00F703A0" w:rsidRPr="006857DF">
        <w:rPr>
          <w:rStyle w:val="hps"/>
          <w:lang w:val="en-US"/>
        </w:rPr>
        <w:t>Degrading Treatments</w:t>
      </w:r>
    </w:p>
    <w:p w:rsidR="003476C0" w:rsidRPr="00F703A0" w:rsidRDefault="003476C0">
      <w:pPr>
        <w:pStyle w:val="Funotentext"/>
        <w:rPr>
          <w:lang w:val="en-US"/>
        </w:rPr>
      </w:pPr>
    </w:p>
  </w:footnote>
  <w:footnote w:id="22">
    <w:p w:rsidR="00F703A0" w:rsidRPr="006B5AA1" w:rsidRDefault="003476C0" w:rsidP="00F703A0">
      <w:pPr>
        <w:pStyle w:val="Funotentext"/>
        <w:rPr>
          <w:lang w:val="en-US"/>
        </w:rPr>
      </w:pPr>
      <w:r>
        <w:rPr>
          <w:rStyle w:val="Funotenzeichen"/>
        </w:rPr>
        <w:footnoteRef/>
      </w:r>
      <w:r w:rsidRPr="00F703A0">
        <w:rPr>
          <w:lang w:val="en-US"/>
        </w:rPr>
        <w:t xml:space="preserve"> </w:t>
      </w:r>
      <w:r w:rsidR="00F703A0" w:rsidRPr="006857DF">
        <w:rPr>
          <w:rStyle w:val="hps"/>
          <w:lang w:val="en-US"/>
        </w:rPr>
        <w:t xml:space="preserve">Article </w:t>
      </w:r>
      <w:r w:rsidR="00F703A0" w:rsidRPr="00341696">
        <w:rPr>
          <w:rFonts w:ascii="Times New Roman" w:hAnsi="Times New Roman" w:cs="Times New Roman"/>
          <w:lang w:val="en-US"/>
        </w:rPr>
        <w:t>12.1</w:t>
      </w:r>
      <w:r w:rsidR="00F703A0">
        <w:rPr>
          <w:rFonts w:ascii="Times New Roman" w:hAnsi="Times New Roman" w:cs="Times New Roman"/>
          <w:lang w:val="en-US"/>
        </w:rPr>
        <w:t>2</w:t>
      </w:r>
      <w:r w:rsidR="00F703A0" w:rsidRPr="00341696">
        <w:rPr>
          <w:rFonts w:ascii="Times New Roman" w:hAnsi="Times New Roman" w:cs="Times New Roman"/>
          <w:lang w:val="en-US"/>
        </w:rPr>
        <w:t xml:space="preserve"> </w:t>
      </w:r>
      <w:r w:rsidR="00F703A0" w:rsidRPr="006857DF">
        <w:rPr>
          <w:lang w:val="en-US"/>
        </w:rPr>
        <w:t xml:space="preserve"> </w:t>
      </w:r>
      <w:r w:rsidR="00F703A0" w:rsidRPr="006857DF">
        <w:rPr>
          <w:rStyle w:val="hps"/>
          <w:lang w:val="en-US"/>
        </w:rPr>
        <w:t>of the Special Law</w:t>
      </w:r>
      <w:r w:rsidR="00F703A0" w:rsidRPr="006857DF">
        <w:rPr>
          <w:lang w:val="en-US"/>
        </w:rPr>
        <w:t xml:space="preserve"> </w:t>
      </w:r>
      <w:r w:rsidR="00F703A0" w:rsidRPr="006857DF">
        <w:rPr>
          <w:rStyle w:val="hps"/>
          <w:lang w:val="en-US"/>
        </w:rPr>
        <w:t>to Prevent and</w:t>
      </w:r>
      <w:r w:rsidR="00F703A0" w:rsidRPr="006857DF">
        <w:rPr>
          <w:lang w:val="en-US"/>
        </w:rPr>
        <w:t xml:space="preserve"> </w:t>
      </w:r>
      <w:r w:rsidR="00F703A0" w:rsidRPr="006857DF">
        <w:rPr>
          <w:rStyle w:val="hps"/>
          <w:lang w:val="en-US"/>
        </w:rPr>
        <w:t>Sanction Torture and</w:t>
      </w:r>
      <w:r w:rsidR="00F703A0" w:rsidRPr="006857DF">
        <w:rPr>
          <w:lang w:val="en-US"/>
        </w:rPr>
        <w:t xml:space="preserve"> </w:t>
      </w:r>
      <w:r w:rsidR="00F703A0" w:rsidRPr="006857DF">
        <w:rPr>
          <w:rStyle w:val="hps"/>
          <w:lang w:val="en-US"/>
        </w:rPr>
        <w:t>Other Cruel,</w:t>
      </w:r>
      <w:r w:rsidR="00F703A0" w:rsidRPr="006857DF">
        <w:rPr>
          <w:lang w:val="en-US"/>
        </w:rPr>
        <w:t xml:space="preserve"> </w:t>
      </w:r>
      <w:r w:rsidR="00F703A0" w:rsidRPr="006857DF">
        <w:rPr>
          <w:rStyle w:val="hps"/>
          <w:lang w:val="en-US"/>
        </w:rPr>
        <w:t>Inhuman</w:t>
      </w:r>
      <w:r w:rsidR="00F703A0" w:rsidRPr="006857DF">
        <w:rPr>
          <w:lang w:val="en-US"/>
        </w:rPr>
        <w:t xml:space="preserve"> </w:t>
      </w:r>
      <w:r w:rsidR="00F703A0" w:rsidRPr="006857DF">
        <w:rPr>
          <w:rStyle w:val="hps"/>
          <w:lang w:val="en-US"/>
        </w:rPr>
        <w:t>and</w:t>
      </w:r>
      <w:r w:rsidR="00F703A0" w:rsidRPr="006857DF">
        <w:rPr>
          <w:lang w:val="en-US"/>
        </w:rPr>
        <w:t xml:space="preserve"> </w:t>
      </w:r>
      <w:r w:rsidR="00F703A0" w:rsidRPr="006857DF">
        <w:rPr>
          <w:rStyle w:val="hps"/>
          <w:lang w:val="en-US"/>
        </w:rPr>
        <w:t>Degrading Treatments</w:t>
      </w:r>
    </w:p>
    <w:p w:rsidR="003476C0" w:rsidRPr="00F703A0" w:rsidRDefault="003476C0">
      <w:pPr>
        <w:pStyle w:val="Funotentext"/>
        <w:rPr>
          <w:lang w:val="en-US"/>
        </w:rPr>
      </w:pPr>
    </w:p>
  </w:footnote>
  <w:footnote w:id="23">
    <w:p w:rsidR="00F703A0" w:rsidRPr="006B5AA1" w:rsidRDefault="003476C0" w:rsidP="00F703A0">
      <w:pPr>
        <w:pStyle w:val="Funotentext"/>
        <w:rPr>
          <w:lang w:val="en-US"/>
        </w:rPr>
      </w:pPr>
      <w:r>
        <w:rPr>
          <w:rStyle w:val="Funotenzeichen"/>
        </w:rPr>
        <w:footnoteRef/>
      </w:r>
      <w:r w:rsidRPr="00F703A0">
        <w:rPr>
          <w:lang w:val="en-US"/>
        </w:rPr>
        <w:t xml:space="preserve"> </w:t>
      </w:r>
      <w:r w:rsidR="00F703A0" w:rsidRPr="006857DF">
        <w:rPr>
          <w:rStyle w:val="hps"/>
          <w:lang w:val="en-US"/>
        </w:rPr>
        <w:t xml:space="preserve">Article </w:t>
      </w:r>
      <w:r w:rsidR="00F703A0" w:rsidRPr="00341696">
        <w:rPr>
          <w:rFonts w:ascii="Times New Roman" w:hAnsi="Times New Roman" w:cs="Times New Roman"/>
          <w:lang w:val="en-US"/>
        </w:rPr>
        <w:t>12.</w:t>
      </w:r>
      <w:r w:rsidR="00F703A0">
        <w:rPr>
          <w:rFonts w:ascii="Times New Roman" w:hAnsi="Times New Roman" w:cs="Times New Roman"/>
          <w:lang w:val="en-US"/>
        </w:rPr>
        <w:t>6</w:t>
      </w:r>
      <w:r w:rsidR="00F703A0" w:rsidRPr="00341696">
        <w:rPr>
          <w:rFonts w:ascii="Times New Roman" w:hAnsi="Times New Roman" w:cs="Times New Roman"/>
          <w:lang w:val="en-US"/>
        </w:rPr>
        <w:t xml:space="preserve"> </w:t>
      </w:r>
      <w:r w:rsidR="00F703A0" w:rsidRPr="006857DF">
        <w:rPr>
          <w:lang w:val="en-US"/>
        </w:rPr>
        <w:t xml:space="preserve"> </w:t>
      </w:r>
      <w:r w:rsidR="00F703A0" w:rsidRPr="006857DF">
        <w:rPr>
          <w:rStyle w:val="hps"/>
          <w:lang w:val="en-US"/>
        </w:rPr>
        <w:t>of the Special Law</w:t>
      </w:r>
      <w:r w:rsidR="00F703A0" w:rsidRPr="006857DF">
        <w:rPr>
          <w:lang w:val="en-US"/>
        </w:rPr>
        <w:t xml:space="preserve"> </w:t>
      </w:r>
      <w:r w:rsidR="00F703A0" w:rsidRPr="006857DF">
        <w:rPr>
          <w:rStyle w:val="hps"/>
          <w:lang w:val="en-US"/>
        </w:rPr>
        <w:t>to Prevent and</w:t>
      </w:r>
      <w:r w:rsidR="00F703A0" w:rsidRPr="006857DF">
        <w:rPr>
          <w:lang w:val="en-US"/>
        </w:rPr>
        <w:t xml:space="preserve"> </w:t>
      </w:r>
      <w:r w:rsidR="00F703A0" w:rsidRPr="006857DF">
        <w:rPr>
          <w:rStyle w:val="hps"/>
          <w:lang w:val="en-US"/>
        </w:rPr>
        <w:t>Sanction Torture and</w:t>
      </w:r>
      <w:r w:rsidR="00F703A0" w:rsidRPr="006857DF">
        <w:rPr>
          <w:lang w:val="en-US"/>
        </w:rPr>
        <w:t xml:space="preserve"> </w:t>
      </w:r>
      <w:r w:rsidR="00F703A0" w:rsidRPr="006857DF">
        <w:rPr>
          <w:rStyle w:val="hps"/>
          <w:lang w:val="en-US"/>
        </w:rPr>
        <w:t>Other Cruel,</w:t>
      </w:r>
      <w:r w:rsidR="00F703A0" w:rsidRPr="006857DF">
        <w:rPr>
          <w:lang w:val="en-US"/>
        </w:rPr>
        <w:t xml:space="preserve"> </w:t>
      </w:r>
      <w:r w:rsidR="00F703A0" w:rsidRPr="006857DF">
        <w:rPr>
          <w:rStyle w:val="hps"/>
          <w:lang w:val="en-US"/>
        </w:rPr>
        <w:t>Inhuman</w:t>
      </w:r>
      <w:r w:rsidR="00F703A0" w:rsidRPr="006857DF">
        <w:rPr>
          <w:lang w:val="en-US"/>
        </w:rPr>
        <w:t xml:space="preserve"> </w:t>
      </w:r>
      <w:r w:rsidR="00F703A0" w:rsidRPr="006857DF">
        <w:rPr>
          <w:rStyle w:val="hps"/>
          <w:lang w:val="en-US"/>
        </w:rPr>
        <w:t>and</w:t>
      </w:r>
      <w:r w:rsidR="00F703A0" w:rsidRPr="006857DF">
        <w:rPr>
          <w:lang w:val="en-US"/>
        </w:rPr>
        <w:t xml:space="preserve"> </w:t>
      </w:r>
      <w:r w:rsidR="00F703A0" w:rsidRPr="006857DF">
        <w:rPr>
          <w:rStyle w:val="hps"/>
          <w:lang w:val="en-US"/>
        </w:rPr>
        <w:t>Degrading Treatments</w:t>
      </w:r>
    </w:p>
    <w:p w:rsidR="003476C0" w:rsidRPr="00F703A0" w:rsidRDefault="003476C0">
      <w:pPr>
        <w:pStyle w:val="Funotentext"/>
        <w:rPr>
          <w:lang w:val="en-US"/>
        </w:rPr>
      </w:pPr>
    </w:p>
  </w:footnote>
  <w:footnote w:id="24">
    <w:p w:rsidR="00F703A0" w:rsidRPr="006B5AA1" w:rsidRDefault="00F703A0" w:rsidP="00F703A0">
      <w:pPr>
        <w:pStyle w:val="Funotentext"/>
        <w:rPr>
          <w:lang w:val="en-US"/>
        </w:rPr>
      </w:pPr>
      <w:r>
        <w:rPr>
          <w:rStyle w:val="Funotenzeichen"/>
        </w:rPr>
        <w:footnoteRef/>
      </w:r>
      <w:r w:rsidRPr="00F703A0">
        <w:rPr>
          <w:lang w:val="en-US"/>
        </w:rPr>
        <w:t xml:space="preserve"> </w:t>
      </w:r>
      <w:r w:rsidRPr="006857DF">
        <w:rPr>
          <w:rStyle w:val="hps"/>
          <w:lang w:val="en-US"/>
        </w:rPr>
        <w:t xml:space="preserve">Article </w:t>
      </w:r>
      <w:r>
        <w:rPr>
          <w:rStyle w:val="hps"/>
          <w:lang w:val="en-US"/>
        </w:rPr>
        <w:t>25</w:t>
      </w:r>
      <w:r w:rsidRPr="006857DF">
        <w:rPr>
          <w:lang w:val="en-US"/>
        </w:rPr>
        <w:t xml:space="preserve"> </w:t>
      </w:r>
      <w:r w:rsidRPr="006857DF">
        <w:rPr>
          <w:rStyle w:val="hps"/>
          <w:lang w:val="en-US"/>
        </w:rPr>
        <w:t>of the Special Law</w:t>
      </w:r>
      <w:r w:rsidRPr="006857DF">
        <w:rPr>
          <w:lang w:val="en-US"/>
        </w:rPr>
        <w:t xml:space="preserve"> </w:t>
      </w:r>
      <w:r w:rsidRPr="006857DF">
        <w:rPr>
          <w:rStyle w:val="hps"/>
          <w:lang w:val="en-US"/>
        </w:rPr>
        <w:t>to Prevent and</w:t>
      </w:r>
      <w:r w:rsidRPr="006857DF">
        <w:rPr>
          <w:lang w:val="en-US"/>
        </w:rPr>
        <w:t xml:space="preserve"> </w:t>
      </w:r>
      <w:r w:rsidRPr="006857DF">
        <w:rPr>
          <w:rStyle w:val="hps"/>
          <w:lang w:val="en-US"/>
        </w:rPr>
        <w:t>Sanction Torture and</w:t>
      </w:r>
      <w:r w:rsidRPr="006857DF">
        <w:rPr>
          <w:lang w:val="en-US"/>
        </w:rPr>
        <w:t xml:space="preserve"> </w:t>
      </w:r>
      <w:r w:rsidRPr="006857DF">
        <w:rPr>
          <w:rStyle w:val="hps"/>
          <w:lang w:val="en-US"/>
        </w:rPr>
        <w:t>Other Cruel,</w:t>
      </w:r>
      <w:r w:rsidRPr="006857DF">
        <w:rPr>
          <w:lang w:val="en-US"/>
        </w:rPr>
        <w:t xml:space="preserve"> </w:t>
      </w:r>
      <w:r w:rsidRPr="006857DF">
        <w:rPr>
          <w:rStyle w:val="hps"/>
          <w:lang w:val="en-US"/>
        </w:rPr>
        <w:t>Inhuman</w:t>
      </w:r>
      <w:r w:rsidRPr="006857DF">
        <w:rPr>
          <w:lang w:val="en-US"/>
        </w:rPr>
        <w:t xml:space="preserve"> </w:t>
      </w:r>
      <w:r w:rsidRPr="006857DF">
        <w:rPr>
          <w:rStyle w:val="hps"/>
          <w:lang w:val="en-US"/>
        </w:rPr>
        <w:t>and</w:t>
      </w:r>
      <w:r w:rsidRPr="006857DF">
        <w:rPr>
          <w:lang w:val="en-US"/>
        </w:rPr>
        <w:t xml:space="preserve"> </w:t>
      </w:r>
      <w:r w:rsidRPr="006857DF">
        <w:rPr>
          <w:rStyle w:val="hps"/>
          <w:lang w:val="en-US"/>
        </w:rPr>
        <w:t>Degrading Treatments</w:t>
      </w:r>
    </w:p>
    <w:p w:rsidR="00F703A0" w:rsidRPr="00F703A0" w:rsidRDefault="00F703A0">
      <w:pPr>
        <w:pStyle w:val="Funotentext"/>
        <w:rPr>
          <w:lang w:val="en-US"/>
        </w:rPr>
      </w:pPr>
    </w:p>
  </w:footnote>
  <w:footnote w:id="25">
    <w:p w:rsidR="00232810" w:rsidRPr="00A139A9" w:rsidRDefault="00232810" w:rsidP="00232810">
      <w:pPr>
        <w:pStyle w:val="Funotentext"/>
        <w:rPr>
          <w:lang w:val="en-US"/>
        </w:rPr>
      </w:pPr>
      <w:r>
        <w:rPr>
          <w:rStyle w:val="Funotenzeichen"/>
        </w:rPr>
        <w:footnoteRef/>
      </w:r>
      <w:r w:rsidRPr="003414F2">
        <w:rPr>
          <w:rStyle w:val="hps"/>
          <w:lang w:val="en-US"/>
        </w:rPr>
        <w:t>Decree No.</w:t>
      </w:r>
      <w:r w:rsidRPr="003414F2">
        <w:rPr>
          <w:lang w:val="en-US"/>
        </w:rPr>
        <w:t xml:space="preserve"> </w:t>
      </w:r>
      <w:r w:rsidRPr="003414F2">
        <w:rPr>
          <w:rStyle w:val="hps"/>
          <w:lang w:val="en-US"/>
        </w:rPr>
        <w:t>5,895</w:t>
      </w:r>
      <w:r w:rsidRPr="003414F2">
        <w:rPr>
          <w:lang w:val="en-US"/>
        </w:rPr>
        <w:t xml:space="preserve"> </w:t>
      </w:r>
      <w:r w:rsidRPr="003414F2">
        <w:rPr>
          <w:rStyle w:val="hps"/>
          <w:lang w:val="en-US"/>
        </w:rPr>
        <w:t>with Rank,</w:t>
      </w:r>
      <w:r w:rsidRPr="003414F2">
        <w:rPr>
          <w:lang w:val="en-US"/>
        </w:rPr>
        <w:t xml:space="preserve"> </w:t>
      </w:r>
      <w:r w:rsidRPr="003414F2">
        <w:rPr>
          <w:rStyle w:val="hps"/>
          <w:lang w:val="en-US"/>
        </w:rPr>
        <w:t>Value and Force of</w:t>
      </w:r>
      <w:r w:rsidRPr="003414F2">
        <w:rPr>
          <w:lang w:val="en-US"/>
        </w:rPr>
        <w:t xml:space="preserve"> </w:t>
      </w:r>
      <w:r w:rsidRPr="003414F2">
        <w:rPr>
          <w:rStyle w:val="hps"/>
          <w:lang w:val="en-US"/>
        </w:rPr>
        <w:t>Organic Law of</w:t>
      </w:r>
      <w:r w:rsidRPr="003414F2">
        <w:rPr>
          <w:lang w:val="en-US"/>
        </w:rPr>
        <w:t xml:space="preserve"> </w:t>
      </w:r>
      <w:r w:rsidRPr="003414F2">
        <w:rPr>
          <w:rStyle w:val="hps"/>
          <w:lang w:val="en-US"/>
        </w:rPr>
        <w:t>Police Service</w:t>
      </w:r>
      <w:r w:rsidRPr="003414F2">
        <w:rPr>
          <w:lang w:val="en-US"/>
        </w:rPr>
        <w:t xml:space="preserve"> </w:t>
      </w:r>
      <w:r w:rsidRPr="003414F2">
        <w:rPr>
          <w:rStyle w:val="hps"/>
          <w:lang w:val="en-US"/>
        </w:rPr>
        <w:t>and</w:t>
      </w:r>
      <w:r w:rsidRPr="003414F2">
        <w:rPr>
          <w:lang w:val="en-US"/>
        </w:rPr>
        <w:t xml:space="preserve"> </w:t>
      </w:r>
      <w:r w:rsidRPr="003414F2">
        <w:rPr>
          <w:rStyle w:val="hps"/>
          <w:lang w:val="en-US"/>
        </w:rPr>
        <w:t>National Police</w:t>
      </w:r>
      <w:r w:rsidRPr="003414F2">
        <w:rPr>
          <w:lang w:val="en-US"/>
        </w:rPr>
        <w:t xml:space="preserve">, published in the </w:t>
      </w:r>
      <w:r w:rsidRPr="003414F2">
        <w:rPr>
          <w:rStyle w:val="hps"/>
          <w:lang w:val="en-US"/>
        </w:rPr>
        <w:t>Official</w:t>
      </w:r>
      <w:r w:rsidRPr="003414F2">
        <w:rPr>
          <w:lang w:val="en-US"/>
        </w:rPr>
        <w:t xml:space="preserve"> </w:t>
      </w:r>
      <w:r w:rsidRPr="003414F2">
        <w:rPr>
          <w:rStyle w:val="hps"/>
          <w:lang w:val="en-US"/>
        </w:rPr>
        <w:t>Gazette of the Bolivarian</w:t>
      </w:r>
      <w:r w:rsidRPr="003414F2">
        <w:rPr>
          <w:lang w:val="en-US"/>
        </w:rPr>
        <w:t xml:space="preserve"> </w:t>
      </w:r>
      <w:r w:rsidRPr="003414F2">
        <w:rPr>
          <w:rStyle w:val="hps"/>
          <w:lang w:val="en-US"/>
        </w:rPr>
        <w:t>Republic of</w:t>
      </w:r>
      <w:r w:rsidRPr="003414F2">
        <w:rPr>
          <w:lang w:val="en-US"/>
        </w:rPr>
        <w:t xml:space="preserve"> </w:t>
      </w:r>
      <w:r w:rsidRPr="003414F2">
        <w:rPr>
          <w:rStyle w:val="hps"/>
          <w:lang w:val="en-US"/>
        </w:rPr>
        <w:t>Venezuela</w:t>
      </w:r>
      <w:r w:rsidRPr="003414F2">
        <w:rPr>
          <w:lang w:val="en-US"/>
        </w:rPr>
        <w:t xml:space="preserve"> </w:t>
      </w:r>
      <w:proofErr w:type="gramStart"/>
      <w:r w:rsidRPr="003414F2">
        <w:rPr>
          <w:rStyle w:val="hps"/>
          <w:lang w:val="en-US"/>
        </w:rPr>
        <w:t>Extraordinary</w:t>
      </w:r>
      <w:proofErr w:type="gramEnd"/>
      <w:r w:rsidRPr="003414F2">
        <w:rPr>
          <w:lang w:val="en-US"/>
        </w:rPr>
        <w:t xml:space="preserve"> </w:t>
      </w:r>
      <w:r w:rsidRPr="003414F2">
        <w:rPr>
          <w:rStyle w:val="hps"/>
          <w:lang w:val="en-US"/>
        </w:rPr>
        <w:t>No.</w:t>
      </w:r>
      <w:r w:rsidRPr="003414F2">
        <w:rPr>
          <w:lang w:val="en-US"/>
        </w:rPr>
        <w:t xml:space="preserve"> </w:t>
      </w:r>
      <w:r w:rsidRPr="003414F2">
        <w:rPr>
          <w:rStyle w:val="hps"/>
          <w:lang w:val="en-US"/>
        </w:rPr>
        <w:t>5880</w:t>
      </w:r>
      <w:r w:rsidRPr="003414F2">
        <w:rPr>
          <w:lang w:val="en-US"/>
        </w:rPr>
        <w:t xml:space="preserve"> </w:t>
      </w:r>
      <w:r w:rsidRPr="003414F2">
        <w:rPr>
          <w:rStyle w:val="hps"/>
          <w:lang w:val="en-US"/>
        </w:rPr>
        <w:t>dated</w:t>
      </w:r>
      <w:r w:rsidRPr="003414F2">
        <w:rPr>
          <w:lang w:val="en-US"/>
        </w:rPr>
        <w:t xml:space="preserve"> </w:t>
      </w:r>
      <w:r w:rsidRPr="003414F2">
        <w:rPr>
          <w:rStyle w:val="hps"/>
          <w:lang w:val="en-US"/>
        </w:rPr>
        <w:t>April 9, 2008</w:t>
      </w:r>
      <w:r w:rsidRPr="003414F2">
        <w:rPr>
          <w:lang w:val="en-US"/>
        </w:rPr>
        <w:t>.</w:t>
      </w:r>
    </w:p>
  </w:footnote>
  <w:footnote w:id="26">
    <w:p w:rsidR="00232810" w:rsidRPr="00A139A9" w:rsidRDefault="00232810" w:rsidP="00232810">
      <w:pPr>
        <w:pStyle w:val="Funotentext"/>
        <w:rPr>
          <w:lang w:val="en-US"/>
        </w:rPr>
      </w:pPr>
      <w:r>
        <w:rPr>
          <w:rStyle w:val="Funotenzeichen"/>
        </w:rPr>
        <w:footnoteRef/>
      </w:r>
      <w:r w:rsidRPr="00A139A9">
        <w:rPr>
          <w:lang w:val="en-US"/>
        </w:rPr>
        <w:t xml:space="preserve"> </w:t>
      </w:r>
      <w:r w:rsidRPr="003414F2">
        <w:rPr>
          <w:rStyle w:val="hps"/>
          <w:lang w:val="en-US"/>
        </w:rPr>
        <w:t>Articles</w:t>
      </w:r>
      <w:r w:rsidRPr="003414F2">
        <w:rPr>
          <w:lang w:val="en-US"/>
        </w:rPr>
        <w:t xml:space="preserve"> </w:t>
      </w:r>
      <w:r w:rsidRPr="003414F2">
        <w:rPr>
          <w:rStyle w:val="hps"/>
          <w:lang w:val="en-US"/>
        </w:rPr>
        <w:t>3, 4</w:t>
      </w:r>
      <w:r w:rsidRPr="003414F2">
        <w:rPr>
          <w:lang w:val="en-US"/>
        </w:rPr>
        <w:t xml:space="preserve">, 12 and </w:t>
      </w:r>
      <w:r w:rsidRPr="003414F2">
        <w:rPr>
          <w:rStyle w:val="hps"/>
          <w:lang w:val="en-US"/>
        </w:rPr>
        <w:t>65 of</w:t>
      </w:r>
      <w:r w:rsidRPr="003414F2">
        <w:rPr>
          <w:lang w:val="en-US"/>
        </w:rPr>
        <w:t xml:space="preserve"> </w:t>
      </w:r>
      <w:r w:rsidRPr="003414F2">
        <w:rPr>
          <w:rStyle w:val="hps"/>
          <w:lang w:val="en-US"/>
        </w:rPr>
        <w:t>the Organic Law of</w:t>
      </w:r>
      <w:r w:rsidRPr="003414F2">
        <w:rPr>
          <w:lang w:val="en-US"/>
        </w:rPr>
        <w:t xml:space="preserve"> </w:t>
      </w:r>
      <w:r w:rsidRPr="003414F2">
        <w:rPr>
          <w:rStyle w:val="hps"/>
          <w:lang w:val="en-US"/>
        </w:rPr>
        <w:t>Police Service and</w:t>
      </w:r>
      <w:r w:rsidRPr="003414F2">
        <w:rPr>
          <w:lang w:val="en-US"/>
        </w:rPr>
        <w:t xml:space="preserve"> </w:t>
      </w:r>
      <w:r w:rsidRPr="003414F2">
        <w:rPr>
          <w:rStyle w:val="hps"/>
          <w:lang w:val="en-US"/>
        </w:rPr>
        <w:t>the</w:t>
      </w:r>
      <w:r w:rsidRPr="003414F2">
        <w:rPr>
          <w:lang w:val="en-US"/>
        </w:rPr>
        <w:t xml:space="preserve"> </w:t>
      </w:r>
      <w:r w:rsidRPr="003414F2">
        <w:rPr>
          <w:rStyle w:val="hps"/>
          <w:lang w:val="en-US"/>
        </w:rPr>
        <w:t>Bolivarian</w:t>
      </w:r>
      <w:r w:rsidRPr="003414F2">
        <w:rPr>
          <w:lang w:val="en-US"/>
        </w:rPr>
        <w:t xml:space="preserve"> </w:t>
      </w:r>
      <w:r w:rsidRPr="003414F2">
        <w:rPr>
          <w:rStyle w:val="hps"/>
          <w:lang w:val="en-US"/>
        </w:rPr>
        <w:t>National Police</w:t>
      </w:r>
    </w:p>
  </w:footnote>
  <w:footnote w:id="27">
    <w:p w:rsidR="00232810" w:rsidRPr="00A139A9" w:rsidRDefault="00232810" w:rsidP="00232810">
      <w:pPr>
        <w:pStyle w:val="Funotentext"/>
        <w:rPr>
          <w:lang w:val="en-US"/>
        </w:rPr>
      </w:pPr>
      <w:r>
        <w:rPr>
          <w:rStyle w:val="Funotenzeichen"/>
        </w:rPr>
        <w:footnoteRef/>
      </w:r>
      <w:r w:rsidRPr="00A139A9">
        <w:rPr>
          <w:lang w:val="en-US"/>
        </w:rPr>
        <w:t xml:space="preserve"> </w:t>
      </w:r>
      <w:proofErr w:type="gramStart"/>
      <w:r w:rsidRPr="003414F2">
        <w:rPr>
          <w:rStyle w:val="hps"/>
          <w:lang w:val="en-US"/>
        </w:rPr>
        <w:t>Published in</w:t>
      </w:r>
      <w:r w:rsidRPr="003414F2">
        <w:rPr>
          <w:lang w:val="en-US"/>
        </w:rPr>
        <w:t xml:space="preserve"> </w:t>
      </w:r>
      <w:r w:rsidRPr="003414F2">
        <w:rPr>
          <w:rStyle w:val="hps"/>
          <w:lang w:val="en-US"/>
        </w:rPr>
        <w:t>Official</w:t>
      </w:r>
      <w:r w:rsidRPr="003414F2">
        <w:rPr>
          <w:lang w:val="en-US"/>
        </w:rPr>
        <w:t xml:space="preserve"> </w:t>
      </w:r>
      <w:r w:rsidRPr="003414F2">
        <w:rPr>
          <w:rStyle w:val="hps"/>
          <w:lang w:val="en-US"/>
        </w:rPr>
        <w:t>Gazette of the Bolivarian</w:t>
      </w:r>
      <w:r w:rsidRPr="003414F2">
        <w:rPr>
          <w:lang w:val="en-US"/>
        </w:rPr>
        <w:t xml:space="preserve"> </w:t>
      </w:r>
      <w:r w:rsidRPr="003414F2">
        <w:rPr>
          <w:rStyle w:val="hps"/>
          <w:lang w:val="en-US"/>
        </w:rPr>
        <w:t>Republic of</w:t>
      </w:r>
      <w:r w:rsidRPr="003414F2">
        <w:rPr>
          <w:lang w:val="en-US"/>
        </w:rPr>
        <w:t xml:space="preserve"> </w:t>
      </w:r>
      <w:r w:rsidRPr="003414F2">
        <w:rPr>
          <w:rStyle w:val="hps"/>
          <w:lang w:val="en-US"/>
        </w:rPr>
        <w:t>Venezuela</w:t>
      </w:r>
      <w:r w:rsidRPr="003414F2">
        <w:rPr>
          <w:lang w:val="en-US"/>
        </w:rPr>
        <w:t xml:space="preserve"> </w:t>
      </w:r>
      <w:r w:rsidRPr="003414F2">
        <w:rPr>
          <w:rStyle w:val="hps"/>
          <w:lang w:val="en-US"/>
        </w:rPr>
        <w:t>No.</w:t>
      </w:r>
      <w:r w:rsidRPr="003414F2">
        <w:rPr>
          <w:lang w:val="en-US"/>
        </w:rPr>
        <w:t xml:space="preserve"> </w:t>
      </w:r>
      <w:r w:rsidRPr="003414F2">
        <w:rPr>
          <w:rStyle w:val="hps"/>
          <w:lang w:val="en-US"/>
        </w:rPr>
        <w:t>39,390</w:t>
      </w:r>
      <w:r w:rsidRPr="003414F2">
        <w:rPr>
          <w:lang w:val="en-US"/>
        </w:rPr>
        <w:t xml:space="preserve"> </w:t>
      </w:r>
      <w:r w:rsidRPr="003414F2">
        <w:rPr>
          <w:rStyle w:val="hps"/>
          <w:lang w:val="en-US"/>
        </w:rPr>
        <w:t>dated</w:t>
      </w:r>
      <w:r w:rsidRPr="003414F2">
        <w:rPr>
          <w:lang w:val="en-US"/>
        </w:rPr>
        <w:t xml:space="preserve"> </w:t>
      </w:r>
      <w:r w:rsidRPr="003414F2">
        <w:rPr>
          <w:rStyle w:val="hps"/>
          <w:lang w:val="en-US"/>
        </w:rPr>
        <w:t>March 19, 2010</w:t>
      </w:r>
      <w:r w:rsidRPr="003414F2">
        <w:rPr>
          <w:lang w:val="en-US"/>
        </w:rPr>
        <w:t>.</w:t>
      </w:r>
      <w:proofErr w:type="gramEnd"/>
    </w:p>
  </w:footnote>
  <w:footnote w:id="28">
    <w:p w:rsidR="00232810" w:rsidRPr="00A139A9" w:rsidRDefault="00232810" w:rsidP="00232810">
      <w:pPr>
        <w:pStyle w:val="Funotentext"/>
        <w:rPr>
          <w:lang w:val="en-US"/>
        </w:rPr>
      </w:pPr>
      <w:r>
        <w:rPr>
          <w:rStyle w:val="Funotenzeichen"/>
        </w:rPr>
        <w:footnoteRef/>
      </w:r>
      <w:r w:rsidRPr="00A139A9">
        <w:rPr>
          <w:lang w:val="en-US"/>
        </w:rPr>
        <w:t xml:space="preserve"> </w:t>
      </w:r>
      <w:proofErr w:type="gramStart"/>
      <w:r w:rsidRPr="003414F2">
        <w:rPr>
          <w:rStyle w:val="hps"/>
          <w:lang w:val="en-US"/>
        </w:rPr>
        <w:t>Published in</w:t>
      </w:r>
      <w:r w:rsidRPr="003414F2">
        <w:rPr>
          <w:lang w:val="en-US"/>
        </w:rPr>
        <w:t xml:space="preserve"> </w:t>
      </w:r>
      <w:r w:rsidRPr="003414F2">
        <w:rPr>
          <w:rStyle w:val="hps"/>
          <w:lang w:val="en-US"/>
        </w:rPr>
        <w:t>Official</w:t>
      </w:r>
      <w:r w:rsidRPr="003414F2">
        <w:rPr>
          <w:lang w:val="en-US"/>
        </w:rPr>
        <w:t xml:space="preserve"> </w:t>
      </w:r>
      <w:r w:rsidRPr="003414F2">
        <w:rPr>
          <w:rStyle w:val="hps"/>
          <w:lang w:val="en-US"/>
        </w:rPr>
        <w:t>Gazette</w:t>
      </w:r>
      <w:r w:rsidRPr="003414F2">
        <w:rPr>
          <w:lang w:val="en-US"/>
        </w:rPr>
        <w:t xml:space="preserve"> </w:t>
      </w:r>
      <w:r w:rsidRPr="003414F2">
        <w:rPr>
          <w:rStyle w:val="hps"/>
          <w:lang w:val="en-US"/>
        </w:rPr>
        <w:t>No.</w:t>
      </w:r>
      <w:r w:rsidRPr="003414F2">
        <w:rPr>
          <w:lang w:val="en-US"/>
        </w:rPr>
        <w:t xml:space="preserve"> </w:t>
      </w:r>
      <w:r w:rsidRPr="003414F2">
        <w:rPr>
          <w:rStyle w:val="hps"/>
          <w:lang w:val="en-US"/>
        </w:rPr>
        <w:t>39,658</w:t>
      </w:r>
      <w:r w:rsidRPr="003414F2">
        <w:rPr>
          <w:lang w:val="en-US"/>
        </w:rPr>
        <w:t xml:space="preserve"> </w:t>
      </w:r>
      <w:r w:rsidRPr="003414F2">
        <w:rPr>
          <w:rStyle w:val="hps"/>
          <w:lang w:val="en-US"/>
        </w:rPr>
        <w:t>of</w:t>
      </w:r>
      <w:r w:rsidRPr="003414F2">
        <w:rPr>
          <w:lang w:val="en-US"/>
        </w:rPr>
        <w:t xml:space="preserve"> </w:t>
      </w:r>
      <w:r w:rsidRPr="003414F2">
        <w:rPr>
          <w:rStyle w:val="hps"/>
          <w:lang w:val="en-US"/>
        </w:rPr>
        <w:t>the</w:t>
      </w:r>
      <w:r w:rsidRPr="003414F2">
        <w:rPr>
          <w:lang w:val="en-US"/>
        </w:rPr>
        <w:t xml:space="preserve"> </w:t>
      </w:r>
      <w:r w:rsidRPr="003414F2">
        <w:rPr>
          <w:rStyle w:val="hps"/>
          <w:lang w:val="en-US"/>
        </w:rPr>
        <w:t>Bolivarian Republic of</w:t>
      </w:r>
      <w:r w:rsidRPr="003414F2">
        <w:rPr>
          <w:lang w:val="en-US"/>
        </w:rPr>
        <w:t xml:space="preserve"> </w:t>
      </w:r>
      <w:r w:rsidRPr="003414F2">
        <w:rPr>
          <w:rStyle w:val="hps"/>
          <w:lang w:val="en-US"/>
        </w:rPr>
        <w:t>Venezuela</w:t>
      </w:r>
      <w:r w:rsidRPr="003414F2">
        <w:rPr>
          <w:lang w:val="en-US"/>
        </w:rPr>
        <w:t xml:space="preserve"> </w:t>
      </w:r>
      <w:r w:rsidRPr="003414F2">
        <w:rPr>
          <w:rStyle w:val="hps"/>
          <w:lang w:val="en-US"/>
        </w:rPr>
        <w:t>dated</w:t>
      </w:r>
      <w:r w:rsidRPr="003414F2">
        <w:rPr>
          <w:lang w:val="en-US"/>
        </w:rPr>
        <w:t xml:space="preserve"> </w:t>
      </w:r>
      <w:r w:rsidRPr="003414F2">
        <w:rPr>
          <w:rStyle w:val="hps"/>
          <w:lang w:val="en-US"/>
        </w:rPr>
        <w:t>April 18, 2011</w:t>
      </w:r>
      <w:r w:rsidRPr="003414F2">
        <w:rPr>
          <w:lang w:val="en-US"/>
        </w:rPr>
        <w:t>.</w:t>
      </w:r>
      <w:proofErr w:type="gramEnd"/>
    </w:p>
  </w:footnote>
  <w:footnote w:id="29">
    <w:p w:rsidR="00232810" w:rsidRPr="00A139A9" w:rsidRDefault="00232810" w:rsidP="00232810">
      <w:pPr>
        <w:pStyle w:val="Funotentext"/>
        <w:rPr>
          <w:lang w:val="en-US"/>
        </w:rPr>
      </w:pPr>
      <w:r>
        <w:rPr>
          <w:rStyle w:val="Funotenzeichen"/>
        </w:rPr>
        <w:footnoteRef/>
      </w:r>
      <w:r w:rsidRPr="00A139A9">
        <w:rPr>
          <w:lang w:val="en-US"/>
        </w:rPr>
        <w:t xml:space="preserve"> </w:t>
      </w:r>
      <w:r w:rsidRPr="003414F2">
        <w:rPr>
          <w:rStyle w:val="hps"/>
          <w:lang w:val="en-US"/>
        </w:rPr>
        <w:t>Article 12</w:t>
      </w:r>
      <w:r w:rsidRPr="003414F2">
        <w:rPr>
          <w:lang w:val="en-US"/>
        </w:rPr>
        <w:t xml:space="preserve"> </w:t>
      </w:r>
      <w:r w:rsidRPr="003414F2">
        <w:rPr>
          <w:rStyle w:val="hps"/>
          <w:lang w:val="en-US"/>
        </w:rPr>
        <w:t>of the Organic Law</w:t>
      </w:r>
      <w:r w:rsidRPr="003414F2">
        <w:rPr>
          <w:lang w:val="en-US"/>
        </w:rPr>
        <w:t xml:space="preserve"> </w:t>
      </w:r>
      <w:r w:rsidRPr="003414F2">
        <w:rPr>
          <w:rStyle w:val="hps"/>
          <w:lang w:val="en-US"/>
        </w:rPr>
        <w:t>of</w:t>
      </w:r>
      <w:r w:rsidRPr="003414F2">
        <w:rPr>
          <w:lang w:val="en-US"/>
        </w:rPr>
        <w:t xml:space="preserve"> </w:t>
      </w:r>
      <w:r w:rsidRPr="003414F2">
        <w:rPr>
          <w:rStyle w:val="hps"/>
          <w:lang w:val="en-US"/>
        </w:rPr>
        <w:t>Police Service</w:t>
      </w:r>
      <w:r w:rsidRPr="003414F2">
        <w:rPr>
          <w:lang w:val="en-US"/>
        </w:rPr>
        <w:t xml:space="preserve"> </w:t>
      </w:r>
      <w:r w:rsidRPr="003414F2">
        <w:rPr>
          <w:rStyle w:val="hps"/>
          <w:lang w:val="en-US"/>
        </w:rPr>
        <w:t>Research,</w:t>
      </w:r>
      <w:r w:rsidRPr="003414F2">
        <w:rPr>
          <w:lang w:val="en-US"/>
        </w:rPr>
        <w:t xml:space="preserve"> </w:t>
      </w:r>
      <w:r w:rsidRPr="003414F2">
        <w:rPr>
          <w:rStyle w:val="hps"/>
          <w:lang w:val="en-US"/>
        </w:rPr>
        <w:t>and the National</w:t>
      </w:r>
      <w:r w:rsidRPr="003414F2">
        <w:rPr>
          <w:lang w:val="en-US"/>
        </w:rPr>
        <w:t xml:space="preserve"> </w:t>
      </w:r>
      <w:r w:rsidRPr="003414F2">
        <w:rPr>
          <w:rStyle w:val="hps"/>
          <w:lang w:val="en-US"/>
        </w:rPr>
        <w:t>CICPC</w:t>
      </w:r>
      <w:r w:rsidRPr="003414F2">
        <w:rPr>
          <w:lang w:val="en-US"/>
        </w:rPr>
        <w:t xml:space="preserve"> </w:t>
      </w:r>
      <w:r w:rsidRPr="003414F2">
        <w:rPr>
          <w:rStyle w:val="hps"/>
          <w:lang w:val="en-US"/>
        </w:rPr>
        <w:t>Medicine</w:t>
      </w:r>
      <w:r w:rsidRPr="003414F2">
        <w:rPr>
          <w:lang w:val="en-US"/>
        </w:rPr>
        <w:t xml:space="preserve"> </w:t>
      </w:r>
      <w:r w:rsidRPr="003414F2">
        <w:rPr>
          <w:rStyle w:val="hps"/>
          <w:lang w:val="en-US"/>
        </w:rPr>
        <w:t>and Forensic Sciences</w:t>
      </w:r>
    </w:p>
  </w:footnote>
  <w:footnote w:id="30">
    <w:p w:rsidR="00232810" w:rsidRPr="00A139A9" w:rsidRDefault="00232810" w:rsidP="00232810">
      <w:pPr>
        <w:pStyle w:val="Funotentext"/>
        <w:rPr>
          <w:lang w:val="en-US"/>
        </w:rPr>
      </w:pPr>
      <w:r>
        <w:rPr>
          <w:rStyle w:val="Funotenzeichen"/>
        </w:rPr>
        <w:footnoteRef/>
      </w:r>
      <w:r w:rsidRPr="00A139A9">
        <w:rPr>
          <w:lang w:val="en-US"/>
        </w:rPr>
        <w:t xml:space="preserve"> </w:t>
      </w:r>
      <w:r w:rsidRPr="003414F2">
        <w:rPr>
          <w:rStyle w:val="hps"/>
          <w:lang w:val="en-US"/>
        </w:rPr>
        <w:t>Article</w:t>
      </w:r>
      <w:r w:rsidRPr="003414F2">
        <w:rPr>
          <w:lang w:val="en-US"/>
        </w:rPr>
        <w:t xml:space="preserve"> </w:t>
      </w:r>
      <w:r w:rsidRPr="003414F2">
        <w:rPr>
          <w:rStyle w:val="hps"/>
          <w:lang w:val="en-US"/>
        </w:rPr>
        <w:t>79 of</w:t>
      </w:r>
      <w:r w:rsidRPr="003414F2">
        <w:rPr>
          <w:lang w:val="en-US"/>
        </w:rPr>
        <w:t xml:space="preserve"> </w:t>
      </w:r>
      <w:r w:rsidRPr="003414F2">
        <w:rPr>
          <w:rStyle w:val="hps"/>
          <w:lang w:val="en-US"/>
        </w:rPr>
        <w:t>the Organic Law of</w:t>
      </w:r>
      <w:r w:rsidRPr="003414F2">
        <w:rPr>
          <w:lang w:val="en-US"/>
        </w:rPr>
        <w:t xml:space="preserve"> </w:t>
      </w:r>
      <w:r w:rsidRPr="003414F2">
        <w:rPr>
          <w:rStyle w:val="hps"/>
          <w:lang w:val="en-US"/>
        </w:rPr>
        <w:t>Police Service and</w:t>
      </w:r>
      <w:r w:rsidRPr="003414F2">
        <w:rPr>
          <w:lang w:val="en-US"/>
        </w:rPr>
        <w:t xml:space="preserve"> </w:t>
      </w:r>
      <w:r w:rsidRPr="003414F2">
        <w:rPr>
          <w:rStyle w:val="hps"/>
          <w:lang w:val="en-US"/>
        </w:rPr>
        <w:t>the</w:t>
      </w:r>
      <w:r w:rsidRPr="003414F2">
        <w:rPr>
          <w:lang w:val="en-US"/>
        </w:rPr>
        <w:t xml:space="preserve"> </w:t>
      </w:r>
      <w:r w:rsidRPr="003414F2">
        <w:rPr>
          <w:rStyle w:val="hps"/>
          <w:lang w:val="en-US"/>
        </w:rPr>
        <w:t>Bolivarian</w:t>
      </w:r>
      <w:r w:rsidRPr="003414F2">
        <w:rPr>
          <w:lang w:val="en-US"/>
        </w:rPr>
        <w:t xml:space="preserve"> </w:t>
      </w:r>
      <w:r w:rsidRPr="003414F2">
        <w:rPr>
          <w:rStyle w:val="hps"/>
          <w:lang w:val="en-US"/>
        </w:rPr>
        <w:t>National Police</w:t>
      </w:r>
      <w:r w:rsidRPr="003414F2">
        <w:rPr>
          <w:lang w:val="en-US"/>
        </w:rPr>
        <w:t xml:space="preserve">, as well as </w:t>
      </w:r>
      <w:r w:rsidRPr="003414F2">
        <w:rPr>
          <w:rStyle w:val="hps"/>
          <w:lang w:val="en-US"/>
        </w:rPr>
        <w:t>the Organic Law of</w:t>
      </w:r>
      <w:r w:rsidRPr="003414F2">
        <w:rPr>
          <w:lang w:val="en-US"/>
        </w:rPr>
        <w:t xml:space="preserve"> </w:t>
      </w:r>
      <w:r w:rsidRPr="003414F2">
        <w:rPr>
          <w:rStyle w:val="hps"/>
          <w:lang w:val="en-US"/>
        </w:rPr>
        <w:t>Police Service</w:t>
      </w:r>
      <w:r w:rsidRPr="003414F2">
        <w:rPr>
          <w:lang w:val="en-US"/>
        </w:rPr>
        <w:t xml:space="preserve"> </w:t>
      </w:r>
      <w:r w:rsidRPr="003414F2">
        <w:rPr>
          <w:rStyle w:val="hps"/>
          <w:lang w:val="en-US"/>
        </w:rPr>
        <w:t>Research,</w:t>
      </w:r>
      <w:r w:rsidRPr="003414F2">
        <w:rPr>
          <w:lang w:val="en-US"/>
        </w:rPr>
        <w:t xml:space="preserve"> </w:t>
      </w:r>
      <w:r w:rsidRPr="003414F2">
        <w:rPr>
          <w:rStyle w:val="hps"/>
          <w:lang w:val="en-US"/>
        </w:rPr>
        <w:t>and the National</w:t>
      </w:r>
      <w:r w:rsidRPr="003414F2">
        <w:rPr>
          <w:lang w:val="en-US"/>
        </w:rPr>
        <w:t xml:space="preserve"> </w:t>
      </w:r>
      <w:r w:rsidRPr="003414F2">
        <w:rPr>
          <w:rStyle w:val="hps"/>
          <w:lang w:val="en-US"/>
        </w:rPr>
        <w:t>CICPC</w:t>
      </w:r>
      <w:r w:rsidRPr="003414F2">
        <w:rPr>
          <w:lang w:val="en-US"/>
        </w:rPr>
        <w:t xml:space="preserve"> </w:t>
      </w:r>
      <w:r w:rsidRPr="003414F2">
        <w:rPr>
          <w:rStyle w:val="hps"/>
          <w:lang w:val="en-US"/>
        </w:rPr>
        <w:t>Medicine</w:t>
      </w:r>
      <w:r w:rsidRPr="003414F2">
        <w:rPr>
          <w:lang w:val="en-US"/>
        </w:rPr>
        <w:t xml:space="preserve"> </w:t>
      </w:r>
      <w:r w:rsidRPr="003414F2">
        <w:rPr>
          <w:rStyle w:val="hps"/>
          <w:lang w:val="en-US"/>
        </w:rPr>
        <w:t>and Forensic Sciences</w:t>
      </w:r>
    </w:p>
  </w:footnote>
  <w:footnote w:id="31">
    <w:p w:rsidR="00232810" w:rsidRPr="00A139A9" w:rsidRDefault="00232810" w:rsidP="00232810">
      <w:pPr>
        <w:pStyle w:val="Funotentext"/>
        <w:rPr>
          <w:lang w:val="en-US"/>
        </w:rPr>
      </w:pPr>
      <w:r>
        <w:rPr>
          <w:rStyle w:val="Funotenzeichen"/>
        </w:rPr>
        <w:footnoteRef/>
      </w:r>
      <w:r w:rsidRPr="00A139A9">
        <w:rPr>
          <w:lang w:val="en-US"/>
        </w:rPr>
        <w:t xml:space="preserve"> </w:t>
      </w:r>
      <w:r w:rsidRPr="003414F2">
        <w:rPr>
          <w:rStyle w:val="hps"/>
          <w:lang w:val="en-US"/>
        </w:rPr>
        <w:t>Created</w:t>
      </w:r>
      <w:r w:rsidRPr="003414F2">
        <w:rPr>
          <w:lang w:val="en-US"/>
        </w:rPr>
        <w:t xml:space="preserve"> </w:t>
      </w:r>
      <w:r w:rsidRPr="003414F2">
        <w:rPr>
          <w:rStyle w:val="hps"/>
          <w:lang w:val="en-US"/>
        </w:rPr>
        <w:t>by order</w:t>
      </w:r>
      <w:r w:rsidRPr="003414F2">
        <w:rPr>
          <w:lang w:val="en-US"/>
        </w:rPr>
        <w:t xml:space="preserve"> </w:t>
      </w:r>
      <w:r w:rsidRPr="003414F2">
        <w:rPr>
          <w:rStyle w:val="hps"/>
          <w:lang w:val="en-US"/>
        </w:rPr>
        <w:t>published</w:t>
      </w:r>
      <w:r w:rsidRPr="003414F2">
        <w:rPr>
          <w:lang w:val="en-US"/>
        </w:rPr>
        <w:t xml:space="preserve"> </w:t>
      </w:r>
      <w:r w:rsidRPr="003414F2">
        <w:rPr>
          <w:rStyle w:val="hps"/>
          <w:lang w:val="en-US"/>
        </w:rPr>
        <w:t>in the Official Gazette</w:t>
      </w:r>
      <w:r w:rsidRPr="003414F2">
        <w:rPr>
          <w:lang w:val="en-US"/>
        </w:rPr>
        <w:t xml:space="preserve"> </w:t>
      </w:r>
      <w:r w:rsidRPr="003414F2">
        <w:rPr>
          <w:rStyle w:val="hps"/>
          <w:lang w:val="en-US"/>
        </w:rPr>
        <w:t>of the Bolivarian</w:t>
      </w:r>
      <w:r w:rsidRPr="003414F2">
        <w:rPr>
          <w:lang w:val="en-US"/>
        </w:rPr>
        <w:t xml:space="preserve"> </w:t>
      </w:r>
      <w:r w:rsidRPr="003414F2">
        <w:rPr>
          <w:rStyle w:val="hps"/>
          <w:lang w:val="en-US"/>
        </w:rPr>
        <w:t>Republic of</w:t>
      </w:r>
      <w:r w:rsidRPr="003414F2">
        <w:rPr>
          <w:lang w:val="en-US"/>
        </w:rPr>
        <w:t xml:space="preserve"> </w:t>
      </w:r>
      <w:r w:rsidRPr="003414F2">
        <w:rPr>
          <w:rStyle w:val="hps"/>
          <w:lang w:val="en-US"/>
        </w:rPr>
        <w:t>Venezuela</w:t>
      </w:r>
      <w:r w:rsidRPr="003414F2">
        <w:rPr>
          <w:lang w:val="en-US"/>
        </w:rPr>
        <w:t xml:space="preserve"> </w:t>
      </w:r>
      <w:r w:rsidRPr="003414F2">
        <w:rPr>
          <w:rStyle w:val="hps"/>
          <w:lang w:val="en-US"/>
        </w:rPr>
        <w:t>No.</w:t>
      </w:r>
      <w:r w:rsidRPr="003414F2">
        <w:rPr>
          <w:lang w:val="en-US"/>
        </w:rPr>
        <w:t xml:space="preserve"> </w:t>
      </w:r>
      <w:r w:rsidRPr="003414F2">
        <w:rPr>
          <w:rStyle w:val="hps"/>
          <w:lang w:val="en-US"/>
        </w:rPr>
        <w:t>38,936</w:t>
      </w:r>
      <w:r w:rsidRPr="003414F2">
        <w:rPr>
          <w:lang w:val="en-US"/>
        </w:rPr>
        <w:t xml:space="preserve"> </w:t>
      </w:r>
      <w:r w:rsidRPr="003414F2">
        <w:rPr>
          <w:rStyle w:val="hps"/>
          <w:lang w:val="en-US"/>
        </w:rPr>
        <w:t>dated</w:t>
      </w:r>
      <w:r w:rsidRPr="003414F2">
        <w:rPr>
          <w:lang w:val="en-US"/>
        </w:rPr>
        <w:t xml:space="preserve"> </w:t>
      </w:r>
      <w:r w:rsidRPr="003414F2">
        <w:rPr>
          <w:rStyle w:val="hps"/>
          <w:lang w:val="en-US"/>
        </w:rPr>
        <w:t>May 22, 2008</w:t>
      </w:r>
    </w:p>
  </w:footnote>
  <w:footnote w:id="32">
    <w:p w:rsidR="00232810" w:rsidRPr="00A139A9" w:rsidRDefault="00232810" w:rsidP="00232810">
      <w:pPr>
        <w:pStyle w:val="Funotentext"/>
        <w:rPr>
          <w:lang w:val="en-US"/>
        </w:rPr>
      </w:pPr>
      <w:r>
        <w:rPr>
          <w:rStyle w:val="Funotenzeichen"/>
        </w:rPr>
        <w:footnoteRef/>
      </w:r>
      <w:r w:rsidRPr="003414F2">
        <w:rPr>
          <w:rStyle w:val="hps"/>
          <w:lang w:val="en-US"/>
        </w:rPr>
        <w:t>Article 6</w:t>
      </w:r>
      <w:r w:rsidRPr="003414F2">
        <w:rPr>
          <w:lang w:val="en-US"/>
        </w:rPr>
        <w:t xml:space="preserve"> </w:t>
      </w:r>
      <w:r w:rsidRPr="003414F2">
        <w:rPr>
          <w:rStyle w:val="hps"/>
          <w:lang w:val="en-US"/>
        </w:rPr>
        <w:t>of the Special Law</w:t>
      </w:r>
      <w:r w:rsidRPr="003414F2">
        <w:rPr>
          <w:lang w:val="en-US"/>
        </w:rPr>
        <w:t xml:space="preserve"> </w:t>
      </w:r>
      <w:r w:rsidRPr="003414F2">
        <w:rPr>
          <w:rStyle w:val="hps"/>
          <w:lang w:val="en-US"/>
        </w:rPr>
        <w:t>to Prevent and</w:t>
      </w:r>
      <w:r w:rsidRPr="003414F2">
        <w:rPr>
          <w:lang w:val="en-US"/>
        </w:rPr>
        <w:t xml:space="preserve"> </w:t>
      </w:r>
      <w:r w:rsidRPr="003414F2">
        <w:rPr>
          <w:rStyle w:val="hps"/>
          <w:lang w:val="en-US"/>
        </w:rPr>
        <w:t>Punish Torture and</w:t>
      </w:r>
      <w:r w:rsidRPr="003414F2">
        <w:rPr>
          <w:lang w:val="en-US"/>
        </w:rPr>
        <w:t xml:space="preserve"> </w:t>
      </w:r>
      <w:r w:rsidRPr="003414F2">
        <w:rPr>
          <w:rStyle w:val="hps"/>
          <w:lang w:val="en-US"/>
        </w:rPr>
        <w:t>Other Cruel,</w:t>
      </w:r>
      <w:r w:rsidRPr="003414F2">
        <w:rPr>
          <w:lang w:val="en-US"/>
        </w:rPr>
        <w:t xml:space="preserve"> </w:t>
      </w:r>
      <w:r w:rsidRPr="003414F2">
        <w:rPr>
          <w:rStyle w:val="hps"/>
          <w:lang w:val="en-US"/>
        </w:rPr>
        <w:t>Inhuman and Degrading Treatment</w:t>
      </w:r>
      <w:r>
        <w:rPr>
          <w:rStyle w:val="hps"/>
          <w:lang w:val="en-US"/>
        </w:rPr>
        <w:t>s</w:t>
      </w:r>
      <w:r w:rsidRPr="00A139A9">
        <w:rPr>
          <w:lang w:val="en-US"/>
        </w:rPr>
        <w:t xml:space="preserve"> </w:t>
      </w:r>
    </w:p>
  </w:footnote>
  <w:footnote w:id="33">
    <w:p w:rsidR="00232810" w:rsidRPr="00A139A9" w:rsidRDefault="00232810" w:rsidP="00232810">
      <w:pPr>
        <w:pStyle w:val="Funotentext"/>
        <w:rPr>
          <w:lang w:val="en-US"/>
        </w:rPr>
      </w:pPr>
      <w:r>
        <w:rPr>
          <w:rStyle w:val="Funotenzeichen"/>
        </w:rPr>
        <w:footnoteRef/>
      </w:r>
      <w:r w:rsidRPr="00A139A9">
        <w:rPr>
          <w:lang w:val="en-US"/>
        </w:rPr>
        <w:t xml:space="preserve"> </w:t>
      </w:r>
      <w:r w:rsidRPr="003414F2">
        <w:rPr>
          <w:rStyle w:val="hps"/>
          <w:lang w:val="en-US"/>
        </w:rPr>
        <w:t>Article 9</w:t>
      </w:r>
      <w:r w:rsidRPr="003414F2">
        <w:rPr>
          <w:lang w:val="en-US"/>
        </w:rPr>
        <w:t xml:space="preserve"> </w:t>
      </w:r>
      <w:r w:rsidRPr="003414F2">
        <w:rPr>
          <w:rStyle w:val="hps"/>
          <w:lang w:val="en-US"/>
        </w:rPr>
        <w:t>of the Special Law</w:t>
      </w:r>
      <w:r w:rsidRPr="003414F2">
        <w:rPr>
          <w:lang w:val="en-US"/>
        </w:rPr>
        <w:t xml:space="preserve"> </w:t>
      </w:r>
      <w:r w:rsidRPr="003414F2">
        <w:rPr>
          <w:rStyle w:val="hps"/>
          <w:lang w:val="en-US"/>
        </w:rPr>
        <w:t>to Prevent and</w:t>
      </w:r>
      <w:r w:rsidRPr="003414F2">
        <w:rPr>
          <w:lang w:val="en-US"/>
        </w:rPr>
        <w:t xml:space="preserve"> </w:t>
      </w:r>
      <w:r w:rsidRPr="003414F2">
        <w:rPr>
          <w:rStyle w:val="hps"/>
          <w:lang w:val="en-US"/>
        </w:rPr>
        <w:t>Punish Torture and</w:t>
      </w:r>
      <w:r w:rsidRPr="003414F2">
        <w:rPr>
          <w:lang w:val="en-US"/>
        </w:rPr>
        <w:t xml:space="preserve"> </w:t>
      </w:r>
      <w:r w:rsidRPr="003414F2">
        <w:rPr>
          <w:rStyle w:val="hps"/>
          <w:lang w:val="en-US"/>
        </w:rPr>
        <w:t>Other Cruel,</w:t>
      </w:r>
      <w:r w:rsidRPr="003414F2">
        <w:rPr>
          <w:lang w:val="en-US"/>
        </w:rPr>
        <w:t xml:space="preserve"> </w:t>
      </w:r>
      <w:r w:rsidRPr="003414F2">
        <w:rPr>
          <w:rStyle w:val="hps"/>
          <w:lang w:val="en-US"/>
        </w:rPr>
        <w:t>Inhuman</w:t>
      </w:r>
      <w:r w:rsidRPr="003414F2">
        <w:rPr>
          <w:lang w:val="en-US"/>
        </w:rPr>
        <w:t xml:space="preserve"> </w:t>
      </w:r>
      <w:r w:rsidRPr="003414F2">
        <w:rPr>
          <w:rStyle w:val="hps"/>
          <w:lang w:val="en-US"/>
        </w:rPr>
        <w:t>and</w:t>
      </w:r>
      <w:r w:rsidRPr="003414F2">
        <w:rPr>
          <w:lang w:val="en-US"/>
        </w:rPr>
        <w:t xml:space="preserve"> </w:t>
      </w:r>
      <w:r w:rsidRPr="003414F2">
        <w:rPr>
          <w:rStyle w:val="hps"/>
          <w:lang w:val="en-US"/>
        </w:rPr>
        <w:t>Degrading treatments</w:t>
      </w:r>
    </w:p>
  </w:footnote>
  <w:footnote w:id="34">
    <w:p w:rsidR="00232810" w:rsidRPr="00A139A9" w:rsidRDefault="00232810" w:rsidP="00232810">
      <w:pPr>
        <w:pStyle w:val="Funotentext"/>
        <w:rPr>
          <w:lang w:val="en-US"/>
        </w:rPr>
      </w:pPr>
      <w:r>
        <w:rPr>
          <w:rStyle w:val="Funotenzeichen"/>
        </w:rPr>
        <w:footnoteRef/>
      </w:r>
      <w:r w:rsidRPr="00A139A9">
        <w:rPr>
          <w:lang w:val="en-US"/>
        </w:rPr>
        <w:t xml:space="preserve"> </w:t>
      </w:r>
      <w:r w:rsidRPr="003414F2">
        <w:rPr>
          <w:rStyle w:val="hps"/>
          <w:lang w:val="en-US"/>
        </w:rPr>
        <w:t>Article 10</w:t>
      </w:r>
      <w:r w:rsidRPr="003414F2">
        <w:rPr>
          <w:lang w:val="en-US"/>
        </w:rPr>
        <w:t xml:space="preserve"> </w:t>
      </w:r>
      <w:r w:rsidRPr="003414F2">
        <w:rPr>
          <w:rStyle w:val="hps"/>
          <w:lang w:val="en-US"/>
        </w:rPr>
        <w:t>of the Special Law</w:t>
      </w:r>
      <w:r w:rsidRPr="003414F2">
        <w:rPr>
          <w:lang w:val="en-US"/>
        </w:rPr>
        <w:t xml:space="preserve"> </w:t>
      </w:r>
      <w:r w:rsidRPr="003414F2">
        <w:rPr>
          <w:rStyle w:val="hps"/>
          <w:lang w:val="en-US"/>
        </w:rPr>
        <w:t>to Prevent and</w:t>
      </w:r>
      <w:r w:rsidRPr="003414F2">
        <w:rPr>
          <w:lang w:val="en-US"/>
        </w:rPr>
        <w:t xml:space="preserve"> </w:t>
      </w:r>
      <w:r w:rsidRPr="003414F2">
        <w:rPr>
          <w:rStyle w:val="hps"/>
          <w:lang w:val="en-US"/>
        </w:rPr>
        <w:t>Punish Torture and</w:t>
      </w:r>
      <w:r w:rsidRPr="003414F2">
        <w:rPr>
          <w:lang w:val="en-US"/>
        </w:rPr>
        <w:t xml:space="preserve"> </w:t>
      </w:r>
      <w:r w:rsidRPr="003414F2">
        <w:rPr>
          <w:rStyle w:val="hps"/>
          <w:lang w:val="en-US"/>
        </w:rPr>
        <w:t>Other Cruel,</w:t>
      </w:r>
      <w:r w:rsidRPr="003414F2">
        <w:rPr>
          <w:lang w:val="en-US"/>
        </w:rPr>
        <w:t xml:space="preserve"> </w:t>
      </w:r>
      <w:r w:rsidRPr="003414F2">
        <w:rPr>
          <w:rStyle w:val="hps"/>
          <w:lang w:val="en-US"/>
        </w:rPr>
        <w:t>Inhuman</w:t>
      </w:r>
      <w:r w:rsidRPr="003414F2">
        <w:rPr>
          <w:lang w:val="en-US"/>
        </w:rPr>
        <w:t xml:space="preserve"> </w:t>
      </w:r>
      <w:r w:rsidRPr="003414F2">
        <w:rPr>
          <w:rStyle w:val="hps"/>
          <w:lang w:val="en-US"/>
        </w:rPr>
        <w:t>and</w:t>
      </w:r>
      <w:r w:rsidRPr="003414F2">
        <w:rPr>
          <w:lang w:val="en-US"/>
        </w:rPr>
        <w:t xml:space="preserve"> </w:t>
      </w:r>
      <w:r w:rsidRPr="003414F2">
        <w:rPr>
          <w:rStyle w:val="hps"/>
          <w:lang w:val="en-US"/>
        </w:rPr>
        <w:t>Degrading treatments</w:t>
      </w:r>
    </w:p>
  </w:footnote>
  <w:footnote w:id="35">
    <w:p w:rsidR="00232810" w:rsidRDefault="00232810" w:rsidP="00232810">
      <w:pPr>
        <w:pStyle w:val="Funotentext"/>
      </w:pPr>
      <w:r>
        <w:rPr>
          <w:rStyle w:val="Funotenzeichen"/>
        </w:rPr>
        <w:footnoteRef/>
      </w:r>
      <w:r>
        <w:t xml:space="preserve"> </w:t>
      </w:r>
      <w:r>
        <w:rPr>
          <w:rStyle w:val="hps"/>
        </w:rPr>
        <w:t>National Institute</w:t>
      </w:r>
      <w:r>
        <w:rPr>
          <w:rStyle w:val="shorttext"/>
        </w:rPr>
        <w:t xml:space="preserve"> </w:t>
      </w:r>
      <w:r>
        <w:rPr>
          <w:rStyle w:val="hps"/>
        </w:rPr>
        <w:t>of Statistics.</w:t>
      </w:r>
      <w:r>
        <w:rPr>
          <w:rStyle w:val="shorttext"/>
        </w:rPr>
        <w:t xml:space="preserve"> </w:t>
      </w:r>
      <w:r>
        <w:rPr>
          <w:rStyle w:val="hps"/>
        </w:rPr>
        <w:t>2009</w:t>
      </w:r>
      <w:r>
        <w:rPr>
          <w:rStyle w:val="shorttext"/>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205"/>
    <w:rsid w:val="000937F6"/>
    <w:rsid w:val="000A3188"/>
    <w:rsid w:val="000A61D2"/>
    <w:rsid w:val="000A6F6C"/>
    <w:rsid w:val="000C08CA"/>
    <w:rsid w:val="00174699"/>
    <w:rsid w:val="0019206F"/>
    <w:rsid w:val="001F18D4"/>
    <w:rsid w:val="001F49CF"/>
    <w:rsid w:val="00232810"/>
    <w:rsid w:val="0027174A"/>
    <w:rsid w:val="003268B8"/>
    <w:rsid w:val="00341696"/>
    <w:rsid w:val="003476C0"/>
    <w:rsid w:val="003773E8"/>
    <w:rsid w:val="00377736"/>
    <w:rsid w:val="003D5F8D"/>
    <w:rsid w:val="004D158D"/>
    <w:rsid w:val="00515FDA"/>
    <w:rsid w:val="00611FF6"/>
    <w:rsid w:val="006857DF"/>
    <w:rsid w:val="006868A5"/>
    <w:rsid w:val="006B5AA1"/>
    <w:rsid w:val="006F4AF0"/>
    <w:rsid w:val="007770FC"/>
    <w:rsid w:val="007B52D4"/>
    <w:rsid w:val="007E45AA"/>
    <w:rsid w:val="007F1F9F"/>
    <w:rsid w:val="00815231"/>
    <w:rsid w:val="00835504"/>
    <w:rsid w:val="0085292B"/>
    <w:rsid w:val="008B48F4"/>
    <w:rsid w:val="008C0CAB"/>
    <w:rsid w:val="00903F7E"/>
    <w:rsid w:val="0093299B"/>
    <w:rsid w:val="009B6F1C"/>
    <w:rsid w:val="00A83226"/>
    <w:rsid w:val="00AB2CE4"/>
    <w:rsid w:val="00B2480E"/>
    <w:rsid w:val="00B50235"/>
    <w:rsid w:val="00BD0AD0"/>
    <w:rsid w:val="00BE47A0"/>
    <w:rsid w:val="00C00161"/>
    <w:rsid w:val="00C03527"/>
    <w:rsid w:val="00C608E9"/>
    <w:rsid w:val="00C64354"/>
    <w:rsid w:val="00C67BDD"/>
    <w:rsid w:val="00D44DDC"/>
    <w:rsid w:val="00D453AB"/>
    <w:rsid w:val="00D61AB7"/>
    <w:rsid w:val="00D62EEB"/>
    <w:rsid w:val="00D8532C"/>
    <w:rsid w:val="00DE6EA0"/>
    <w:rsid w:val="00E5203C"/>
    <w:rsid w:val="00E54C03"/>
    <w:rsid w:val="00EB2205"/>
    <w:rsid w:val="00EE4922"/>
    <w:rsid w:val="00EF2555"/>
    <w:rsid w:val="00F315A8"/>
    <w:rsid w:val="00F62750"/>
    <w:rsid w:val="00F703A0"/>
    <w:rsid w:val="00F80D80"/>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g">
    <w:name w:val="eg"/>
    <w:basedOn w:val="Absatz-Standardschriftart"/>
    <w:rsid w:val="0019206F"/>
  </w:style>
  <w:style w:type="paragraph" w:styleId="Funotentext">
    <w:name w:val="footnote text"/>
    <w:basedOn w:val="Standard"/>
    <w:link w:val="FunotentextZchn"/>
    <w:uiPriority w:val="99"/>
    <w:semiHidden/>
    <w:unhideWhenUsed/>
    <w:rsid w:val="0085292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5292B"/>
    <w:rPr>
      <w:sz w:val="20"/>
      <w:szCs w:val="20"/>
    </w:rPr>
  </w:style>
  <w:style w:type="character" w:styleId="Funotenzeichen">
    <w:name w:val="footnote reference"/>
    <w:basedOn w:val="Absatz-Standardschriftart"/>
    <w:uiPriority w:val="99"/>
    <w:semiHidden/>
    <w:unhideWhenUsed/>
    <w:rsid w:val="0085292B"/>
    <w:rPr>
      <w:vertAlign w:val="superscript"/>
    </w:rPr>
  </w:style>
  <w:style w:type="character" w:customStyle="1" w:styleId="hps">
    <w:name w:val="hps"/>
    <w:basedOn w:val="Absatz-Standardschriftart"/>
    <w:rsid w:val="0085292B"/>
  </w:style>
  <w:style w:type="character" w:customStyle="1" w:styleId="shorttext">
    <w:name w:val="short_text"/>
    <w:basedOn w:val="Absatz-Standardschriftart"/>
    <w:rsid w:val="00AB2CE4"/>
  </w:style>
  <w:style w:type="paragraph" w:styleId="Kopfzeile">
    <w:name w:val="header"/>
    <w:basedOn w:val="Standard"/>
    <w:link w:val="KopfzeileZchn"/>
    <w:uiPriority w:val="99"/>
    <w:semiHidden/>
    <w:unhideWhenUsed/>
    <w:rsid w:val="004D158D"/>
    <w:pPr>
      <w:tabs>
        <w:tab w:val="center" w:pos="4419"/>
        <w:tab w:val="right" w:pos="8838"/>
      </w:tabs>
      <w:spacing w:after="0" w:line="240" w:lineRule="auto"/>
    </w:pPr>
    <w:rPr>
      <w:lang w:eastAsia="es-VE"/>
    </w:rPr>
  </w:style>
  <w:style w:type="character" w:customStyle="1" w:styleId="KopfzeileZchn">
    <w:name w:val="Kopfzeile Zchn"/>
    <w:basedOn w:val="Absatz-Standardschriftart"/>
    <w:link w:val="Kopfzeile"/>
    <w:uiPriority w:val="99"/>
    <w:semiHidden/>
    <w:rsid w:val="004D158D"/>
    <w:rPr>
      <w:rFonts w:eastAsiaTheme="minorEastAsia"/>
      <w:lang w:eastAsia="es-V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g">
    <w:name w:val="eg"/>
    <w:basedOn w:val="Absatz-Standardschriftart"/>
    <w:rsid w:val="0019206F"/>
  </w:style>
  <w:style w:type="paragraph" w:styleId="Funotentext">
    <w:name w:val="footnote text"/>
    <w:basedOn w:val="Standard"/>
    <w:link w:val="FunotentextZchn"/>
    <w:uiPriority w:val="99"/>
    <w:semiHidden/>
    <w:unhideWhenUsed/>
    <w:rsid w:val="0085292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5292B"/>
    <w:rPr>
      <w:sz w:val="20"/>
      <w:szCs w:val="20"/>
    </w:rPr>
  </w:style>
  <w:style w:type="character" w:styleId="Funotenzeichen">
    <w:name w:val="footnote reference"/>
    <w:basedOn w:val="Absatz-Standardschriftart"/>
    <w:uiPriority w:val="99"/>
    <w:semiHidden/>
    <w:unhideWhenUsed/>
    <w:rsid w:val="0085292B"/>
    <w:rPr>
      <w:vertAlign w:val="superscript"/>
    </w:rPr>
  </w:style>
  <w:style w:type="character" w:customStyle="1" w:styleId="hps">
    <w:name w:val="hps"/>
    <w:basedOn w:val="Absatz-Standardschriftart"/>
    <w:rsid w:val="0085292B"/>
  </w:style>
  <w:style w:type="character" w:customStyle="1" w:styleId="shorttext">
    <w:name w:val="short_text"/>
    <w:basedOn w:val="Absatz-Standardschriftart"/>
    <w:rsid w:val="00AB2CE4"/>
  </w:style>
  <w:style w:type="paragraph" w:styleId="Kopfzeile">
    <w:name w:val="header"/>
    <w:basedOn w:val="Standard"/>
    <w:link w:val="KopfzeileZchn"/>
    <w:uiPriority w:val="99"/>
    <w:semiHidden/>
    <w:unhideWhenUsed/>
    <w:rsid w:val="004D158D"/>
    <w:pPr>
      <w:tabs>
        <w:tab w:val="center" w:pos="4419"/>
        <w:tab w:val="right" w:pos="8838"/>
      </w:tabs>
      <w:spacing w:after="0" w:line="240" w:lineRule="auto"/>
    </w:pPr>
    <w:rPr>
      <w:lang w:eastAsia="es-VE"/>
    </w:rPr>
  </w:style>
  <w:style w:type="character" w:customStyle="1" w:styleId="KopfzeileZchn">
    <w:name w:val="Kopfzeile Zchn"/>
    <w:basedOn w:val="Absatz-Standardschriftart"/>
    <w:link w:val="Kopfzeile"/>
    <w:uiPriority w:val="99"/>
    <w:semiHidden/>
    <w:rsid w:val="004D158D"/>
    <w:rPr>
      <w:rFonts w:eastAsiaTheme="minorEastAsia"/>
      <w:lang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55207">
      <w:bodyDiv w:val="1"/>
      <w:marLeft w:val="0"/>
      <w:marRight w:val="0"/>
      <w:marTop w:val="0"/>
      <w:marBottom w:val="0"/>
      <w:divBdr>
        <w:top w:val="none" w:sz="0" w:space="0" w:color="auto"/>
        <w:left w:val="none" w:sz="0" w:space="0" w:color="auto"/>
        <w:bottom w:val="none" w:sz="0" w:space="0" w:color="auto"/>
        <w:right w:val="none" w:sz="0" w:space="0" w:color="auto"/>
      </w:divBdr>
      <w:divsChild>
        <w:div w:id="837958473">
          <w:marLeft w:val="0"/>
          <w:marRight w:val="0"/>
          <w:marTop w:val="0"/>
          <w:marBottom w:val="0"/>
          <w:divBdr>
            <w:top w:val="none" w:sz="0" w:space="0" w:color="auto"/>
            <w:left w:val="none" w:sz="0" w:space="0" w:color="auto"/>
            <w:bottom w:val="none" w:sz="0" w:space="0" w:color="auto"/>
            <w:right w:val="none" w:sz="0" w:space="0" w:color="auto"/>
          </w:divBdr>
          <w:divsChild>
            <w:div w:id="1681929361">
              <w:marLeft w:val="0"/>
              <w:marRight w:val="0"/>
              <w:marTop w:val="0"/>
              <w:marBottom w:val="0"/>
              <w:divBdr>
                <w:top w:val="none" w:sz="0" w:space="0" w:color="auto"/>
                <w:left w:val="none" w:sz="0" w:space="0" w:color="auto"/>
                <w:bottom w:val="none" w:sz="0" w:space="0" w:color="auto"/>
                <w:right w:val="none" w:sz="0" w:space="0" w:color="auto"/>
              </w:divBdr>
              <w:divsChild>
                <w:div w:id="2040350721">
                  <w:marLeft w:val="0"/>
                  <w:marRight w:val="0"/>
                  <w:marTop w:val="0"/>
                  <w:marBottom w:val="0"/>
                  <w:divBdr>
                    <w:top w:val="none" w:sz="0" w:space="0" w:color="auto"/>
                    <w:left w:val="none" w:sz="0" w:space="0" w:color="auto"/>
                    <w:bottom w:val="none" w:sz="0" w:space="0" w:color="auto"/>
                    <w:right w:val="none" w:sz="0" w:space="0" w:color="auto"/>
                  </w:divBdr>
                  <w:divsChild>
                    <w:div w:id="635448026">
                      <w:marLeft w:val="0"/>
                      <w:marRight w:val="0"/>
                      <w:marTop w:val="0"/>
                      <w:marBottom w:val="0"/>
                      <w:divBdr>
                        <w:top w:val="none" w:sz="0" w:space="0" w:color="auto"/>
                        <w:left w:val="none" w:sz="0" w:space="0" w:color="auto"/>
                        <w:bottom w:val="none" w:sz="0" w:space="0" w:color="auto"/>
                        <w:right w:val="none" w:sz="0" w:space="0" w:color="auto"/>
                      </w:divBdr>
                      <w:divsChild>
                        <w:div w:id="1447432321">
                          <w:marLeft w:val="0"/>
                          <w:marRight w:val="0"/>
                          <w:marTop w:val="0"/>
                          <w:marBottom w:val="0"/>
                          <w:divBdr>
                            <w:top w:val="none" w:sz="0" w:space="0" w:color="auto"/>
                            <w:left w:val="none" w:sz="0" w:space="0" w:color="auto"/>
                            <w:bottom w:val="none" w:sz="0" w:space="0" w:color="auto"/>
                            <w:right w:val="none" w:sz="0" w:space="0" w:color="auto"/>
                          </w:divBdr>
                          <w:divsChild>
                            <w:div w:id="178646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379398">
      <w:bodyDiv w:val="1"/>
      <w:marLeft w:val="0"/>
      <w:marRight w:val="0"/>
      <w:marTop w:val="0"/>
      <w:marBottom w:val="0"/>
      <w:divBdr>
        <w:top w:val="none" w:sz="0" w:space="0" w:color="auto"/>
        <w:left w:val="none" w:sz="0" w:space="0" w:color="auto"/>
        <w:bottom w:val="none" w:sz="0" w:space="0" w:color="auto"/>
        <w:right w:val="none" w:sz="0" w:space="0" w:color="auto"/>
      </w:divBdr>
      <w:divsChild>
        <w:div w:id="862983739">
          <w:marLeft w:val="0"/>
          <w:marRight w:val="0"/>
          <w:marTop w:val="0"/>
          <w:marBottom w:val="0"/>
          <w:divBdr>
            <w:top w:val="none" w:sz="0" w:space="0" w:color="auto"/>
            <w:left w:val="none" w:sz="0" w:space="0" w:color="auto"/>
            <w:bottom w:val="none" w:sz="0" w:space="0" w:color="auto"/>
            <w:right w:val="none" w:sz="0" w:space="0" w:color="auto"/>
          </w:divBdr>
          <w:divsChild>
            <w:div w:id="166743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D947CCDB8AC94983EB05E0C9A30A06" ma:contentTypeVersion="0" ma:contentTypeDescription="Create a new document." ma:contentTypeScope="" ma:versionID="e65f137c4a10a12c584d796621a3ee3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1C0AC2-3C7C-4BB6-AE35-B3D1924DEA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516A9C-7497-43FC-B24F-648E05834BCD}">
  <ds:schemaRefs>
    <ds:schemaRef ds:uri="http://schemas.microsoft.com/sharepoint/v3/contenttype/forms"/>
  </ds:schemaRefs>
</ds:datastoreItem>
</file>

<file path=customXml/itemProps3.xml><?xml version="1.0" encoding="utf-8"?>
<ds:datastoreItem xmlns:ds="http://schemas.openxmlformats.org/officeDocument/2006/customXml" ds:itemID="{297F4333-8004-4324-BEB8-8AA32B8F6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DD48A9F-A6AE-46E1-B332-C305DA63E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4047</Words>
  <Characters>25502</Characters>
  <Application>Microsoft Office Word</Application>
  <DocSecurity>0</DocSecurity>
  <Lines>212</Lines>
  <Paragraphs>58</Paragraphs>
  <ScaleCrop>false</ScaleCrop>
  <HeadingPairs>
    <vt:vector size="6" baseType="variant">
      <vt:variant>
        <vt:lpstr>Titel</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www.landerxtremo.s5.com</Company>
  <LinksUpToDate>false</LinksUpToDate>
  <CharactersWithSpaces>29491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wblanco</dc:creator>
  <cp:lastModifiedBy>allacher</cp:lastModifiedBy>
  <cp:revision>2</cp:revision>
  <dcterms:created xsi:type="dcterms:W3CDTF">2014-02-26T10:02:00Z</dcterms:created>
  <dcterms:modified xsi:type="dcterms:W3CDTF">2014-02-26T10:02:00Z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0x01010067D947CCDB8AC94983EB05E0C9A30A06</vt:lpwstr>
  </property>
</Properties>
</file>