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3531" w:rsidRPr="009B0C7C" w:rsidRDefault="008373DB" w:rsidP="002319FF">
      <w:pPr>
        <w:pStyle w:val="Title"/>
        <w:rPr>
          <w:b/>
        </w:rPr>
      </w:pPr>
      <w:bookmarkStart w:id="0" w:name="_top"/>
      <w:bookmarkEnd w:id="0"/>
      <w:r>
        <w:rPr>
          <w:b/>
          <w:noProof/>
          <w:lang w:eastAsia="en-GB"/>
        </w:rPr>
        <w:pict>
          <v:rect id="_x0000_s1026" style="position:absolute;margin-left:-71.9pt;margin-top:-431.85pt;width:22.7pt;height:967.2pt;z-index:251658240" fillcolor="#8f23b3" stroked="f" strokecolor="#8f23b3"/>
        </w:pict>
      </w:r>
      <w:r w:rsidR="009B0C7C" w:rsidRPr="009B0C7C">
        <w:rPr>
          <w:b/>
          <w:noProof/>
          <w:lang w:eastAsia="en-GB"/>
        </w:rPr>
        <w:t>Country Information and Guidance</w:t>
      </w:r>
      <w:r w:rsidR="009B0C7C" w:rsidRPr="009B0C7C">
        <w:rPr>
          <w:b/>
        </w:rPr>
        <w:t xml:space="preserve"> </w:t>
      </w:r>
    </w:p>
    <w:p w:rsidR="009B0C7C" w:rsidRDefault="008373DB" w:rsidP="009B0C7C">
      <w:pPr>
        <w:pStyle w:val="Title"/>
      </w:pPr>
      <w:r>
        <w:rPr>
          <w:noProof/>
          <w:lang w:eastAsia="en-GB"/>
        </w:rPr>
        <w:pict>
          <v:rect id="_x0000_s1027" style="position:absolute;margin-left:-71.9pt;margin-top:-306.6pt;width:22.7pt;height:851.7pt;z-index:251660288" fillcolor="#8f23b3" stroked="f" strokecolor="#8f23b3"/>
        </w:pict>
      </w:r>
      <w:r w:rsidR="00F26F95">
        <w:rPr>
          <w:noProof/>
          <w:lang w:eastAsia="en-GB"/>
        </w:rPr>
        <w:t>Iraq</w:t>
      </w:r>
      <w:r w:rsidR="009B0C7C">
        <w:rPr>
          <w:noProof/>
          <w:lang w:eastAsia="en-GB"/>
        </w:rPr>
        <w:t xml:space="preserve">: </w:t>
      </w:r>
      <w:r w:rsidR="00F26F95">
        <w:rPr>
          <w:noProof/>
          <w:lang w:eastAsia="en-GB"/>
        </w:rPr>
        <w:t>Religious minorities</w:t>
      </w:r>
      <w:r w:rsidR="009B0C7C">
        <w:t xml:space="preserve"> </w:t>
      </w:r>
    </w:p>
    <w:p w:rsidR="009B0C7C" w:rsidRPr="009B0C7C" w:rsidRDefault="009B0C7C" w:rsidP="009B0C7C"/>
    <w:p w:rsidR="004F6C4A" w:rsidRDefault="004F6C4A" w:rsidP="004F6C4A"/>
    <w:p w:rsidR="004F6C4A" w:rsidRDefault="004F6C4A" w:rsidP="00923E92">
      <w:pPr>
        <w:pStyle w:val="subheading2"/>
      </w:pPr>
      <w:r>
        <w:t xml:space="preserve">Version </w:t>
      </w:r>
      <w:r w:rsidR="005A6755">
        <w:t>1.0</w:t>
      </w:r>
    </w:p>
    <w:p w:rsidR="009B0C7C" w:rsidRPr="004F6C4A" w:rsidRDefault="005A6755" w:rsidP="00923E92">
      <w:pPr>
        <w:pStyle w:val="subheading2"/>
      </w:pPr>
      <w:r>
        <w:t>August</w:t>
      </w:r>
      <w:r w:rsidR="00B373F0">
        <w:t xml:space="preserve"> </w:t>
      </w:r>
      <w:r w:rsidR="003E4550">
        <w:t>2016</w:t>
      </w:r>
    </w:p>
    <w:p w:rsidR="00653531" w:rsidRDefault="00653531"/>
    <w:p w:rsidR="00EC7DF2" w:rsidRDefault="00EC7DF2">
      <w:r>
        <w:br w:type="page"/>
      </w:r>
    </w:p>
    <w:p w:rsidR="009B0C7C" w:rsidRPr="006B4863" w:rsidRDefault="006B4863" w:rsidP="006B4863">
      <w:pPr>
        <w:pStyle w:val="NoSpacing"/>
        <w:spacing w:after="120"/>
        <w:rPr>
          <w:sz w:val="32"/>
          <w:szCs w:val="32"/>
        </w:rPr>
      </w:pPr>
      <w:bookmarkStart w:id="1" w:name="_Contents"/>
      <w:bookmarkStart w:id="2" w:name="_Toc409598707"/>
      <w:bookmarkEnd w:id="1"/>
      <w:r w:rsidRPr="006B4863">
        <w:rPr>
          <w:color w:val="7030A0"/>
          <w:sz w:val="52"/>
          <w:szCs w:val="52"/>
        </w:rPr>
        <w:lastRenderedPageBreak/>
        <w:t>Preface</w:t>
      </w:r>
    </w:p>
    <w:p w:rsidR="004C6A95" w:rsidRPr="00C96CF8" w:rsidRDefault="004C6A95" w:rsidP="004C6A95">
      <w:pPr>
        <w:pStyle w:val="CPITPrefaceText"/>
      </w:pPr>
      <w:r w:rsidRPr="00C96CF8">
        <w:t xml:space="preserve">This document provides </w:t>
      </w:r>
      <w:r w:rsidR="004D0D2A" w:rsidRPr="00C96CF8">
        <w:t xml:space="preserve">country of origin information (COI) </w:t>
      </w:r>
      <w:r w:rsidR="004D0D2A">
        <w:t xml:space="preserve">and </w:t>
      </w:r>
      <w:r w:rsidRPr="00C96CF8">
        <w:t xml:space="preserve">guidance to Home Office decision makers on handling </w:t>
      </w:r>
      <w:proofErr w:type="gramStart"/>
      <w:r w:rsidR="004D0D2A">
        <w:t>particular types</w:t>
      </w:r>
      <w:proofErr w:type="gramEnd"/>
      <w:r w:rsidR="004D0D2A">
        <w:t xml:space="preserve"> of protection and human rights </w:t>
      </w:r>
      <w:r w:rsidRPr="00C96CF8">
        <w:t xml:space="preserve">claims. </w:t>
      </w:r>
      <w:r w:rsidR="004D0D2A">
        <w:t xml:space="preserve"> </w:t>
      </w:r>
      <w:r w:rsidRPr="00C96CF8">
        <w:t xml:space="preserve">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rsidR="004C6A95" w:rsidRDefault="004C6A95" w:rsidP="004C6A95">
      <w:pPr>
        <w:pStyle w:val="CPITPrefaceText"/>
      </w:pPr>
      <w:r w:rsidRPr="00C96CF8">
        <w:t xml:space="preserve">Decision makers must consider claims on an individual basis, </w:t>
      </w:r>
      <w:proofErr w:type="gramStart"/>
      <w:r w:rsidRPr="00C96CF8">
        <w:t>taking into account</w:t>
      </w:r>
      <w:proofErr w:type="gramEnd"/>
      <w:r w:rsidRPr="00C96CF8">
        <w:t xml:space="preserve"> the case specific facts and all relevant evidence, including: the guidance contained with this document; the available COI; any applicable caselaw; and the Home Office casework guidance in relation to relevant poli</w:t>
      </w:r>
      <w:r>
        <w:t>cies.</w:t>
      </w:r>
    </w:p>
    <w:p w:rsidR="00923E92" w:rsidRPr="00C96CF8" w:rsidRDefault="00923E92" w:rsidP="004C6A95">
      <w:pPr>
        <w:pStyle w:val="CPITPrefaceText"/>
      </w:pPr>
    </w:p>
    <w:p w:rsidR="004C6A95" w:rsidRPr="00923E92" w:rsidRDefault="004C6A95" w:rsidP="00923E92">
      <w:pPr>
        <w:pStyle w:val="subheading2"/>
        <w:rPr>
          <w:sz w:val="24"/>
          <w:szCs w:val="24"/>
        </w:rPr>
      </w:pPr>
      <w:r w:rsidRPr="00923E92">
        <w:rPr>
          <w:sz w:val="24"/>
          <w:szCs w:val="24"/>
        </w:rPr>
        <w:t>Country Information</w:t>
      </w:r>
    </w:p>
    <w:p w:rsidR="004C6A95" w:rsidRDefault="004C6A95" w:rsidP="004C6A95">
      <w:pPr>
        <w:pStyle w:val="CPITPrefaceText"/>
      </w:pPr>
      <w:r w:rsidRPr="005C0745">
        <w:t>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w:t>
      </w:r>
      <w:r w:rsidR="003E4A8A">
        <w:t xml:space="preserve"> </w:t>
      </w:r>
      <w:hyperlink r:id="rId14" w:history="1">
        <w:r w:rsidR="003E4A8A">
          <w:rPr>
            <w:rStyle w:val="Hyperlink"/>
          </w:rPr>
          <w:t>Common EU [European Union] Guidelines for Processing Country of Origin Information (COI)</w:t>
        </w:r>
      </w:hyperlink>
      <w:hyperlink r:id="rId15" w:history="1"/>
      <w:r w:rsidRPr="005C0745">
        <w:t>, dated April 2008, and the</w:t>
      </w:r>
      <w:r w:rsidR="003E4A8A">
        <w:t xml:space="preserve"> </w:t>
      </w:r>
      <w:hyperlink r:id="rId16" w:history="1">
        <w:r w:rsidR="003E4A8A">
          <w:rPr>
            <w:rStyle w:val="Hyperlink"/>
          </w:rPr>
          <w:t>European Asylum Support Office’s research guidelines, Country of Origin Information report methodology</w:t>
        </w:r>
      </w:hyperlink>
      <w:r w:rsidRPr="005C0745">
        <w:t>, dated July 2012.</w:t>
      </w:r>
    </w:p>
    <w:p w:rsidR="00923E92" w:rsidRPr="005C0745" w:rsidRDefault="00923E92" w:rsidP="004C6A95">
      <w:pPr>
        <w:pStyle w:val="CPITPrefaceText"/>
      </w:pPr>
    </w:p>
    <w:p w:rsidR="004C6A95" w:rsidRPr="00923E92" w:rsidRDefault="004C6A95" w:rsidP="00923E92">
      <w:pPr>
        <w:pStyle w:val="subheading2"/>
        <w:rPr>
          <w:sz w:val="24"/>
          <w:szCs w:val="24"/>
        </w:rPr>
      </w:pPr>
      <w:r w:rsidRPr="00923E92">
        <w:rPr>
          <w:sz w:val="24"/>
          <w:szCs w:val="24"/>
        </w:rPr>
        <w:t>Feedback</w:t>
      </w:r>
    </w:p>
    <w:p w:rsidR="004C6A95" w:rsidRDefault="004C6A95" w:rsidP="004C6A95">
      <w:pPr>
        <w:pStyle w:val="CPITPrefaceText"/>
      </w:pPr>
      <w:r w:rsidRPr="00246211">
        <w:t xml:space="preserve">Our goal is to continuously improve the guidance and information we provide.  Therefore, if you would like to comment on this document, please </w:t>
      </w:r>
      <w:r w:rsidR="003E4A8A">
        <w:t xml:space="preserve">email </w:t>
      </w:r>
      <w:hyperlink r:id="rId17" w:history="1">
        <w:r w:rsidR="003E4A8A">
          <w:rPr>
            <w:rStyle w:val="Hyperlink"/>
          </w:rPr>
          <w:t>the Country Policy and Information Team</w:t>
        </w:r>
      </w:hyperlink>
      <w:r w:rsidR="003E4A8A" w:rsidRPr="00ED67A7">
        <w:t>.</w:t>
      </w:r>
    </w:p>
    <w:p w:rsidR="00923E92" w:rsidRPr="00246211" w:rsidRDefault="00923E92" w:rsidP="004C6A95">
      <w:pPr>
        <w:pStyle w:val="CPITPrefaceText"/>
      </w:pPr>
    </w:p>
    <w:p w:rsidR="004C6A95" w:rsidRPr="00923E92" w:rsidRDefault="004C6A95" w:rsidP="00923E92">
      <w:pPr>
        <w:pStyle w:val="subheading2"/>
        <w:rPr>
          <w:sz w:val="24"/>
          <w:szCs w:val="24"/>
        </w:rPr>
      </w:pPr>
      <w:r w:rsidRPr="00923E92">
        <w:rPr>
          <w:sz w:val="24"/>
          <w:szCs w:val="24"/>
        </w:rPr>
        <w:t>Independent Advisory Group on Country Information</w:t>
      </w:r>
    </w:p>
    <w:p w:rsidR="004C6A95" w:rsidRPr="006D3DAA" w:rsidRDefault="004C6A95" w:rsidP="004C6A95">
      <w:pPr>
        <w:pStyle w:val="CPITPrefaceText"/>
      </w:pPr>
      <w:r w:rsidRPr="00246211">
        <w:t xml:space="preserve">The Independent Advisory Group on Country Information (IAGCI) was set up in March 2009 by the Independent Chief Inspector of Borders and Immigration to make recommendations to him about the content of the Home </w:t>
      </w:r>
      <w:proofErr w:type="gramStart"/>
      <w:r w:rsidRPr="00246211">
        <w:t>Office‘</w:t>
      </w:r>
      <w:proofErr w:type="gramEnd"/>
      <w:r w:rsidRPr="00246211">
        <w:t xml:space="preserve">s COI material. The IAGCI welcomes feedback on the Home </w:t>
      </w:r>
      <w:proofErr w:type="gramStart"/>
      <w:r w:rsidRPr="00246211">
        <w:t>Office‘</w:t>
      </w:r>
      <w:proofErr w:type="gramEnd"/>
      <w:r w:rsidRPr="00246211">
        <w:t xml:space="preserve">s COI material. </w:t>
      </w:r>
      <w:r w:rsidRPr="006D3DAA">
        <w:t xml:space="preserve">It is not the function of the IAGCI to endorse any Home Office material, procedures or policy. IAGCI may be contacted at: </w:t>
      </w:r>
    </w:p>
    <w:p w:rsidR="004C6A95" w:rsidRPr="006D3DAA" w:rsidRDefault="004C6A95" w:rsidP="004C6A95">
      <w:pPr>
        <w:pStyle w:val="CPITPrefaceText"/>
        <w:rPr>
          <w:rFonts w:cs="Arial"/>
        </w:rPr>
      </w:pPr>
      <w:r w:rsidRPr="006D3DAA">
        <w:rPr>
          <w:rFonts w:cs="Arial"/>
        </w:rPr>
        <w:t xml:space="preserve">Independent Chief Inspector of Borders and Immigration, </w:t>
      </w:r>
    </w:p>
    <w:p w:rsidR="004C6A95" w:rsidRPr="006D3DAA" w:rsidRDefault="004C6A95" w:rsidP="004C6A95">
      <w:pPr>
        <w:pStyle w:val="CPITPrefaceText"/>
        <w:rPr>
          <w:rFonts w:cs="Arial"/>
        </w:rPr>
      </w:pPr>
      <w:r w:rsidRPr="006D3DAA">
        <w:rPr>
          <w:rFonts w:cs="Arial"/>
        </w:rPr>
        <w:t>5th Floor, Globe House, 89 Eccleston Square, London, SW1V 1PN.</w:t>
      </w:r>
    </w:p>
    <w:p w:rsidR="004C6A95" w:rsidRPr="00246211" w:rsidRDefault="004C6A95" w:rsidP="004C6A95">
      <w:pPr>
        <w:pStyle w:val="CPITPrefaceText"/>
      </w:pPr>
      <w:r w:rsidRPr="00246211">
        <w:t>Email:</w:t>
      </w:r>
      <w:r w:rsidR="003E4A8A">
        <w:t xml:space="preserve"> </w:t>
      </w:r>
      <w:hyperlink r:id="rId18" w:history="1">
        <w:r w:rsidR="003E4A8A" w:rsidRPr="009D579B">
          <w:rPr>
            <w:rStyle w:val="Hyperlink"/>
          </w:rPr>
          <w:t>chiefinspectorukba@icinspector.gsi.gov.uk</w:t>
        </w:r>
      </w:hyperlink>
      <w:r w:rsidR="003E4A8A">
        <w:t xml:space="preserve"> </w:t>
      </w:r>
      <w:r w:rsidRPr="00246211">
        <w:t xml:space="preserve"> </w:t>
      </w:r>
    </w:p>
    <w:p w:rsidR="009B0C7C" w:rsidRDefault="004C6A95" w:rsidP="004C6A95">
      <w:pPr>
        <w:pStyle w:val="CPITPrefaceText"/>
        <w:rPr>
          <w:rFonts w:eastAsiaTheme="majorEastAsia" w:cstheme="majorBidi"/>
          <w:bCs/>
          <w:color w:val="7030A0"/>
          <w:sz w:val="52"/>
          <w:szCs w:val="28"/>
        </w:rPr>
      </w:pPr>
      <w:r w:rsidRPr="00246211">
        <w:t>Information about the IAGCI‘s work and a list of the COI documents which have been reviewed by the IAGCI can be found on the Independent Chief Inspector‘s website at</w:t>
      </w:r>
      <w:r w:rsidR="003E4A8A">
        <w:t xml:space="preserve"> </w:t>
      </w:r>
      <w:hyperlink r:id="rId19" w:history="1">
        <w:r w:rsidR="003E4A8A" w:rsidRPr="009D579B">
          <w:rPr>
            <w:rStyle w:val="Hyperlink"/>
          </w:rPr>
          <w:t>http://icinspector.independent.gov.uk/country-information-reviews/</w:t>
        </w:r>
      </w:hyperlink>
      <w:r w:rsidR="003E4A8A">
        <w:t xml:space="preserve"> </w:t>
      </w:r>
      <w:r w:rsidR="009B0C7C">
        <w:br w:type="page"/>
      </w:r>
    </w:p>
    <w:p w:rsidR="00DA5094" w:rsidRDefault="00DA5094" w:rsidP="00AE753C">
      <w:pPr>
        <w:pStyle w:val="Subheading"/>
      </w:pPr>
      <w:bookmarkStart w:id="3" w:name="_Contents_1"/>
      <w:bookmarkStart w:id="4" w:name="contents"/>
      <w:bookmarkEnd w:id="3"/>
      <w:r>
        <w:lastRenderedPageBreak/>
        <w:t>Contents</w:t>
      </w:r>
      <w:bookmarkEnd w:id="4"/>
    </w:p>
    <w:p w:rsidR="00DA5094" w:rsidRDefault="00DA5094">
      <w:pPr>
        <w:pStyle w:val="TOC1"/>
        <w:tabs>
          <w:tab w:val="right" w:leader="dot" w:pos="9016"/>
        </w:tabs>
      </w:pPr>
    </w:p>
    <w:p w:rsidR="006718B7" w:rsidRDefault="00CC285B">
      <w:pPr>
        <w:pStyle w:val="TOC1"/>
        <w:tabs>
          <w:tab w:val="left" w:pos="1440"/>
          <w:tab w:val="right" w:leader="dot" w:pos="9016"/>
        </w:tabs>
        <w:rPr>
          <w:rFonts w:asciiTheme="minorHAnsi" w:eastAsiaTheme="minorEastAsia" w:hAnsiTheme="minorHAnsi" w:cstheme="minorBidi"/>
          <w:b w:val="0"/>
          <w:noProof/>
          <w:color w:val="auto"/>
          <w:sz w:val="22"/>
          <w:lang w:eastAsia="en-GB"/>
        </w:rPr>
      </w:pPr>
      <w:r>
        <w:fldChar w:fldCharType="begin"/>
      </w:r>
      <w:r w:rsidR="00FE3E58">
        <w:instrText xml:space="preserve"> TOC \o "1-3" \h \z \u </w:instrText>
      </w:r>
      <w:r>
        <w:fldChar w:fldCharType="separate"/>
      </w:r>
      <w:hyperlink w:anchor="_Toc458760040" w:history="1">
        <w:r w:rsidR="006718B7" w:rsidRPr="002F07E5">
          <w:rPr>
            <w:rStyle w:val="Hyperlink"/>
            <w:noProof/>
          </w:rPr>
          <w:t>Guidance</w:t>
        </w:r>
        <w:r w:rsidR="006718B7" w:rsidRPr="004B2904">
          <w:rPr>
            <w:rStyle w:val="Hyperlink"/>
            <w:b w:val="0"/>
            <w:noProof/>
            <w:color w:val="7030A0"/>
          </w:rPr>
          <w:t>.....</w:t>
        </w:r>
        <w:r w:rsidR="006718B7" w:rsidRPr="006718B7">
          <w:rPr>
            <w:rFonts w:asciiTheme="minorHAnsi" w:eastAsiaTheme="minorEastAsia" w:hAnsiTheme="minorHAnsi" w:cstheme="minorBidi"/>
            <w:b w:val="0"/>
            <w:noProof/>
            <w:sz w:val="22"/>
            <w:lang w:eastAsia="en-GB"/>
          </w:rPr>
          <w:t>.....................................................................................................................................</w:t>
        </w:r>
        <w:r>
          <w:rPr>
            <w:noProof/>
            <w:webHidden/>
          </w:rPr>
          <w:fldChar w:fldCharType="begin"/>
        </w:r>
        <w:r w:rsidR="006718B7">
          <w:rPr>
            <w:noProof/>
            <w:webHidden/>
          </w:rPr>
          <w:instrText xml:space="preserve"> PAGEREF _Toc458760040 \h </w:instrText>
        </w:r>
        <w:r>
          <w:rPr>
            <w:noProof/>
            <w:webHidden/>
          </w:rPr>
        </w:r>
        <w:r>
          <w:rPr>
            <w:noProof/>
            <w:webHidden/>
          </w:rPr>
          <w:fldChar w:fldCharType="separate"/>
        </w:r>
        <w:r w:rsidR="00F62E35">
          <w:rPr>
            <w:noProof/>
            <w:webHidden/>
          </w:rPr>
          <w:t>4</w:t>
        </w:r>
        <w:r>
          <w:rPr>
            <w:noProof/>
            <w:webHidden/>
          </w:rPr>
          <w:fldChar w:fldCharType="end"/>
        </w:r>
      </w:hyperlink>
    </w:p>
    <w:p w:rsidR="006718B7" w:rsidRDefault="008373DB">
      <w:pPr>
        <w:pStyle w:val="TOC2"/>
        <w:rPr>
          <w:rFonts w:asciiTheme="minorHAnsi" w:eastAsiaTheme="minorEastAsia" w:hAnsiTheme="minorHAnsi" w:cstheme="minorBidi"/>
          <w:noProof/>
          <w:color w:val="auto"/>
          <w:sz w:val="22"/>
          <w:lang w:eastAsia="en-GB"/>
        </w:rPr>
      </w:pPr>
      <w:hyperlink w:anchor="_Toc458760041" w:history="1">
        <w:r w:rsidR="006718B7" w:rsidRPr="002F07E5">
          <w:rPr>
            <w:rStyle w:val="Hyperlink"/>
            <w:noProof/>
          </w:rPr>
          <w:t>1.</w:t>
        </w:r>
        <w:r w:rsidR="006718B7">
          <w:rPr>
            <w:rFonts w:asciiTheme="minorHAnsi" w:eastAsiaTheme="minorEastAsia" w:hAnsiTheme="minorHAnsi" w:cstheme="minorBidi"/>
            <w:noProof/>
            <w:color w:val="auto"/>
            <w:sz w:val="22"/>
            <w:lang w:eastAsia="en-GB"/>
          </w:rPr>
          <w:tab/>
        </w:r>
        <w:r w:rsidR="006718B7" w:rsidRPr="002F07E5">
          <w:rPr>
            <w:rStyle w:val="Hyperlink"/>
            <w:noProof/>
          </w:rPr>
          <w:t>Introduction</w:t>
        </w:r>
        <w:r w:rsidR="006718B7">
          <w:rPr>
            <w:noProof/>
            <w:webHidden/>
          </w:rPr>
          <w:tab/>
        </w:r>
        <w:r w:rsidR="00CC285B">
          <w:rPr>
            <w:noProof/>
            <w:webHidden/>
          </w:rPr>
          <w:fldChar w:fldCharType="begin"/>
        </w:r>
        <w:r w:rsidR="006718B7">
          <w:rPr>
            <w:noProof/>
            <w:webHidden/>
          </w:rPr>
          <w:instrText xml:space="preserve"> PAGEREF _Toc458760041 \h </w:instrText>
        </w:r>
        <w:r w:rsidR="00CC285B">
          <w:rPr>
            <w:noProof/>
            <w:webHidden/>
          </w:rPr>
        </w:r>
        <w:r w:rsidR="00CC285B">
          <w:rPr>
            <w:noProof/>
            <w:webHidden/>
          </w:rPr>
          <w:fldChar w:fldCharType="separate"/>
        </w:r>
        <w:r w:rsidR="00F62E35">
          <w:rPr>
            <w:noProof/>
            <w:webHidden/>
          </w:rPr>
          <w:t>4</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42" w:history="1">
        <w:r w:rsidR="006718B7" w:rsidRPr="002F07E5">
          <w:rPr>
            <w:rStyle w:val="Hyperlink"/>
            <w:noProof/>
          </w:rPr>
          <w:t>1.1</w:t>
        </w:r>
        <w:r w:rsidR="006718B7">
          <w:rPr>
            <w:rFonts w:asciiTheme="minorHAnsi" w:eastAsiaTheme="minorEastAsia" w:hAnsiTheme="minorHAnsi" w:cstheme="minorBidi"/>
            <w:noProof/>
            <w:color w:val="auto"/>
            <w:sz w:val="22"/>
            <w:lang w:eastAsia="en-GB"/>
          </w:rPr>
          <w:tab/>
        </w:r>
        <w:r w:rsidR="006718B7" w:rsidRPr="002F07E5">
          <w:rPr>
            <w:rStyle w:val="Hyperlink"/>
            <w:noProof/>
          </w:rPr>
          <w:t>Basis of claim</w:t>
        </w:r>
        <w:r w:rsidR="006718B7">
          <w:rPr>
            <w:noProof/>
            <w:webHidden/>
          </w:rPr>
          <w:tab/>
        </w:r>
        <w:r w:rsidR="00CC285B">
          <w:rPr>
            <w:noProof/>
            <w:webHidden/>
          </w:rPr>
          <w:fldChar w:fldCharType="begin"/>
        </w:r>
        <w:r w:rsidR="006718B7">
          <w:rPr>
            <w:noProof/>
            <w:webHidden/>
          </w:rPr>
          <w:instrText xml:space="preserve"> PAGEREF _Toc458760042 \h </w:instrText>
        </w:r>
        <w:r w:rsidR="00CC285B">
          <w:rPr>
            <w:noProof/>
            <w:webHidden/>
          </w:rPr>
        </w:r>
        <w:r w:rsidR="00CC285B">
          <w:rPr>
            <w:noProof/>
            <w:webHidden/>
          </w:rPr>
          <w:fldChar w:fldCharType="separate"/>
        </w:r>
        <w:r w:rsidR="00F62E35">
          <w:rPr>
            <w:noProof/>
            <w:webHidden/>
          </w:rPr>
          <w:t>4</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43" w:history="1">
        <w:r w:rsidR="006718B7" w:rsidRPr="002F07E5">
          <w:rPr>
            <w:rStyle w:val="Hyperlink"/>
            <w:noProof/>
          </w:rPr>
          <w:t>1.2</w:t>
        </w:r>
        <w:r w:rsidR="006718B7">
          <w:rPr>
            <w:rFonts w:asciiTheme="minorHAnsi" w:eastAsiaTheme="minorEastAsia" w:hAnsiTheme="minorHAnsi" w:cstheme="minorBidi"/>
            <w:noProof/>
            <w:color w:val="auto"/>
            <w:sz w:val="22"/>
            <w:lang w:eastAsia="en-GB"/>
          </w:rPr>
          <w:tab/>
        </w:r>
        <w:r w:rsidR="006718B7" w:rsidRPr="002F07E5">
          <w:rPr>
            <w:rStyle w:val="Hyperlink"/>
            <w:noProof/>
          </w:rPr>
          <w:t>Other points to note</w:t>
        </w:r>
        <w:r w:rsidR="006718B7">
          <w:rPr>
            <w:noProof/>
            <w:webHidden/>
          </w:rPr>
          <w:tab/>
        </w:r>
        <w:r w:rsidR="00CC285B">
          <w:rPr>
            <w:noProof/>
            <w:webHidden/>
          </w:rPr>
          <w:fldChar w:fldCharType="begin"/>
        </w:r>
        <w:r w:rsidR="006718B7">
          <w:rPr>
            <w:noProof/>
            <w:webHidden/>
          </w:rPr>
          <w:instrText xml:space="preserve"> PAGEREF _Toc458760043 \h </w:instrText>
        </w:r>
        <w:r w:rsidR="00CC285B">
          <w:rPr>
            <w:noProof/>
            <w:webHidden/>
          </w:rPr>
        </w:r>
        <w:r w:rsidR="00CC285B">
          <w:rPr>
            <w:noProof/>
            <w:webHidden/>
          </w:rPr>
          <w:fldChar w:fldCharType="separate"/>
        </w:r>
        <w:r w:rsidR="00F62E35">
          <w:rPr>
            <w:noProof/>
            <w:webHidden/>
          </w:rPr>
          <w:t>4</w:t>
        </w:r>
        <w:r w:rsidR="00CC285B">
          <w:rPr>
            <w:noProof/>
            <w:webHidden/>
          </w:rPr>
          <w:fldChar w:fldCharType="end"/>
        </w:r>
      </w:hyperlink>
    </w:p>
    <w:p w:rsidR="006718B7" w:rsidRDefault="008373DB">
      <w:pPr>
        <w:pStyle w:val="TOC2"/>
        <w:rPr>
          <w:rFonts w:asciiTheme="minorHAnsi" w:eastAsiaTheme="minorEastAsia" w:hAnsiTheme="minorHAnsi" w:cstheme="minorBidi"/>
          <w:noProof/>
          <w:color w:val="auto"/>
          <w:sz w:val="22"/>
          <w:lang w:eastAsia="en-GB"/>
        </w:rPr>
      </w:pPr>
      <w:hyperlink w:anchor="_Toc458760044" w:history="1">
        <w:r w:rsidR="006718B7" w:rsidRPr="002F07E5">
          <w:rPr>
            <w:rStyle w:val="Hyperlink"/>
            <w:noProof/>
          </w:rPr>
          <w:t>2.</w:t>
        </w:r>
        <w:r w:rsidR="006718B7">
          <w:rPr>
            <w:rFonts w:asciiTheme="minorHAnsi" w:eastAsiaTheme="minorEastAsia" w:hAnsiTheme="minorHAnsi" w:cstheme="minorBidi"/>
            <w:noProof/>
            <w:color w:val="auto"/>
            <w:sz w:val="22"/>
            <w:lang w:eastAsia="en-GB"/>
          </w:rPr>
          <w:tab/>
        </w:r>
        <w:r w:rsidR="006718B7" w:rsidRPr="002F07E5">
          <w:rPr>
            <w:rStyle w:val="Hyperlink"/>
            <w:noProof/>
          </w:rPr>
          <w:t>Consideration of Issues</w:t>
        </w:r>
        <w:r w:rsidR="006718B7">
          <w:rPr>
            <w:noProof/>
            <w:webHidden/>
          </w:rPr>
          <w:tab/>
        </w:r>
        <w:r w:rsidR="00CC285B">
          <w:rPr>
            <w:noProof/>
            <w:webHidden/>
          </w:rPr>
          <w:fldChar w:fldCharType="begin"/>
        </w:r>
        <w:r w:rsidR="006718B7">
          <w:rPr>
            <w:noProof/>
            <w:webHidden/>
          </w:rPr>
          <w:instrText xml:space="preserve"> PAGEREF _Toc458760044 \h </w:instrText>
        </w:r>
        <w:r w:rsidR="00CC285B">
          <w:rPr>
            <w:noProof/>
            <w:webHidden/>
          </w:rPr>
        </w:r>
        <w:r w:rsidR="00CC285B">
          <w:rPr>
            <w:noProof/>
            <w:webHidden/>
          </w:rPr>
          <w:fldChar w:fldCharType="separate"/>
        </w:r>
        <w:r w:rsidR="00F62E35">
          <w:rPr>
            <w:noProof/>
            <w:webHidden/>
          </w:rPr>
          <w:t>4</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45" w:history="1">
        <w:r w:rsidR="006718B7" w:rsidRPr="002F07E5">
          <w:rPr>
            <w:rStyle w:val="Hyperlink"/>
            <w:noProof/>
          </w:rPr>
          <w:t>2.1</w:t>
        </w:r>
        <w:r w:rsidR="006718B7">
          <w:rPr>
            <w:rFonts w:asciiTheme="minorHAnsi" w:eastAsiaTheme="minorEastAsia" w:hAnsiTheme="minorHAnsi" w:cstheme="minorBidi"/>
            <w:noProof/>
            <w:color w:val="auto"/>
            <w:sz w:val="22"/>
            <w:lang w:eastAsia="en-GB"/>
          </w:rPr>
          <w:tab/>
        </w:r>
        <w:r w:rsidR="006718B7" w:rsidRPr="002F07E5">
          <w:rPr>
            <w:rStyle w:val="Hyperlink"/>
            <w:noProof/>
          </w:rPr>
          <w:t>Credibility</w:t>
        </w:r>
        <w:r w:rsidR="006718B7">
          <w:rPr>
            <w:noProof/>
            <w:webHidden/>
          </w:rPr>
          <w:tab/>
        </w:r>
        <w:r w:rsidR="00CC285B">
          <w:rPr>
            <w:noProof/>
            <w:webHidden/>
          </w:rPr>
          <w:fldChar w:fldCharType="begin"/>
        </w:r>
        <w:r w:rsidR="006718B7">
          <w:rPr>
            <w:noProof/>
            <w:webHidden/>
          </w:rPr>
          <w:instrText xml:space="preserve"> PAGEREF _Toc458760045 \h </w:instrText>
        </w:r>
        <w:r w:rsidR="00CC285B">
          <w:rPr>
            <w:noProof/>
            <w:webHidden/>
          </w:rPr>
        </w:r>
        <w:r w:rsidR="00CC285B">
          <w:rPr>
            <w:noProof/>
            <w:webHidden/>
          </w:rPr>
          <w:fldChar w:fldCharType="separate"/>
        </w:r>
        <w:r w:rsidR="00F62E35">
          <w:rPr>
            <w:noProof/>
            <w:webHidden/>
          </w:rPr>
          <w:t>4</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46" w:history="1">
        <w:r w:rsidR="006718B7" w:rsidRPr="002F07E5">
          <w:rPr>
            <w:rStyle w:val="Hyperlink"/>
            <w:noProof/>
          </w:rPr>
          <w:t>2.2</w:t>
        </w:r>
        <w:r w:rsidR="006718B7">
          <w:rPr>
            <w:rFonts w:asciiTheme="minorHAnsi" w:eastAsiaTheme="minorEastAsia" w:hAnsiTheme="minorHAnsi" w:cstheme="minorBidi"/>
            <w:noProof/>
            <w:color w:val="auto"/>
            <w:sz w:val="22"/>
            <w:lang w:eastAsia="en-GB"/>
          </w:rPr>
          <w:tab/>
        </w:r>
        <w:r w:rsidR="006718B7" w:rsidRPr="002F07E5">
          <w:rPr>
            <w:rStyle w:val="Hyperlink"/>
            <w:noProof/>
          </w:rPr>
          <w:t>Assessment of risk</w:t>
        </w:r>
        <w:r w:rsidR="006718B7">
          <w:rPr>
            <w:noProof/>
            <w:webHidden/>
          </w:rPr>
          <w:tab/>
        </w:r>
        <w:r w:rsidR="00CC285B">
          <w:rPr>
            <w:noProof/>
            <w:webHidden/>
          </w:rPr>
          <w:fldChar w:fldCharType="begin"/>
        </w:r>
        <w:r w:rsidR="006718B7">
          <w:rPr>
            <w:noProof/>
            <w:webHidden/>
          </w:rPr>
          <w:instrText xml:space="preserve"> PAGEREF _Toc458760046 \h </w:instrText>
        </w:r>
        <w:r w:rsidR="00CC285B">
          <w:rPr>
            <w:noProof/>
            <w:webHidden/>
          </w:rPr>
        </w:r>
        <w:r w:rsidR="00CC285B">
          <w:rPr>
            <w:noProof/>
            <w:webHidden/>
          </w:rPr>
          <w:fldChar w:fldCharType="separate"/>
        </w:r>
        <w:r w:rsidR="00F62E35">
          <w:rPr>
            <w:noProof/>
            <w:webHidden/>
          </w:rPr>
          <w:t>4</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47" w:history="1">
        <w:r w:rsidR="006718B7" w:rsidRPr="002F07E5">
          <w:rPr>
            <w:rStyle w:val="Hyperlink"/>
            <w:noProof/>
          </w:rPr>
          <w:t>2.3</w:t>
        </w:r>
        <w:r w:rsidR="006718B7">
          <w:rPr>
            <w:rFonts w:asciiTheme="minorHAnsi" w:eastAsiaTheme="minorEastAsia" w:hAnsiTheme="minorHAnsi" w:cstheme="minorBidi"/>
            <w:noProof/>
            <w:color w:val="auto"/>
            <w:sz w:val="22"/>
            <w:lang w:eastAsia="en-GB"/>
          </w:rPr>
          <w:tab/>
        </w:r>
        <w:r w:rsidR="006718B7" w:rsidRPr="002F07E5">
          <w:rPr>
            <w:rStyle w:val="Hyperlink"/>
            <w:noProof/>
          </w:rPr>
          <w:t>Protection</w:t>
        </w:r>
        <w:r w:rsidR="006718B7">
          <w:rPr>
            <w:noProof/>
            <w:webHidden/>
          </w:rPr>
          <w:tab/>
        </w:r>
        <w:r w:rsidR="00CC285B">
          <w:rPr>
            <w:noProof/>
            <w:webHidden/>
          </w:rPr>
          <w:fldChar w:fldCharType="begin"/>
        </w:r>
        <w:r w:rsidR="006718B7">
          <w:rPr>
            <w:noProof/>
            <w:webHidden/>
          </w:rPr>
          <w:instrText xml:space="preserve"> PAGEREF _Toc458760047 \h </w:instrText>
        </w:r>
        <w:r w:rsidR="00CC285B">
          <w:rPr>
            <w:noProof/>
            <w:webHidden/>
          </w:rPr>
        </w:r>
        <w:r w:rsidR="00CC285B">
          <w:rPr>
            <w:noProof/>
            <w:webHidden/>
          </w:rPr>
          <w:fldChar w:fldCharType="separate"/>
        </w:r>
        <w:r w:rsidR="00F62E35">
          <w:rPr>
            <w:noProof/>
            <w:webHidden/>
          </w:rPr>
          <w:t>6</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48" w:history="1">
        <w:r w:rsidR="006718B7" w:rsidRPr="002F07E5">
          <w:rPr>
            <w:rStyle w:val="Hyperlink"/>
            <w:noProof/>
          </w:rPr>
          <w:t>2.4</w:t>
        </w:r>
        <w:r w:rsidR="006718B7">
          <w:rPr>
            <w:rFonts w:asciiTheme="minorHAnsi" w:eastAsiaTheme="minorEastAsia" w:hAnsiTheme="minorHAnsi" w:cstheme="minorBidi"/>
            <w:noProof/>
            <w:color w:val="auto"/>
            <w:sz w:val="22"/>
            <w:lang w:eastAsia="en-GB"/>
          </w:rPr>
          <w:tab/>
        </w:r>
        <w:r w:rsidR="006718B7" w:rsidRPr="002F07E5">
          <w:rPr>
            <w:rStyle w:val="Hyperlink"/>
            <w:noProof/>
          </w:rPr>
          <w:t>Internal relocation</w:t>
        </w:r>
        <w:r w:rsidR="006718B7">
          <w:rPr>
            <w:noProof/>
            <w:webHidden/>
          </w:rPr>
          <w:tab/>
        </w:r>
        <w:r w:rsidR="00CC285B">
          <w:rPr>
            <w:noProof/>
            <w:webHidden/>
          </w:rPr>
          <w:fldChar w:fldCharType="begin"/>
        </w:r>
        <w:r w:rsidR="006718B7">
          <w:rPr>
            <w:noProof/>
            <w:webHidden/>
          </w:rPr>
          <w:instrText xml:space="preserve"> PAGEREF _Toc458760048 \h </w:instrText>
        </w:r>
        <w:r w:rsidR="00CC285B">
          <w:rPr>
            <w:noProof/>
            <w:webHidden/>
          </w:rPr>
        </w:r>
        <w:r w:rsidR="00CC285B">
          <w:rPr>
            <w:noProof/>
            <w:webHidden/>
          </w:rPr>
          <w:fldChar w:fldCharType="separate"/>
        </w:r>
        <w:r w:rsidR="00F62E35">
          <w:rPr>
            <w:noProof/>
            <w:webHidden/>
          </w:rPr>
          <w:t>6</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49" w:history="1">
        <w:r w:rsidR="006718B7" w:rsidRPr="002F07E5">
          <w:rPr>
            <w:rStyle w:val="Hyperlink"/>
            <w:noProof/>
          </w:rPr>
          <w:t>2.5</w:t>
        </w:r>
        <w:r w:rsidR="006718B7">
          <w:rPr>
            <w:rFonts w:asciiTheme="minorHAnsi" w:eastAsiaTheme="minorEastAsia" w:hAnsiTheme="minorHAnsi" w:cstheme="minorBidi"/>
            <w:noProof/>
            <w:color w:val="auto"/>
            <w:sz w:val="22"/>
            <w:lang w:eastAsia="en-GB"/>
          </w:rPr>
          <w:tab/>
        </w:r>
        <w:r w:rsidR="006718B7" w:rsidRPr="002F07E5">
          <w:rPr>
            <w:rStyle w:val="Hyperlink"/>
            <w:noProof/>
          </w:rPr>
          <w:t>Certification</w:t>
        </w:r>
        <w:r w:rsidR="006718B7">
          <w:rPr>
            <w:noProof/>
            <w:webHidden/>
          </w:rPr>
          <w:tab/>
        </w:r>
        <w:r w:rsidR="00CC285B">
          <w:rPr>
            <w:noProof/>
            <w:webHidden/>
          </w:rPr>
          <w:fldChar w:fldCharType="begin"/>
        </w:r>
        <w:r w:rsidR="006718B7">
          <w:rPr>
            <w:noProof/>
            <w:webHidden/>
          </w:rPr>
          <w:instrText xml:space="preserve"> PAGEREF _Toc458760049 \h </w:instrText>
        </w:r>
        <w:r w:rsidR="00CC285B">
          <w:rPr>
            <w:noProof/>
            <w:webHidden/>
          </w:rPr>
        </w:r>
        <w:r w:rsidR="00CC285B">
          <w:rPr>
            <w:noProof/>
            <w:webHidden/>
          </w:rPr>
          <w:fldChar w:fldCharType="separate"/>
        </w:r>
        <w:r w:rsidR="00F62E35">
          <w:rPr>
            <w:noProof/>
            <w:webHidden/>
          </w:rPr>
          <w:t>7</w:t>
        </w:r>
        <w:r w:rsidR="00CC285B">
          <w:rPr>
            <w:noProof/>
            <w:webHidden/>
          </w:rPr>
          <w:fldChar w:fldCharType="end"/>
        </w:r>
      </w:hyperlink>
    </w:p>
    <w:p w:rsidR="006718B7" w:rsidRDefault="008373DB">
      <w:pPr>
        <w:pStyle w:val="TOC2"/>
        <w:rPr>
          <w:rFonts w:asciiTheme="minorHAnsi" w:eastAsiaTheme="minorEastAsia" w:hAnsiTheme="minorHAnsi" w:cstheme="minorBidi"/>
          <w:noProof/>
          <w:color w:val="auto"/>
          <w:sz w:val="22"/>
          <w:lang w:eastAsia="en-GB"/>
        </w:rPr>
      </w:pPr>
      <w:hyperlink w:anchor="_Toc458760050" w:history="1">
        <w:r w:rsidR="006718B7" w:rsidRPr="002F07E5">
          <w:rPr>
            <w:rStyle w:val="Hyperlink"/>
            <w:noProof/>
          </w:rPr>
          <w:t>3.</w:t>
        </w:r>
        <w:r w:rsidR="006718B7">
          <w:rPr>
            <w:rFonts w:asciiTheme="minorHAnsi" w:eastAsiaTheme="minorEastAsia" w:hAnsiTheme="minorHAnsi" w:cstheme="minorBidi"/>
            <w:noProof/>
            <w:color w:val="auto"/>
            <w:sz w:val="22"/>
            <w:lang w:eastAsia="en-GB"/>
          </w:rPr>
          <w:tab/>
        </w:r>
        <w:r w:rsidR="006718B7" w:rsidRPr="002F07E5">
          <w:rPr>
            <w:rStyle w:val="Hyperlink"/>
            <w:noProof/>
          </w:rPr>
          <w:t>Policy Summary</w:t>
        </w:r>
        <w:r w:rsidR="006718B7">
          <w:rPr>
            <w:noProof/>
            <w:webHidden/>
          </w:rPr>
          <w:tab/>
        </w:r>
        <w:r w:rsidR="00CC285B">
          <w:rPr>
            <w:noProof/>
            <w:webHidden/>
          </w:rPr>
          <w:fldChar w:fldCharType="begin"/>
        </w:r>
        <w:r w:rsidR="006718B7">
          <w:rPr>
            <w:noProof/>
            <w:webHidden/>
          </w:rPr>
          <w:instrText xml:space="preserve"> PAGEREF _Toc458760050 \h </w:instrText>
        </w:r>
        <w:r w:rsidR="00CC285B">
          <w:rPr>
            <w:noProof/>
            <w:webHidden/>
          </w:rPr>
        </w:r>
        <w:r w:rsidR="00CC285B">
          <w:rPr>
            <w:noProof/>
            <w:webHidden/>
          </w:rPr>
          <w:fldChar w:fldCharType="separate"/>
        </w:r>
        <w:r w:rsidR="00F62E35">
          <w:rPr>
            <w:noProof/>
            <w:webHidden/>
          </w:rPr>
          <w:t>7</w:t>
        </w:r>
        <w:r w:rsidR="00CC285B">
          <w:rPr>
            <w:noProof/>
            <w:webHidden/>
          </w:rPr>
          <w:fldChar w:fldCharType="end"/>
        </w:r>
      </w:hyperlink>
    </w:p>
    <w:p w:rsidR="006718B7" w:rsidRDefault="008373DB">
      <w:pPr>
        <w:pStyle w:val="TOC1"/>
        <w:tabs>
          <w:tab w:val="right" w:leader="dot" w:pos="9016"/>
        </w:tabs>
        <w:rPr>
          <w:rFonts w:asciiTheme="minorHAnsi" w:eastAsiaTheme="minorEastAsia" w:hAnsiTheme="minorHAnsi" w:cstheme="minorBidi"/>
          <w:b w:val="0"/>
          <w:noProof/>
          <w:color w:val="auto"/>
          <w:sz w:val="22"/>
          <w:lang w:eastAsia="en-GB"/>
        </w:rPr>
      </w:pPr>
      <w:hyperlink w:anchor="_Toc458760051" w:history="1">
        <w:r w:rsidR="006718B7" w:rsidRPr="002F07E5">
          <w:rPr>
            <w:rStyle w:val="Hyperlink"/>
            <w:noProof/>
          </w:rPr>
          <w:t>Country Information</w:t>
        </w:r>
        <w:r w:rsidR="006718B7">
          <w:rPr>
            <w:noProof/>
            <w:webHidden/>
          </w:rPr>
          <w:tab/>
        </w:r>
        <w:r w:rsidR="00CC285B">
          <w:rPr>
            <w:noProof/>
            <w:webHidden/>
          </w:rPr>
          <w:fldChar w:fldCharType="begin"/>
        </w:r>
        <w:r w:rsidR="006718B7">
          <w:rPr>
            <w:noProof/>
            <w:webHidden/>
          </w:rPr>
          <w:instrText xml:space="preserve"> PAGEREF _Toc458760051 \h </w:instrText>
        </w:r>
        <w:r w:rsidR="00CC285B">
          <w:rPr>
            <w:noProof/>
            <w:webHidden/>
          </w:rPr>
        </w:r>
        <w:r w:rsidR="00CC285B">
          <w:rPr>
            <w:noProof/>
            <w:webHidden/>
          </w:rPr>
          <w:fldChar w:fldCharType="separate"/>
        </w:r>
        <w:r w:rsidR="00F62E35">
          <w:rPr>
            <w:noProof/>
            <w:webHidden/>
          </w:rPr>
          <w:t>8</w:t>
        </w:r>
        <w:r w:rsidR="00CC285B">
          <w:rPr>
            <w:noProof/>
            <w:webHidden/>
          </w:rPr>
          <w:fldChar w:fldCharType="end"/>
        </w:r>
      </w:hyperlink>
    </w:p>
    <w:p w:rsidR="006718B7" w:rsidRDefault="008373DB">
      <w:pPr>
        <w:pStyle w:val="TOC2"/>
        <w:rPr>
          <w:rFonts w:asciiTheme="minorHAnsi" w:eastAsiaTheme="minorEastAsia" w:hAnsiTheme="minorHAnsi" w:cstheme="minorBidi"/>
          <w:noProof/>
          <w:color w:val="auto"/>
          <w:sz w:val="22"/>
          <w:lang w:eastAsia="en-GB"/>
        </w:rPr>
      </w:pPr>
      <w:hyperlink w:anchor="_Toc458760052" w:history="1">
        <w:r w:rsidR="006718B7" w:rsidRPr="002F07E5">
          <w:rPr>
            <w:rStyle w:val="Hyperlink"/>
            <w:noProof/>
          </w:rPr>
          <w:t>4.</w:t>
        </w:r>
        <w:r w:rsidR="006718B7">
          <w:rPr>
            <w:rFonts w:asciiTheme="minorHAnsi" w:eastAsiaTheme="minorEastAsia" w:hAnsiTheme="minorHAnsi" w:cstheme="minorBidi"/>
            <w:noProof/>
            <w:color w:val="auto"/>
            <w:sz w:val="22"/>
            <w:lang w:eastAsia="en-GB"/>
          </w:rPr>
          <w:tab/>
        </w:r>
        <w:r w:rsidR="006718B7" w:rsidRPr="002F07E5">
          <w:rPr>
            <w:rStyle w:val="Hyperlink"/>
            <w:noProof/>
          </w:rPr>
          <w:t>Religious minority groups</w:t>
        </w:r>
        <w:r w:rsidR="006718B7">
          <w:rPr>
            <w:noProof/>
            <w:webHidden/>
          </w:rPr>
          <w:tab/>
        </w:r>
        <w:r w:rsidR="00CC285B">
          <w:rPr>
            <w:noProof/>
            <w:webHidden/>
          </w:rPr>
          <w:fldChar w:fldCharType="begin"/>
        </w:r>
        <w:r w:rsidR="006718B7">
          <w:rPr>
            <w:noProof/>
            <w:webHidden/>
          </w:rPr>
          <w:instrText xml:space="preserve"> PAGEREF _Toc458760052 \h </w:instrText>
        </w:r>
        <w:r w:rsidR="00CC285B">
          <w:rPr>
            <w:noProof/>
            <w:webHidden/>
          </w:rPr>
        </w:r>
        <w:r w:rsidR="00CC285B">
          <w:rPr>
            <w:noProof/>
            <w:webHidden/>
          </w:rPr>
          <w:fldChar w:fldCharType="separate"/>
        </w:r>
        <w:r w:rsidR="00F62E35">
          <w:rPr>
            <w:noProof/>
            <w:webHidden/>
          </w:rPr>
          <w:t>8</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53" w:history="1">
        <w:r w:rsidR="006718B7" w:rsidRPr="002F07E5">
          <w:rPr>
            <w:rStyle w:val="Hyperlink"/>
            <w:noProof/>
          </w:rPr>
          <w:t>4.1</w:t>
        </w:r>
        <w:r w:rsidR="006718B7">
          <w:rPr>
            <w:rFonts w:asciiTheme="minorHAnsi" w:eastAsiaTheme="minorEastAsia" w:hAnsiTheme="minorHAnsi" w:cstheme="minorBidi"/>
            <w:noProof/>
            <w:color w:val="auto"/>
            <w:sz w:val="22"/>
            <w:lang w:eastAsia="en-GB"/>
          </w:rPr>
          <w:tab/>
        </w:r>
        <w:r w:rsidR="006718B7" w:rsidRPr="002F07E5">
          <w:rPr>
            <w:rStyle w:val="Hyperlink"/>
            <w:noProof/>
          </w:rPr>
          <w:t>Overview</w:t>
        </w:r>
        <w:r w:rsidR="006718B7">
          <w:rPr>
            <w:noProof/>
            <w:webHidden/>
          </w:rPr>
          <w:tab/>
        </w:r>
        <w:r w:rsidR="00CC285B">
          <w:rPr>
            <w:noProof/>
            <w:webHidden/>
          </w:rPr>
          <w:fldChar w:fldCharType="begin"/>
        </w:r>
        <w:r w:rsidR="006718B7">
          <w:rPr>
            <w:noProof/>
            <w:webHidden/>
          </w:rPr>
          <w:instrText xml:space="preserve"> PAGEREF _Toc458760053 \h </w:instrText>
        </w:r>
        <w:r w:rsidR="00CC285B">
          <w:rPr>
            <w:noProof/>
            <w:webHidden/>
          </w:rPr>
        </w:r>
        <w:r w:rsidR="00CC285B">
          <w:rPr>
            <w:noProof/>
            <w:webHidden/>
          </w:rPr>
          <w:fldChar w:fldCharType="separate"/>
        </w:r>
        <w:r w:rsidR="00F62E35">
          <w:rPr>
            <w:noProof/>
            <w:webHidden/>
          </w:rPr>
          <w:t>8</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54" w:history="1">
        <w:r w:rsidR="006718B7" w:rsidRPr="002F07E5">
          <w:rPr>
            <w:rStyle w:val="Hyperlink"/>
            <w:noProof/>
          </w:rPr>
          <w:t>4.2</w:t>
        </w:r>
        <w:r w:rsidR="006718B7">
          <w:rPr>
            <w:rFonts w:asciiTheme="minorHAnsi" w:eastAsiaTheme="minorEastAsia" w:hAnsiTheme="minorHAnsi" w:cstheme="minorBidi"/>
            <w:noProof/>
            <w:color w:val="auto"/>
            <w:sz w:val="22"/>
            <w:lang w:eastAsia="en-GB"/>
          </w:rPr>
          <w:tab/>
        </w:r>
        <w:r w:rsidR="006718B7" w:rsidRPr="002F07E5">
          <w:rPr>
            <w:rStyle w:val="Hyperlink"/>
            <w:noProof/>
          </w:rPr>
          <w:t>Christians</w:t>
        </w:r>
        <w:r w:rsidR="006718B7">
          <w:rPr>
            <w:noProof/>
            <w:webHidden/>
          </w:rPr>
          <w:tab/>
        </w:r>
        <w:r w:rsidR="00CC285B">
          <w:rPr>
            <w:noProof/>
            <w:webHidden/>
          </w:rPr>
          <w:fldChar w:fldCharType="begin"/>
        </w:r>
        <w:r w:rsidR="006718B7">
          <w:rPr>
            <w:noProof/>
            <w:webHidden/>
          </w:rPr>
          <w:instrText xml:space="preserve"> PAGEREF _Toc458760054 \h </w:instrText>
        </w:r>
        <w:r w:rsidR="00CC285B">
          <w:rPr>
            <w:noProof/>
            <w:webHidden/>
          </w:rPr>
        </w:r>
        <w:r w:rsidR="00CC285B">
          <w:rPr>
            <w:noProof/>
            <w:webHidden/>
          </w:rPr>
          <w:fldChar w:fldCharType="separate"/>
        </w:r>
        <w:r w:rsidR="00F62E35">
          <w:rPr>
            <w:noProof/>
            <w:webHidden/>
          </w:rPr>
          <w:t>8</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55" w:history="1">
        <w:r w:rsidR="006718B7" w:rsidRPr="002F07E5">
          <w:rPr>
            <w:rStyle w:val="Hyperlink"/>
            <w:noProof/>
          </w:rPr>
          <w:t>4.3</w:t>
        </w:r>
        <w:r w:rsidR="006718B7">
          <w:rPr>
            <w:rFonts w:asciiTheme="minorHAnsi" w:eastAsiaTheme="minorEastAsia" w:hAnsiTheme="minorHAnsi" w:cstheme="minorBidi"/>
            <w:noProof/>
            <w:color w:val="auto"/>
            <w:sz w:val="22"/>
            <w:lang w:eastAsia="en-GB"/>
          </w:rPr>
          <w:tab/>
        </w:r>
        <w:r w:rsidR="006718B7" w:rsidRPr="002F07E5">
          <w:rPr>
            <w:rStyle w:val="Hyperlink"/>
            <w:noProof/>
          </w:rPr>
          <w:t>Yezidis</w:t>
        </w:r>
        <w:r w:rsidR="006718B7">
          <w:rPr>
            <w:noProof/>
            <w:webHidden/>
          </w:rPr>
          <w:tab/>
        </w:r>
        <w:r w:rsidR="00CC285B">
          <w:rPr>
            <w:noProof/>
            <w:webHidden/>
          </w:rPr>
          <w:fldChar w:fldCharType="begin"/>
        </w:r>
        <w:r w:rsidR="006718B7">
          <w:rPr>
            <w:noProof/>
            <w:webHidden/>
          </w:rPr>
          <w:instrText xml:space="preserve"> PAGEREF _Toc458760055 \h </w:instrText>
        </w:r>
        <w:r w:rsidR="00CC285B">
          <w:rPr>
            <w:noProof/>
            <w:webHidden/>
          </w:rPr>
        </w:r>
        <w:r w:rsidR="00CC285B">
          <w:rPr>
            <w:noProof/>
            <w:webHidden/>
          </w:rPr>
          <w:fldChar w:fldCharType="separate"/>
        </w:r>
        <w:r w:rsidR="00F62E35">
          <w:rPr>
            <w:noProof/>
            <w:webHidden/>
          </w:rPr>
          <w:t>10</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56" w:history="1">
        <w:r w:rsidR="006718B7" w:rsidRPr="002F07E5">
          <w:rPr>
            <w:rStyle w:val="Hyperlink"/>
            <w:noProof/>
          </w:rPr>
          <w:t>4.4</w:t>
        </w:r>
        <w:r w:rsidR="006718B7">
          <w:rPr>
            <w:rFonts w:asciiTheme="minorHAnsi" w:eastAsiaTheme="minorEastAsia" w:hAnsiTheme="minorHAnsi" w:cstheme="minorBidi"/>
            <w:noProof/>
            <w:color w:val="auto"/>
            <w:sz w:val="22"/>
            <w:lang w:eastAsia="en-GB"/>
          </w:rPr>
          <w:tab/>
        </w:r>
        <w:r w:rsidR="006718B7" w:rsidRPr="002F07E5">
          <w:rPr>
            <w:rStyle w:val="Hyperlink"/>
            <w:noProof/>
          </w:rPr>
          <w:t>Kaka’i</w:t>
        </w:r>
        <w:r w:rsidR="006718B7">
          <w:rPr>
            <w:noProof/>
            <w:webHidden/>
          </w:rPr>
          <w:tab/>
        </w:r>
        <w:r w:rsidR="00CC285B">
          <w:rPr>
            <w:noProof/>
            <w:webHidden/>
          </w:rPr>
          <w:fldChar w:fldCharType="begin"/>
        </w:r>
        <w:r w:rsidR="006718B7">
          <w:rPr>
            <w:noProof/>
            <w:webHidden/>
          </w:rPr>
          <w:instrText xml:space="preserve"> PAGEREF _Toc458760056 \h </w:instrText>
        </w:r>
        <w:r w:rsidR="00CC285B">
          <w:rPr>
            <w:noProof/>
            <w:webHidden/>
          </w:rPr>
        </w:r>
        <w:r w:rsidR="00CC285B">
          <w:rPr>
            <w:noProof/>
            <w:webHidden/>
          </w:rPr>
          <w:fldChar w:fldCharType="separate"/>
        </w:r>
        <w:r w:rsidR="00F62E35">
          <w:rPr>
            <w:noProof/>
            <w:webHidden/>
          </w:rPr>
          <w:t>10</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57" w:history="1">
        <w:r w:rsidR="006718B7" w:rsidRPr="002F07E5">
          <w:rPr>
            <w:rStyle w:val="Hyperlink"/>
            <w:noProof/>
          </w:rPr>
          <w:t>4.5</w:t>
        </w:r>
        <w:r w:rsidR="006718B7">
          <w:rPr>
            <w:rFonts w:asciiTheme="minorHAnsi" w:eastAsiaTheme="minorEastAsia" w:hAnsiTheme="minorHAnsi" w:cstheme="minorBidi"/>
            <w:noProof/>
            <w:color w:val="auto"/>
            <w:sz w:val="22"/>
            <w:lang w:eastAsia="en-GB"/>
          </w:rPr>
          <w:tab/>
        </w:r>
        <w:r w:rsidR="006718B7" w:rsidRPr="002F07E5">
          <w:rPr>
            <w:rStyle w:val="Hyperlink"/>
            <w:noProof/>
          </w:rPr>
          <w:t>Sabaean Mandaeans</w:t>
        </w:r>
        <w:r w:rsidR="006718B7">
          <w:rPr>
            <w:noProof/>
            <w:webHidden/>
          </w:rPr>
          <w:tab/>
        </w:r>
        <w:r w:rsidR="00CC285B">
          <w:rPr>
            <w:noProof/>
            <w:webHidden/>
          </w:rPr>
          <w:fldChar w:fldCharType="begin"/>
        </w:r>
        <w:r w:rsidR="006718B7">
          <w:rPr>
            <w:noProof/>
            <w:webHidden/>
          </w:rPr>
          <w:instrText xml:space="preserve"> PAGEREF _Toc458760057 \h </w:instrText>
        </w:r>
        <w:r w:rsidR="00CC285B">
          <w:rPr>
            <w:noProof/>
            <w:webHidden/>
          </w:rPr>
        </w:r>
        <w:r w:rsidR="00CC285B">
          <w:rPr>
            <w:noProof/>
            <w:webHidden/>
          </w:rPr>
          <w:fldChar w:fldCharType="separate"/>
        </w:r>
        <w:r w:rsidR="00F62E35">
          <w:rPr>
            <w:noProof/>
            <w:webHidden/>
          </w:rPr>
          <w:t>11</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58" w:history="1">
        <w:r w:rsidR="006718B7" w:rsidRPr="002F07E5">
          <w:rPr>
            <w:rStyle w:val="Hyperlink"/>
            <w:noProof/>
          </w:rPr>
          <w:t>4.6</w:t>
        </w:r>
        <w:r w:rsidR="006718B7">
          <w:rPr>
            <w:rFonts w:asciiTheme="minorHAnsi" w:eastAsiaTheme="minorEastAsia" w:hAnsiTheme="minorHAnsi" w:cstheme="minorBidi"/>
            <w:noProof/>
            <w:color w:val="auto"/>
            <w:sz w:val="22"/>
            <w:lang w:eastAsia="en-GB"/>
          </w:rPr>
          <w:tab/>
        </w:r>
        <w:r w:rsidR="006718B7" w:rsidRPr="002F07E5">
          <w:rPr>
            <w:rStyle w:val="Hyperlink"/>
            <w:noProof/>
          </w:rPr>
          <w:t>Baha’i</w:t>
        </w:r>
        <w:r w:rsidR="006718B7">
          <w:rPr>
            <w:noProof/>
            <w:webHidden/>
          </w:rPr>
          <w:tab/>
        </w:r>
        <w:r w:rsidR="00CC285B">
          <w:rPr>
            <w:noProof/>
            <w:webHidden/>
          </w:rPr>
          <w:fldChar w:fldCharType="begin"/>
        </w:r>
        <w:r w:rsidR="006718B7">
          <w:rPr>
            <w:noProof/>
            <w:webHidden/>
          </w:rPr>
          <w:instrText xml:space="preserve"> PAGEREF _Toc458760058 \h </w:instrText>
        </w:r>
        <w:r w:rsidR="00CC285B">
          <w:rPr>
            <w:noProof/>
            <w:webHidden/>
          </w:rPr>
        </w:r>
        <w:r w:rsidR="00CC285B">
          <w:rPr>
            <w:noProof/>
            <w:webHidden/>
          </w:rPr>
          <w:fldChar w:fldCharType="separate"/>
        </w:r>
        <w:r w:rsidR="00F62E35">
          <w:rPr>
            <w:noProof/>
            <w:webHidden/>
          </w:rPr>
          <w:t>11</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59" w:history="1">
        <w:r w:rsidR="006718B7" w:rsidRPr="002F07E5">
          <w:rPr>
            <w:rStyle w:val="Hyperlink"/>
            <w:noProof/>
          </w:rPr>
          <w:t>4.7</w:t>
        </w:r>
        <w:r w:rsidR="006718B7">
          <w:rPr>
            <w:rFonts w:asciiTheme="minorHAnsi" w:eastAsiaTheme="minorEastAsia" w:hAnsiTheme="minorHAnsi" w:cstheme="minorBidi"/>
            <w:noProof/>
            <w:color w:val="auto"/>
            <w:sz w:val="22"/>
            <w:lang w:eastAsia="en-GB"/>
          </w:rPr>
          <w:tab/>
        </w:r>
        <w:r w:rsidR="006718B7" w:rsidRPr="002F07E5">
          <w:rPr>
            <w:rStyle w:val="Hyperlink"/>
            <w:noProof/>
          </w:rPr>
          <w:t>Jews</w:t>
        </w:r>
        <w:r w:rsidR="006718B7">
          <w:rPr>
            <w:noProof/>
            <w:webHidden/>
          </w:rPr>
          <w:tab/>
        </w:r>
        <w:r w:rsidR="00CC285B">
          <w:rPr>
            <w:noProof/>
            <w:webHidden/>
          </w:rPr>
          <w:fldChar w:fldCharType="begin"/>
        </w:r>
        <w:r w:rsidR="006718B7">
          <w:rPr>
            <w:noProof/>
            <w:webHidden/>
          </w:rPr>
          <w:instrText xml:space="preserve"> PAGEREF _Toc458760059 \h </w:instrText>
        </w:r>
        <w:r w:rsidR="00CC285B">
          <w:rPr>
            <w:noProof/>
            <w:webHidden/>
          </w:rPr>
        </w:r>
        <w:r w:rsidR="00CC285B">
          <w:rPr>
            <w:noProof/>
            <w:webHidden/>
          </w:rPr>
          <w:fldChar w:fldCharType="separate"/>
        </w:r>
        <w:r w:rsidR="00F62E35">
          <w:rPr>
            <w:noProof/>
            <w:webHidden/>
          </w:rPr>
          <w:t>12</w:t>
        </w:r>
        <w:r w:rsidR="00CC285B">
          <w:rPr>
            <w:noProof/>
            <w:webHidden/>
          </w:rPr>
          <w:fldChar w:fldCharType="end"/>
        </w:r>
      </w:hyperlink>
    </w:p>
    <w:p w:rsidR="006718B7" w:rsidRDefault="008373DB">
      <w:pPr>
        <w:pStyle w:val="TOC2"/>
        <w:rPr>
          <w:rFonts w:asciiTheme="minorHAnsi" w:eastAsiaTheme="minorEastAsia" w:hAnsiTheme="minorHAnsi" w:cstheme="minorBidi"/>
          <w:noProof/>
          <w:color w:val="auto"/>
          <w:sz w:val="22"/>
          <w:lang w:eastAsia="en-GB"/>
        </w:rPr>
      </w:pPr>
      <w:hyperlink w:anchor="_Toc458760060" w:history="1">
        <w:r w:rsidR="006718B7" w:rsidRPr="002F07E5">
          <w:rPr>
            <w:rStyle w:val="Hyperlink"/>
            <w:noProof/>
          </w:rPr>
          <w:t>5.</w:t>
        </w:r>
        <w:r w:rsidR="006718B7">
          <w:rPr>
            <w:rFonts w:asciiTheme="minorHAnsi" w:eastAsiaTheme="minorEastAsia" w:hAnsiTheme="minorHAnsi" w:cstheme="minorBidi"/>
            <w:noProof/>
            <w:color w:val="auto"/>
            <w:sz w:val="22"/>
            <w:lang w:eastAsia="en-GB"/>
          </w:rPr>
          <w:tab/>
        </w:r>
        <w:r w:rsidR="006718B7" w:rsidRPr="002F07E5">
          <w:rPr>
            <w:rStyle w:val="Hyperlink"/>
            <w:noProof/>
          </w:rPr>
          <w:t>State treatment</w:t>
        </w:r>
        <w:r w:rsidR="006718B7">
          <w:rPr>
            <w:noProof/>
            <w:webHidden/>
          </w:rPr>
          <w:tab/>
        </w:r>
        <w:r w:rsidR="00CC285B">
          <w:rPr>
            <w:noProof/>
            <w:webHidden/>
          </w:rPr>
          <w:fldChar w:fldCharType="begin"/>
        </w:r>
        <w:r w:rsidR="006718B7">
          <w:rPr>
            <w:noProof/>
            <w:webHidden/>
          </w:rPr>
          <w:instrText xml:space="preserve"> PAGEREF _Toc458760060 \h </w:instrText>
        </w:r>
        <w:r w:rsidR="00CC285B">
          <w:rPr>
            <w:noProof/>
            <w:webHidden/>
          </w:rPr>
        </w:r>
        <w:r w:rsidR="00CC285B">
          <w:rPr>
            <w:noProof/>
            <w:webHidden/>
          </w:rPr>
          <w:fldChar w:fldCharType="separate"/>
        </w:r>
        <w:r w:rsidR="00F62E35">
          <w:rPr>
            <w:noProof/>
            <w:webHidden/>
          </w:rPr>
          <w:t>12</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61" w:history="1">
        <w:r w:rsidR="006718B7" w:rsidRPr="002F07E5">
          <w:rPr>
            <w:rStyle w:val="Hyperlink"/>
            <w:noProof/>
          </w:rPr>
          <w:t>5.1</w:t>
        </w:r>
        <w:r w:rsidR="006718B7">
          <w:rPr>
            <w:rFonts w:asciiTheme="minorHAnsi" w:eastAsiaTheme="minorEastAsia" w:hAnsiTheme="minorHAnsi" w:cstheme="minorBidi"/>
            <w:noProof/>
            <w:color w:val="auto"/>
            <w:sz w:val="22"/>
            <w:lang w:eastAsia="en-GB"/>
          </w:rPr>
          <w:tab/>
        </w:r>
        <w:r w:rsidR="006718B7" w:rsidRPr="002F07E5">
          <w:rPr>
            <w:rStyle w:val="Hyperlink"/>
            <w:noProof/>
          </w:rPr>
          <w:t>Constitutional rights</w:t>
        </w:r>
        <w:r w:rsidR="006718B7">
          <w:rPr>
            <w:noProof/>
            <w:webHidden/>
          </w:rPr>
          <w:tab/>
        </w:r>
        <w:r w:rsidR="00CC285B">
          <w:rPr>
            <w:noProof/>
            <w:webHidden/>
          </w:rPr>
          <w:fldChar w:fldCharType="begin"/>
        </w:r>
        <w:r w:rsidR="006718B7">
          <w:rPr>
            <w:noProof/>
            <w:webHidden/>
          </w:rPr>
          <w:instrText xml:space="preserve"> PAGEREF _Toc458760061 \h </w:instrText>
        </w:r>
        <w:r w:rsidR="00CC285B">
          <w:rPr>
            <w:noProof/>
            <w:webHidden/>
          </w:rPr>
        </w:r>
        <w:r w:rsidR="00CC285B">
          <w:rPr>
            <w:noProof/>
            <w:webHidden/>
          </w:rPr>
          <w:fldChar w:fldCharType="separate"/>
        </w:r>
        <w:r w:rsidR="00F62E35">
          <w:rPr>
            <w:noProof/>
            <w:webHidden/>
          </w:rPr>
          <w:t>12</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62" w:history="1">
        <w:r w:rsidR="006718B7" w:rsidRPr="002F07E5">
          <w:rPr>
            <w:rStyle w:val="Hyperlink"/>
            <w:noProof/>
          </w:rPr>
          <w:t>5.2</w:t>
        </w:r>
        <w:r w:rsidR="006718B7">
          <w:rPr>
            <w:rFonts w:asciiTheme="minorHAnsi" w:eastAsiaTheme="minorEastAsia" w:hAnsiTheme="minorHAnsi" w:cstheme="minorBidi"/>
            <w:noProof/>
            <w:color w:val="auto"/>
            <w:sz w:val="22"/>
            <w:lang w:eastAsia="en-GB"/>
          </w:rPr>
          <w:tab/>
        </w:r>
        <w:r w:rsidR="006718B7" w:rsidRPr="002F07E5">
          <w:rPr>
            <w:rStyle w:val="Hyperlink"/>
            <w:noProof/>
          </w:rPr>
          <w:t>Other rights</w:t>
        </w:r>
        <w:r w:rsidR="006718B7">
          <w:rPr>
            <w:noProof/>
            <w:webHidden/>
          </w:rPr>
          <w:tab/>
        </w:r>
        <w:r w:rsidR="00CC285B">
          <w:rPr>
            <w:noProof/>
            <w:webHidden/>
          </w:rPr>
          <w:fldChar w:fldCharType="begin"/>
        </w:r>
        <w:r w:rsidR="006718B7">
          <w:rPr>
            <w:noProof/>
            <w:webHidden/>
          </w:rPr>
          <w:instrText xml:space="preserve"> PAGEREF _Toc458760062 \h </w:instrText>
        </w:r>
        <w:r w:rsidR="00CC285B">
          <w:rPr>
            <w:noProof/>
            <w:webHidden/>
          </w:rPr>
        </w:r>
        <w:r w:rsidR="00CC285B">
          <w:rPr>
            <w:noProof/>
            <w:webHidden/>
          </w:rPr>
          <w:fldChar w:fldCharType="separate"/>
        </w:r>
        <w:r w:rsidR="00F62E35">
          <w:rPr>
            <w:noProof/>
            <w:webHidden/>
          </w:rPr>
          <w:t>13</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63" w:history="1">
        <w:r w:rsidR="006718B7" w:rsidRPr="002F07E5">
          <w:rPr>
            <w:rStyle w:val="Hyperlink"/>
            <w:noProof/>
          </w:rPr>
          <w:t>5.3</w:t>
        </w:r>
        <w:r w:rsidR="006718B7">
          <w:rPr>
            <w:rFonts w:asciiTheme="minorHAnsi" w:eastAsiaTheme="minorEastAsia" w:hAnsiTheme="minorHAnsi" w:cstheme="minorBidi"/>
            <w:noProof/>
            <w:color w:val="auto"/>
            <w:sz w:val="22"/>
            <w:lang w:eastAsia="en-GB"/>
          </w:rPr>
          <w:tab/>
        </w:r>
        <w:r w:rsidR="006718B7" w:rsidRPr="002F07E5">
          <w:rPr>
            <w:rStyle w:val="Hyperlink"/>
            <w:noProof/>
          </w:rPr>
          <w:t>Conversion</w:t>
        </w:r>
        <w:r w:rsidR="006718B7">
          <w:rPr>
            <w:noProof/>
            <w:webHidden/>
          </w:rPr>
          <w:tab/>
        </w:r>
        <w:r w:rsidR="00CC285B">
          <w:rPr>
            <w:noProof/>
            <w:webHidden/>
          </w:rPr>
          <w:fldChar w:fldCharType="begin"/>
        </w:r>
        <w:r w:rsidR="006718B7">
          <w:rPr>
            <w:noProof/>
            <w:webHidden/>
          </w:rPr>
          <w:instrText xml:space="preserve"> PAGEREF _Toc458760063 \h </w:instrText>
        </w:r>
        <w:r w:rsidR="00CC285B">
          <w:rPr>
            <w:noProof/>
            <w:webHidden/>
          </w:rPr>
        </w:r>
        <w:r w:rsidR="00CC285B">
          <w:rPr>
            <w:noProof/>
            <w:webHidden/>
          </w:rPr>
          <w:fldChar w:fldCharType="separate"/>
        </w:r>
        <w:r w:rsidR="00F62E35">
          <w:rPr>
            <w:noProof/>
            <w:webHidden/>
          </w:rPr>
          <w:t>15</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64" w:history="1">
        <w:r w:rsidR="006718B7" w:rsidRPr="002F07E5">
          <w:rPr>
            <w:rStyle w:val="Hyperlink"/>
            <w:noProof/>
          </w:rPr>
          <w:t>5.4</w:t>
        </w:r>
        <w:r w:rsidR="006718B7">
          <w:rPr>
            <w:rFonts w:asciiTheme="minorHAnsi" w:eastAsiaTheme="minorEastAsia" w:hAnsiTheme="minorHAnsi" w:cstheme="minorBidi"/>
            <w:noProof/>
            <w:color w:val="auto"/>
            <w:sz w:val="22"/>
            <w:lang w:eastAsia="en-GB"/>
          </w:rPr>
          <w:tab/>
        </w:r>
        <w:r w:rsidR="006718B7" w:rsidRPr="002F07E5">
          <w:rPr>
            <w:rStyle w:val="Hyperlink"/>
            <w:noProof/>
          </w:rPr>
          <w:t>Mistreatment by the Government of Iraq (GoI)</w:t>
        </w:r>
        <w:r w:rsidR="006718B7">
          <w:rPr>
            <w:noProof/>
            <w:webHidden/>
          </w:rPr>
          <w:tab/>
        </w:r>
        <w:r w:rsidR="00CC285B">
          <w:rPr>
            <w:noProof/>
            <w:webHidden/>
          </w:rPr>
          <w:fldChar w:fldCharType="begin"/>
        </w:r>
        <w:r w:rsidR="006718B7">
          <w:rPr>
            <w:noProof/>
            <w:webHidden/>
          </w:rPr>
          <w:instrText xml:space="preserve"> PAGEREF _Toc458760064 \h </w:instrText>
        </w:r>
        <w:r w:rsidR="00CC285B">
          <w:rPr>
            <w:noProof/>
            <w:webHidden/>
          </w:rPr>
        </w:r>
        <w:r w:rsidR="00CC285B">
          <w:rPr>
            <w:noProof/>
            <w:webHidden/>
          </w:rPr>
          <w:fldChar w:fldCharType="separate"/>
        </w:r>
        <w:r w:rsidR="00F62E35">
          <w:rPr>
            <w:noProof/>
            <w:webHidden/>
          </w:rPr>
          <w:t>17</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65" w:history="1">
        <w:r w:rsidR="006718B7" w:rsidRPr="002F07E5">
          <w:rPr>
            <w:rStyle w:val="Hyperlink"/>
            <w:noProof/>
          </w:rPr>
          <w:t>5.5</w:t>
        </w:r>
        <w:r w:rsidR="006718B7">
          <w:rPr>
            <w:rFonts w:asciiTheme="minorHAnsi" w:eastAsiaTheme="minorEastAsia" w:hAnsiTheme="minorHAnsi" w:cstheme="minorBidi"/>
            <w:noProof/>
            <w:color w:val="auto"/>
            <w:sz w:val="22"/>
            <w:lang w:eastAsia="en-GB"/>
          </w:rPr>
          <w:tab/>
        </w:r>
        <w:r w:rsidR="006718B7" w:rsidRPr="002F07E5">
          <w:rPr>
            <w:rStyle w:val="Hyperlink"/>
            <w:noProof/>
          </w:rPr>
          <w:t>Mistreatment by the Kurdistan Regional Government (KRG)</w:t>
        </w:r>
        <w:r w:rsidR="006718B7">
          <w:rPr>
            <w:noProof/>
            <w:webHidden/>
          </w:rPr>
          <w:tab/>
        </w:r>
        <w:r w:rsidR="00CC285B">
          <w:rPr>
            <w:noProof/>
            <w:webHidden/>
          </w:rPr>
          <w:fldChar w:fldCharType="begin"/>
        </w:r>
        <w:r w:rsidR="006718B7">
          <w:rPr>
            <w:noProof/>
            <w:webHidden/>
          </w:rPr>
          <w:instrText xml:space="preserve"> PAGEREF _Toc458760065 \h </w:instrText>
        </w:r>
        <w:r w:rsidR="00CC285B">
          <w:rPr>
            <w:noProof/>
            <w:webHidden/>
          </w:rPr>
        </w:r>
        <w:r w:rsidR="00CC285B">
          <w:rPr>
            <w:noProof/>
            <w:webHidden/>
          </w:rPr>
          <w:fldChar w:fldCharType="separate"/>
        </w:r>
        <w:r w:rsidR="00F62E35">
          <w:rPr>
            <w:noProof/>
            <w:webHidden/>
          </w:rPr>
          <w:t>19</w:t>
        </w:r>
        <w:r w:rsidR="00CC285B">
          <w:rPr>
            <w:noProof/>
            <w:webHidden/>
          </w:rPr>
          <w:fldChar w:fldCharType="end"/>
        </w:r>
      </w:hyperlink>
    </w:p>
    <w:p w:rsidR="006718B7" w:rsidRDefault="008373DB">
      <w:pPr>
        <w:pStyle w:val="TOC2"/>
        <w:rPr>
          <w:rFonts w:asciiTheme="minorHAnsi" w:eastAsiaTheme="minorEastAsia" w:hAnsiTheme="minorHAnsi" w:cstheme="minorBidi"/>
          <w:noProof/>
          <w:color w:val="auto"/>
          <w:sz w:val="22"/>
          <w:lang w:eastAsia="en-GB"/>
        </w:rPr>
      </w:pPr>
      <w:hyperlink w:anchor="_Toc458760066" w:history="1">
        <w:r w:rsidR="006718B7" w:rsidRPr="002F07E5">
          <w:rPr>
            <w:rStyle w:val="Hyperlink"/>
            <w:noProof/>
          </w:rPr>
          <w:t>6.</w:t>
        </w:r>
        <w:r w:rsidR="006718B7">
          <w:rPr>
            <w:rFonts w:asciiTheme="minorHAnsi" w:eastAsiaTheme="minorEastAsia" w:hAnsiTheme="minorHAnsi" w:cstheme="minorBidi"/>
            <w:noProof/>
            <w:color w:val="auto"/>
            <w:sz w:val="22"/>
            <w:lang w:eastAsia="en-GB"/>
          </w:rPr>
          <w:tab/>
        </w:r>
        <w:r w:rsidR="006718B7" w:rsidRPr="002F07E5">
          <w:rPr>
            <w:rStyle w:val="Hyperlink"/>
            <w:noProof/>
          </w:rPr>
          <w:t>Non-state treatment</w:t>
        </w:r>
        <w:r w:rsidR="006718B7">
          <w:rPr>
            <w:noProof/>
            <w:webHidden/>
          </w:rPr>
          <w:tab/>
        </w:r>
        <w:r w:rsidR="00CC285B">
          <w:rPr>
            <w:noProof/>
            <w:webHidden/>
          </w:rPr>
          <w:fldChar w:fldCharType="begin"/>
        </w:r>
        <w:r w:rsidR="006718B7">
          <w:rPr>
            <w:noProof/>
            <w:webHidden/>
          </w:rPr>
          <w:instrText xml:space="preserve"> PAGEREF _Toc458760066 \h </w:instrText>
        </w:r>
        <w:r w:rsidR="00CC285B">
          <w:rPr>
            <w:noProof/>
            <w:webHidden/>
          </w:rPr>
        </w:r>
        <w:r w:rsidR="00CC285B">
          <w:rPr>
            <w:noProof/>
            <w:webHidden/>
          </w:rPr>
          <w:fldChar w:fldCharType="separate"/>
        </w:r>
        <w:r w:rsidR="00F62E35">
          <w:rPr>
            <w:noProof/>
            <w:webHidden/>
          </w:rPr>
          <w:t>20</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67" w:history="1">
        <w:r w:rsidR="006718B7" w:rsidRPr="002F07E5">
          <w:rPr>
            <w:rStyle w:val="Hyperlink"/>
            <w:noProof/>
          </w:rPr>
          <w:t>6.1</w:t>
        </w:r>
        <w:r w:rsidR="006718B7">
          <w:rPr>
            <w:rFonts w:asciiTheme="minorHAnsi" w:eastAsiaTheme="minorEastAsia" w:hAnsiTheme="minorHAnsi" w:cstheme="minorBidi"/>
            <w:noProof/>
            <w:color w:val="auto"/>
            <w:sz w:val="22"/>
            <w:lang w:eastAsia="en-GB"/>
          </w:rPr>
          <w:tab/>
        </w:r>
        <w:r w:rsidR="006718B7" w:rsidRPr="002F07E5">
          <w:rPr>
            <w:rStyle w:val="Hyperlink"/>
            <w:noProof/>
          </w:rPr>
          <w:t>Daesh</w:t>
        </w:r>
        <w:r w:rsidR="006718B7">
          <w:rPr>
            <w:noProof/>
            <w:webHidden/>
          </w:rPr>
          <w:tab/>
        </w:r>
        <w:r w:rsidR="00CC285B">
          <w:rPr>
            <w:noProof/>
            <w:webHidden/>
          </w:rPr>
          <w:fldChar w:fldCharType="begin"/>
        </w:r>
        <w:r w:rsidR="006718B7">
          <w:rPr>
            <w:noProof/>
            <w:webHidden/>
          </w:rPr>
          <w:instrText xml:space="preserve"> PAGEREF _Toc458760067 \h </w:instrText>
        </w:r>
        <w:r w:rsidR="00CC285B">
          <w:rPr>
            <w:noProof/>
            <w:webHidden/>
          </w:rPr>
        </w:r>
        <w:r w:rsidR="00CC285B">
          <w:rPr>
            <w:noProof/>
            <w:webHidden/>
          </w:rPr>
          <w:fldChar w:fldCharType="separate"/>
        </w:r>
        <w:r w:rsidR="00F62E35">
          <w:rPr>
            <w:noProof/>
            <w:webHidden/>
          </w:rPr>
          <w:t>20</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68" w:history="1">
        <w:r w:rsidR="006718B7" w:rsidRPr="002F07E5">
          <w:rPr>
            <w:rStyle w:val="Hyperlink"/>
            <w:noProof/>
          </w:rPr>
          <w:t>6.2</w:t>
        </w:r>
        <w:r w:rsidR="006718B7">
          <w:rPr>
            <w:rFonts w:asciiTheme="minorHAnsi" w:eastAsiaTheme="minorEastAsia" w:hAnsiTheme="minorHAnsi" w:cstheme="minorBidi"/>
            <w:noProof/>
            <w:color w:val="auto"/>
            <w:sz w:val="22"/>
            <w:lang w:eastAsia="en-GB"/>
          </w:rPr>
          <w:tab/>
        </w:r>
        <w:r w:rsidR="006718B7" w:rsidRPr="002F07E5">
          <w:rPr>
            <w:rStyle w:val="Hyperlink"/>
            <w:noProof/>
          </w:rPr>
          <w:t>Other non-state actors</w:t>
        </w:r>
        <w:r w:rsidR="006718B7">
          <w:rPr>
            <w:noProof/>
            <w:webHidden/>
          </w:rPr>
          <w:tab/>
        </w:r>
        <w:r w:rsidR="00CC285B">
          <w:rPr>
            <w:noProof/>
            <w:webHidden/>
          </w:rPr>
          <w:fldChar w:fldCharType="begin"/>
        </w:r>
        <w:r w:rsidR="006718B7">
          <w:rPr>
            <w:noProof/>
            <w:webHidden/>
          </w:rPr>
          <w:instrText xml:space="preserve"> PAGEREF _Toc458760068 \h </w:instrText>
        </w:r>
        <w:r w:rsidR="00CC285B">
          <w:rPr>
            <w:noProof/>
            <w:webHidden/>
          </w:rPr>
        </w:r>
        <w:r w:rsidR="00CC285B">
          <w:rPr>
            <w:noProof/>
            <w:webHidden/>
          </w:rPr>
          <w:fldChar w:fldCharType="separate"/>
        </w:r>
        <w:r w:rsidR="00F62E35">
          <w:rPr>
            <w:noProof/>
            <w:webHidden/>
          </w:rPr>
          <w:t>22</w:t>
        </w:r>
        <w:r w:rsidR="00CC285B">
          <w:rPr>
            <w:noProof/>
            <w:webHidden/>
          </w:rPr>
          <w:fldChar w:fldCharType="end"/>
        </w:r>
      </w:hyperlink>
    </w:p>
    <w:p w:rsidR="006718B7" w:rsidRDefault="008373DB">
      <w:pPr>
        <w:pStyle w:val="TOC2"/>
        <w:rPr>
          <w:rFonts w:asciiTheme="minorHAnsi" w:eastAsiaTheme="minorEastAsia" w:hAnsiTheme="minorHAnsi" w:cstheme="minorBidi"/>
          <w:noProof/>
          <w:color w:val="auto"/>
          <w:sz w:val="22"/>
          <w:lang w:eastAsia="en-GB"/>
        </w:rPr>
      </w:pPr>
      <w:hyperlink w:anchor="_Toc458760069" w:history="1">
        <w:r w:rsidR="006718B7" w:rsidRPr="002F07E5">
          <w:rPr>
            <w:rStyle w:val="Hyperlink"/>
            <w:noProof/>
          </w:rPr>
          <w:t>7.</w:t>
        </w:r>
        <w:r w:rsidR="006718B7">
          <w:rPr>
            <w:rFonts w:asciiTheme="minorHAnsi" w:eastAsiaTheme="minorEastAsia" w:hAnsiTheme="minorHAnsi" w:cstheme="minorBidi"/>
            <w:noProof/>
            <w:color w:val="auto"/>
            <w:sz w:val="22"/>
            <w:lang w:eastAsia="en-GB"/>
          </w:rPr>
          <w:tab/>
        </w:r>
        <w:r w:rsidR="006718B7" w:rsidRPr="002F07E5">
          <w:rPr>
            <w:rStyle w:val="Hyperlink"/>
            <w:noProof/>
          </w:rPr>
          <w:t>Protection</w:t>
        </w:r>
        <w:r w:rsidR="006718B7">
          <w:rPr>
            <w:noProof/>
            <w:webHidden/>
          </w:rPr>
          <w:tab/>
        </w:r>
        <w:r w:rsidR="00CC285B">
          <w:rPr>
            <w:noProof/>
            <w:webHidden/>
          </w:rPr>
          <w:fldChar w:fldCharType="begin"/>
        </w:r>
        <w:r w:rsidR="006718B7">
          <w:rPr>
            <w:noProof/>
            <w:webHidden/>
          </w:rPr>
          <w:instrText xml:space="preserve"> PAGEREF _Toc458760069 \h </w:instrText>
        </w:r>
        <w:r w:rsidR="00CC285B">
          <w:rPr>
            <w:noProof/>
            <w:webHidden/>
          </w:rPr>
        </w:r>
        <w:r w:rsidR="00CC285B">
          <w:rPr>
            <w:noProof/>
            <w:webHidden/>
          </w:rPr>
          <w:fldChar w:fldCharType="separate"/>
        </w:r>
        <w:r w:rsidR="00F62E35">
          <w:rPr>
            <w:noProof/>
            <w:webHidden/>
          </w:rPr>
          <w:t>27</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70" w:history="1">
        <w:r w:rsidR="006718B7" w:rsidRPr="002F07E5">
          <w:rPr>
            <w:rStyle w:val="Hyperlink"/>
            <w:noProof/>
          </w:rPr>
          <w:t>7.1</w:t>
        </w:r>
        <w:r w:rsidR="006718B7">
          <w:rPr>
            <w:rFonts w:asciiTheme="minorHAnsi" w:eastAsiaTheme="minorEastAsia" w:hAnsiTheme="minorHAnsi" w:cstheme="minorBidi"/>
            <w:noProof/>
            <w:color w:val="auto"/>
            <w:sz w:val="22"/>
            <w:lang w:eastAsia="en-GB"/>
          </w:rPr>
          <w:tab/>
        </w:r>
        <w:r w:rsidR="006718B7" w:rsidRPr="002F07E5">
          <w:rPr>
            <w:rStyle w:val="Hyperlink"/>
            <w:noProof/>
          </w:rPr>
          <w:t>Government of Iraq (GoI)</w:t>
        </w:r>
        <w:r w:rsidR="006718B7">
          <w:rPr>
            <w:noProof/>
            <w:webHidden/>
          </w:rPr>
          <w:tab/>
        </w:r>
        <w:r w:rsidR="00CC285B">
          <w:rPr>
            <w:noProof/>
            <w:webHidden/>
          </w:rPr>
          <w:fldChar w:fldCharType="begin"/>
        </w:r>
        <w:r w:rsidR="006718B7">
          <w:rPr>
            <w:noProof/>
            <w:webHidden/>
          </w:rPr>
          <w:instrText xml:space="preserve"> PAGEREF _Toc458760070 \h </w:instrText>
        </w:r>
        <w:r w:rsidR="00CC285B">
          <w:rPr>
            <w:noProof/>
            <w:webHidden/>
          </w:rPr>
        </w:r>
        <w:r w:rsidR="00CC285B">
          <w:rPr>
            <w:noProof/>
            <w:webHidden/>
          </w:rPr>
          <w:fldChar w:fldCharType="separate"/>
        </w:r>
        <w:r w:rsidR="00F62E35">
          <w:rPr>
            <w:noProof/>
            <w:webHidden/>
          </w:rPr>
          <w:t>27</w:t>
        </w:r>
        <w:r w:rsidR="00CC285B">
          <w:rPr>
            <w:noProof/>
            <w:webHidden/>
          </w:rPr>
          <w:fldChar w:fldCharType="end"/>
        </w:r>
      </w:hyperlink>
    </w:p>
    <w:p w:rsidR="006718B7" w:rsidRDefault="008373DB">
      <w:pPr>
        <w:pStyle w:val="TOC3"/>
        <w:rPr>
          <w:rFonts w:asciiTheme="minorHAnsi" w:eastAsiaTheme="minorEastAsia" w:hAnsiTheme="minorHAnsi" w:cstheme="minorBidi"/>
          <w:noProof/>
          <w:color w:val="auto"/>
          <w:sz w:val="22"/>
          <w:lang w:eastAsia="en-GB"/>
        </w:rPr>
      </w:pPr>
      <w:hyperlink w:anchor="_Toc458760071" w:history="1">
        <w:r w:rsidR="006718B7" w:rsidRPr="002F07E5">
          <w:rPr>
            <w:rStyle w:val="Hyperlink"/>
            <w:noProof/>
          </w:rPr>
          <w:t>7.2</w:t>
        </w:r>
        <w:r w:rsidR="006718B7">
          <w:rPr>
            <w:rFonts w:asciiTheme="minorHAnsi" w:eastAsiaTheme="minorEastAsia" w:hAnsiTheme="minorHAnsi" w:cstheme="minorBidi"/>
            <w:noProof/>
            <w:color w:val="auto"/>
            <w:sz w:val="22"/>
            <w:lang w:eastAsia="en-GB"/>
          </w:rPr>
          <w:tab/>
        </w:r>
        <w:r w:rsidR="006718B7" w:rsidRPr="002F07E5">
          <w:rPr>
            <w:rStyle w:val="Hyperlink"/>
            <w:noProof/>
          </w:rPr>
          <w:t>Kurdistan Regional Government (KRG)</w:t>
        </w:r>
        <w:r w:rsidR="006718B7">
          <w:rPr>
            <w:noProof/>
            <w:webHidden/>
          </w:rPr>
          <w:tab/>
        </w:r>
        <w:r w:rsidR="00CC285B">
          <w:rPr>
            <w:noProof/>
            <w:webHidden/>
          </w:rPr>
          <w:fldChar w:fldCharType="begin"/>
        </w:r>
        <w:r w:rsidR="006718B7">
          <w:rPr>
            <w:noProof/>
            <w:webHidden/>
          </w:rPr>
          <w:instrText xml:space="preserve"> PAGEREF _Toc458760071 \h </w:instrText>
        </w:r>
        <w:r w:rsidR="00CC285B">
          <w:rPr>
            <w:noProof/>
            <w:webHidden/>
          </w:rPr>
        </w:r>
        <w:r w:rsidR="00CC285B">
          <w:rPr>
            <w:noProof/>
            <w:webHidden/>
          </w:rPr>
          <w:fldChar w:fldCharType="separate"/>
        </w:r>
        <w:r w:rsidR="00F62E35">
          <w:rPr>
            <w:noProof/>
            <w:webHidden/>
          </w:rPr>
          <w:t>28</w:t>
        </w:r>
        <w:r w:rsidR="00CC285B">
          <w:rPr>
            <w:noProof/>
            <w:webHidden/>
          </w:rPr>
          <w:fldChar w:fldCharType="end"/>
        </w:r>
      </w:hyperlink>
    </w:p>
    <w:p w:rsidR="006718B7" w:rsidRPr="006718B7" w:rsidRDefault="008373DB">
      <w:pPr>
        <w:pStyle w:val="TOC2"/>
        <w:rPr>
          <w:rFonts w:asciiTheme="minorHAnsi" w:eastAsiaTheme="minorEastAsia" w:hAnsiTheme="minorHAnsi" w:cstheme="minorBidi"/>
          <w:b/>
          <w:noProof/>
          <w:color w:val="auto"/>
          <w:sz w:val="22"/>
          <w:lang w:eastAsia="en-GB"/>
        </w:rPr>
      </w:pPr>
      <w:hyperlink w:anchor="_Toc458760072" w:history="1">
        <w:r w:rsidR="006718B7" w:rsidRPr="006718B7">
          <w:rPr>
            <w:rStyle w:val="Hyperlink"/>
            <w:b/>
            <w:noProof/>
          </w:rPr>
          <w:t>8.</w:t>
        </w:r>
        <w:r w:rsidR="006718B7" w:rsidRPr="006718B7">
          <w:rPr>
            <w:rFonts w:asciiTheme="minorHAnsi" w:eastAsiaTheme="minorEastAsia" w:hAnsiTheme="minorHAnsi" w:cstheme="minorBidi"/>
            <w:b/>
            <w:noProof/>
            <w:color w:val="auto"/>
            <w:sz w:val="22"/>
            <w:lang w:eastAsia="en-GB"/>
          </w:rPr>
          <w:tab/>
        </w:r>
        <w:r w:rsidR="006718B7" w:rsidRPr="006718B7">
          <w:rPr>
            <w:rStyle w:val="Hyperlink"/>
            <w:b/>
            <w:noProof/>
          </w:rPr>
          <w:t>Version Control and Contacts</w:t>
        </w:r>
        <w:r w:rsidR="006718B7" w:rsidRPr="006718B7">
          <w:rPr>
            <w:b/>
            <w:noProof/>
            <w:webHidden/>
          </w:rPr>
          <w:tab/>
        </w:r>
        <w:r w:rsidR="00CC285B" w:rsidRPr="006718B7">
          <w:rPr>
            <w:b/>
            <w:noProof/>
            <w:webHidden/>
          </w:rPr>
          <w:fldChar w:fldCharType="begin"/>
        </w:r>
        <w:r w:rsidR="006718B7" w:rsidRPr="006718B7">
          <w:rPr>
            <w:b/>
            <w:noProof/>
            <w:webHidden/>
          </w:rPr>
          <w:instrText xml:space="preserve"> PAGEREF _Toc458760072 \h </w:instrText>
        </w:r>
        <w:r w:rsidR="00CC285B" w:rsidRPr="006718B7">
          <w:rPr>
            <w:b/>
            <w:noProof/>
            <w:webHidden/>
          </w:rPr>
        </w:r>
        <w:r w:rsidR="00CC285B" w:rsidRPr="006718B7">
          <w:rPr>
            <w:b/>
            <w:noProof/>
            <w:webHidden/>
          </w:rPr>
          <w:fldChar w:fldCharType="separate"/>
        </w:r>
        <w:r w:rsidR="00F62E35">
          <w:rPr>
            <w:b/>
            <w:noProof/>
            <w:webHidden/>
          </w:rPr>
          <w:t>31</w:t>
        </w:r>
        <w:r w:rsidR="00CC285B" w:rsidRPr="006718B7">
          <w:rPr>
            <w:b/>
            <w:noProof/>
            <w:webHidden/>
          </w:rPr>
          <w:fldChar w:fldCharType="end"/>
        </w:r>
      </w:hyperlink>
    </w:p>
    <w:p w:rsidR="00DA5094" w:rsidRDefault="00CC285B">
      <w:pPr>
        <w:rPr>
          <w:rFonts w:eastAsiaTheme="majorEastAsia" w:cstheme="majorBidi"/>
          <w:b/>
          <w:bCs/>
          <w:color w:val="7030A0"/>
          <w:sz w:val="32"/>
          <w:szCs w:val="28"/>
        </w:rPr>
      </w:pPr>
      <w:r>
        <w:rPr>
          <w:color w:val="7030A0"/>
        </w:rPr>
        <w:fldChar w:fldCharType="end"/>
      </w:r>
      <w:r w:rsidR="00DA5094">
        <w:br w:type="page"/>
      </w:r>
    </w:p>
    <w:p w:rsidR="00EC7DF2" w:rsidRDefault="009B0C7C" w:rsidP="00DA5094">
      <w:pPr>
        <w:pStyle w:val="Heading1"/>
      </w:pPr>
      <w:bookmarkStart w:id="5" w:name="_Toc458760040"/>
      <w:r>
        <w:lastRenderedPageBreak/>
        <w:t>G</w:t>
      </w:r>
      <w:r w:rsidR="00EC7DF2">
        <w:t>uidance</w:t>
      </w:r>
      <w:bookmarkEnd w:id="2"/>
      <w:r w:rsidR="007E769F">
        <w:tab/>
      </w:r>
      <w:r w:rsidR="007E769F">
        <w:tab/>
      </w:r>
      <w:r w:rsidR="007E769F">
        <w:tab/>
      </w:r>
      <w:r w:rsidR="007E769F">
        <w:tab/>
      </w:r>
      <w:r w:rsidR="007E769F">
        <w:tab/>
      </w:r>
      <w:r w:rsidR="0076525B">
        <w:rPr>
          <w:sz w:val="24"/>
          <w:szCs w:val="20"/>
        </w:rPr>
        <w:t xml:space="preserve">Updated: </w:t>
      </w:r>
      <w:r w:rsidR="00B373F0">
        <w:rPr>
          <w:sz w:val="24"/>
          <w:szCs w:val="20"/>
        </w:rPr>
        <w:t>12 August</w:t>
      </w:r>
      <w:r w:rsidR="007E769F" w:rsidRPr="002B29EE">
        <w:rPr>
          <w:sz w:val="24"/>
          <w:szCs w:val="20"/>
        </w:rPr>
        <w:t xml:space="preserve"> 2016</w:t>
      </w:r>
      <w:bookmarkEnd w:id="5"/>
      <w:r w:rsidR="007E769F" w:rsidRPr="002B29EE">
        <w:rPr>
          <w:sz w:val="24"/>
          <w:szCs w:val="20"/>
        </w:rPr>
        <w:t xml:space="preserve"> </w:t>
      </w:r>
    </w:p>
    <w:p w:rsidR="00E0790E" w:rsidRPr="00E0790E" w:rsidRDefault="00E0790E" w:rsidP="00E0790E"/>
    <w:p w:rsidR="00010433" w:rsidRPr="00010433" w:rsidRDefault="00BC6B2C" w:rsidP="00010433">
      <w:pPr>
        <w:pStyle w:val="Heading2"/>
      </w:pPr>
      <w:bookmarkStart w:id="6" w:name="_Toc458760041"/>
      <w:r>
        <w:t>Introduction</w:t>
      </w:r>
      <w:bookmarkEnd w:id="6"/>
    </w:p>
    <w:p w:rsidR="009448D3" w:rsidRPr="00FE3E58" w:rsidRDefault="00E45059" w:rsidP="009448D3">
      <w:pPr>
        <w:pStyle w:val="Heading3"/>
      </w:pPr>
      <w:bookmarkStart w:id="7" w:name="_Toc458760042"/>
      <w:r>
        <w:t>Basis of c</w:t>
      </w:r>
      <w:r w:rsidR="009448D3">
        <w:t>laim</w:t>
      </w:r>
      <w:bookmarkEnd w:id="7"/>
    </w:p>
    <w:p w:rsidR="002767BA" w:rsidRDefault="00E0790E" w:rsidP="002767BA">
      <w:pPr>
        <w:pStyle w:val="ListParagraph"/>
      </w:pPr>
      <w:r>
        <w:t xml:space="preserve">Fear of persecution or serious harm by </w:t>
      </w:r>
      <w:r w:rsidR="00E93393">
        <w:t>state and</w:t>
      </w:r>
      <w:r>
        <w:t>/or</w:t>
      </w:r>
      <w:r w:rsidR="00E93393">
        <w:t xml:space="preserve"> non-state </w:t>
      </w:r>
      <w:proofErr w:type="gramStart"/>
      <w:r w:rsidR="00E93393">
        <w:t>actors</w:t>
      </w:r>
      <w:r w:rsidR="003E0C7C">
        <w:t>,</w:t>
      </w:r>
      <w:r>
        <w:t xml:space="preserve"> because</w:t>
      </w:r>
      <w:proofErr w:type="gramEnd"/>
      <w:r>
        <w:t xml:space="preserve"> the person is</w:t>
      </w:r>
      <w:r w:rsidR="00F06AD2">
        <w:t xml:space="preserve"> from a religious minority</w:t>
      </w:r>
      <w:r w:rsidR="00E33756">
        <w:t>.</w:t>
      </w:r>
    </w:p>
    <w:p w:rsidR="00E01E9A" w:rsidRDefault="00E01E9A" w:rsidP="00956A60">
      <w:pPr>
        <w:pStyle w:val="ListParagraph"/>
        <w:numPr>
          <w:ilvl w:val="0"/>
          <w:numId w:val="0"/>
        </w:numPr>
        <w:ind w:left="851"/>
      </w:pPr>
      <w:r>
        <w:t xml:space="preserve">          </w:t>
      </w:r>
      <w:r w:rsidR="002767BA">
        <w:tab/>
      </w:r>
      <w:r w:rsidR="002767BA">
        <w:tab/>
      </w:r>
      <w:r w:rsidR="002767BA">
        <w:tab/>
      </w:r>
      <w:r w:rsidR="002767BA">
        <w:tab/>
      </w:r>
      <w:r w:rsidR="002767BA">
        <w:tab/>
      </w:r>
      <w:r w:rsidR="002767BA">
        <w:tab/>
      </w:r>
      <w:r w:rsidR="002767BA">
        <w:tab/>
        <w:t xml:space="preserve">          </w:t>
      </w:r>
      <w:hyperlink w:anchor="contents" w:history="1">
        <w:r w:rsidRPr="002767BA">
          <w:rPr>
            <w:rStyle w:val="Hyperlink"/>
            <w:szCs w:val="24"/>
          </w:rPr>
          <w:t>Back to Contents</w:t>
        </w:r>
      </w:hyperlink>
    </w:p>
    <w:p w:rsidR="00E0790E" w:rsidRDefault="00E0790E" w:rsidP="00E0790E">
      <w:pPr>
        <w:pStyle w:val="Heading3"/>
      </w:pPr>
      <w:bookmarkStart w:id="8" w:name="_Toc458760043"/>
      <w:r>
        <w:t>Other points to note</w:t>
      </w:r>
      <w:bookmarkEnd w:id="8"/>
      <w:r>
        <w:t xml:space="preserve"> </w:t>
      </w:r>
    </w:p>
    <w:p w:rsidR="00E33756" w:rsidRDefault="002B29EE" w:rsidP="001D2409">
      <w:pPr>
        <w:pStyle w:val="ListParagraph"/>
      </w:pPr>
      <w:r>
        <w:t>For the purposes of this guidance r</w:t>
      </w:r>
      <w:r w:rsidR="00F06AD2">
        <w:t xml:space="preserve">eligious minorities </w:t>
      </w:r>
      <w:r w:rsidR="00E33756">
        <w:t>include all non-Muslim communities</w:t>
      </w:r>
      <w:r w:rsidR="007108A9">
        <w:t xml:space="preserve"> in Iraq</w:t>
      </w:r>
      <w:r w:rsidR="002876CD">
        <w:t>:</w:t>
      </w:r>
      <w:r w:rsidR="00E33756">
        <w:t xml:space="preserve"> Christians, Yezidis, </w:t>
      </w:r>
      <w:r w:rsidR="00E0790E">
        <w:t>Sab</w:t>
      </w:r>
      <w:r w:rsidR="00D42A5F">
        <w:t>a</w:t>
      </w:r>
      <w:r w:rsidR="00E0790E">
        <w:t>e</w:t>
      </w:r>
      <w:r w:rsidR="00E33756" w:rsidRPr="00E33756">
        <w:t>an Mandaeans</w:t>
      </w:r>
      <w:r w:rsidR="00F72A53">
        <w:t xml:space="preserve">, </w:t>
      </w:r>
      <w:proofErr w:type="spellStart"/>
      <w:r w:rsidR="00F72A53">
        <w:t>Kaka’</w:t>
      </w:r>
      <w:r w:rsidR="00E33756">
        <w:t>i</w:t>
      </w:r>
      <w:proofErr w:type="spellEnd"/>
      <w:r w:rsidR="00F72A53">
        <w:t>, Baha’</w:t>
      </w:r>
      <w:r w:rsidR="00E0790E">
        <w:t>i</w:t>
      </w:r>
      <w:r w:rsidR="00E33756">
        <w:t xml:space="preserve"> and Jews. </w:t>
      </w:r>
    </w:p>
    <w:p w:rsidR="00EC7DF2" w:rsidRDefault="008373DB" w:rsidP="00DA555F">
      <w:pPr>
        <w:ind w:left="851" w:hanging="851"/>
        <w:jc w:val="right"/>
      </w:pPr>
      <w:hyperlink w:anchor="contents" w:history="1">
        <w:r w:rsidR="00DA555F" w:rsidRPr="006B4863">
          <w:rPr>
            <w:rStyle w:val="Hyperlink"/>
            <w:szCs w:val="24"/>
          </w:rPr>
          <w:t>Back to Contents</w:t>
        </w:r>
      </w:hyperlink>
    </w:p>
    <w:p w:rsidR="00010433" w:rsidRPr="00010433" w:rsidRDefault="009B0C7C" w:rsidP="00010433">
      <w:pPr>
        <w:pStyle w:val="Heading2"/>
      </w:pPr>
      <w:bookmarkStart w:id="9" w:name="_Toc458760044"/>
      <w:r>
        <w:t xml:space="preserve">Consideration of </w:t>
      </w:r>
      <w:r w:rsidRPr="00FE3E58">
        <w:t>Issues</w:t>
      </w:r>
      <w:bookmarkEnd w:id="9"/>
      <w:r>
        <w:t xml:space="preserve"> </w:t>
      </w:r>
    </w:p>
    <w:p w:rsidR="00FE3E58" w:rsidRPr="00FE3E58" w:rsidRDefault="006B4863" w:rsidP="00FE3E58">
      <w:pPr>
        <w:pStyle w:val="Heading3"/>
      </w:pPr>
      <w:bookmarkStart w:id="10" w:name="_Toc458760045"/>
      <w:r>
        <w:t>Credibility</w:t>
      </w:r>
      <w:bookmarkEnd w:id="10"/>
    </w:p>
    <w:p w:rsidR="000A4906" w:rsidRDefault="00BB7F34" w:rsidP="000A4906">
      <w:pPr>
        <w:pStyle w:val="ListParagraph"/>
      </w:pPr>
      <w:r>
        <w:t>For guidance</w:t>
      </w:r>
      <w:r w:rsidR="00E0790E">
        <w:t xml:space="preserve"> on assessing credibility, see </w:t>
      </w:r>
      <w:r w:rsidR="000A4906">
        <w:t>the</w:t>
      </w:r>
      <w:r w:rsidR="006B4863">
        <w:t xml:space="preserve"> </w:t>
      </w:r>
      <w:hyperlink r:id="rId20" w:history="1">
        <w:r w:rsidR="006B4863">
          <w:rPr>
            <w:rStyle w:val="Hyperlink"/>
          </w:rPr>
          <w:t>Asylum Instruction on Assessing Credibility and Refugee Status</w:t>
        </w:r>
      </w:hyperlink>
      <w:r w:rsidR="006B4863">
        <w:t xml:space="preserve">. </w:t>
      </w:r>
    </w:p>
    <w:p w:rsidR="000F0246" w:rsidRDefault="000F0246" w:rsidP="000F0246">
      <w:pPr>
        <w:pStyle w:val="ListParagraph"/>
      </w:pPr>
      <w:r w:rsidRPr="001D2409">
        <w:t xml:space="preserve">Decision makers must also </w:t>
      </w:r>
      <w:r>
        <w:t>check</w:t>
      </w:r>
      <w:r w:rsidRPr="001D2409">
        <w:t xml:space="preserve"> if there has been a previous application for </w:t>
      </w:r>
      <w:r>
        <w:t xml:space="preserve">a </w:t>
      </w:r>
      <w:r w:rsidRPr="001D2409">
        <w:t xml:space="preserve">UK visa or </w:t>
      </w:r>
      <w:r>
        <w:t>an</w:t>
      </w:r>
      <w:r w:rsidRPr="001D2409">
        <w:t xml:space="preserve">other </w:t>
      </w:r>
      <w:r>
        <w:t xml:space="preserve">form of </w:t>
      </w:r>
      <w:r w:rsidRPr="001D2409">
        <w:t>leave. Asylum applications matched to visas should be investigated</w:t>
      </w:r>
      <w:r>
        <w:t xml:space="preserve"> prior to the asylum interview</w:t>
      </w:r>
      <w:r w:rsidR="00665F18">
        <w:t xml:space="preserve"> (</w:t>
      </w:r>
      <w:r w:rsidR="00665F18" w:rsidRPr="001D2409">
        <w:rPr>
          <w:szCs w:val="24"/>
        </w:rPr>
        <w:t xml:space="preserve">see the </w:t>
      </w:r>
      <w:hyperlink r:id="rId21" w:history="1">
        <w:r w:rsidR="006B4863">
          <w:rPr>
            <w:rStyle w:val="Hyperlink"/>
          </w:rPr>
          <w:t>Asylum Instruction on Visa Matches, Asylum Claims from UK Visa Applicants</w:t>
        </w:r>
      </w:hyperlink>
      <w:r w:rsidR="006B4863">
        <w:t>).</w:t>
      </w:r>
    </w:p>
    <w:p w:rsidR="001D2409" w:rsidRPr="00900CFD" w:rsidRDefault="001D2409" w:rsidP="000A4906">
      <w:pPr>
        <w:pStyle w:val="ListParagraph"/>
      </w:pPr>
      <w:r w:rsidRPr="001D2409">
        <w:t>Decision makers should also consider the need to conduct language analysis testing</w:t>
      </w:r>
      <w:r w:rsidR="00665F18">
        <w:t xml:space="preserve"> (see</w:t>
      </w:r>
      <w:r w:rsidRPr="001D2409">
        <w:t xml:space="preserve"> </w:t>
      </w:r>
      <w:r w:rsidR="00665F18" w:rsidRPr="001D2409">
        <w:rPr>
          <w:szCs w:val="24"/>
        </w:rPr>
        <w:t xml:space="preserve">the </w:t>
      </w:r>
      <w:hyperlink r:id="rId22" w:history="1">
        <w:r w:rsidR="006B4863">
          <w:rPr>
            <w:rStyle w:val="Hyperlink"/>
            <w:szCs w:val="24"/>
          </w:rPr>
          <w:t>Asylum Instruction on Language Analysis</w:t>
        </w:r>
      </w:hyperlink>
      <w:r w:rsidR="006B4863">
        <w:rPr>
          <w:szCs w:val="24"/>
        </w:rPr>
        <w:t>).</w:t>
      </w:r>
    </w:p>
    <w:p w:rsidR="006B4863" w:rsidRDefault="008373DB" w:rsidP="006B4863">
      <w:pPr>
        <w:pStyle w:val="ListParagraph"/>
        <w:numPr>
          <w:ilvl w:val="0"/>
          <w:numId w:val="0"/>
        </w:numPr>
        <w:ind w:left="851"/>
        <w:jc w:val="right"/>
      </w:pPr>
      <w:hyperlink w:anchor="contents" w:history="1">
        <w:r w:rsidR="006B4863" w:rsidRPr="006B4863">
          <w:rPr>
            <w:rStyle w:val="Hyperlink"/>
            <w:szCs w:val="24"/>
          </w:rPr>
          <w:t>Back to Contents</w:t>
        </w:r>
      </w:hyperlink>
    </w:p>
    <w:p w:rsidR="00EF7C64" w:rsidRDefault="00E33756" w:rsidP="00EF7C64">
      <w:pPr>
        <w:pStyle w:val="Heading3"/>
      </w:pPr>
      <w:bookmarkStart w:id="11" w:name="_Toc458760046"/>
      <w:r>
        <w:t>Assessment of risk</w:t>
      </w:r>
      <w:bookmarkEnd w:id="11"/>
    </w:p>
    <w:p w:rsidR="00EF7C64" w:rsidRDefault="00EF7C64" w:rsidP="00EF7C64">
      <w:pPr>
        <w:pStyle w:val="ListParagraph"/>
      </w:pPr>
      <w:r>
        <w:t>Many members of religious minorities have become Internally Displaced Persons (IDPs). For guidance on Article 3 claims based on the humanitarian situation, see</w:t>
      </w:r>
      <w:r w:rsidRPr="001043D1">
        <w:t xml:space="preserve"> </w:t>
      </w:r>
      <w:hyperlink r:id="rId23" w:history="1">
        <w:r w:rsidRPr="001043D1">
          <w:rPr>
            <w:rStyle w:val="Hyperlink"/>
          </w:rPr>
          <w:t>Country information and guidance – Iraq: Humanitarian situation</w:t>
        </w:r>
      </w:hyperlink>
      <w:r w:rsidRPr="001043D1">
        <w:t xml:space="preserve">  </w:t>
      </w:r>
    </w:p>
    <w:p w:rsidR="00F50E04" w:rsidRDefault="00EF7C64" w:rsidP="00F50E04">
      <w:pPr>
        <w:pStyle w:val="ListParagraph"/>
      </w:pPr>
      <w:r>
        <w:t xml:space="preserve">Caseworkers should no longer follow the country guidance set out in </w:t>
      </w:r>
      <w:hyperlink r:id="rId24" w:history="1">
        <w:r w:rsidRPr="00015C72">
          <w:rPr>
            <w:rStyle w:val="Hyperlink"/>
          </w:rPr>
          <w:t>AK (Iraq – Christians – risk) Iraq CG [2004] UKIAT 00298</w:t>
        </w:r>
      </w:hyperlink>
      <w:r>
        <w:t xml:space="preserve">, </w:t>
      </w:r>
      <w:hyperlink r:id="rId25" w:history="1">
        <w:r w:rsidRPr="001043D1">
          <w:rPr>
            <w:rStyle w:val="Hyperlink"/>
          </w:rPr>
          <w:t>RA (Christians) Iraq CG [2005] UKIAT 00091</w:t>
        </w:r>
      </w:hyperlink>
      <w:r>
        <w:t xml:space="preserve"> and </w:t>
      </w:r>
      <w:hyperlink r:id="rId26" w:history="1">
        <w:r w:rsidRPr="001043D1">
          <w:rPr>
            <w:rStyle w:val="Hyperlink"/>
          </w:rPr>
          <w:t>SR (Iraqi Arab Christian: relocation to KRG) Iraq CG [2009] UKAIT 00038</w:t>
        </w:r>
      </w:hyperlink>
      <w:r>
        <w:t>.</w:t>
      </w:r>
    </w:p>
    <w:p w:rsidR="00F62E35" w:rsidRDefault="001C78C6" w:rsidP="00F62E35">
      <w:pPr>
        <w:pStyle w:val="ListParagraph"/>
      </w:pPr>
      <w:r w:rsidRPr="0014327C">
        <w:t xml:space="preserve">For further </w:t>
      </w:r>
      <w:r>
        <w:t xml:space="preserve">guidance </w:t>
      </w:r>
      <w:r w:rsidRPr="0014327C">
        <w:t>on a</w:t>
      </w:r>
      <w:r>
        <w:t>ssessing risk, see</w:t>
      </w:r>
      <w:r w:rsidR="00553646">
        <w:t xml:space="preserve"> </w:t>
      </w:r>
      <w:r w:rsidRPr="0014327C">
        <w:t xml:space="preserve">the </w:t>
      </w:r>
      <w:hyperlink r:id="rId27" w:history="1">
        <w:r w:rsidRPr="002942BA">
          <w:rPr>
            <w:rStyle w:val="Hyperlink"/>
          </w:rPr>
          <w:t>Asylum Instruction on Assessing Credibility and Refugee Status</w:t>
        </w:r>
      </w:hyperlink>
      <w:r>
        <w:t>.</w:t>
      </w:r>
    </w:p>
    <w:p w:rsidR="00F62E35" w:rsidRDefault="00F62E35" w:rsidP="00F62E35">
      <w:pPr>
        <w:pStyle w:val="ListParagraph"/>
        <w:numPr>
          <w:ilvl w:val="0"/>
          <w:numId w:val="0"/>
        </w:numPr>
        <w:ind w:left="851"/>
      </w:pPr>
    </w:p>
    <w:p w:rsidR="00630DBB" w:rsidRPr="00F62E35" w:rsidRDefault="00630DBB" w:rsidP="00F62E35">
      <w:pPr>
        <w:pStyle w:val="ListParagraph"/>
        <w:numPr>
          <w:ilvl w:val="0"/>
          <w:numId w:val="19"/>
        </w:numPr>
        <w:rPr>
          <w:color w:val="7030A0"/>
        </w:rPr>
      </w:pPr>
      <w:r w:rsidRPr="00F62E35">
        <w:rPr>
          <w:color w:val="7030A0"/>
        </w:rPr>
        <w:t>State treatment</w:t>
      </w:r>
    </w:p>
    <w:p w:rsidR="004351C6" w:rsidRDefault="00D15884" w:rsidP="00F50E04">
      <w:pPr>
        <w:pStyle w:val="ListParagraph"/>
      </w:pPr>
      <w:r>
        <w:t>Islam is the official religion in Iraq, although religious minorities do have constitutional rights</w:t>
      </w:r>
      <w:r w:rsidR="00166CD2">
        <w:t xml:space="preserve"> and are represented in Parliament</w:t>
      </w:r>
      <w:r w:rsidR="00A21FF3">
        <w:t xml:space="preserve"> (an exception is the Baha’i, who are not recognised by law).</w:t>
      </w:r>
      <w:r w:rsidR="00166CD2">
        <w:t xml:space="preserve"> In May 2015 the Kurdistan Regional </w:t>
      </w:r>
      <w:r w:rsidR="00166CD2">
        <w:lastRenderedPageBreak/>
        <w:t xml:space="preserve">Government (KRG) passed a law </w:t>
      </w:r>
      <w:r w:rsidR="00A21FF3">
        <w:t>to protect</w:t>
      </w:r>
      <w:r w:rsidR="00166CD2">
        <w:t xml:space="preserve"> the rights of religious minorities</w:t>
      </w:r>
      <w:r w:rsidR="00A21FF3">
        <w:t xml:space="preserve"> (see </w:t>
      </w:r>
      <w:hyperlink w:anchor="_Constitutional_rights" w:history="1">
        <w:r w:rsidR="00A21FF3" w:rsidRPr="00A21FF3">
          <w:rPr>
            <w:rStyle w:val="Hyperlink"/>
          </w:rPr>
          <w:t>Constitutional rights</w:t>
        </w:r>
      </w:hyperlink>
      <w:r w:rsidR="00A21FF3">
        <w:t xml:space="preserve"> and </w:t>
      </w:r>
      <w:hyperlink w:anchor="_Other_rights" w:history="1">
        <w:r w:rsidR="00A21FF3" w:rsidRPr="00A21FF3">
          <w:rPr>
            <w:rStyle w:val="Hyperlink"/>
          </w:rPr>
          <w:t>Other rights</w:t>
        </w:r>
      </w:hyperlink>
      <w:r w:rsidR="00A21FF3">
        <w:t xml:space="preserve">). </w:t>
      </w:r>
      <w:r w:rsidR="00166CD2">
        <w:t xml:space="preserve"> </w:t>
      </w:r>
      <w:r>
        <w:t xml:space="preserve">  </w:t>
      </w:r>
    </w:p>
    <w:p w:rsidR="00403CA4" w:rsidRDefault="00403CA4" w:rsidP="00403CA4">
      <w:pPr>
        <w:pStyle w:val="ListParagraph"/>
      </w:pPr>
      <w:r>
        <w:t xml:space="preserve">The legal situation about conversion </w:t>
      </w:r>
      <w:r w:rsidR="009C4EC5">
        <w:t xml:space="preserve">from Islam </w:t>
      </w:r>
      <w:r>
        <w:t xml:space="preserve">is unclear. The Penal Law does not prohibit conversion away from </w:t>
      </w:r>
      <w:proofErr w:type="gramStart"/>
      <w:r>
        <w:t>Islam</w:t>
      </w:r>
      <w:proofErr w:type="gramEnd"/>
      <w:r>
        <w:t xml:space="preserve"> but the Personal Status Law does not legally recognise any such conversion. Consequences of conversion may include difficulties in obtaining documents, getting married and in sending children to certain schools (see </w:t>
      </w:r>
      <w:hyperlink w:anchor="_Treatment_of_religious" w:history="1">
        <w:r>
          <w:rPr>
            <w:rStyle w:val="Hyperlink"/>
          </w:rPr>
          <w:t>C</w:t>
        </w:r>
        <w:r w:rsidRPr="004669D3">
          <w:rPr>
            <w:rStyle w:val="Hyperlink"/>
          </w:rPr>
          <w:t>onversion</w:t>
        </w:r>
      </w:hyperlink>
      <w:r>
        <w:t>).</w:t>
      </w:r>
    </w:p>
    <w:p w:rsidR="0060289D" w:rsidRDefault="009C4EC5" w:rsidP="00F50E04">
      <w:pPr>
        <w:pStyle w:val="ListParagraph"/>
      </w:pPr>
      <w:r>
        <w:t>T</w:t>
      </w:r>
      <w:r w:rsidR="004A3D2A">
        <w:t>here are some reports that the Government of Iraq (</w:t>
      </w:r>
      <w:proofErr w:type="spellStart"/>
      <w:r w:rsidR="004A3D2A">
        <w:t>GoI</w:t>
      </w:r>
      <w:proofErr w:type="spellEnd"/>
      <w:r w:rsidR="004A3D2A">
        <w:t xml:space="preserve">) has </w:t>
      </w:r>
      <w:r w:rsidR="009744D1">
        <w:t>engaged in</w:t>
      </w:r>
      <w:r w:rsidR="004A3D2A">
        <w:t xml:space="preserve"> abuses, such as killings, kidnappings, detention, entry restrict</w:t>
      </w:r>
      <w:r w:rsidR="0060289D">
        <w:t>ions, confiscation of property and</w:t>
      </w:r>
      <w:r w:rsidR="004A3D2A">
        <w:t xml:space="preserve"> discrimination, based on a person’s religious affiliation</w:t>
      </w:r>
      <w:r w:rsidR="00403CA4">
        <w:t xml:space="preserve"> (see </w:t>
      </w:r>
      <w:hyperlink w:anchor="_Mistreatment_by_the" w:history="1">
        <w:r w:rsidR="00403CA4" w:rsidRPr="00403CA4">
          <w:rPr>
            <w:rStyle w:val="Hyperlink"/>
          </w:rPr>
          <w:t>Mistreatment by the Government of Iraq (</w:t>
        </w:r>
        <w:proofErr w:type="spellStart"/>
        <w:r w:rsidR="00403CA4" w:rsidRPr="00403CA4">
          <w:rPr>
            <w:rStyle w:val="Hyperlink"/>
          </w:rPr>
          <w:t>GoI</w:t>
        </w:r>
        <w:proofErr w:type="spellEnd"/>
        <w:r w:rsidR="00403CA4" w:rsidRPr="00403CA4">
          <w:rPr>
            <w:rStyle w:val="Hyperlink"/>
          </w:rPr>
          <w:t>)</w:t>
        </w:r>
      </w:hyperlink>
      <w:r w:rsidR="00403CA4">
        <w:t xml:space="preserve">). </w:t>
      </w:r>
      <w:r>
        <w:t>However, it is difficult to categorise whether these incidents were motivated by the victim’s religious identity.</w:t>
      </w:r>
    </w:p>
    <w:p w:rsidR="00F50E04" w:rsidRDefault="0060289D" w:rsidP="00DC02E6">
      <w:pPr>
        <w:pStyle w:val="ListParagraph"/>
      </w:pPr>
      <w:r>
        <w:t>There are fewer reports of official abuse and discrimination against religious minorities by the Kurdistan Regional Government (KRG).</w:t>
      </w:r>
      <w:r w:rsidR="00403CA4">
        <w:t xml:space="preserve"> There are reports of abuses, such as arbitrary detention and discrimination, in areas outside the Kurdistan Region of Iraq (KRI) which are controlled by the KRG, such as parts of </w:t>
      </w:r>
      <w:proofErr w:type="spellStart"/>
      <w:r w:rsidR="00403CA4">
        <w:t>Ninewah</w:t>
      </w:r>
      <w:proofErr w:type="spellEnd"/>
      <w:r w:rsidR="00403CA4">
        <w:t xml:space="preserve"> and Kirkuk (see Mistreatment by the </w:t>
      </w:r>
      <w:hyperlink w:anchor="_Mistreatment_by_the_1" w:history="1">
        <w:r w:rsidR="00403CA4" w:rsidRPr="00403CA4">
          <w:rPr>
            <w:rStyle w:val="Hyperlink"/>
          </w:rPr>
          <w:t>Kurdistan Regional Government (KRG)</w:t>
        </w:r>
      </w:hyperlink>
      <w:r w:rsidR="00403CA4">
        <w:t xml:space="preserve">).  </w:t>
      </w:r>
    </w:p>
    <w:p w:rsidR="00DC02E6" w:rsidRDefault="00DC02E6" w:rsidP="00F62E35">
      <w:pPr>
        <w:pStyle w:val="ListParagraph"/>
      </w:pPr>
      <w:r>
        <w:t xml:space="preserve">In general, members of religious minorities will not face treatment which amounts to persecution </w:t>
      </w:r>
      <w:r w:rsidR="009C4EC5">
        <w:t xml:space="preserve">or serious harm </w:t>
      </w:r>
      <w:r>
        <w:t>from the state. Decision makers must, however, consider each case on its</w:t>
      </w:r>
      <w:r w:rsidR="001C78C6">
        <w:t xml:space="preserve"> individual facts, taking full account of the person’s circumstances. </w:t>
      </w:r>
    </w:p>
    <w:p w:rsidR="00F62E35" w:rsidRPr="00630DBB" w:rsidRDefault="00F62E35" w:rsidP="00F62E35">
      <w:pPr>
        <w:pStyle w:val="ListParagraph"/>
        <w:numPr>
          <w:ilvl w:val="0"/>
          <w:numId w:val="0"/>
        </w:numPr>
        <w:ind w:left="851"/>
      </w:pPr>
    </w:p>
    <w:p w:rsidR="00630DBB" w:rsidRPr="00F62E35" w:rsidRDefault="00630DBB" w:rsidP="00F62E35">
      <w:pPr>
        <w:pStyle w:val="ListParagraph"/>
        <w:numPr>
          <w:ilvl w:val="0"/>
          <w:numId w:val="19"/>
        </w:numPr>
        <w:rPr>
          <w:color w:val="7030A0"/>
        </w:rPr>
      </w:pPr>
      <w:r w:rsidRPr="00F62E35">
        <w:rPr>
          <w:color w:val="7030A0"/>
        </w:rPr>
        <w:t xml:space="preserve">Non-state treatment </w:t>
      </w:r>
    </w:p>
    <w:p w:rsidR="00460B6D" w:rsidRPr="001043D1" w:rsidRDefault="003F3DA8" w:rsidP="00460B6D">
      <w:pPr>
        <w:pStyle w:val="ListParagraph"/>
      </w:pPr>
      <w:r>
        <w:t xml:space="preserve">Since 2003, various armed groups, most prominently and recently the Shia militia, have targeted religious minorities in Baghdad. </w:t>
      </w:r>
      <w:r w:rsidR="00D636CF">
        <w:t xml:space="preserve">As a result, significant numbers of people who belong to a religious minority have either fled the country or become displaced internally (see </w:t>
      </w:r>
      <w:hyperlink w:anchor="_Religious_minority_groups" w:history="1">
        <w:r w:rsidR="00D636CF" w:rsidRPr="00D636CF">
          <w:rPr>
            <w:rStyle w:val="Hyperlink"/>
          </w:rPr>
          <w:t>Religious minority groups</w:t>
        </w:r>
      </w:hyperlink>
      <w:r w:rsidR="00D636CF">
        <w:t xml:space="preserve">). </w:t>
      </w:r>
      <w:r>
        <w:t xml:space="preserve">Religious minorities are vulnerable to human rights violations and other abuses, including abductions, extra-judicial killings, extortion and forced evictions (see </w:t>
      </w:r>
      <w:hyperlink w:anchor="_Other_non-state_actors" w:history="1">
        <w:r w:rsidRPr="0058397C">
          <w:rPr>
            <w:rStyle w:val="Hyperlink"/>
          </w:rPr>
          <w:t>Non-state treatment</w:t>
        </w:r>
        <w:r w:rsidR="00321752" w:rsidRPr="0058397C">
          <w:rPr>
            <w:rStyle w:val="Hyperlink"/>
          </w:rPr>
          <w:t xml:space="preserve"> – Other non-state actors</w:t>
        </w:r>
      </w:hyperlink>
      <w:r w:rsidRPr="0058397C">
        <w:t xml:space="preserve">).   </w:t>
      </w:r>
      <w:r>
        <w:t xml:space="preserve"> </w:t>
      </w:r>
      <w:r w:rsidR="00460B6D">
        <w:t xml:space="preserve"> </w:t>
      </w:r>
    </w:p>
    <w:p w:rsidR="009C4EC5" w:rsidRDefault="009C4EC5" w:rsidP="009C4EC5">
      <w:pPr>
        <w:pStyle w:val="ListParagraph"/>
      </w:pPr>
      <w:r>
        <w:t xml:space="preserve">Most religious minorities in Iraq originate from the northern part of the country. In 2014 Daesh (Islamic State) took over much of this </w:t>
      </w:r>
      <w:proofErr w:type="gramStart"/>
      <w:r>
        <w:t>territory, and</w:t>
      </w:r>
      <w:proofErr w:type="gramEnd"/>
      <w:r>
        <w:t xml:space="preserve"> </w:t>
      </w:r>
      <w:r w:rsidRPr="001043D1">
        <w:t>violated the human rights of the inhabitant religious minorities</w:t>
      </w:r>
      <w:r>
        <w:t xml:space="preserve"> (s</w:t>
      </w:r>
      <w:r w:rsidRPr="001043D1">
        <w:t>ee</w:t>
      </w:r>
      <w:r>
        <w:t xml:space="preserve"> </w:t>
      </w:r>
      <w:hyperlink w:anchor="_Daesh" w:history="1">
        <w:r w:rsidRPr="00EB718F">
          <w:rPr>
            <w:rStyle w:val="Hyperlink"/>
          </w:rPr>
          <w:t>Non-state treatment - Daesh</w:t>
        </w:r>
      </w:hyperlink>
      <w:r>
        <w:t xml:space="preserve">). </w:t>
      </w:r>
    </w:p>
    <w:p w:rsidR="009870A9" w:rsidRDefault="009870A9" w:rsidP="009870A9">
      <w:pPr>
        <w:pStyle w:val="ListParagraph"/>
      </w:pPr>
      <w:r w:rsidRPr="001043D1">
        <w:t xml:space="preserve">In general, a person from a religious minority is likely to be at risk from Daesh in the ‘contested’ areas (Anbar, </w:t>
      </w:r>
      <w:proofErr w:type="spellStart"/>
      <w:r w:rsidRPr="001043D1">
        <w:t>Diyala</w:t>
      </w:r>
      <w:proofErr w:type="spellEnd"/>
      <w:r w:rsidRPr="001043D1">
        <w:t xml:space="preserve">, Kirkuk, </w:t>
      </w:r>
      <w:proofErr w:type="spellStart"/>
      <w:r w:rsidRPr="001043D1">
        <w:t>Ninewah</w:t>
      </w:r>
      <w:proofErr w:type="spellEnd"/>
      <w:r w:rsidRPr="001043D1">
        <w:t xml:space="preserve"> and Salah al-Din), a</w:t>
      </w:r>
      <w:r w:rsidR="000B6612">
        <w:t xml:space="preserve">nd at risk </w:t>
      </w:r>
      <w:r w:rsidR="0058397C">
        <w:t xml:space="preserve">from armed groups, including the Shia militia, </w:t>
      </w:r>
      <w:r w:rsidR="000B6612">
        <w:t>in Baghdad</w:t>
      </w:r>
      <w:r w:rsidR="00C8735D">
        <w:t xml:space="preserve">. </w:t>
      </w:r>
    </w:p>
    <w:p w:rsidR="00D71447" w:rsidRDefault="00D71447" w:rsidP="009870A9">
      <w:pPr>
        <w:pStyle w:val="ListParagraph"/>
      </w:pPr>
      <w:r>
        <w:t xml:space="preserve">Those from religious minorities may face discrimination and stigma throughout society </w:t>
      </w:r>
      <w:proofErr w:type="gramStart"/>
      <w:r>
        <w:t>on the basis of</w:t>
      </w:r>
      <w:proofErr w:type="gramEnd"/>
      <w:r>
        <w:t xml:space="preserve"> their religion. Those who apostatise away from Islam may also be at risk of mistreatment. However, the evidence </w:t>
      </w:r>
      <w:r w:rsidR="009C4EC5">
        <w:t>does</w:t>
      </w:r>
      <w:r>
        <w:t xml:space="preserve"> not indicate that this treatment amounts to persecution</w:t>
      </w:r>
      <w:r w:rsidR="009C4EC5">
        <w:t xml:space="preserve"> or serious harm</w:t>
      </w:r>
      <w:r>
        <w:t xml:space="preserve">. Decision makers must, however, consider each case on its merits, taking full account of the person’s circumstances (see </w:t>
      </w:r>
      <w:hyperlink w:anchor="_Other_non-state_actors" w:history="1">
        <w:r w:rsidRPr="00D71447">
          <w:rPr>
            <w:rStyle w:val="Hyperlink"/>
          </w:rPr>
          <w:t>Non-state treatment – Other non-state actors</w:t>
        </w:r>
      </w:hyperlink>
      <w:r>
        <w:t xml:space="preserve"> and</w:t>
      </w:r>
      <w:hyperlink w:anchor="_Conversion" w:history="1">
        <w:r w:rsidRPr="00D71447">
          <w:rPr>
            <w:rStyle w:val="Hyperlink"/>
          </w:rPr>
          <w:t xml:space="preserve"> Conversion</w:t>
        </w:r>
      </w:hyperlink>
      <w:r>
        <w:t xml:space="preserve">).  </w:t>
      </w:r>
    </w:p>
    <w:p w:rsidR="009C4A00" w:rsidRPr="001C78C6" w:rsidRDefault="009870A9" w:rsidP="001043D1">
      <w:pPr>
        <w:pStyle w:val="ListParagraph"/>
      </w:pPr>
      <w:r w:rsidRPr="001043D1">
        <w:lastRenderedPageBreak/>
        <w:t>In general, a person from a religious minority will not be at risk</w:t>
      </w:r>
      <w:r w:rsidR="00530A02">
        <w:t xml:space="preserve"> of persecution or serious harm</w:t>
      </w:r>
      <w:r w:rsidRPr="001043D1">
        <w:t xml:space="preserve"> in the southern governorates (</w:t>
      </w:r>
      <w:proofErr w:type="spellStart"/>
      <w:r w:rsidRPr="001043D1">
        <w:t>Babil</w:t>
      </w:r>
      <w:proofErr w:type="spellEnd"/>
      <w:r w:rsidRPr="001043D1">
        <w:t xml:space="preserve">, Basra, </w:t>
      </w:r>
      <w:proofErr w:type="spellStart"/>
      <w:r w:rsidRPr="001043D1">
        <w:t>Kerbala</w:t>
      </w:r>
      <w:proofErr w:type="spellEnd"/>
      <w:r w:rsidRPr="001043D1">
        <w:t xml:space="preserve">, </w:t>
      </w:r>
      <w:proofErr w:type="spellStart"/>
      <w:r w:rsidRPr="001043D1">
        <w:t>Missan</w:t>
      </w:r>
      <w:proofErr w:type="spellEnd"/>
      <w:r w:rsidRPr="001043D1">
        <w:t xml:space="preserve">, </w:t>
      </w:r>
      <w:proofErr w:type="spellStart"/>
      <w:r w:rsidRPr="001043D1">
        <w:t>Muthanna</w:t>
      </w:r>
      <w:proofErr w:type="spellEnd"/>
      <w:r w:rsidRPr="001043D1">
        <w:t xml:space="preserve">, Najaf, </w:t>
      </w:r>
      <w:proofErr w:type="spellStart"/>
      <w:r w:rsidRPr="001043D1">
        <w:t>Qaddisiyah</w:t>
      </w:r>
      <w:proofErr w:type="spellEnd"/>
      <w:r w:rsidR="00036177">
        <w:t xml:space="preserve">, </w:t>
      </w:r>
      <w:proofErr w:type="spellStart"/>
      <w:r w:rsidR="00036177">
        <w:t>Thi-Qar</w:t>
      </w:r>
      <w:proofErr w:type="spellEnd"/>
      <w:r w:rsidR="00036177">
        <w:t xml:space="preserve"> and </w:t>
      </w:r>
      <w:proofErr w:type="spellStart"/>
      <w:r w:rsidR="00036177">
        <w:t>Wasit</w:t>
      </w:r>
      <w:proofErr w:type="spellEnd"/>
      <w:r w:rsidR="00036177">
        <w:t>), and the Kurdistan Region of Iraq (KRI)</w:t>
      </w:r>
      <w:r w:rsidRPr="001043D1">
        <w:t xml:space="preserve">. </w:t>
      </w:r>
      <w:r w:rsidR="00670E4C">
        <w:t xml:space="preserve">Decision makers must, however, consider each case </w:t>
      </w:r>
      <w:r w:rsidRPr="001043D1">
        <w:t>on its individual facts</w:t>
      </w:r>
      <w:r w:rsidR="00036177">
        <w:t>,</w:t>
      </w:r>
      <w:r w:rsidRPr="001043D1">
        <w:t xml:space="preserve"> taking full account of the person’s circumstances</w:t>
      </w:r>
      <w:r>
        <w:t xml:space="preserve">. </w:t>
      </w:r>
    </w:p>
    <w:p w:rsidR="00855820" w:rsidRDefault="00F36897" w:rsidP="00F36897">
      <w:pPr>
        <w:pStyle w:val="ListParagraph"/>
        <w:numPr>
          <w:ilvl w:val="0"/>
          <w:numId w:val="0"/>
        </w:numPr>
        <w:ind w:left="6611"/>
      </w:pPr>
      <w:r>
        <w:t xml:space="preserve">        </w:t>
      </w:r>
      <w:hyperlink w:anchor="contents" w:history="1">
        <w:r w:rsidR="00A614A8" w:rsidRPr="006B4863">
          <w:rPr>
            <w:rStyle w:val="Hyperlink"/>
            <w:szCs w:val="24"/>
          </w:rPr>
          <w:t>Back to Contents</w:t>
        </w:r>
      </w:hyperlink>
    </w:p>
    <w:p w:rsidR="00F36897" w:rsidRDefault="00855820" w:rsidP="00F36897">
      <w:pPr>
        <w:pStyle w:val="Heading3"/>
      </w:pPr>
      <w:bookmarkStart w:id="12" w:name="_Toc458760047"/>
      <w:r>
        <w:t>Protection</w:t>
      </w:r>
      <w:bookmarkEnd w:id="12"/>
      <w:r>
        <w:t xml:space="preserve"> </w:t>
      </w:r>
    </w:p>
    <w:p w:rsidR="005B6215" w:rsidRDefault="005B6215" w:rsidP="00581D8B">
      <w:pPr>
        <w:pStyle w:val="ListParagraph"/>
      </w:pPr>
      <w:r>
        <w:t xml:space="preserve">Where the person’s fear is of persecution and/or serious harm from non-state actors, decision makers must assess whether the state can provide effective protection. </w:t>
      </w:r>
    </w:p>
    <w:p w:rsidR="00376219" w:rsidRDefault="008F60E5" w:rsidP="00581D8B">
      <w:pPr>
        <w:pStyle w:val="ListParagraph"/>
      </w:pPr>
      <w:r>
        <w:t>The</w:t>
      </w:r>
      <w:r w:rsidR="0054311D">
        <w:t xml:space="preserve"> </w:t>
      </w:r>
      <w:proofErr w:type="spellStart"/>
      <w:r w:rsidR="0054311D">
        <w:t>GoI</w:t>
      </w:r>
      <w:proofErr w:type="spellEnd"/>
      <w:r w:rsidR="0054311D">
        <w:t xml:space="preserve"> </w:t>
      </w:r>
      <w:r w:rsidR="008E5264">
        <w:t xml:space="preserve">has not </w:t>
      </w:r>
      <w:r w:rsidR="0054311D">
        <w:t>protect</w:t>
      </w:r>
      <w:r w:rsidR="008E5264">
        <w:t>ed religious minorities</w:t>
      </w:r>
      <w:r w:rsidR="00DD2647">
        <w:t xml:space="preserve"> and has not</w:t>
      </w:r>
      <w:r w:rsidR="00A44362">
        <w:t xml:space="preserve"> </w:t>
      </w:r>
      <w:r w:rsidR="0054311D">
        <w:t xml:space="preserve">properly </w:t>
      </w:r>
      <w:r w:rsidR="00991C3B">
        <w:t>investigated</w:t>
      </w:r>
      <w:r w:rsidR="0054311D">
        <w:t xml:space="preserve"> claims of abuses</w:t>
      </w:r>
      <w:r>
        <w:t xml:space="preserve"> (see </w:t>
      </w:r>
      <w:hyperlink w:anchor="_Government_of_Iraq" w:history="1">
        <w:r w:rsidRPr="008F60E5">
          <w:rPr>
            <w:rStyle w:val="Hyperlink"/>
          </w:rPr>
          <w:t>Protection – Government of Iraq (</w:t>
        </w:r>
        <w:proofErr w:type="spellStart"/>
        <w:r w:rsidRPr="008F60E5">
          <w:rPr>
            <w:rStyle w:val="Hyperlink"/>
          </w:rPr>
          <w:t>GoI</w:t>
        </w:r>
        <w:proofErr w:type="spellEnd"/>
        <w:r w:rsidRPr="008F60E5">
          <w:rPr>
            <w:rStyle w:val="Hyperlink"/>
          </w:rPr>
          <w:t>)</w:t>
        </w:r>
      </w:hyperlink>
      <w:r>
        <w:t>)</w:t>
      </w:r>
      <w:r w:rsidR="00581D8B">
        <w:t>.</w:t>
      </w:r>
      <w:r w:rsidR="005B6215">
        <w:t xml:space="preserve"> As a result, in areas outside the KRI</w:t>
      </w:r>
      <w:r w:rsidR="008E5264">
        <w:t>,</w:t>
      </w:r>
      <w:r w:rsidR="005B6215">
        <w:t xml:space="preserve"> the state appears able but unwilling, and unable and unwilling in parts of the ‘contested’ areas, to offer effective protection, and the person will not be able to avail themselves to the protection of the authorities</w:t>
      </w:r>
      <w:r w:rsidR="00581D8B" w:rsidRPr="001B6BEB">
        <w:t>. However, decision makers must consider whether the person has any circumstances, such as family, tribal or political links, in which they can obtain sufficient protection.</w:t>
      </w:r>
      <w:r w:rsidR="00581D8B">
        <w:t xml:space="preserve"> </w:t>
      </w:r>
    </w:p>
    <w:p w:rsidR="0054311D" w:rsidRDefault="0054311D" w:rsidP="008F60E5">
      <w:pPr>
        <w:pStyle w:val="ListParagraph"/>
      </w:pPr>
      <w:r>
        <w:t>The KRI has traditionally been a haven for religious minorities.</w:t>
      </w:r>
      <w:r w:rsidR="001A14DE">
        <w:t xml:space="preserve"> </w:t>
      </w:r>
      <w:r w:rsidR="003C0ADE">
        <w:t xml:space="preserve">Although mistrusted by </w:t>
      </w:r>
      <w:r w:rsidR="001A14DE">
        <w:t>some</w:t>
      </w:r>
      <w:r w:rsidR="003C0ADE">
        <w:t xml:space="preserve"> members of religious minorities, </w:t>
      </w:r>
      <w:r w:rsidR="001A14DE">
        <w:t>the KRI authorities</w:t>
      </w:r>
      <w:r w:rsidR="003C0ADE">
        <w:t xml:space="preserve"> do</w:t>
      </w:r>
      <w:r w:rsidR="008F60E5">
        <w:t xml:space="preserve"> provide</w:t>
      </w:r>
      <w:r w:rsidR="001A14DE">
        <w:t xml:space="preserve"> </w:t>
      </w:r>
      <w:r w:rsidR="003C0ADE">
        <w:t>effective</w:t>
      </w:r>
      <w:r w:rsidR="001A14DE">
        <w:t xml:space="preserve"> protection</w:t>
      </w:r>
      <w:r w:rsidR="008F60E5">
        <w:t xml:space="preserve">. </w:t>
      </w:r>
      <w:r w:rsidR="001A14DE">
        <w:t>Some sources say that the willingness of the KRI authorities to offer protection depends o</w:t>
      </w:r>
      <w:r w:rsidR="008F60E5">
        <w:t xml:space="preserve">n certain factors, such as the identity of the </w:t>
      </w:r>
      <w:r w:rsidR="001A14DE">
        <w:t>persecutor</w:t>
      </w:r>
      <w:r w:rsidR="008F60E5">
        <w:t xml:space="preserve">. There may not be </w:t>
      </w:r>
      <w:r w:rsidR="005B6215">
        <w:t xml:space="preserve">effective </w:t>
      </w:r>
      <w:r w:rsidR="001A14DE">
        <w:t>protection</w:t>
      </w:r>
      <w:r w:rsidR="008F60E5">
        <w:t xml:space="preserve"> in the </w:t>
      </w:r>
      <w:r w:rsidR="001A14DE">
        <w:t>areas outside the KRI which are either controlled or contested by the KRG</w:t>
      </w:r>
      <w:r w:rsidR="008F60E5">
        <w:t xml:space="preserve"> (see </w:t>
      </w:r>
      <w:hyperlink w:anchor="_Government_of_Iraq" w:history="1">
        <w:r w:rsidR="008F60E5" w:rsidRPr="008F60E5">
          <w:rPr>
            <w:rStyle w:val="Hyperlink"/>
          </w:rPr>
          <w:t>Protection – Kurdistan Regional Government (KRG)</w:t>
        </w:r>
      </w:hyperlink>
      <w:r w:rsidR="008F60E5">
        <w:t xml:space="preserve">). </w:t>
      </w:r>
      <w:r w:rsidR="001A14DE" w:rsidRPr="001B6BEB">
        <w:t xml:space="preserve">In general, a person from a religious minority will be able to obtain protection from the authorities in the KRI. However, decision makers must consider all a person’s circumstances when making an assessment.  </w:t>
      </w:r>
    </w:p>
    <w:p w:rsidR="00900CFD" w:rsidRDefault="00900CFD" w:rsidP="00900CFD">
      <w:pPr>
        <w:pStyle w:val="ListParagraph"/>
      </w:pPr>
      <w:r>
        <w:t xml:space="preserve">For </w:t>
      </w:r>
      <w:r w:rsidRPr="00081F19">
        <w:t>further</w:t>
      </w:r>
      <w:r>
        <w:t xml:space="preserve"> guidance</w:t>
      </w:r>
      <w:r w:rsidR="003534ED">
        <w:t xml:space="preserve"> on assessing the availability</w:t>
      </w:r>
      <w:r w:rsidR="001047F5">
        <w:t xml:space="preserve"> or not</w:t>
      </w:r>
      <w:r w:rsidR="003534ED">
        <w:t xml:space="preserve"> of</w:t>
      </w:r>
      <w:r>
        <w:t xml:space="preserve"> state protection, see the</w:t>
      </w:r>
      <w:r w:rsidRPr="00FC4D6B">
        <w:t xml:space="preserve"> </w:t>
      </w:r>
      <w:hyperlink r:id="rId28" w:history="1">
        <w:r w:rsidRPr="00FC4D6B">
          <w:rPr>
            <w:rStyle w:val="Hyperlink"/>
          </w:rPr>
          <w:t>Asylum Instruction on Assessing Credibility and Refugee Status</w:t>
        </w:r>
      </w:hyperlink>
      <w:r w:rsidR="00041281">
        <w:t xml:space="preserve">. </w:t>
      </w:r>
    </w:p>
    <w:p w:rsidR="00032BA5" w:rsidRDefault="008373DB" w:rsidP="00A614A8">
      <w:pPr>
        <w:pStyle w:val="ListParagraph"/>
        <w:numPr>
          <w:ilvl w:val="0"/>
          <w:numId w:val="0"/>
        </w:numPr>
        <w:ind w:left="851"/>
        <w:jc w:val="right"/>
      </w:pPr>
      <w:hyperlink w:anchor="contents" w:history="1">
        <w:r w:rsidR="00A614A8" w:rsidRPr="006B4863">
          <w:rPr>
            <w:rStyle w:val="Hyperlink"/>
            <w:szCs w:val="24"/>
          </w:rPr>
          <w:t>Back to Contents</w:t>
        </w:r>
      </w:hyperlink>
    </w:p>
    <w:p w:rsidR="004B475A" w:rsidRDefault="00F06AD2" w:rsidP="00032BA5">
      <w:pPr>
        <w:pStyle w:val="Heading3"/>
      </w:pPr>
      <w:bookmarkStart w:id="13" w:name="_Toc458760048"/>
      <w:r>
        <w:t>Internal r</w:t>
      </w:r>
      <w:r w:rsidR="00B101B1">
        <w:t>elocation</w:t>
      </w:r>
      <w:bookmarkEnd w:id="13"/>
      <w:r w:rsidR="00B101B1">
        <w:t xml:space="preserve"> </w:t>
      </w:r>
    </w:p>
    <w:p w:rsidR="00B373F0" w:rsidRPr="00B373F0" w:rsidRDefault="00B373F0" w:rsidP="00B373F0">
      <w:pPr>
        <w:pStyle w:val="ListParagraph"/>
        <w:rPr>
          <w:color w:val="000000" w:themeColor="text1"/>
        </w:rPr>
      </w:pPr>
      <w:r>
        <w:t xml:space="preserve">There are areas in Iraq to which, as a general matter, a person cannot relocate because of the security situation. Decision makers must consult </w:t>
      </w:r>
      <w:hyperlink r:id="rId29" w:history="1">
        <w:r w:rsidRPr="00D8104D">
          <w:rPr>
            <w:rStyle w:val="Hyperlink"/>
          </w:rPr>
          <w:t>Country Information and Guidance – Iraq – Internal relocation (including documentation and feasibility of return)</w:t>
        </w:r>
      </w:hyperlink>
      <w:r>
        <w:t>.</w:t>
      </w:r>
    </w:p>
    <w:p w:rsidR="003534ED" w:rsidRPr="00A347DF" w:rsidRDefault="007F340A" w:rsidP="00A347DF">
      <w:pPr>
        <w:pStyle w:val="ListParagraph"/>
        <w:rPr>
          <w:color w:val="000000" w:themeColor="text1"/>
        </w:rPr>
      </w:pPr>
      <w:r>
        <w:rPr>
          <w:color w:val="000000" w:themeColor="text1"/>
        </w:rPr>
        <w:t xml:space="preserve">In general, religious minorities do not face unreasonable difficulties in gaining access to the KRI, although some people may encounter problems depending on what type of documents they possess (see </w:t>
      </w:r>
      <w:hyperlink w:anchor="_Kurdistan_Regional_Government" w:history="1">
        <w:r w:rsidRPr="001A14DE">
          <w:rPr>
            <w:rStyle w:val="Hyperlink"/>
          </w:rPr>
          <w:t>Protection – Kurdistan Regional Government (KRG)</w:t>
        </w:r>
      </w:hyperlink>
      <w:r>
        <w:rPr>
          <w:color w:val="000000" w:themeColor="text1"/>
        </w:rPr>
        <w:t xml:space="preserve">). </w:t>
      </w:r>
      <w:r w:rsidR="00D83B47" w:rsidRPr="007F340A">
        <w:rPr>
          <w:color w:val="000000" w:themeColor="text1"/>
        </w:rPr>
        <w:t>In general, a member of a religious minority</w:t>
      </w:r>
      <w:r w:rsidR="003534ED" w:rsidRPr="007F340A">
        <w:rPr>
          <w:color w:val="000000" w:themeColor="text1"/>
        </w:rPr>
        <w:t xml:space="preserve"> can relocate to the</w:t>
      </w:r>
      <w:r>
        <w:rPr>
          <w:color w:val="000000" w:themeColor="text1"/>
        </w:rPr>
        <w:t xml:space="preserve"> KRI or the southern governorates</w:t>
      </w:r>
      <w:r w:rsidR="003534ED" w:rsidRPr="007F340A">
        <w:rPr>
          <w:color w:val="000000" w:themeColor="text1"/>
        </w:rPr>
        <w:t>, if not un</w:t>
      </w:r>
      <w:r w:rsidR="009C4EC5">
        <w:rPr>
          <w:color w:val="000000" w:themeColor="text1"/>
        </w:rPr>
        <w:t>duly harsh</w:t>
      </w:r>
      <w:r w:rsidR="003534ED" w:rsidRPr="007F340A">
        <w:rPr>
          <w:color w:val="000000" w:themeColor="text1"/>
        </w:rPr>
        <w:t xml:space="preserve"> based on their circumstances</w:t>
      </w:r>
      <w:r w:rsidR="00A347DF">
        <w:rPr>
          <w:color w:val="000000" w:themeColor="text1"/>
        </w:rPr>
        <w:t xml:space="preserve">. </w:t>
      </w:r>
      <w:r w:rsidR="0082658E" w:rsidRPr="00A347DF">
        <w:rPr>
          <w:color w:val="000000" w:themeColor="text1"/>
        </w:rPr>
        <w:t>The onus is on the</w:t>
      </w:r>
      <w:r w:rsidR="00C80170" w:rsidRPr="00A347DF">
        <w:rPr>
          <w:color w:val="000000" w:themeColor="text1"/>
        </w:rPr>
        <w:t xml:space="preserve"> person to demonstrate why they are </w:t>
      </w:r>
      <w:r w:rsidR="00A347DF">
        <w:rPr>
          <w:color w:val="000000" w:themeColor="text1"/>
        </w:rPr>
        <w:t>unable to relocate to these areas</w:t>
      </w:r>
      <w:r w:rsidR="0082658E" w:rsidRPr="00A347DF">
        <w:rPr>
          <w:color w:val="000000" w:themeColor="text1"/>
        </w:rPr>
        <w:t xml:space="preserve"> to mitigate any risk</w:t>
      </w:r>
      <w:r w:rsidR="00575F89" w:rsidRPr="00A347DF">
        <w:rPr>
          <w:color w:val="000000" w:themeColor="text1"/>
        </w:rPr>
        <w:t xml:space="preserve">. </w:t>
      </w:r>
    </w:p>
    <w:p w:rsidR="00956A60" w:rsidRPr="00956A60" w:rsidRDefault="00925E32" w:rsidP="00956A60">
      <w:pPr>
        <w:pStyle w:val="ListParagraph"/>
        <w:rPr>
          <w:color w:val="000000" w:themeColor="text1"/>
        </w:rPr>
      </w:pPr>
      <w:r w:rsidRPr="00916991">
        <w:lastRenderedPageBreak/>
        <w:t>For</w:t>
      </w:r>
      <w:r w:rsidRPr="00FC4D6B">
        <w:t xml:space="preserve"> further</w:t>
      </w:r>
      <w:r>
        <w:t xml:space="preserve"> guidance</w:t>
      </w:r>
      <w:r w:rsidRPr="00FC4D6B">
        <w:t xml:space="preserve"> on internal relocation, see the </w:t>
      </w:r>
      <w:hyperlink r:id="rId30" w:history="1">
        <w:r w:rsidRPr="00CC2E0C">
          <w:rPr>
            <w:color w:val="0000CC"/>
            <w:u w:val="single"/>
          </w:rPr>
          <w:t>Asylum Instruction on Assessing Credibility and Refugee Status</w:t>
        </w:r>
      </w:hyperlink>
    </w:p>
    <w:p w:rsidR="00900CFD" w:rsidRPr="00956A60" w:rsidRDefault="00956A60" w:rsidP="00956A60">
      <w:pPr>
        <w:pStyle w:val="ListParagraph"/>
        <w:numPr>
          <w:ilvl w:val="0"/>
          <w:numId w:val="0"/>
        </w:numPr>
        <w:ind w:left="6611"/>
        <w:rPr>
          <w:color w:val="000000" w:themeColor="text1"/>
        </w:rPr>
      </w:pPr>
      <w:r>
        <w:t xml:space="preserve">        </w:t>
      </w:r>
      <w:hyperlink w:anchor="contents" w:history="1">
        <w:r w:rsidRPr="00956A60">
          <w:rPr>
            <w:rStyle w:val="Hyperlink"/>
            <w:szCs w:val="24"/>
          </w:rPr>
          <w:t>Back to Contents</w:t>
        </w:r>
      </w:hyperlink>
    </w:p>
    <w:p w:rsidR="00900CFD" w:rsidRDefault="00900CFD" w:rsidP="00900CFD">
      <w:pPr>
        <w:pStyle w:val="Heading3"/>
      </w:pPr>
      <w:bookmarkStart w:id="14" w:name="_Toc458760049"/>
      <w:r>
        <w:t>Certification</w:t>
      </w:r>
      <w:bookmarkEnd w:id="14"/>
      <w:r>
        <w:t xml:space="preserve"> </w:t>
      </w:r>
    </w:p>
    <w:p w:rsidR="00900CFD" w:rsidRPr="00900CFD" w:rsidRDefault="00900CFD" w:rsidP="00900CFD">
      <w:pPr>
        <w:pStyle w:val="ListParagraph"/>
        <w:rPr>
          <w:b/>
          <w:szCs w:val="24"/>
        </w:rPr>
      </w:pPr>
      <w:r w:rsidRPr="00B83D53">
        <w:t xml:space="preserve">Where a claim falls to be refused, it is unlikely to be certifiable as ‘clearly unfounded’ under section 94 of the Nationality, Immigration and Asylum Act 2002. </w:t>
      </w:r>
    </w:p>
    <w:p w:rsidR="00900CFD" w:rsidRDefault="00900CFD" w:rsidP="00900CFD">
      <w:pPr>
        <w:pStyle w:val="ListParagraph"/>
      </w:pPr>
      <w:r w:rsidRPr="00081F19">
        <w:t>For</w:t>
      </w:r>
      <w:r w:rsidRPr="00C2100F">
        <w:t xml:space="preserve"> further </w:t>
      </w:r>
      <w:r>
        <w:t xml:space="preserve">guidance </w:t>
      </w:r>
      <w:r w:rsidRPr="00C2100F">
        <w:t xml:space="preserve">on certification, see the </w:t>
      </w:r>
      <w:hyperlink r:id="rId31" w:history="1">
        <w:r>
          <w:rPr>
            <w:rStyle w:val="Hyperlink"/>
          </w:rPr>
          <w:t xml:space="preserve"> Certification of Protection and Human Rights claims under section 94 of the Nationality, Immigration and Asylum Act 2002 (clearly unfounded claims)</w:t>
        </w:r>
      </w:hyperlink>
      <w:r>
        <w:t>.</w:t>
      </w:r>
    </w:p>
    <w:p w:rsidR="00900CFD" w:rsidRPr="00900CFD" w:rsidRDefault="00900CFD" w:rsidP="00900CFD">
      <w:pPr>
        <w:rPr>
          <w:color w:val="0000CC"/>
          <w:u w:val="single"/>
        </w:rPr>
      </w:pPr>
    </w:p>
    <w:p w:rsidR="009448D3" w:rsidRPr="009448D3" w:rsidRDefault="008373DB" w:rsidP="009448D3">
      <w:pPr>
        <w:jc w:val="right"/>
        <w:rPr>
          <w:b/>
        </w:rPr>
      </w:pPr>
      <w:hyperlink w:anchor="contents" w:history="1">
        <w:r w:rsidR="006B4863" w:rsidRPr="006B4863">
          <w:rPr>
            <w:rStyle w:val="Hyperlink"/>
            <w:szCs w:val="24"/>
          </w:rPr>
          <w:t>Back to Contents</w:t>
        </w:r>
      </w:hyperlink>
    </w:p>
    <w:p w:rsidR="00D451A8" w:rsidRPr="00D451A8" w:rsidRDefault="006B4863" w:rsidP="00D451A8">
      <w:pPr>
        <w:pStyle w:val="Heading2"/>
      </w:pPr>
      <w:bookmarkStart w:id="15" w:name="_Toc458760050"/>
      <w:r>
        <w:t>Policy Summary</w:t>
      </w:r>
      <w:bookmarkEnd w:id="15"/>
    </w:p>
    <w:p w:rsidR="009C4EC5" w:rsidRPr="009C4EC5" w:rsidRDefault="009C4EC5" w:rsidP="00F8206B">
      <w:pPr>
        <w:pStyle w:val="ListParagraph"/>
        <w:rPr>
          <w:szCs w:val="24"/>
        </w:rPr>
      </w:pPr>
      <w:r>
        <w:t xml:space="preserve">In general, religious minorities are not at risk of persecution or serious harm from the </w:t>
      </w:r>
      <w:r w:rsidR="00FF0589">
        <w:t xml:space="preserve">state authorities </w:t>
      </w:r>
      <w:r>
        <w:t>in Iraq</w:t>
      </w:r>
      <w:r w:rsidR="00B373F0">
        <w:t>.</w:t>
      </w:r>
    </w:p>
    <w:p w:rsidR="00900CFD" w:rsidRPr="00101CE7" w:rsidRDefault="00AA0F93" w:rsidP="00F8206B">
      <w:pPr>
        <w:pStyle w:val="ListParagraph"/>
        <w:rPr>
          <w:szCs w:val="24"/>
        </w:rPr>
      </w:pPr>
      <w:r w:rsidRPr="00AA0F93">
        <w:t xml:space="preserve">In general, a person from a religious minority is likely to be at risk </w:t>
      </w:r>
      <w:r w:rsidR="00D451A8">
        <w:t xml:space="preserve">of persecution from Daesh </w:t>
      </w:r>
      <w:r w:rsidRPr="00AA0F93">
        <w:t xml:space="preserve">in the ‘contested’ areas (Anbar, </w:t>
      </w:r>
      <w:proofErr w:type="spellStart"/>
      <w:r w:rsidRPr="00AA0F93">
        <w:t>Diyala</w:t>
      </w:r>
      <w:proofErr w:type="spellEnd"/>
      <w:r w:rsidRPr="00AA0F93">
        <w:t xml:space="preserve">, Kirkuk, </w:t>
      </w:r>
      <w:proofErr w:type="spellStart"/>
      <w:r w:rsidRPr="00AA0F93">
        <w:t>Ninewah</w:t>
      </w:r>
      <w:proofErr w:type="spellEnd"/>
      <w:r w:rsidRPr="00AA0F93">
        <w:t xml:space="preserve"> and Salah al-Din), and</w:t>
      </w:r>
      <w:r w:rsidR="00317B6F">
        <w:t xml:space="preserve"> from armed groups, including the Shia militia,</w:t>
      </w:r>
      <w:r w:rsidRPr="00AA0F93">
        <w:t xml:space="preserve"> in Baghdad. </w:t>
      </w:r>
    </w:p>
    <w:p w:rsidR="00D451A8" w:rsidRPr="00D451A8" w:rsidRDefault="009C4EC5" w:rsidP="00D451A8">
      <w:pPr>
        <w:pStyle w:val="ListParagraph"/>
        <w:rPr>
          <w:szCs w:val="24"/>
        </w:rPr>
      </w:pPr>
      <w:r>
        <w:rPr>
          <w:szCs w:val="24"/>
        </w:rPr>
        <w:t>A</w:t>
      </w:r>
      <w:r w:rsidR="00AA0F93" w:rsidRPr="00AA0F93">
        <w:rPr>
          <w:szCs w:val="24"/>
        </w:rPr>
        <w:t xml:space="preserve"> person from a religious minority </w:t>
      </w:r>
      <w:r>
        <w:rPr>
          <w:szCs w:val="24"/>
        </w:rPr>
        <w:t xml:space="preserve">may not be </w:t>
      </w:r>
      <w:r w:rsidR="00AA0F93" w:rsidRPr="00AA0F93">
        <w:rPr>
          <w:szCs w:val="24"/>
        </w:rPr>
        <w:t xml:space="preserve">able to obtain protection from the state in areas outside the KRI. </w:t>
      </w:r>
      <w:r w:rsidR="008708FE">
        <w:rPr>
          <w:szCs w:val="24"/>
        </w:rPr>
        <w:t xml:space="preserve">However, decision makers must </w:t>
      </w:r>
      <w:r w:rsidR="00AA0F93" w:rsidRPr="00AA0F93">
        <w:rPr>
          <w:szCs w:val="24"/>
        </w:rPr>
        <w:t>consider whether there are any circumstances, including family, tribal or political links, in whic</w:t>
      </w:r>
      <w:r w:rsidR="00042726">
        <w:rPr>
          <w:szCs w:val="24"/>
        </w:rPr>
        <w:t>h a person can obtain effective</w:t>
      </w:r>
      <w:r w:rsidR="00AA0F93" w:rsidRPr="00AA0F93">
        <w:rPr>
          <w:szCs w:val="24"/>
        </w:rPr>
        <w:t xml:space="preserve"> protection.  </w:t>
      </w:r>
    </w:p>
    <w:p w:rsidR="00B53BAF" w:rsidRPr="00D451A8" w:rsidRDefault="00AA0F93" w:rsidP="00D451A8">
      <w:pPr>
        <w:pStyle w:val="ListParagraph"/>
        <w:rPr>
          <w:szCs w:val="24"/>
        </w:rPr>
      </w:pPr>
      <w:r w:rsidRPr="00AA0F93">
        <w:rPr>
          <w:szCs w:val="24"/>
        </w:rPr>
        <w:t xml:space="preserve">In general, a person </w:t>
      </w:r>
      <w:r w:rsidR="009C4EC5">
        <w:rPr>
          <w:szCs w:val="24"/>
        </w:rPr>
        <w:t xml:space="preserve">at risk </w:t>
      </w:r>
      <w:r w:rsidRPr="00AA0F93">
        <w:rPr>
          <w:szCs w:val="24"/>
        </w:rPr>
        <w:t>can relocate to the southern governorates (</w:t>
      </w:r>
      <w:proofErr w:type="spellStart"/>
      <w:r w:rsidRPr="00AA0F93">
        <w:rPr>
          <w:szCs w:val="24"/>
        </w:rPr>
        <w:t>Babil</w:t>
      </w:r>
      <w:proofErr w:type="spellEnd"/>
      <w:r w:rsidRPr="00AA0F93">
        <w:rPr>
          <w:szCs w:val="24"/>
        </w:rPr>
        <w:t xml:space="preserve">, Basra, </w:t>
      </w:r>
      <w:proofErr w:type="spellStart"/>
      <w:r w:rsidRPr="00AA0F93">
        <w:rPr>
          <w:szCs w:val="24"/>
        </w:rPr>
        <w:t>Kerbala</w:t>
      </w:r>
      <w:proofErr w:type="spellEnd"/>
      <w:r w:rsidRPr="00AA0F93">
        <w:rPr>
          <w:szCs w:val="24"/>
        </w:rPr>
        <w:t xml:space="preserve">, </w:t>
      </w:r>
      <w:proofErr w:type="spellStart"/>
      <w:r w:rsidRPr="00AA0F93">
        <w:rPr>
          <w:szCs w:val="24"/>
        </w:rPr>
        <w:t>Missan</w:t>
      </w:r>
      <w:proofErr w:type="spellEnd"/>
      <w:r w:rsidRPr="00AA0F93">
        <w:rPr>
          <w:szCs w:val="24"/>
        </w:rPr>
        <w:t xml:space="preserve">, </w:t>
      </w:r>
      <w:proofErr w:type="spellStart"/>
      <w:r w:rsidRPr="00AA0F93">
        <w:rPr>
          <w:szCs w:val="24"/>
        </w:rPr>
        <w:t>Muthanna</w:t>
      </w:r>
      <w:proofErr w:type="spellEnd"/>
      <w:r w:rsidRPr="00AA0F93">
        <w:rPr>
          <w:szCs w:val="24"/>
        </w:rPr>
        <w:t xml:space="preserve">, Najaf, </w:t>
      </w:r>
      <w:proofErr w:type="spellStart"/>
      <w:r w:rsidRPr="00AA0F93">
        <w:rPr>
          <w:szCs w:val="24"/>
        </w:rPr>
        <w:t>Qadissiyah</w:t>
      </w:r>
      <w:proofErr w:type="spellEnd"/>
      <w:r w:rsidRPr="00AA0F93">
        <w:rPr>
          <w:szCs w:val="24"/>
        </w:rPr>
        <w:t xml:space="preserve">, </w:t>
      </w:r>
      <w:proofErr w:type="spellStart"/>
      <w:r w:rsidRPr="00AA0F93">
        <w:rPr>
          <w:szCs w:val="24"/>
        </w:rPr>
        <w:t>Thi-Qar</w:t>
      </w:r>
      <w:proofErr w:type="spellEnd"/>
      <w:r w:rsidRPr="00AA0F93">
        <w:rPr>
          <w:szCs w:val="24"/>
        </w:rPr>
        <w:t xml:space="preserve"> and </w:t>
      </w:r>
      <w:proofErr w:type="spellStart"/>
      <w:r w:rsidRPr="00AA0F93">
        <w:rPr>
          <w:szCs w:val="24"/>
        </w:rPr>
        <w:t>Wasit</w:t>
      </w:r>
      <w:proofErr w:type="spellEnd"/>
      <w:r w:rsidRPr="00AA0F93">
        <w:rPr>
          <w:szCs w:val="24"/>
        </w:rPr>
        <w:t>), and the Kurdistan Region of Iraq (KRI), if not</w:t>
      </w:r>
      <w:r w:rsidR="00B373F0">
        <w:rPr>
          <w:szCs w:val="24"/>
        </w:rPr>
        <w:t xml:space="preserve"> unduly harsh</w:t>
      </w:r>
      <w:r w:rsidRPr="00AA0F93">
        <w:rPr>
          <w:szCs w:val="24"/>
        </w:rPr>
        <w:t xml:space="preserve"> based on their circumstances. </w:t>
      </w:r>
    </w:p>
    <w:p w:rsidR="00BE5009" w:rsidRPr="00101CE7" w:rsidRDefault="00AA0F93" w:rsidP="00BE5009">
      <w:pPr>
        <w:pStyle w:val="ListParagraph"/>
        <w:rPr>
          <w:szCs w:val="24"/>
        </w:rPr>
      </w:pPr>
      <w:r w:rsidRPr="00AA0F93">
        <w:t xml:space="preserve">Where a claim falls to be refused, it is unlikely to be certifiable as ‘clearly unfounded’ under section 94 of the Nationality, Immigration and Asylum Act 2002. </w:t>
      </w:r>
    </w:p>
    <w:p w:rsidR="006B4863" w:rsidRPr="006B4863" w:rsidRDefault="00D42A5F" w:rsidP="00D42A5F">
      <w:pPr>
        <w:ind w:left="6480"/>
      </w:pPr>
      <w:r>
        <w:rPr>
          <w:b/>
          <w:szCs w:val="24"/>
        </w:rPr>
        <w:t xml:space="preserve">        </w:t>
      </w:r>
      <w:hyperlink w:anchor="contents" w:history="1">
        <w:r w:rsidR="006B4863" w:rsidRPr="006B4863">
          <w:rPr>
            <w:rStyle w:val="Hyperlink"/>
            <w:szCs w:val="24"/>
          </w:rPr>
          <w:t>Back to Contents</w:t>
        </w:r>
      </w:hyperlink>
    </w:p>
    <w:p w:rsidR="009B0C7C" w:rsidRDefault="00EC7DF2" w:rsidP="009448D3">
      <w:pPr>
        <w:pStyle w:val="Heading1"/>
      </w:pPr>
      <w:r>
        <w:br w:type="page"/>
      </w:r>
      <w:bookmarkStart w:id="16" w:name="_Toc458760051"/>
      <w:r w:rsidR="009B0C7C">
        <w:lastRenderedPageBreak/>
        <w:t>Country Information</w:t>
      </w:r>
      <w:bookmarkEnd w:id="16"/>
    </w:p>
    <w:p w:rsidR="00F8206B" w:rsidRPr="002B29EE" w:rsidRDefault="00B30CEB" w:rsidP="002B29EE">
      <w:pPr>
        <w:jc w:val="right"/>
        <w:rPr>
          <w:color w:val="7030A0"/>
        </w:rPr>
      </w:pPr>
      <w:r>
        <w:rPr>
          <w:color w:val="7030A0"/>
        </w:rPr>
        <w:t xml:space="preserve">Updated: 26 </w:t>
      </w:r>
      <w:r w:rsidR="001B6BEB">
        <w:rPr>
          <w:color w:val="7030A0"/>
        </w:rPr>
        <w:t xml:space="preserve">July </w:t>
      </w:r>
      <w:r w:rsidR="002B29EE" w:rsidRPr="002B29EE">
        <w:rPr>
          <w:color w:val="7030A0"/>
        </w:rPr>
        <w:t>2016</w:t>
      </w:r>
    </w:p>
    <w:p w:rsidR="00B4479D" w:rsidRPr="00B4479D" w:rsidRDefault="00A26EAA" w:rsidP="00B4479D">
      <w:pPr>
        <w:pStyle w:val="Heading2"/>
      </w:pPr>
      <w:bookmarkStart w:id="17" w:name="_Religious_minority_groups"/>
      <w:bookmarkStart w:id="18" w:name="_Toc458760052"/>
      <w:bookmarkStart w:id="19" w:name="_Toc409598708"/>
      <w:bookmarkEnd w:id="17"/>
      <w:r>
        <w:t>Religio</w:t>
      </w:r>
      <w:bookmarkStart w:id="20" w:name="_Religious_demography"/>
      <w:bookmarkEnd w:id="20"/>
      <w:r w:rsidR="006B5589">
        <w:t>us minority groups</w:t>
      </w:r>
      <w:bookmarkEnd w:id="18"/>
    </w:p>
    <w:p w:rsidR="006B5589" w:rsidRDefault="006B5589" w:rsidP="006B5589">
      <w:pPr>
        <w:pStyle w:val="Heading3"/>
      </w:pPr>
      <w:bookmarkStart w:id="21" w:name="_Toc458760053"/>
      <w:r>
        <w:t>Overview</w:t>
      </w:r>
      <w:bookmarkEnd w:id="21"/>
    </w:p>
    <w:p w:rsidR="000D056F" w:rsidRDefault="000D056F" w:rsidP="000D056F">
      <w:pPr>
        <w:pStyle w:val="ListParagraph"/>
      </w:pPr>
      <w:r>
        <w:t>According to 2010 Iraqi</w:t>
      </w:r>
      <w:r w:rsidR="004B37D7">
        <w:t xml:space="preserve"> gov</w:t>
      </w:r>
      <w:r w:rsidR="005C022E">
        <w:t>ernment statistics,</w:t>
      </w:r>
      <w:r>
        <w:t xml:space="preserve"> Iraq’s population (</w:t>
      </w:r>
      <w:r w:rsidR="004B37D7">
        <w:t>of 32.6 million</w:t>
      </w:r>
      <w:r w:rsidR="004B37D7">
        <w:rPr>
          <w:rStyle w:val="FootnoteReference"/>
        </w:rPr>
        <w:footnoteReference w:id="1"/>
      </w:r>
      <w:r w:rsidR="004B37D7">
        <w:t>)</w:t>
      </w:r>
      <w:r>
        <w:t xml:space="preserve"> are:</w:t>
      </w:r>
    </w:p>
    <w:p w:rsidR="000D056F" w:rsidRDefault="000D056F" w:rsidP="000D056F">
      <w:pPr>
        <w:pStyle w:val="ListParagraph"/>
        <w:numPr>
          <w:ilvl w:val="0"/>
          <w:numId w:val="16"/>
        </w:numPr>
      </w:pPr>
      <w:r>
        <w:t xml:space="preserve">97 per cent Muslim, of which: </w:t>
      </w:r>
    </w:p>
    <w:p w:rsidR="000D056F" w:rsidRDefault="000D056F" w:rsidP="000D056F">
      <w:pPr>
        <w:pStyle w:val="ListParagraph"/>
        <w:numPr>
          <w:ilvl w:val="1"/>
          <w:numId w:val="16"/>
        </w:numPr>
      </w:pPr>
      <w:r>
        <w:t xml:space="preserve">60-65 per cent are Shia (Arabs, Turkmen, </w:t>
      </w:r>
      <w:proofErr w:type="spellStart"/>
      <w:r>
        <w:t>Shabak</w:t>
      </w:r>
      <w:proofErr w:type="spellEnd"/>
      <w:r>
        <w:t xml:space="preserve"> and </w:t>
      </w:r>
      <w:proofErr w:type="spellStart"/>
      <w:r>
        <w:t>Faili</w:t>
      </w:r>
      <w:proofErr w:type="spellEnd"/>
      <w:r>
        <w:t xml:space="preserve"> Kurds); and </w:t>
      </w:r>
    </w:p>
    <w:p w:rsidR="000D056F" w:rsidRDefault="000D056F" w:rsidP="000D056F">
      <w:pPr>
        <w:pStyle w:val="ListParagraph"/>
        <w:numPr>
          <w:ilvl w:val="1"/>
          <w:numId w:val="16"/>
        </w:numPr>
      </w:pPr>
      <w:r>
        <w:t xml:space="preserve">31-37 per cent are Sunni (Arabs and Kurds); </w:t>
      </w:r>
    </w:p>
    <w:p w:rsidR="000D056F" w:rsidRDefault="005C022E" w:rsidP="000D056F">
      <w:pPr>
        <w:pStyle w:val="ListParagraph"/>
        <w:numPr>
          <w:ilvl w:val="0"/>
          <w:numId w:val="16"/>
        </w:numPr>
      </w:pPr>
      <w:r>
        <w:t>3 per cent</w:t>
      </w:r>
      <w:r w:rsidR="000D056F">
        <w:t xml:space="preserve"> are</w:t>
      </w:r>
      <w:r>
        <w:t xml:space="preserve"> from</w:t>
      </w:r>
      <w:r w:rsidR="004B37D7">
        <w:t xml:space="preserve"> other religious groups, including</w:t>
      </w:r>
      <w:r w:rsidR="000D056F">
        <w:t>:</w:t>
      </w:r>
      <w:r w:rsidR="004B37D7">
        <w:t xml:space="preserve"> </w:t>
      </w:r>
    </w:p>
    <w:p w:rsidR="000D056F" w:rsidRDefault="004B37D7" w:rsidP="000D056F">
      <w:pPr>
        <w:pStyle w:val="ListParagraph"/>
        <w:numPr>
          <w:ilvl w:val="1"/>
          <w:numId w:val="16"/>
        </w:numPr>
      </w:pPr>
      <w:r>
        <w:t>Christians</w:t>
      </w:r>
      <w:r w:rsidR="000D056F">
        <w:t xml:space="preserve">; </w:t>
      </w:r>
    </w:p>
    <w:p w:rsidR="000D056F" w:rsidRDefault="000D056F" w:rsidP="000D056F">
      <w:pPr>
        <w:pStyle w:val="ListParagraph"/>
        <w:numPr>
          <w:ilvl w:val="1"/>
          <w:numId w:val="16"/>
        </w:numPr>
      </w:pPr>
      <w:r>
        <w:t xml:space="preserve">Yezidis; </w:t>
      </w:r>
    </w:p>
    <w:p w:rsidR="000D056F" w:rsidRDefault="00F72A53" w:rsidP="000D056F">
      <w:pPr>
        <w:pStyle w:val="ListParagraph"/>
        <w:numPr>
          <w:ilvl w:val="1"/>
          <w:numId w:val="16"/>
        </w:numPr>
      </w:pPr>
      <w:r>
        <w:t xml:space="preserve">Sabaean </w:t>
      </w:r>
      <w:r w:rsidR="000D056F">
        <w:t xml:space="preserve">Mandaeans; </w:t>
      </w:r>
    </w:p>
    <w:p w:rsidR="000D056F" w:rsidRDefault="000E5F8E" w:rsidP="000D056F">
      <w:pPr>
        <w:pStyle w:val="ListParagraph"/>
        <w:numPr>
          <w:ilvl w:val="1"/>
          <w:numId w:val="16"/>
        </w:numPr>
      </w:pPr>
      <w:r>
        <w:t>Bahai</w:t>
      </w:r>
      <w:r w:rsidR="00F72A53">
        <w:t>’</w:t>
      </w:r>
      <w:r w:rsidR="000D056F">
        <w:t xml:space="preserve">s; </w:t>
      </w:r>
    </w:p>
    <w:p w:rsidR="000D056F" w:rsidRDefault="000E5F8E" w:rsidP="000D056F">
      <w:pPr>
        <w:pStyle w:val="ListParagraph"/>
        <w:numPr>
          <w:ilvl w:val="1"/>
          <w:numId w:val="16"/>
        </w:numPr>
      </w:pPr>
      <w:proofErr w:type="spellStart"/>
      <w:r>
        <w:t>Kakai</w:t>
      </w:r>
      <w:r w:rsidR="00F72A53">
        <w:t>’</w:t>
      </w:r>
      <w:r>
        <w:t>s</w:t>
      </w:r>
      <w:proofErr w:type="spellEnd"/>
      <w:r>
        <w:t xml:space="preserve"> (somet</w:t>
      </w:r>
      <w:r w:rsidR="000D056F">
        <w:t xml:space="preserve">imes referred to as </w:t>
      </w:r>
      <w:proofErr w:type="spellStart"/>
      <w:r w:rsidR="000D056F">
        <w:t>Ahl</w:t>
      </w:r>
      <w:proofErr w:type="spellEnd"/>
      <w:r w:rsidR="000D056F">
        <w:t xml:space="preserve">-e </w:t>
      </w:r>
      <w:proofErr w:type="spellStart"/>
      <w:r w:rsidR="000D056F">
        <w:t>Haqq</w:t>
      </w:r>
      <w:proofErr w:type="spellEnd"/>
      <w:r w:rsidR="000D056F">
        <w:t xml:space="preserve">); </w:t>
      </w:r>
      <w:r>
        <w:t>a</w:t>
      </w:r>
      <w:r w:rsidR="00150E95">
        <w:t xml:space="preserve">nd </w:t>
      </w:r>
    </w:p>
    <w:p w:rsidR="000E5F8E" w:rsidRDefault="00150E95" w:rsidP="000D056F">
      <w:pPr>
        <w:pStyle w:val="ListParagraph"/>
        <w:numPr>
          <w:ilvl w:val="1"/>
          <w:numId w:val="16"/>
        </w:numPr>
      </w:pPr>
      <w:r>
        <w:t>Jews</w:t>
      </w:r>
      <w:r w:rsidR="00B30CEB">
        <w:t>.</w:t>
      </w:r>
      <w:r w:rsidR="00A26EAA">
        <w:rPr>
          <w:rStyle w:val="FootnoteReference"/>
        </w:rPr>
        <w:footnoteReference w:id="2"/>
      </w:r>
      <w:r w:rsidR="004B37D7">
        <w:t xml:space="preserve"> </w:t>
      </w:r>
    </w:p>
    <w:p w:rsidR="0067349D" w:rsidRDefault="004B37D7" w:rsidP="0067349D">
      <w:pPr>
        <w:pStyle w:val="ListParagraph"/>
      </w:pPr>
      <w:r>
        <w:t>According to the UN High Commissioner for Refugees (UNHCR), the</w:t>
      </w:r>
      <w:r w:rsidR="009C503D">
        <w:t xml:space="preserve"> number</w:t>
      </w:r>
      <w:r w:rsidR="007918DD">
        <w:t xml:space="preserve"> of </w:t>
      </w:r>
      <w:r w:rsidR="009C503D">
        <w:t>people belonging to a religious minority who are</w:t>
      </w:r>
      <w:r>
        <w:t xml:space="preserve"> Internally D</w:t>
      </w:r>
      <w:r w:rsidR="000E5F8E">
        <w:t>isplaced</w:t>
      </w:r>
      <w:r>
        <w:t xml:space="preserve"> Persons (IDPs)</w:t>
      </w:r>
      <w:r w:rsidR="009C503D">
        <w:t xml:space="preserve"> is unknown</w:t>
      </w:r>
      <w:r w:rsidR="00414FA2">
        <w:t xml:space="preserve">, although estimated at 900,000. </w:t>
      </w:r>
      <w:r w:rsidR="00371CA9">
        <w:t xml:space="preserve">It is estimated that </w:t>
      </w:r>
      <w:r w:rsidR="00A26EAA">
        <w:t xml:space="preserve">100,000-200,000 Christians, </w:t>
      </w:r>
      <w:r w:rsidR="000E5F8E">
        <w:t xml:space="preserve">300,000 Yezidis, and several thousand </w:t>
      </w:r>
      <w:proofErr w:type="spellStart"/>
      <w:r w:rsidR="000E5F8E">
        <w:t>Kakais</w:t>
      </w:r>
      <w:proofErr w:type="spellEnd"/>
      <w:r w:rsidR="00371CA9">
        <w:t xml:space="preserve"> </w:t>
      </w:r>
      <w:r w:rsidR="00A26EAA">
        <w:t>are</w:t>
      </w:r>
      <w:r w:rsidR="000E5F8E">
        <w:t xml:space="preserve"> displaced th</w:t>
      </w:r>
      <w:r w:rsidR="00A26EAA">
        <w:t xml:space="preserve">roughout the country, with </w:t>
      </w:r>
      <w:r w:rsidR="000E5F8E">
        <w:t>high concentrations</w:t>
      </w:r>
      <w:r w:rsidR="00A26EAA">
        <w:t xml:space="preserve"> </w:t>
      </w:r>
      <w:r w:rsidR="000E5F8E">
        <w:t>in the</w:t>
      </w:r>
      <w:r w:rsidR="00A26EAA">
        <w:t xml:space="preserve"> Kurdistan Region of Iraq (KRI).</w:t>
      </w:r>
      <w:r w:rsidR="00A524BF">
        <w:rPr>
          <w:rStyle w:val="FootnoteReference"/>
        </w:rPr>
        <w:footnoteReference w:id="3"/>
      </w:r>
      <w:bookmarkStart w:id="22" w:name="_The_main_religious"/>
      <w:bookmarkEnd w:id="22"/>
    </w:p>
    <w:p w:rsidR="0067349D" w:rsidRDefault="0067349D" w:rsidP="0067349D">
      <w:pPr>
        <w:pStyle w:val="ListParagraph"/>
        <w:numPr>
          <w:ilvl w:val="0"/>
          <w:numId w:val="0"/>
        </w:numPr>
        <w:ind w:left="6611"/>
      </w:pPr>
      <w:r>
        <w:t xml:space="preserve">        </w:t>
      </w:r>
      <w:hyperlink w:anchor="contents" w:history="1">
        <w:r w:rsidRPr="006B4863">
          <w:rPr>
            <w:rStyle w:val="Hyperlink"/>
            <w:szCs w:val="24"/>
          </w:rPr>
          <w:t>Back to Contents</w:t>
        </w:r>
      </w:hyperlink>
    </w:p>
    <w:p w:rsidR="006E252B" w:rsidRPr="0082658E" w:rsidRDefault="006E252B" w:rsidP="0067349D">
      <w:pPr>
        <w:pStyle w:val="Heading3"/>
      </w:pPr>
      <w:bookmarkStart w:id="23" w:name="_Toc458760054"/>
      <w:r w:rsidRPr="0082658E">
        <w:t>Christians</w:t>
      </w:r>
      <w:bookmarkEnd w:id="23"/>
      <w:r w:rsidRPr="0082658E">
        <w:t xml:space="preserve"> </w:t>
      </w:r>
    </w:p>
    <w:p w:rsidR="008E7BB9" w:rsidRDefault="00333AA1" w:rsidP="008E7BB9">
      <w:pPr>
        <w:pStyle w:val="ListParagraph"/>
      </w:pPr>
      <w:r>
        <w:t>USSD 2014 note</w:t>
      </w:r>
      <w:r w:rsidR="008E7BB9">
        <w:t>d that Christian leaders estimate that there are approximately 400,000-500,000 Christians</w:t>
      </w:r>
      <w:r w:rsidR="00371CA9">
        <w:t xml:space="preserve"> in Iraq</w:t>
      </w:r>
      <w:r w:rsidR="008E7BB9">
        <w:t>, ‘</w:t>
      </w:r>
      <w:r w:rsidR="00ED228B">
        <w:t xml:space="preserve">a significant decline over the last 10 years from a pre-2002 estimate of 800,000-1.4 </w:t>
      </w:r>
      <w:r w:rsidR="00ED228B" w:rsidRPr="00575F89">
        <w:t>million.</w:t>
      </w:r>
      <w:r w:rsidR="008E7BB9" w:rsidRPr="00575F89">
        <w:t>’</w:t>
      </w:r>
      <w:r w:rsidR="00A26EAA" w:rsidRPr="00575F89">
        <w:rPr>
          <w:rStyle w:val="FootnoteReference"/>
        </w:rPr>
        <w:footnoteReference w:id="4"/>
      </w:r>
      <w:r w:rsidR="002074B8" w:rsidRPr="00575F89">
        <w:t xml:space="preserve"> A </w:t>
      </w:r>
      <w:r w:rsidR="002074B8" w:rsidRPr="00575F89">
        <w:lastRenderedPageBreak/>
        <w:t>Heartland Alliance International report</w:t>
      </w:r>
      <w:r w:rsidR="002D10F3" w:rsidRPr="00575F89">
        <w:t xml:space="preserve"> (‘the Heartland Alliance report’)</w:t>
      </w:r>
      <w:r w:rsidR="002074B8" w:rsidRPr="00575F89">
        <w:t xml:space="preserve">, dated 2015, wrote that Christian numbers ‘continues to decrease </w:t>
      </w:r>
      <w:proofErr w:type="gramStart"/>
      <w:r w:rsidR="002074B8" w:rsidRPr="00575F89">
        <w:t>on a daily basis</w:t>
      </w:r>
      <w:proofErr w:type="gramEnd"/>
      <w:r w:rsidR="002074B8" w:rsidRPr="00575F89">
        <w:t>.’</w:t>
      </w:r>
      <w:r w:rsidR="002074B8">
        <w:rPr>
          <w:rStyle w:val="FootnoteReference"/>
        </w:rPr>
        <w:footnoteReference w:id="5"/>
      </w:r>
      <w:r w:rsidR="00ED228B">
        <w:t xml:space="preserve"> </w:t>
      </w:r>
    </w:p>
    <w:p w:rsidR="008E7BB9" w:rsidRDefault="008E7BB9" w:rsidP="008E7BB9">
      <w:pPr>
        <w:pStyle w:val="ListParagraph"/>
      </w:pPr>
      <w:r>
        <w:t>The Christians of Iraq fall into dif</w:t>
      </w:r>
      <w:r w:rsidR="004B37D7">
        <w:t xml:space="preserve">ferent denominations. These are: </w:t>
      </w:r>
    </w:p>
    <w:p w:rsidR="008E7BB9" w:rsidRDefault="008E7BB9" w:rsidP="008E7BB9">
      <w:pPr>
        <w:pStyle w:val="ListParagraph"/>
        <w:numPr>
          <w:ilvl w:val="0"/>
          <w:numId w:val="12"/>
        </w:numPr>
      </w:pPr>
      <w:r>
        <w:t>Chaldeans (an eastern rite of the Catholic Church) (two-thirds</w:t>
      </w:r>
      <w:r w:rsidR="004B37D7">
        <w:t xml:space="preserve"> of Christians</w:t>
      </w:r>
      <w:r>
        <w:t xml:space="preserve">); </w:t>
      </w:r>
    </w:p>
    <w:p w:rsidR="008E7BB9" w:rsidRDefault="008E7BB9" w:rsidP="008E7BB9">
      <w:pPr>
        <w:pStyle w:val="ListParagraph"/>
        <w:numPr>
          <w:ilvl w:val="0"/>
          <w:numId w:val="12"/>
        </w:numPr>
      </w:pPr>
      <w:r>
        <w:t>Assyrians (Church of the East) (one-fifth</w:t>
      </w:r>
      <w:r w:rsidR="004B37D7">
        <w:t xml:space="preserve"> of Christians</w:t>
      </w:r>
      <w:r>
        <w:t xml:space="preserve">); </w:t>
      </w:r>
    </w:p>
    <w:p w:rsidR="008E7BB9" w:rsidRDefault="008E7BB9" w:rsidP="008E7BB9">
      <w:pPr>
        <w:pStyle w:val="ListParagraph"/>
        <w:numPr>
          <w:ilvl w:val="0"/>
          <w:numId w:val="12"/>
        </w:numPr>
      </w:pPr>
      <w:r>
        <w:t xml:space="preserve">Syriacs (eastern Orthodox and Catholic); </w:t>
      </w:r>
    </w:p>
    <w:p w:rsidR="008E7BB9" w:rsidRDefault="004B37D7" w:rsidP="008E7BB9">
      <w:pPr>
        <w:pStyle w:val="ListParagraph"/>
        <w:numPr>
          <w:ilvl w:val="0"/>
          <w:numId w:val="12"/>
        </w:numPr>
      </w:pPr>
      <w:r>
        <w:t xml:space="preserve">Armenians (Roman Catholic and Eastern Orthodox); </w:t>
      </w:r>
    </w:p>
    <w:p w:rsidR="004B37D7" w:rsidRDefault="004B37D7" w:rsidP="008E7BB9">
      <w:pPr>
        <w:pStyle w:val="ListParagraph"/>
        <w:numPr>
          <w:ilvl w:val="0"/>
          <w:numId w:val="12"/>
        </w:numPr>
      </w:pPr>
      <w:r>
        <w:t xml:space="preserve">Anglicans and other Protestants; </w:t>
      </w:r>
    </w:p>
    <w:p w:rsidR="00ED228B" w:rsidRDefault="004B37D7" w:rsidP="004B37D7">
      <w:pPr>
        <w:pStyle w:val="ListParagraph"/>
        <w:numPr>
          <w:ilvl w:val="0"/>
          <w:numId w:val="12"/>
        </w:numPr>
      </w:pPr>
      <w:r>
        <w:t>Evangelical Christians (approximately 5,000).</w:t>
      </w:r>
      <w:r w:rsidR="00ED228B">
        <w:rPr>
          <w:rStyle w:val="FootnoteReference"/>
        </w:rPr>
        <w:footnoteReference w:id="6"/>
      </w:r>
    </w:p>
    <w:p w:rsidR="006E252B" w:rsidRPr="00575F89" w:rsidRDefault="006E252B" w:rsidP="006E252B">
      <w:pPr>
        <w:pStyle w:val="ListParagraph"/>
      </w:pPr>
      <w:r w:rsidRPr="00575F89">
        <w:t xml:space="preserve">The Minority Rights Group report, </w:t>
      </w:r>
      <w:r w:rsidR="00A73D0E" w:rsidRPr="00575F89">
        <w:t>‘</w:t>
      </w:r>
      <w:r w:rsidRPr="00575F89">
        <w:t>Between the Millstones: The State of Iraq’s Minorities Since the Fall of Mosul</w:t>
      </w:r>
      <w:r w:rsidR="00A73D0E" w:rsidRPr="00575F89">
        <w:t>’ (‘the Minority Rights Group report’)</w:t>
      </w:r>
      <w:r w:rsidRPr="00575F89">
        <w:t xml:space="preserve">, dated February 2015, noted: </w:t>
      </w:r>
    </w:p>
    <w:p w:rsidR="006E252B" w:rsidRPr="00575F89" w:rsidRDefault="006E252B" w:rsidP="006E252B">
      <w:pPr>
        <w:pStyle w:val="ListParagraph"/>
        <w:numPr>
          <w:ilvl w:val="0"/>
          <w:numId w:val="0"/>
        </w:numPr>
        <w:ind w:left="851"/>
      </w:pPr>
      <w:r w:rsidRPr="00575F89">
        <w:t>‘Prior to June 2014, half or more of the pre-2003 Iraqi Christian community – thought to number between 800,000 to 1.4 million</w:t>
      </w:r>
      <w:r w:rsidR="004B37D7" w:rsidRPr="00575F89">
        <w:t xml:space="preserve"> – had already left the country...</w:t>
      </w:r>
      <w:r w:rsidRPr="00575F89">
        <w:t>Many consider these denominations to be distinct ethnic groups as these communities speak their own language, practise Christian traditions</w:t>
      </w:r>
      <w:r w:rsidR="004658E3">
        <w:t xml:space="preserve"> and do not identify as Arab...</w:t>
      </w:r>
    </w:p>
    <w:p w:rsidR="006E252B" w:rsidRDefault="00847A11" w:rsidP="006E252B">
      <w:pPr>
        <w:pStyle w:val="ListParagraph"/>
        <w:numPr>
          <w:ilvl w:val="0"/>
          <w:numId w:val="0"/>
        </w:numPr>
        <w:ind w:left="851"/>
      </w:pPr>
      <w:r w:rsidRPr="00575F89">
        <w:t>‘</w:t>
      </w:r>
      <w:r w:rsidR="006E252B" w:rsidRPr="00575F89">
        <w:t xml:space="preserve">In the wake of the US-led invasion, community members were targeted for their religious differences as well as their perceived ties to the West, resulting in a large exodus of Christians from the country as refugees. Today, only around 350,000 Christians are still based in Iraq, mostly in Baghdad, Mosul and the </w:t>
      </w:r>
      <w:proofErr w:type="spellStart"/>
      <w:r w:rsidR="006E252B" w:rsidRPr="00575F89">
        <w:t>Ninewa</w:t>
      </w:r>
      <w:proofErr w:type="spellEnd"/>
      <w:r w:rsidR="006E252B" w:rsidRPr="00575F89">
        <w:t xml:space="preserve"> plain, Kirkuk, Basra as well as the three governorates in the Iraqi Kurdish Region.’</w:t>
      </w:r>
      <w:r w:rsidR="006E252B" w:rsidRPr="00575F89">
        <w:rPr>
          <w:rStyle w:val="FootnoteReference"/>
        </w:rPr>
        <w:footnoteReference w:id="7"/>
      </w:r>
    </w:p>
    <w:p w:rsidR="00CD04AA" w:rsidRDefault="00A26EAA" w:rsidP="00CD04AA">
      <w:pPr>
        <w:pStyle w:val="ListParagraph"/>
      </w:pPr>
      <w:r>
        <w:t xml:space="preserve">According to the Gulf 2000 Project, since mid-2014 Christians settled in Baghdad, in Nissan (New Baghdad), </w:t>
      </w:r>
      <w:proofErr w:type="spellStart"/>
      <w:r>
        <w:t>K</w:t>
      </w:r>
      <w:r w:rsidRPr="00CD04AA">
        <w:t>arada</w:t>
      </w:r>
      <w:proofErr w:type="spellEnd"/>
      <w:r w:rsidRPr="00CD04AA">
        <w:t xml:space="preserve">, </w:t>
      </w:r>
      <w:proofErr w:type="spellStart"/>
      <w:r w:rsidRPr="00CD04AA">
        <w:t>Karkh</w:t>
      </w:r>
      <w:proofErr w:type="spellEnd"/>
      <w:r w:rsidRPr="00CD04AA">
        <w:t xml:space="preserve"> and </w:t>
      </w:r>
      <w:proofErr w:type="spellStart"/>
      <w:r w:rsidRPr="00CD04AA">
        <w:t>Dowra</w:t>
      </w:r>
      <w:proofErr w:type="spellEnd"/>
      <w:r w:rsidRPr="00CD04AA">
        <w:t>.</w:t>
      </w:r>
      <w:r w:rsidRPr="00CD04AA">
        <w:rPr>
          <w:rStyle w:val="FootnoteReference"/>
        </w:rPr>
        <w:footnoteReference w:id="8"/>
      </w:r>
      <w:r w:rsidRPr="00CD04AA">
        <w:t xml:space="preserve"> </w:t>
      </w:r>
      <w:r w:rsidR="00EF5B3E" w:rsidRPr="00CD04AA">
        <w:t xml:space="preserve">A map (dated August 2014) from National Geographic shows a Christian minority presence in </w:t>
      </w:r>
      <w:proofErr w:type="spellStart"/>
      <w:r w:rsidR="00EF5B3E" w:rsidRPr="00CD04AA">
        <w:t>Ninewah</w:t>
      </w:r>
      <w:proofErr w:type="spellEnd"/>
      <w:r w:rsidR="00EF5B3E" w:rsidRPr="00CD04AA">
        <w:t>, Kirkuk, Baghdad and Basra.</w:t>
      </w:r>
      <w:r w:rsidR="00EF5B3E" w:rsidRPr="00CD04AA">
        <w:rPr>
          <w:rStyle w:val="FootnoteReference"/>
        </w:rPr>
        <w:footnoteReference w:id="9"/>
      </w:r>
      <w:r w:rsidR="00EF5B3E" w:rsidRPr="00CD04AA">
        <w:t xml:space="preserve">  </w:t>
      </w:r>
    </w:p>
    <w:p w:rsidR="00CD04AA" w:rsidRPr="00CD04AA" w:rsidRDefault="00CD04AA" w:rsidP="00212C37">
      <w:pPr>
        <w:pStyle w:val="ListParagraph"/>
        <w:numPr>
          <w:ilvl w:val="0"/>
          <w:numId w:val="0"/>
        </w:numPr>
        <w:ind w:left="6611"/>
      </w:pPr>
      <w:r>
        <w:lastRenderedPageBreak/>
        <w:t xml:space="preserve">        </w:t>
      </w:r>
      <w:hyperlink w:anchor="contents" w:history="1">
        <w:r w:rsidRPr="00CD04AA">
          <w:rPr>
            <w:rStyle w:val="Hyperlink"/>
            <w:szCs w:val="24"/>
          </w:rPr>
          <w:t>Back to Contents</w:t>
        </w:r>
      </w:hyperlink>
    </w:p>
    <w:p w:rsidR="00B069CA" w:rsidRPr="0082658E" w:rsidRDefault="00AA0F93" w:rsidP="00B069CA">
      <w:pPr>
        <w:pStyle w:val="Heading3"/>
      </w:pPr>
      <w:bookmarkStart w:id="24" w:name="_Toc458760055"/>
      <w:r w:rsidRPr="00AA0F93">
        <w:t>Yezidis</w:t>
      </w:r>
      <w:bookmarkEnd w:id="24"/>
    </w:p>
    <w:p w:rsidR="00B069CA" w:rsidRDefault="00B069CA" w:rsidP="00B069CA">
      <w:pPr>
        <w:pStyle w:val="ListParagraph"/>
      </w:pPr>
      <w:r>
        <w:t>USSD 201</w:t>
      </w:r>
      <w:r w:rsidR="00593554">
        <w:t>4 noted that, according to Yezidi</w:t>
      </w:r>
      <w:r>
        <w:t xml:space="preserve"> leaders, most of the approximate 500,000 Yezidis reside in the north.</w:t>
      </w:r>
      <w:r w:rsidRPr="00212C37">
        <w:rPr>
          <w:rStyle w:val="FootnoteReference"/>
        </w:rPr>
        <w:footnoteReference w:id="10"/>
      </w:r>
      <w:r w:rsidRPr="00212C37">
        <w:t xml:space="preserve"> A Heartland Alliance International report, dated 2015, noted</w:t>
      </w:r>
      <w:r w:rsidR="00212C37" w:rsidRPr="00212C37">
        <w:t xml:space="preserve"> that ‘Y</w:t>
      </w:r>
      <w:r w:rsidR="00593554">
        <w:t>e</w:t>
      </w:r>
      <w:r w:rsidR="00212C37" w:rsidRPr="00212C37">
        <w:t>zidis live on Sinjar Mountain (70 miles west of Mosul) and there is a</w:t>
      </w:r>
      <w:r w:rsidRPr="00212C37">
        <w:t xml:space="preserve"> ‘very scant’</w:t>
      </w:r>
      <w:r w:rsidR="00212C37" w:rsidRPr="00212C37">
        <w:t xml:space="preserve"> and a ‘temporary rather than long-term’ Yezidi presence in Baghdad.</w:t>
      </w:r>
      <w:r w:rsidRPr="00212C37">
        <w:rPr>
          <w:rStyle w:val="FootnoteReference"/>
        </w:rPr>
        <w:footnoteReference w:id="11"/>
      </w:r>
      <w:r>
        <w:t xml:space="preserve">  </w:t>
      </w:r>
    </w:p>
    <w:p w:rsidR="00B069CA" w:rsidRPr="00593554" w:rsidRDefault="00B069CA" w:rsidP="00B069CA">
      <w:pPr>
        <w:pStyle w:val="ListParagraph"/>
      </w:pPr>
      <w:r w:rsidRPr="00593554">
        <w:t xml:space="preserve">The Minority Rights Group report noted: </w:t>
      </w:r>
    </w:p>
    <w:p w:rsidR="00B069CA" w:rsidRPr="00593554" w:rsidRDefault="00B069CA" w:rsidP="00B069CA">
      <w:pPr>
        <w:pStyle w:val="ListParagraph"/>
        <w:numPr>
          <w:ilvl w:val="0"/>
          <w:numId w:val="0"/>
        </w:numPr>
        <w:ind w:left="851"/>
      </w:pPr>
      <w:r w:rsidRPr="00593554">
        <w:t xml:space="preserve">‘Yezidis are an ancient ethnic and religious group, present in the Middle East since approximately 4000 BC and based mainly in northern Iraq, though some are also based in neighbouring Syria and Turkey as well as various European countries. Most Yezidis speak </w:t>
      </w:r>
      <w:proofErr w:type="spellStart"/>
      <w:r w:rsidRPr="00593554">
        <w:t>Kurmanji</w:t>
      </w:r>
      <w:proofErr w:type="spellEnd"/>
      <w:r w:rsidRPr="00593554">
        <w:t>, which is widely considered by both Yezidis and outsiders to be a dialect of Kurdish. Yezidism is also one of the oldest religions in the world still practised today, combining pre-Islamic Zoroastrian, Manichaean, Jewish, Nestorian Christian and Muslim elements.’</w:t>
      </w:r>
      <w:r w:rsidRPr="00593554">
        <w:rPr>
          <w:rStyle w:val="FootnoteReference"/>
        </w:rPr>
        <w:footnoteReference w:id="12"/>
      </w:r>
    </w:p>
    <w:p w:rsidR="00593554" w:rsidRPr="00593554" w:rsidRDefault="00593554" w:rsidP="00593554">
      <w:pPr>
        <w:ind w:left="6480"/>
      </w:pPr>
      <w:r>
        <w:t xml:space="preserve">          </w:t>
      </w:r>
      <w:hyperlink w:anchor="contents" w:history="1">
        <w:r w:rsidRPr="00CD04AA">
          <w:rPr>
            <w:rStyle w:val="Hyperlink"/>
            <w:szCs w:val="24"/>
          </w:rPr>
          <w:t>Back to Contents</w:t>
        </w:r>
      </w:hyperlink>
    </w:p>
    <w:p w:rsidR="006E252B" w:rsidRPr="00CD04AA" w:rsidRDefault="00AA0F93" w:rsidP="0082658E">
      <w:pPr>
        <w:pStyle w:val="Heading3"/>
      </w:pPr>
      <w:bookmarkStart w:id="25" w:name="_Toc458760056"/>
      <w:proofErr w:type="spellStart"/>
      <w:r w:rsidRPr="00AA0F93">
        <w:t>Kaka’i</w:t>
      </w:r>
      <w:bookmarkEnd w:id="25"/>
      <w:proofErr w:type="spellEnd"/>
    </w:p>
    <w:p w:rsidR="006E252B" w:rsidRPr="00CD04AA" w:rsidRDefault="006E252B" w:rsidP="006E252B">
      <w:pPr>
        <w:pStyle w:val="ListParagraph"/>
      </w:pPr>
      <w:r w:rsidRPr="00CD04AA">
        <w:t>Th</w:t>
      </w:r>
      <w:r w:rsidR="00A73D0E" w:rsidRPr="00CD04AA">
        <w:t xml:space="preserve">e Minority Rights Group report </w:t>
      </w:r>
      <w:r w:rsidRPr="00CD04AA">
        <w:t xml:space="preserve">noted: </w:t>
      </w:r>
    </w:p>
    <w:p w:rsidR="00AF01A9" w:rsidRDefault="006E252B" w:rsidP="00AF01A9">
      <w:pPr>
        <w:pStyle w:val="ListParagraph"/>
        <w:numPr>
          <w:ilvl w:val="0"/>
          <w:numId w:val="0"/>
        </w:numPr>
        <w:ind w:left="851"/>
      </w:pPr>
      <w:r w:rsidRPr="00CD04AA">
        <w:t>‘</w:t>
      </w:r>
      <w:proofErr w:type="spellStart"/>
      <w:r w:rsidRPr="00CD04AA">
        <w:t>Kaka’i</w:t>
      </w:r>
      <w:proofErr w:type="spellEnd"/>
      <w:r w:rsidRPr="00CD04AA">
        <w:t xml:space="preserve">, also known as </w:t>
      </w:r>
      <w:proofErr w:type="spellStart"/>
      <w:r w:rsidRPr="00CD04AA">
        <w:t>Ahl</w:t>
      </w:r>
      <w:proofErr w:type="spellEnd"/>
      <w:r w:rsidRPr="00CD04AA">
        <w:t xml:space="preserve">-e </w:t>
      </w:r>
      <w:proofErr w:type="spellStart"/>
      <w:r w:rsidRPr="00CD04AA">
        <w:t>Haqq</w:t>
      </w:r>
      <w:proofErr w:type="spellEnd"/>
      <w:r w:rsidRPr="00CD04AA">
        <w:t xml:space="preserve"> or </w:t>
      </w:r>
      <w:proofErr w:type="spellStart"/>
      <w:r w:rsidRPr="00CD04AA">
        <w:t>Yarsan</w:t>
      </w:r>
      <w:proofErr w:type="spellEnd"/>
      <w:r w:rsidRPr="00CD04AA">
        <w:t xml:space="preserve">, are estimated by community members to number between 110,000 and 200,000 in Iraq, mainly south-east of Kirkuk and in the </w:t>
      </w:r>
      <w:proofErr w:type="spellStart"/>
      <w:r w:rsidRPr="00CD04AA">
        <w:t>Ninewa</w:t>
      </w:r>
      <w:proofErr w:type="spellEnd"/>
      <w:r w:rsidRPr="00CD04AA">
        <w:t xml:space="preserve"> plain near </w:t>
      </w:r>
      <w:proofErr w:type="spellStart"/>
      <w:r w:rsidRPr="00CD04AA">
        <w:t>Daquq</w:t>
      </w:r>
      <w:proofErr w:type="spellEnd"/>
      <w:r w:rsidRPr="00CD04AA">
        <w:t xml:space="preserve"> and </w:t>
      </w:r>
      <w:proofErr w:type="spellStart"/>
      <w:r w:rsidRPr="00CD04AA">
        <w:t>Hamdaniya</w:t>
      </w:r>
      <w:proofErr w:type="spellEnd"/>
      <w:r w:rsidRPr="00CD04AA">
        <w:t xml:space="preserve">, with others also based in </w:t>
      </w:r>
      <w:proofErr w:type="spellStart"/>
      <w:r w:rsidRPr="00CD04AA">
        <w:t>Diyala</w:t>
      </w:r>
      <w:proofErr w:type="spellEnd"/>
      <w:r w:rsidRPr="00CD04AA">
        <w:t xml:space="preserve">, Erbil and </w:t>
      </w:r>
      <w:proofErr w:type="spellStart"/>
      <w:r w:rsidRPr="00CD04AA">
        <w:t>Suleimaniya</w:t>
      </w:r>
      <w:proofErr w:type="spellEnd"/>
      <w:r w:rsidRPr="00CD04AA">
        <w:t xml:space="preserve">. They are commonly considered a Kurdish subgroup and branch of the Shi’a faith, though the religion differs in important ways. The </w:t>
      </w:r>
      <w:proofErr w:type="spellStart"/>
      <w:r w:rsidRPr="00CD04AA">
        <w:t>Kaka’i</w:t>
      </w:r>
      <w:proofErr w:type="spellEnd"/>
      <w:r w:rsidRPr="00CD04AA">
        <w:t xml:space="preserve"> faith dates to the 14th century in western Iran and contains elements of Zoroastrianism and Shi’a Islam. Nevertheless, their distinct practices and beliefs have resulted in some persecution. As a result, </w:t>
      </w:r>
      <w:proofErr w:type="spellStart"/>
      <w:r w:rsidRPr="00CD04AA">
        <w:t>Kaka’i</w:t>
      </w:r>
      <w:proofErr w:type="spellEnd"/>
      <w:r w:rsidRPr="00CD04AA">
        <w:t xml:space="preserve"> are secretive about their faith.’</w:t>
      </w:r>
      <w:r w:rsidRPr="00CD04AA">
        <w:rPr>
          <w:rStyle w:val="FootnoteReference"/>
        </w:rPr>
        <w:footnoteReference w:id="13"/>
      </w:r>
    </w:p>
    <w:p w:rsidR="006E252B" w:rsidRDefault="00B90161" w:rsidP="00B90161">
      <w:pPr>
        <w:pStyle w:val="ListParagraph"/>
      </w:pPr>
      <w:r>
        <w:lastRenderedPageBreak/>
        <w:t xml:space="preserve">USSD 2014 noted that, according to activists, </w:t>
      </w:r>
      <w:proofErr w:type="spellStart"/>
      <w:r>
        <w:t>Kaka</w:t>
      </w:r>
      <w:r w:rsidR="00CF0C02">
        <w:t>’</w:t>
      </w:r>
      <w:r>
        <w:t>i</w:t>
      </w:r>
      <w:proofErr w:type="spellEnd"/>
      <w:r>
        <w:t xml:space="preserve"> community numbers approximately 100,000, mainly in villages southeast of Kirkuk, in </w:t>
      </w:r>
      <w:proofErr w:type="spellStart"/>
      <w:r>
        <w:t>Diyala</w:t>
      </w:r>
      <w:proofErr w:type="spellEnd"/>
      <w:r>
        <w:t xml:space="preserve"> and Erbil in the north, and in Karbala.</w:t>
      </w:r>
      <w:r>
        <w:rPr>
          <w:rStyle w:val="FootnoteReference"/>
        </w:rPr>
        <w:footnoteReference w:id="14"/>
      </w:r>
      <w:r>
        <w:t xml:space="preserve"> </w:t>
      </w:r>
    </w:p>
    <w:p w:rsidR="00CD04AA" w:rsidRDefault="009E5813" w:rsidP="009E5813">
      <w:pPr>
        <w:pStyle w:val="ListParagraph"/>
        <w:numPr>
          <w:ilvl w:val="0"/>
          <w:numId w:val="0"/>
        </w:numPr>
        <w:ind w:left="6611"/>
      </w:pPr>
      <w:r>
        <w:t xml:space="preserve">        </w:t>
      </w:r>
      <w:hyperlink w:anchor="contents" w:history="1">
        <w:r w:rsidRPr="006B4863">
          <w:rPr>
            <w:rStyle w:val="Hyperlink"/>
            <w:szCs w:val="24"/>
          </w:rPr>
          <w:t>Back to Contents</w:t>
        </w:r>
      </w:hyperlink>
    </w:p>
    <w:p w:rsidR="006E252B" w:rsidRPr="0082658E" w:rsidRDefault="00AA0F93" w:rsidP="0082658E">
      <w:pPr>
        <w:pStyle w:val="Heading3"/>
      </w:pPr>
      <w:bookmarkStart w:id="26" w:name="_Toc458760057"/>
      <w:r w:rsidRPr="00AA0F93">
        <w:t>Sabaean Mandaeans</w:t>
      </w:r>
      <w:bookmarkEnd w:id="26"/>
      <w:r w:rsidRPr="00AA0F93">
        <w:t xml:space="preserve"> </w:t>
      </w:r>
    </w:p>
    <w:p w:rsidR="00442847" w:rsidRDefault="001E7D01" w:rsidP="006E252B">
      <w:pPr>
        <w:pStyle w:val="ListParagraph"/>
      </w:pPr>
      <w:r>
        <w:t>USSD 2014 noted: ‘</w:t>
      </w:r>
      <w:r w:rsidR="004A39FE">
        <w:t xml:space="preserve">Estimates of the size of the </w:t>
      </w:r>
      <w:proofErr w:type="spellStart"/>
      <w:r w:rsidR="004A39FE">
        <w:t>Sabean</w:t>
      </w:r>
      <w:proofErr w:type="spellEnd"/>
      <w:r w:rsidR="004A39FE">
        <w:t>-Mandaean community vary</w:t>
      </w:r>
      <w:r w:rsidR="00442847">
        <w:t xml:space="preserve">. According to </w:t>
      </w:r>
      <w:proofErr w:type="spellStart"/>
      <w:r w:rsidR="00442847">
        <w:t>Sabean</w:t>
      </w:r>
      <w:proofErr w:type="spellEnd"/>
      <w:r w:rsidR="00442847">
        <w:t xml:space="preserve">-Mandaean leaders, about 1,000-2,000 remain in the country, </w:t>
      </w:r>
      <w:r w:rsidR="00442847" w:rsidRPr="009B5D71">
        <w:t>predominantly in southern Iraq</w:t>
      </w:r>
      <w:r w:rsidR="004A39FE" w:rsidRPr="009B5D71">
        <w:t>,</w:t>
      </w:r>
      <w:r w:rsidR="00442847" w:rsidRPr="009B5D71">
        <w:t xml:space="preserve"> with small pockets in Kurdistan and Baghdad.</w:t>
      </w:r>
      <w:r>
        <w:t>’</w:t>
      </w:r>
      <w:r w:rsidR="00A73D0E" w:rsidRPr="009B5D71">
        <w:rPr>
          <w:rStyle w:val="FootnoteReference"/>
        </w:rPr>
        <w:footnoteReference w:id="15"/>
      </w:r>
      <w:r w:rsidR="00F71348" w:rsidRPr="009B5D71">
        <w:t xml:space="preserve"> The Heartland Alliance report noted that, since 2003, almost 90 per cent of Iraqi Mandaeans left the country.</w:t>
      </w:r>
      <w:r w:rsidR="001C2030">
        <w:t xml:space="preserve"> They are ‘concentrated in Baghdad and southern Iraq (</w:t>
      </w:r>
      <w:proofErr w:type="spellStart"/>
      <w:r w:rsidR="001C2030">
        <w:t>Amarah</w:t>
      </w:r>
      <w:proofErr w:type="spellEnd"/>
      <w:r w:rsidR="001C2030">
        <w:t xml:space="preserve"> City in particular).’</w:t>
      </w:r>
      <w:r w:rsidR="00F71348" w:rsidRPr="009B5D71">
        <w:rPr>
          <w:rStyle w:val="FootnoteReference"/>
        </w:rPr>
        <w:footnoteReference w:id="16"/>
      </w:r>
      <w:r w:rsidR="00F71348">
        <w:t xml:space="preserve"> </w:t>
      </w:r>
      <w:r w:rsidR="00442847">
        <w:t xml:space="preserve"> </w:t>
      </w:r>
    </w:p>
    <w:p w:rsidR="006E252B" w:rsidRDefault="006E252B" w:rsidP="00313603">
      <w:pPr>
        <w:pStyle w:val="ListParagraph"/>
      </w:pPr>
      <w:r>
        <w:t xml:space="preserve">The </w:t>
      </w:r>
      <w:r w:rsidRPr="006E252B">
        <w:t>World Directory of Minorities and Indigenous P</w:t>
      </w:r>
      <w:r w:rsidR="00A73D0E">
        <w:t>eoples</w:t>
      </w:r>
      <w:r>
        <w:t>, dated October 2014, noted</w:t>
      </w:r>
      <w:r w:rsidR="00313603">
        <w:t xml:space="preserve">: </w:t>
      </w:r>
      <w:r>
        <w:t>‘</w:t>
      </w:r>
      <w:proofErr w:type="spellStart"/>
      <w:r>
        <w:t>Sabian</w:t>
      </w:r>
      <w:proofErr w:type="spellEnd"/>
      <w:r>
        <w:t xml:space="preserve"> Mandaeans face extinction as a people. As their small community is scattered throughout the world, </w:t>
      </w:r>
      <w:proofErr w:type="spellStart"/>
      <w:r>
        <w:t>Sabian</w:t>
      </w:r>
      <w:proofErr w:type="spellEnd"/>
      <w:r>
        <w:t xml:space="preserve"> Mandaeans' ancient language, culture and religio</w:t>
      </w:r>
      <w:r w:rsidR="00313603">
        <w:t>n face the threat of extinction</w:t>
      </w:r>
      <w:proofErr w:type="gramStart"/>
      <w:r w:rsidR="00313603">
        <w:t>....</w:t>
      </w:r>
      <w:r>
        <w:t>Since</w:t>
      </w:r>
      <w:proofErr w:type="gramEnd"/>
      <w:r>
        <w:t xml:space="preserve"> the outbreak of violence in 2003, most </w:t>
      </w:r>
      <w:proofErr w:type="spellStart"/>
      <w:r>
        <w:t>Sabean</w:t>
      </w:r>
      <w:proofErr w:type="spellEnd"/>
      <w:r>
        <w:t>-Mandaeans have either fled the country or been killed. Today, there are fewer than 5,000 remaining in Iraq.</w:t>
      </w:r>
      <w:r w:rsidR="00A26EAA">
        <w:t>’</w:t>
      </w:r>
      <w:r>
        <w:rPr>
          <w:rStyle w:val="FootnoteReference"/>
        </w:rPr>
        <w:footnoteReference w:id="17"/>
      </w:r>
    </w:p>
    <w:p w:rsidR="009E5813" w:rsidRDefault="009E5813" w:rsidP="009E5813">
      <w:pPr>
        <w:pStyle w:val="ListParagraph"/>
        <w:numPr>
          <w:ilvl w:val="0"/>
          <w:numId w:val="0"/>
        </w:numPr>
        <w:ind w:left="6611"/>
      </w:pPr>
      <w:r>
        <w:t xml:space="preserve">        </w:t>
      </w:r>
      <w:hyperlink w:anchor="contents" w:history="1">
        <w:r w:rsidRPr="006B4863">
          <w:rPr>
            <w:rStyle w:val="Hyperlink"/>
            <w:szCs w:val="24"/>
          </w:rPr>
          <w:t>Back to Contents</w:t>
        </w:r>
      </w:hyperlink>
    </w:p>
    <w:p w:rsidR="00442847" w:rsidRPr="0082658E" w:rsidRDefault="00AA0F93" w:rsidP="0082658E">
      <w:pPr>
        <w:pStyle w:val="Heading3"/>
      </w:pPr>
      <w:bookmarkStart w:id="27" w:name="_Toc458760058"/>
      <w:r w:rsidRPr="00AA0F93">
        <w:t>Baha’i</w:t>
      </w:r>
      <w:bookmarkEnd w:id="27"/>
    </w:p>
    <w:p w:rsidR="00B90161" w:rsidRDefault="00FC1DDC" w:rsidP="00B90161">
      <w:pPr>
        <w:pStyle w:val="ListParagraph"/>
      </w:pPr>
      <w:r>
        <w:t xml:space="preserve">USSD 2014 noted that </w:t>
      </w:r>
      <w:r w:rsidR="00442847">
        <w:t>Baha</w:t>
      </w:r>
      <w:r w:rsidR="00F72A53">
        <w:t>’</w:t>
      </w:r>
      <w:r w:rsidR="00442847">
        <w:t>i leaders report fewer than 2,000 members, spread throughout the country in small groups.</w:t>
      </w:r>
      <w:r w:rsidR="002306F2">
        <w:rPr>
          <w:rStyle w:val="FootnoteReference"/>
        </w:rPr>
        <w:footnoteReference w:id="18"/>
      </w:r>
      <w:r w:rsidR="00442847">
        <w:t xml:space="preserve"> </w:t>
      </w:r>
    </w:p>
    <w:p w:rsidR="00C475D5" w:rsidRDefault="00C475D5" w:rsidP="00B90161">
      <w:pPr>
        <w:pStyle w:val="ListParagraph"/>
      </w:pPr>
      <w:r>
        <w:t xml:space="preserve">The Heartland Alliance report noted: ‘Baha'is are a small religious minority living in different regions of Iraq. The Baha'i faith is a modern religion that embraces tenets human unity; Baha’is themselves descend from various religions, backgrounds and ethnicities. Adherents to the Baha'i faith enjoy close relationships with Muslim and Christian relatives, friends, and </w:t>
      </w:r>
      <w:proofErr w:type="spellStart"/>
      <w:r>
        <w:t>neighbors</w:t>
      </w:r>
      <w:proofErr w:type="spellEnd"/>
      <w:r>
        <w:t>, resulting in close integration of Baha’is into their local communities’.</w:t>
      </w:r>
      <w:r w:rsidRPr="00B336A3">
        <w:rPr>
          <w:rStyle w:val="FootnoteReference"/>
        </w:rPr>
        <w:footnoteReference w:id="19"/>
      </w:r>
    </w:p>
    <w:p w:rsidR="009E5813" w:rsidRDefault="009E5813" w:rsidP="009E5813">
      <w:pPr>
        <w:pStyle w:val="ListParagraph"/>
        <w:numPr>
          <w:ilvl w:val="0"/>
          <w:numId w:val="0"/>
        </w:numPr>
        <w:ind w:left="6611"/>
      </w:pPr>
      <w:r>
        <w:lastRenderedPageBreak/>
        <w:t xml:space="preserve">        </w:t>
      </w:r>
      <w:hyperlink w:anchor="contents" w:history="1">
        <w:r w:rsidRPr="006B4863">
          <w:rPr>
            <w:rStyle w:val="Hyperlink"/>
            <w:szCs w:val="24"/>
          </w:rPr>
          <w:t>Back to Contents</w:t>
        </w:r>
      </w:hyperlink>
    </w:p>
    <w:p w:rsidR="00442847" w:rsidRPr="0082658E" w:rsidRDefault="00AA0F93" w:rsidP="0082658E">
      <w:pPr>
        <w:pStyle w:val="Heading3"/>
      </w:pPr>
      <w:bookmarkStart w:id="28" w:name="_Toc458760059"/>
      <w:r w:rsidRPr="00AA0F93">
        <w:t>Jews</w:t>
      </w:r>
      <w:bookmarkEnd w:id="28"/>
    </w:p>
    <w:p w:rsidR="009548EB" w:rsidRDefault="009548EB" w:rsidP="009548EB">
      <w:pPr>
        <w:pStyle w:val="ListParagraph"/>
      </w:pPr>
      <w:r>
        <w:t>USSD 2014 noted: ‘</w:t>
      </w:r>
      <w:r w:rsidR="002306F2">
        <w:t>Fewer than 10 Jews reportedly reside in Baghdad.</w:t>
      </w:r>
      <w:r>
        <w:t>’</w:t>
      </w:r>
      <w:r w:rsidR="002306F2">
        <w:rPr>
          <w:rStyle w:val="FootnoteReference"/>
        </w:rPr>
        <w:footnoteReference w:id="20"/>
      </w:r>
      <w:r>
        <w:t xml:space="preserve"> The 2015 Heartland Alliance International report noted ‘Iraqi Jews, whom recent estimates put at a total of 6 persons, live in Baghdad and represent the last traces of a formerly robust Jewish community over 2,500 years old’.</w:t>
      </w:r>
      <w:r w:rsidRPr="00B336A3">
        <w:rPr>
          <w:rStyle w:val="FootnoteReference"/>
        </w:rPr>
        <w:footnoteReference w:id="21"/>
      </w:r>
    </w:p>
    <w:p w:rsidR="00FE3E58" w:rsidRDefault="009548EB" w:rsidP="009548EB">
      <w:pPr>
        <w:pStyle w:val="ListParagraph"/>
        <w:numPr>
          <w:ilvl w:val="0"/>
          <w:numId w:val="0"/>
        </w:numPr>
        <w:ind w:left="6611"/>
      </w:pPr>
      <w:r>
        <w:t xml:space="preserve">        </w:t>
      </w:r>
      <w:hyperlink w:anchor="contents" w:history="1">
        <w:r w:rsidR="006B4863" w:rsidRPr="009548EB">
          <w:rPr>
            <w:rStyle w:val="Hyperlink"/>
            <w:szCs w:val="24"/>
          </w:rPr>
          <w:t>Back to Contents</w:t>
        </w:r>
      </w:hyperlink>
    </w:p>
    <w:p w:rsidR="009575B2" w:rsidRPr="009575B2" w:rsidRDefault="00A6342E" w:rsidP="009575B2">
      <w:pPr>
        <w:pStyle w:val="Heading2"/>
      </w:pPr>
      <w:bookmarkStart w:id="29" w:name="_Treatment_of_religious"/>
      <w:bookmarkStart w:id="30" w:name="_State_treatment"/>
      <w:bookmarkStart w:id="31" w:name="_Toc458760060"/>
      <w:bookmarkEnd w:id="29"/>
      <w:bookmarkEnd w:id="30"/>
      <w:r>
        <w:t>State treatment</w:t>
      </w:r>
      <w:bookmarkEnd w:id="31"/>
      <w:r>
        <w:t xml:space="preserve"> </w:t>
      </w:r>
    </w:p>
    <w:p w:rsidR="00A6342E" w:rsidRPr="00FE3E58" w:rsidRDefault="00A6342E" w:rsidP="00A6342E">
      <w:pPr>
        <w:pStyle w:val="Heading3"/>
      </w:pPr>
      <w:bookmarkStart w:id="32" w:name="_Constitutional_rights"/>
      <w:bookmarkStart w:id="33" w:name="_Toc458760061"/>
      <w:bookmarkEnd w:id="32"/>
      <w:r>
        <w:t>Constitutional rights</w:t>
      </w:r>
      <w:bookmarkEnd w:id="33"/>
      <w:r>
        <w:t xml:space="preserve">    </w:t>
      </w:r>
    </w:p>
    <w:p w:rsidR="00A6342E" w:rsidRDefault="00A6342E" w:rsidP="00A6342E">
      <w:pPr>
        <w:pStyle w:val="ListParagraph"/>
      </w:pPr>
      <w:r>
        <w:t xml:space="preserve">USSD 2014 noted that the Iraqi constitution: </w:t>
      </w:r>
    </w:p>
    <w:p w:rsidR="00A6342E" w:rsidRDefault="00A6342E" w:rsidP="00A6342E">
      <w:pPr>
        <w:pStyle w:val="ListParagraph"/>
        <w:numPr>
          <w:ilvl w:val="0"/>
          <w:numId w:val="11"/>
        </w:numPr>
      </w:pPr>
      <w:r>
        <w:t xml:space="preserve">recognises Islam as the official religion;  </w:t>
      </w:r>
    </w:p>
    <w:p w:rsidR="00A6342E" w:rsidRDefault="00A6342E" w:rsidP="00A6342E">
      <w:pPr>
        <w:pStyle w:val="ListParagraph"/>
        <w:numPr>
          <w:ilvl w:val="0"/>
          <w:numId w:val="11"/>
        </w:numPr>
      </w:pPr>
      <w:r>
        <w:t xml:space="preserve">mandates Islam as a source of legislation; </w:t>
      </w:r>
    </w:p>
    <w:p w:rsidR="00A6342E" w:rsidRDefault="00A6342E" w:rsidP="00A6342E">
      <w:pPr>
        <w:pStyle w:val="ListParagraph"/>
        <w:numPr>
          <w:ilvl w:val="0"/>
          <w:numId w:val="11"/>
        </w:numPr>
      </w:pPr>
      <w:r>
        <w:t>states that no law may be enacted contradicting Islam (though it does not differentiate between Sunni and Shia);</w:t>
      </w:r>
    </w:p>
    <w:p w:rsidR="00A6342E" w:rsidRDefault="00A6342E" w:rsidP="00A6342E">
      <w:pPr>
        <w:pStyle w:val="ListParagraph"/>
        <w:numPr>
          <w:ilvl w:val="0"/>
          <w:numId w:val="11"/>
        </w:numPr>
      </w:pPr>
      <w:r>
        <w:t>states that no law may contra</w:t>
      </w:r>
      <w:r w:rsidR="005A03EF">
        <w:t>di</w:t>
      </w:r>
      <w:r>
        <w:t xml:space="preserve">ct constitutionally-protected freedoms; </w:t>
      </w:r>
    </w:p>
    <w:p w:rsidR="00A6342E" w:rsidRDefault="00A6342E" w:rsidP="00A6342E">
      <w:pPr>
        <w:pStyle w:val="ListParagraph"/>
        <w:numPr>
          <w:ilvl w:val="0"/>
          <w:numId w:val="11"/>
        </w:numPr>
      </w:pPr>
      <w:r>
        <w:t xml:space="preserve">guarantees freedom from religious coercion;   </w:t>
      </w:r>
    </w:p>
    <w:p w:rsidR="00A6342E" w:rsidRDefault="00A6342E" w:rsidP="00A6342E">
      <w:pPr>
        <w:pStyle w:val="ListParagraph"/>
        <w:numPr>
          <w:ilvl w:val="0"/>
          <w:numId w:val="11"/>
        </w:numPr>
      </w:pPr>
      <w:r>
        <w:t xml:space="preserve">guarantees the right to choose whether a civil or religious court will adjudicate matters of personal status; </w:t>
      </w:r>
    </w:p>
    <w:p w:rsidR="00A6342E" w:rsidRDefault="00A6342E" w:rsidP="00A6342E">
      <w:pPr>
        <w:pStyle w:val="ListParagraph"/>
        <w:numPr>
          <w:ilvl w:val="0"/>
          <w:numId w:val="11"/>
        </w:numPr>
      </w:pPr>
      <w:r>
        <w:t>requires the government to maintain the sanctity of holy shrines and religious sites;</w:t>
      </w:r>
    </w:p>
    <w:p w:rsidR="00A6342E" w:rsidRDefault="00A6342E" w:rsidP="00A6342E">
      <w:pPr>
        <w:pStyle w:val="ListParagraph"/>
        <w:numPr>
          <w:ilvl w:val="0"/>
          <w:numId w:val="11"/>
        </w:numPr>
      </w:pPr>
      <w:r>
        <w:t>guarantees the free practice of rituals;</w:t>
      </w:r>
    </w:p>
    <w:p w:rsidR="00A6342E" w:rsidRDefault="00A6342E" w:rsidP="00A6342E">
      <w:pPr>
        <w:pStyle w:val="ListParagraph"/>
        <w:numPr>
          <w:ilvl w:val="0"/>
          <w:numId w:val="11"/>
        </w:numPr>
      </w:pPr>
      <w:r>
        <w:t xml:space="preserve">guarantees the freedom to manage religious endowments (waqf) and religious institutions;  </w:t>
      </w:r>
    </w:p>
    <w:p w:rsidR="00A6342E" w:rsidRDefault="005A03EF" w:rsidP="00A6342E">
      <w:pPr>
        <w:pStyle w:val="ListParagraph"/>
        <w:numPr>
          <w:ilvl w:val="0"/>
          <w:numId w:val="11"/>
        </w:numPr>
      </w:pPr>
      <w:r>
        <w:t xml:space="preserve">stipulates </w:t>
      </w:r>
      <w:r w:rsidR="00A6342E">
        <w:t>that the federal Supreme Court is made up of judges, experts in Islamic jurisprudence, and legal scholars, although</w:t>
      </w:r>
      <w:r>
        <w:t xml:space="preserve"> it</w:t>
      </w:r>
      <w:r w:rsidR="00A6342E">
        <w:t xml:space="preserve"> leaves the method of regulating the number and selection of judges to legislation that requires a two-thirds majority in the Council of Representatives.</w:t>
      </w:r>
      <w:r w:rsidR="00A6342E">
        <w:rPr>
          <w:rStyle w:val="FootnoteReference"/>
        </w:rPr>
        <w:footnoteReference w:id="22"/>
      </w:r>
    </w:p>
    <w:p w:rsidR="00A6342E" w:rsidRDefault="00A6342E" w:rsidP="00A6342E">
      <w:pPr>
        <w:pStyle w:val="ListParagraph"/>
      </w:pPr>
      <w:r>
        <w:t xml:space="preserve">However, the source also noted: ‘Apparent contradictions between the constitution and other legal provisions remain. For example, the law prohibits </w:t>
      </w:r>
      <w:r>
        <w:lastRenderedPageBreak/>
        <w:t>the practice of the Bahai Faith, and a 2001 resolution prohibits the practice of the Wahhabi branch of Sunni Islam.’</w:t>
      </w:r>
      <w:r>
        <w:rPr>
          <w:rStyle w:val="FootnoteReference"/>
        </w:rPr>
        <w:footnoteReference w:id="23"/>
      </w:r>
    </w:p>
    <w:p w:rsidR="00264F2E" w:rsidRDefault="00A6342E" w:rsidP="00264F2E">
      <w:pPr>
        <w:pStyle w:val="ListParagraph"/>
      </w:pPr>
      <w:r>
        <w:t>The source also noted: ‘The Personal Status Law stipulates that civil courts must consult the religious authority of a non-Muslim party for its opinion under the applicable religious law and apply that opinion in court.’</w:t>
      </w:r>
      <w:r>
        <w:rPr>
          <w:rStyle w:val="FootnoteReference"/>
        </w:rPr>
        <w:footnoteReference w:id="24"/>
      </w:r>
    </w:p>
    <w:p w:rsidR="00264F2E" w:rsidRPr="00A4320A" w:rsidRDefault="00264F2E" w:rsidP="00264F2E">
      <w:pPr>
        <w:pStyle w:val="ListParagraph"/>
      </w:pPr>
      <w:r w:rsidRPr="00A4320A">
        <w:t>In May 2015, the Kurdistan Parliament passed ‘The Rights of National and Religious Minorities Protection Law in Kurdistan – Iraq’. Its provisions included:</w:t>
      </w:r>
    </w:p>
    <w:p w:rsidR="00264F2E" w:rsidRPr="00A4320A" w:rsidRDefault="00264F2E" w:rsidP="00264F2E">
      <w:pPr>
        <w:pStyle w:val="ListParagraph"/>
        <w:numPr>
          <w:ilvl w:val="0"/>
          <w:numId w:val="11"/>
        </w:numPr>
      </w:pPr>
      <w:r w:rsidRPr="00A4320A">
        <w:t xml:space="preserve">equality and equal opportunity in political, cultural, social and economic life; </w:t>
      </w:r>
    </w:p>
    <w:p w:rsidR="00264F2E" w:rsidRPr="00A4320A" w:rsidRDefault="00264F2E" w:rsidP="00264F2E">
      <w:pPr>
        <w:pStyle w:val="ListParagraph"/>
        <w:numPr>
          <w:ilvl w:val="0"/>
          <w:numId w:val="11"/>
        </w:numPr>
      </w:pPr>
      <w:r w:rsidRPr="00A4320A">
        <w:t xml:space="preserve">prevention of discrimination; </w:t>
      </w:r>
    </w:p>
    <w:p w:rsidR="00264F2E" w:rsidRPr="00A4320A" w:rsidRDefault="00264F2E" w:rsidP="00264F2E">
      <w:pPr>
        <w:pStyle w:val="ListParagraph"/>
        <w:numPr>
          <w:ilvl w:val="0"/>
          <w:numId w:val="11"/>
        </w:numPr>
      </w:pPr>
      <w:r w:rsidRPr="00A4320A">
        <w:t xml:space="preserve">prevention of hate speech; </w:t>
      </w:r>
    </w:p>
    <w:p w:rsidR="00264F2E" w:rsidRPr="00A4320A" w:rsidRDefault="00264F2E" w:rsidP="00264F2E">
      <w:pPr>
        <w:pStyle w:val="ListParagraph"/>
        <w:numPr>
          <w:ilvl w:val="0"/>
          <w:numId w:val="11"/>
        </w:numPr>
      </w:pPr>
      <w:r w:rsidRPr="00A4320A">
        <w:t xml:space="preserve">prevention of policies to change demography and to distort historical and cultural heritage; </w:t>
      </w:r>
    </w:p>
    <w:p w:rsidR="00264F2E" w:rsidRPr="00A4320A" w:rsidRDefault="00264F2E" w:rsidP="00264F2E">
      <w:pPr>
        <w:pStyle w:val="ListParagraph"/>
        <w:numPr>
          <w:ilvl w:val="0"/>
          <w:numId w:val="11"/>
        </w:numPr>
      </w:pPr>
      <w:r w:rsidRPr="00A4320A">
        <w:t xml:space="preserve">protection of language; </w:t>
      </w:r>
    </w:p>
    <w:p w:rsidR="00264F2E" w:rsidRPr="00A4320A" w:rsidRDefault="00264F2E" w:rsidP="00264F2E">
      <w:pPr>
        <w:pStyle w:val="ListParagraph"/>
        <w:numPr>
          <w:ilvl w:val="0"/>
          <w:numId w:val="11"/>
        </w:numPr>
      </w:pPr>
      <w:r w:rsidRPr="00A4320A">
        <w:t xml:space="preserve">right to religious identity; </w:t>
      </w:r>
    </w:p>
    <w:p w:rsidR="00264F2E" w:rsidRPr="00A4320A" w:rsidRDefault="00264F2E" w:rsidP="00264F2E">
      <w:pPr>
        <w:pStyle w:val="ListParagraph"/>
        <w:numPr>
          <w:ilvl w:val="0"/>
          <w:numId w:val="11"/>
        </w:numPr>
      </w:pPr>
      <w:r w:rsidRPr="00A4320A">
        <w:t xml:space="preserve">protection of basic rights and liberties, including freedom of religion; </w:t>
      </w:r>
    </w:p>
    <w:p w:rsidR="00A6342E" w:rsidRPr="00A4320A" w:rsidRDefault="00264F2E" w:rsidP="00264F2E">
      <w:pPr>
        <w:pStyle w:val="ListParagraph"/>
        <w:numPr>
          <w:ilvl w:val="0"/>
          <w:numId w:val="11"/>
        </w:numPr>
      </w:pPr>
      <w:r w:rsidRPr="00A4320A">
        <w:t>right to political participation</w:t>
      </w:r>
      <w:r w:rsidR="00BA6635">
        <w:rPr>
          <w:rStyle w:val="FootnoteReference"/>
        </w:rPr>
        <w:footnoteReference w:id="25"/>
      </w:r>
    </w:p>
    <w:p w:rsidR="00264F2E" w:rsidRDefault="00122269" w:rsidP="00956A60">
      <w:pPr>
        <w:pStyle w:val="ListParagraph"/>
        <w:numPr>
          <w:ilvl w:val="0"/>
          <w:numId w:val="0"/>
        </w:numPr>
        <w:ind w:left="6971"/>
        <w:jc w:val="center"/>
      </w:pPr>
      <w:r>
        <w:t xml:space="preserve">   </w:t>
      </w:r>
      <w:hyperlink w:anchor="contents" w:history="1">
        <w:r w:rsidRPr="00122269">
          <w:rPr>
            <w:rStyle w:val="Hyperlink"/>
            <w:szCs w:val="24"/>
          </w:rPr>
          <w:t>Back to Contents</w:t>
        </w:r>
      </w:hyperlink>
    </w:p>
    <w:p w:rsidR="00A6342E" w:rsidRDefault="00A6342E" w:rsidP="00A6342E">
      <w:pPr>
        <w:pStyle w:val="Heading3"/>
      </w:pPr>
      <w:bookmarkStart w:id="34" w:name="_Other_rights"/>
      <w:bookmarkStart w:id="35" w:name="_Toc458760062"/>
      <w:bookmarkEnd w:id="34"/>
      <w:r>
        <w:t>Other right</w:t>
      </w:r>
      <w:r w:rsidR="008A49E2">
        <w:t>s</w:t>
      </w:r>
      <w:bookmarkEnd w:id="35"/>
    </w:p>
    <w:p w:rsidR="00A6342E" w:rsidRDefault="00A6342E" w:rsidP="00A6342E">
      <w:pPr>
        <w:pStyle w:val="ListParagraph"/>
      </w:pPr>
      <w:r>
        <w:t>USSD 2014 noted that the government maintains thr</w:t>
      </w:r>
      <w:r w:rsidR="00B90161">
        <w:t>ee waqfs (religious endowments):</w:t>
      </w:r>
      <w:r>
        <w:t xml:space="preserve"> Sunni; Shia; and Christian, Yezidi, Sab</w:t>
      </w:r>
      <w:r w:rsidR="00D1715F">
        <w:t>aean-Mandaean and ‘other’. These endowments</w:t>
      </w:r>
      <w:r>
        <w:t xml:space="preserve"> disburse government funding to maintain an</w:t>
      </w:r>
      <w:r w:rsidR="00D1715F">
        <w:t xml:space="preserve">d protect religious facilities. </w:t>
      </w:r>
      <w:r>
        <w:t xml:space="preserve">The Kurdistan Regional Government (KRG) also maintains three waqfs: Sunni; Christian; and Yezidi, </w:t>
      </w:r>
      <w:proofErr w:type="gramStart"/>
      <w:r>
        <w:t>and also</w:t>
      </w:r>
      <w:proofErr w:type="gramEnd"/>
      <w:r>
        <w:t xml:space="preserve"> provides funding to some religious groups without endowments, for example to the Sab</w:t>
      </w:r>
      <w:r w:rsidR="00D1715F">
        <w:t xml:space="preserve">aean </w:t>
      </w:r>
      <w:r>
        <w:t>Mandaeans.</w:t>
      </w:r>
      <w:r>
        <w:rPr>
          <w:rStyle w:val="FootnoteReference"/>
        </w:rPr>
        <w:footnoteReference w:id="26"/>
      </w:r>
      <w:r>
        <w:t xml:space="preserve">   </w:t>
      </w:r>
    </w:p>
    <w:p w:rsidR="00A6342E" w:rsidRDefault="00A6342E" w:rsidP="00A6342E">
      <w:pPr>
        <w:pStyle w:val="ListParagraph"/>
      </w:pPr>
      <w:r>
        <w:t xml:space="preserve">The source added: </w:t>
      </w:r>
    </w:p>
    <w:p w:rsidR="00A6342E" w:rsidRDefault="00A6342E" w:rsidP="00A6342E">
      <w:pPr>
        <w:pStyle w:val="ListParagraph"/>
        <w:numPr>
          <w:ilvl w:val="0"/>
          <w:numId w:val="0"/>
        </w:numPr>
        <w:ind w:left="851"/>
      </w:pPr>
      <w:r>
        <w:lastRenderedPageBreak/>
        <w:t xml:space="preserve">‘The government requires Islamic religious instruction in public schools, but non-Muslim students are not required to participate...During the year [2014], the Ministry of Education (MOE) approved the inclusion of Syriac and Christian religious education in the curricula of 152 public schools in Baghdad, </w:t>
      </w:r>
      <w:proofErr w:type="spellStart"/>
      <w:r>
        <w:t>Ninewa</w:t>
      </w:r>
      <w:proofErr w:type="spellEnd"/>
      <w:r>
        <w:t>, and Kirkuk. Private religious schools operate in the country, but must obtain a license from the director general of private and public schools and pay annual fees...</w:t>
      </w:r>
    </w:p>
    <w:p w:rsidR="00A6342E" w:rsidRDefault="00A6342E" w:rsidP="00A6342E">
      <w:pPr>
        <w:pStyle w:val="ListParagraph"/>
        <w:numPr>
          <w:ilvl w:val="0"/>
          <w:numId w:val="0"/>
        </w:numPr>
        <w:ind w:left="851"/>
      </w:pPr>
      <w:r>
        <w:t>‘Many Christians who speak the Syriac language consider the right to use and teach it to their children a question of religious freedom. The constitution establishes Arabic and Kurdish as official state languages but guarantees the right to educate minority children in their own languages, and makes Turkmen and Syriac official languages in “the administrative units in which they constitute density populations”...The KRG MOE [Kurdistan Regional Government Ministry of Education] funds Syriac-language public schools (elementary and high school) in its territory, and the curriculum does not contain religion or Quranic studies.’</w:t>
      </w:r>
      <w:r>
        <w:rPr>
          <w:rStyle w:val="FootnoteReference"/>
        </w:rPr>
        <w:footnoteReference w:id="27"/>
      </w:r>
    </w:p>
    <w:p w:rsidR="00A6342E" w:rsidRDefault="00924B60" w:rsidP="00A6342E">
      <w:pPr>
        <w:pStyle w:val="ListParagraph"/>
      </w:pPr>
      <w:r>
        <w:t xml:space="preserve">The source also </w:t>
      </w:r>
      <w:r w:rsidR="00A6342E">
        <w:t>observed:</w:t>
      </w:r>
    </w:p>
    <w:p w:rsidR="00A6342E" w:rsidRDefault="00A6342E" w:rsidP="00A6342E">
      <w:pPr>
        <w:pStyle w:val="ListParagraph"/>
        <w:numPr>
          <w:ilvl w:val="0"/>
          <w:numId w:val="0"/>
        </w:numPr>
        <w:ind w:left="851"/>
      </w:pPr>
      <w:r>
        <w:t xml:space="preserve">‘Government policy continued to recognize Christians’ right to observe Easter and Christmas without interference. The government also provided increased protection to Christian churches during these holidays. Local Bahais were able to celebrate the festivals of </w:t>
      </w:r>
      <w:proofErr w:type="spellStart"/>
      <w:r>
        <w:t>Naw-Ruz</w:t>
      </w:r>
      <w:proofErr w:type="spellEnd"/>
      <w:r>
        <w:t xml:space="preserve"> and the Festival of </w:t>
      </w:r>
      <w:proofErr w:type="spellStart"/>
      <w:r>
        <w:t>Ridvan</w:t>
      </w:r>
      <w:proofErr w:type="spellEnd"/>
      <w:r>
        <w:t xml:space="preserve"> without interference or intimidation. Provincial governments have also designated religious holidays in their localities; for example, in 2013, the </w:t>
      </w:r>
      <w:proofErr w:type="spellStart"/>
      <w:r>
        <w:t>Maysan</w:t>
      </w:r>
      <w:proofErr w:type="spellEnd"/>
      <w:r>
        <w:t xml:space="preserve"> provincial council recognized a </w:t>
      </w:r>
      <w:proofErr w:type="spellStart"/>
      <w:r>
        <w:t>Sabean</w:t>
      </w:r>
      <w:proofErr w:type="spellEnd"/>
      <w:r>
        <w:t xml:space="preserve">-Mandaean holiday as an official holiday. The </w:t>
      </w:r>
      <w:proofErr w:type="spellStart"/>
      <w:r>
        <w:t>Maysan</w:t>
      </w:r>
      <w:proofErr w:type="spellEnd"/>
      <w:r>
        <w:t xml:space="preserve"> provincial council also provided physical protection for the </w:t>
      </w:r>
      <w:proofErr w:type="spellStart"/>
      <w:r>
        <w:t>Sabean</w:t>
      </w:r>
      <w:proofErr w:type="spellEnd"/>
      <w:r>
        <w:t xml:space="preserve">-Mandaean community during times of worship, formally excused the group from Shia Muslim dress codes during times of </w:t>
      </w:r>
      <w:proofErr w:type="gramStart"/>
      <w:r>
        <w:t>mourning, and</w:t>
      </w:r>
      <w:proofErr w:type="gramEnd"/>
      <w:r>
        <w:t xml:space="preserve"> granted land for places of worship.</w:t>
      </w:r>
    </w:p>
    <w:p w:rsidR="00A6342E" w:rsidRDefault="00A6342E" w:rsidP="00A6342E">
      <w:pPr>
        <w:pStyle w:val="ListParagraph"/>
        <w:numPr>
          <w:ilvl w:val="0"/>
          <w:numId w:val="0"/>
        </w:numPr>
        <w:ind w:left="851"/>
      </w:pPr>
      <w:r>
        <w:t>‘An advocacy group reported that the Ministry of Antiquities initiated an investigation into the destruction of the home of the founder of the Bahai Faith and the government sent a notice halting constru</w:t>
      </w:r>
      <w:r w:rsidR="005A03EF">
        <w:t>ction work on the site.</w:t>
      </w:r>
      <w:r>
        <w:t>’</w:t>
      </w:r>
      <w:r>
        <w:rPr>
          <w:rStyle w:val="FootnoteReference"/>
        </w:rPr>
        <w:footnoteReference w:id="28"/>
      </w:r>
    </w:p>
    <w:p w:rsidR="00A6342E" w:rsidRDefault="00A6342E" w:rsidP="00A6342E">
      <w:pPr>
        <w:pStyle w:val="ListParagraph"/>
      </w:pPr>
      <w:r>
        <w:t xml:space="preserve">USSD 2014 noted: </w:t>
      </w:r>
    </w:p>
    <w:p w:rsidR="00882CAE" w:rsidRDefault="00A6342E" w:rsidP="00882CAE">
      <w:pPr>
        <w:pStyle w:val="ListParagraph"/>
        <w:numPr>
          <w:ilvl w:val="0"/>
          <w:numId w:val="0"/>
        </w:numPr>
        <w:ind w:left="851"/>
      </w:pPr>
      <w:r>
        <w:t xml:space="preserve">‘Of the 328 seats in the Council of Representatives, the law reserves eight seats for members of minority groups: five for Christian candidates from Baghdad, </w:t>
      </w:r>
      <w:proofErr w:type="spellStart"/>
      <w:r>
        <w:t>Ninewa</w:t>
      </w:r>
      <w:proofErr w:type="spellEnd"/>
      <w:r>
        <w:t xml:space="preserve">, Kirkuk, Erbil, and </w:t>
      </w:r>
      <w:proofErr w:type="spellStart"/>
      <w:r>
        <w:t>Dahuk</w:t>
      </w:r>
      <w:proofErr w:type="spellEnd"/>
      <w:r>
        <w:t xml:space="preserve">; one for a Yezidi; one for a </w:t>
      </w:r>
      <w:proofErr w:type="spellStart"/>
      <w:r>
        <w:t>Sabean</w:t>
      </w:r>
      <w:proofErr w:type="spellEnd"/>
      <w:r>
        <w:t xml:space="preserve">-Mandaean; and one for a </w:t>
      </w:r>
      <w:proofErr w:type="spellStart"/>
      <w:r>
        <w:t>Shabak</w:t>
      </w:r>
      <w:proofErr w:type="spellEnd"/>
      <w:r>
        <w:t xml:space="preserve">. In the 2014 national parliamentary elections, six minority candidates won parliamentary seats outside of the quota allocation, bringing total minority representation to 14 </w:t>
      </w:r>
      <w:r>
        <w:lastRenderedPageBreak/>
        <w:t>seats. The Iraqi Kurdistan Parliament reserves 11 seats for minorities: five for Christians, five for Turkmen, and one for Armenians.’</w:t>
      </w:r>
      <w:r>
        <w:rPr>
          <w:rStyle w:val="FootnoteReference"/>
        </w:rPr>
        <w:footnoteReference w:id="29"/>
      </w:r>
    </w:p>
    <w:p w:rsidR="00882CAE" w:rsidRDefault="00882CAE" w:rsidP="00882CAE">
      <w:pPr>
        <w:pStyle w:val="ListParagraph"/>
        <w:numPr>
          <w:ilvl w:val="0"/>
          <w:numId w:val="0"/>
        </w:numPr>
        <w:ind w:left="6611"/>
      </w:pPr>
      <w:r>
        <w:t xml:space="preserve">        </w:t>
      </w:r>
      <w:hyperlink w:anchor="contents" w:history="1">
        <w:r w:rsidRPr="00122269">
          <w:rPr>
            <w:rStyle w:val="Hyperlink"/>
            <w:szCs w:val="24"/>
          </w:rPr>
          <w:t>Back to Contents</w:t>
        </w:r>
      </w:hyperlink>
    </w:p>
    <w:p w:rsidR="00882CAE" w:rsidRDefault="00882CAE" w:rsidP="00882CAE">
      <w:pPr>
        <w:pStyle w:val="Heading3"/>
      </w:pPr>
      <w:bookmarkStart w:id="36" w:name="_Conversion"/>
      <w:bookmarkStart w:id="37" w:name="_Toc458760063"/>
      <w:bookmarkEnd w:id="36"/>
      <w:r>
        <w:t>Conversion</w:t>
      </w:r>
      <w:bookmarkEnd w:id="37"/>
      <w:r>
        <w:t xml:space="preserve"> </w:t>
      </w:r>
    </w:p>
    <w:p w:rsidR="00882CAE" w:rsidRDefault="00882CAE" w:rsidP="00882CAE">
      <w:pPr>
        <w:pStyle w:val="ListParagraph"/>
      </w:pPr>
      <w:r>
        <w:t xml:space="preserve">UNHCR’s Eligibility Guidelines for Assessing the International Protection Needs of Asylum Seekers from Iraq, dated 2012, stated: </w:t>
      </w:r>
    </w:p>
    <w:p w:rsidR="00882CAE" w:rsidRPr="00B54B42" w:rsidRDefault="00882CAE" w:rsidP="00882CAE">
      <w:pPr>
        <w:pStyle w:val="ListParagraph"/>
        <w:numPr>
          <w:ilvl w:val="0"/>
          <w:numId w:val="0"/>
        </w:numPr>
        <w:autoSpaceDE w:val="0"/>
        <w:autoSpaceDN w:val="0"/>
        <w:adjustRightInd w:val="0"/>
        <w:ind w:left="851"/>
      </w:pPr>
      <w:r w:rsidRPr="00B54B42">
        <w:t>‘The Constitution of Iraq requires the Iraqi State to uphold both freedom of religion and the principles of Islam, which, according to many Islamic scholars, includes capital punishment for leaving Islam. Iraqi Penal Law does not prohibit conversion from Islam to Christianity (or any other religion); however, Iraq’s Personal Status Law does not provide for the legal recognition of a change in one’s religious status. These apparent contradictions have not yet been tested in court and, as a result, the legal situation of converts remains unclear.</w:t>
      </w:r>
    </w:p>
    <w:p w:rsidR="002C4174" w:rsidRDefault="00882CAE" w:rsidP="00882CAE">
      <w:pPr>
        <w:pStyle w:val="ListParagraph"/>
        <w:numPr>
          <w:ilvl w:val="0"/>
          <w:numId w:val="0"/>
        </w:numPr>
        <w:autoSpaceDE w:val="0"/>
        <w:autoSpaceDN w:val="0"/>
        <w:adjustRightInd w:val="0"/>
        <w:ind w:left="851"/>
      </w:pPr>
      <w:r>
        <w:t>‘</w:t>
      </w:r>
      <w:r w:rsidRPr="00B54B42">
        <w:t>A convert would not be able to have his/her conversion recognized by law, meaning that he/she has no legal means to register the change in religious status and his/her identity card will still identify its holder as “Muslim”. As a result, children of converts may be without an identification card, unless their paren</w:t>
      </w:r>
      <w:r>
        <w:t xml:space="preserve">ts register them as Muslims. </w:t>
      </w:r>
      <w:r w:rsidRPr="00B54B42">
        <w:t xml:space="preserve">Children of converts cannot be enrolled in Christian schools and are obliged to participate in mandatory Islamic religion classes in public schools. A female convert cannot marry a Christian man, as she would still be considered Muslim by law. A convert may also have his/her marriage voided as under </w:t>
      </w:r>
      <w:proofErr w:type="spellStart"/>
      <w:r w:rsidRPr="00B54B42">
        <w:t>Shari’a</w:t>
      </w:r>
      <w:proofErr w:type="spellEnd"/>
      <w:r w:rsidRPr="00B54B42">
        <w:t xml:space="preserve"> Law, as an “apostate” cannot marry or remain married to a Muslim and will be excluded from inheritance rights. Given the widespread animosity towards converts from Islam and the general climate of religious intolerance, the conversion of a Muslim to Christianity would likely result in ostracism and/or violence at the hands of the convert’s community, tribe or family. Many, including (Sunni and Shi’ite) religious and political leaders, reportedly believe that apostasy from Islam is punishable by death, or even see the killing of apostates as a religious duty. Additionally, Christian converts risk being suspected as working with the MNF-I/USF-I or more generally the “West”, which in the opinion of some has f</w:t>
      </w:r>
      <w:r w:rsidR="002C4174">
        <w:t>ought a “holy war” against Iraq...</w:t>
      </w:r>
    </w:p>
    <w:p w:rsidR="00882CAE" w:rsidRDefault="00882CAE" w:rsidP="00882CAE">
      <w:pPr>
        <w:pStyle w:val="ListParagraph"/>
        <w:numPr>
          <w:ilvl w:val="0"/>
          <w:numId w:val="0"/>
        </w:numPr>
        <w:autoSpaceDE w:val="0"/>
        <w:autoSpaceDN w:val="0"/>
        <w:adjustRightInd w:val="0"/>
        <w:ind w:left="851"/>
      </w:pPr>
      <w:r>
        <w:t>‘</w:t>
      </w:r>
      <w:r w:rsidRPr="00EE402D">
        <w:t>It is also unclear how the Iraqi legal system would deal with cases of apostasy, as the Iraqi constitution and laws include</w:t>
      </w:r>
      <w:r>
        <w:t xml:space="preserve"> </w:t>
      </w:r>
      <w:r w:rsidRPr="00EE402D">
        <w:t>conflicting provisions. In particular, the constitution mandates in Article 2 that Islam be considered a “founda</w:t>
      </w:r>
      <w:r>
        <w:t xml:space="preserve">tion source of legislation” and </w:t>
      </w:r>
      <w:r w:rsidRPr="00EE402D">
        <w:t>that no law may be enacted that contravenes the “established provisions of Islam”, but it also guarantees the</w:t>
      </w:r>
      <w:r>
        <w:t xml:space="preserve"> freedom of religion in Article </w:t>
      </w:r>
      <w:r w:rsidRPr="00EE402D">
        <w:t>2(2), establishes that “no law be enacted that contradicts the rights and basic freedoms” stipulated in the Cons</w:t>
      </w:r>
      <w:r>
        <w:t xml:space="preserve">titution in Article 2 (1C), and </w:t>
      </w:r>
      <w:r w:rsidRPr="00EE402D">
        <w:t>guarantees protection from religious coercion in Article 37 (2), which would preclude the Iraqi state from pen</w:t>
      </w:r>
      <w:r>
        <w:t xml:space="preserve">alizing individuals for leaving </w:t>
      </w:r>
      <w:r w:rsidRPr="00EE402D">
        <w:t>Islam. Legal experts interviewed by IWPR</w:t>
      </w:r>
      <w:r>
        <w:t xml:space="preserve"> [Institute for War and </w:t>
      </w:r>
      <w:r>
        <w:lastRenderedPageBreak/>
        <w:t>Peace Reporting]</w:t>
      </w:r>
      <w:r w:rsidRPr="00EE402D">
        <w:t xml:space="preserve"> in relation to the killing of a c</w:t>
      </w:r>
      <w:r>
        <w:t xml:space="preserve">onvert in 2010 said that judges would have to refer to Islamic </w:t>
      </w:r>
      <w:r w:rsidRPr="00EE402D">
        <w:t>principles in dealing with such a case. The former head of Iraqi Lawyers Union told IWPR that Islamic Law could be considered as a</w:t>
      </w:r>
      <w:r>
        <w:t xml:space="preserve"> </w:t>
      </w:r>
      <w:r w:rsidRPr="00EE402D">
        <w:t>mitigating factor</w:t>
      </w:r>
      <w:r>
        <w:t>.’</w:t>
      </w:r>
      <w:r w:rsidRPr="00EE402D">
        <w:rPr>
          <w:rStyle w:val="FootnoteReference"/>
        </w:rPr>
        <w:footnoteReference w:id="30"/>
      </w:r>
    </w:p>
    <w:p w:rsidR="00B91D7C" w:rsidRDefault="00B91D7C" w:rsidP="00B91D7C">
      <w:pPr>
        <w:pStyle w:val="ListParagraph"/>
      </w:pPr>
      <w:r>
        <w:t xml:space="preserve">The Institute for International Law and Human Rights noted in its May 2013 report: </w:t>
      </w:r>
    </w:p>
    <w:p w:rsidR="00B91D7C" w:rsidRDefault="00B91D7C" w:rsidP="00B91D7C">
      <w:pPr>
        <w:pStyle w:val="ListParagraph"/>
        <w:numPr>
          <w:ilvl w:val="0"/>
          <w:numId w:val="0"/>
        </w:numPr>
        <w:ind w:left="851"/>
      </w:pPr>
      <w:r>
        <w:t>‘</w:t>
      </w:r>
      <w:r w:rsidRPr="00BB6154">
        <w:t>Among non-Muslim components who voluntarily or were forcibly converted to Islam, the</w:t>
      </w:r>
      <w:r>
        <w:t xml:space="preserve"> </w:t>
      </w:r>
      <w:r w:rsidRPr="00BB6154">
        <w:t>Civil Status law requires that minor children follow in the religion of the parent who</w:t>
      </w:r>
      <w:r>
        <w:t xml:space="preserve"> embraces the Islamic </w:t>
      </w:r>
      <w:r w:rsidRPr="00BB6154">
        <w:t>religion. This provision leaves no remedy for non-Muslim</w:t>
      </w:r>
      <w:r>
        <w:t xml:space="preserve"> </w:t>
      </w:r>
      <w:r w:rsidRPr="00BB6154">
        <w:t>parents to pass their religious identity onto children once the adult has been registered as</w:t>
      </w:r>
      <w:r>
        <w:t xml:space="preserve"> </w:t>
      </w:r>
      <w:proofErr w:type="gramStart"/>
      <w:r w:rsidRPr="00BB6154">
        <w:t>Muslim, and</w:t>
      </w:r>
      <w:proofErr w:type="gramEnd"/>
      <w:r w:rsidRPr="00BB6154">
        <w:t xml:space="preserve"> prevents children from choosing their own religion as adults. This problem</w:t>
      </w:r>
      <w:r>
        <w:t xml:space="preserve"> </w:t>
      </w:r>
      <w:r w:rsidRPr="00BB6154">
        <w:t xml:space="preserve">is compounded by regulations founded on </w:t>
      </w:r>
      <w:proofErr w:type="spellStart"/>
      <w:r w:rsidRPr="00BB6154">
        <w:t>Shari’ah</w:t>
      </w:r>
      <w:proofErr w:type="spellEnd"/>
      <w:r w:rsidRPr="00BB6154">
        <w:t xml:space="preserve"> Law which prohibit individuals</w:t>
      </w:r>
      <w:r>
        <w:t xml:space="preserve"> </w:t>
      </w:r>
      <w:r w:rsidRPr="00BB6154">
        <w:t>from converting away from the Muslim faith. This is particularly problematic for</w:t>
      </w:r>
      <w:r>
        <w:t xml:space="preserve"> </w:t>
      </w:r>
      <w:r w:rsidRPr="00BB6154">
        <w:t>minorities forcibly converted under the Ba’ath regime or who registered as Muslim who</w:t>
      </w:r>
      <w:r>
        <w:t xml:space="preserve"> </w:t>
      </w:r>
      <w:r w:rsidRPr="00BB6154">
        <w:t>seek new identity documents reflecting their true faith. To date, members of the</w:t>
      </w:r>
      <w:r>
        <w:t xml:space="preserve"> </w:t>
      </w:r>
      <w:proofErr w:type="spellStart"/>
      <w:r w:rsidRPr="00BB6154">
        <w:t>Kaka’i</w:t>
      </w:r>
      <w:proofErr w:type="spellEnd"/>
      <w:r w:rsidRPr="00BB6154">
        <w:t xml:space="preserve">, Baha’i, Christian, Mandaean </w:t>
      </w:r>
      <w:proofErr w:type="spellStart"/>
      <w:r w:rsidRPr="00BB6154">
        <w:t>Sabean</w:t>
      </w:r>
      <w:proofErr w:type="spellEnd"/>
      <w:r w:rsidRPr="00BB6154">
        <w:t>, and Yezidi faiths report that, where</w:t>
      </w:r>
      <w:r>
        <w:t xml:space="preserve"> </w:t>
      </w:r>
      <w:r w:rsidRPr="00BB6154">
        <w:t>families have been forced to adopt Islam for the purposes of identity</w:t>
      </w:r>
      <w:r>
        <w:t xml:space="preserve"> </w:t>
      </w:r>
      <w:r w:rsidRPr="00BB6154">
        <w:t>documentation, they have been unable to change their religious designation despite the legal right to</w:t>
      </w:r>
      <w:r>
        <w:t xml:space="preserve"> practice their faiths.’</w:t>
      </w:r>
      <w:r>
        <w:rPr>
          <w:rStyle w:val="FootnoteReference"/>
        </w:rPr>
        <w:footnoteReference w:id="31"/>
      </w:r>
    </w:p>
    <w:p w:rsidR="00B91D7C" w:rsidRDefault="00B91D7C" w:rsidP="00B91D7C">
      <w:pPr>
        <w:pStyle w:val="ListParagraph"/>
      </w:pPr>
      <w:r>
        <w:t xml:space="preserve">An October 2014 report by the Minority Rights Group International noted: </w:t>
      </w:r>
    </w:p>
    <w:p w:rsidR="002C4174" w:rsidRDefault="00B91D7C" w:rsidP="00B91D7C">
      <w:pPr>
        <w:pStyle w:val="ListParagraph"/>
        <w:numPr>
          <w:ilvl w:val="0"/>
          <w:numId w:val="0"/>
        </w:numPr>
        <w:ind w:left="851"/>
      </w:pPr>
      <w:r>
        <w:t>‘</w:t>
      </w:r>
      <w:r w:rsidRPr="007562C4">
        <w:t xml:space="preserve">Minorities are also disadvantaged by the 1972 Law of Civil Affairs, which makes conversion of minors automatic if either parent converts to </w:t>
      </w:r>
      <w:proofErr w:type="gramStart"/>
      <w:r w:rsidRPr="007562C4">
        <w:t>Islam, but</w:t>
      </w:r>
      <w:proofErr w:type="gramEnd"/>
      <w:r w:rsidRPr="007562C4">
        <w:t xml:space="preserve"> prohibits Muslims from converting to any other faith. This means that children of converts to Christianity, for example, cannot be enrolled in Christian schools. The law particularly disadvantages girls whose parents converted to Islam when they were minors, because of the restrictions on Muslim women marrying non-Muslim men. An illustration of the negative consequences of this law is the case of three girls in Al-</w:t>
      </w:r>
      <w:proofErr w:type="spellStart"/>
      <w:r w:rsidRPr="007562C4">
        <w:t>Hamdaniya</w:t>
      </w:r>
      <w:proofErr w:type="spellEnd"/>
      <w:r w:rsidRPr="007562C4">
        <w:t xml:space="preserve"> who had been living their lives as Christians, only to discover when one of them tried to get married to a Christian man that they were registered as Muslims in the civil registry, and therefore prohibited from marryin</w:t>
      </w:r>
      <w:r w:rsidR="005666E7">
        <w:t xml:space="preserve">g spouses from other faiths. </w:t>
      </w:r>
      <w:r w:rsidRPr="007562C4">
        <w:t xml:space="preserve">Many minority activists have been lobbying for a unified personal status law which would allow all citizens to choose their religion for themselves, as well as a civil marriage law which would allow adherents of </w:t>
      </w:r>
      <w:r w:rsidRPr="007562C4">
        <w:lastRenderedPageBreak/>
        <w:t>all religious to decide on matters related to marriage and inherit</w:t>
      </w:r>
      <w:r>
        <w:t>ance without regard to religion’.</w:t>
      </w:r>
      <w:r>
        <w:rPr>
          <w:rStyle w:val="FootnoteReference"/>
        </w:rPr>
        <w:footnoteReference w:id="32"/>
      </w:r>
    </w:p>
    <w:p w:rsidR="00A95290" w:rsidRDefault="00A95290" w:rsidP="00A95290">
      <w:pPr>
        <w:pStyle w:val="ListParagraph"/>
      </w:pPr>
      <w:r>
        <w:t xml:space="preserve">USSD 2014 noted: </w:t>
      </w:r>
    </w:p>
    <w:p w:rsidR="00A95290" w:rsidRDefault="00A95290" w:rsidP="00A95290">
      <w:pPr>
        <w:pStyle w:val="ListParagraph"/>
        <w:numPr>
          <w:ilvl w:val="0"/>
          <w:numId w:val="0"/>
        </w:numPr>
        <w:ind w:left="851"/>
      </w:pPr>
      <w:r>
        <w:t>‘Personal status laws and regulations prevent the conversion of Muslims to other religions and require conversion of minor children to Islam if either parent converts to Islam. In the IKR [Iraqi Kurdistan Region], there were several cases of Christian single-parent families affected by the conversion policy, which applies to all religious minorities. In some cases, the Christian parent fled with the minor children to avoid conversion of the children to Islam.’</w:t>
      </w:r>
      <w:r>
        <w:rPr>
          <w:rStyle w:val="FootnoteReference"/>
        </w:rPr>
        <w:footnoteReference w:id="33"/>
      </w:r>
    </w:p>
    <w:p w:rsidR="00BB3537" w:rsidRDefault="00BB3537" w:rsidP="00A95290">
      <w:pPr>
        <w:pStyle w:val="ListParagraph"/>
      </w:pPr>
      <w:r>
        <w:t>A fact-</w:t>
      </w:r>
      <w:r w:rsidR="00A95290">
        <w:t>finding mission report published in April 2016 by the Danish Immigration Service</w:t>
      </w:r>
      <w:r>
        <w:t>/Danish Refugee Council</w:t>
      </w:r>
      <w:r w:rsidR="00D7366C">
        <w:t xml:space="preserve"> (‘the Danish report’)</w:t>
      </w:r>
      <w:r>
        <w:t xml:space="preserve"> noted:</w:t>
      </w:r>
    </w:p>
    <w:p w:rsidR="00A95290" w:rsidRDefault="00A95290" w:rsidP="00BB3537">
      <w:pPr>
        <w:pStyle w:val="ListParagraph"/>
        <w:numPr>
          <w:ilvl w:val="0"/>
          <w:numId w:val="0"/>
        </w:numPr>
        <w:ind w:left="851"/>
      </w:pPr>
      <w:r>
        <w:t>‘</w:t>
      </w:r>
      <w:r w:rsidRPr="00E37FE2">
        <w:t>The law discriminates with regard to conversion, as Muslims are not allowed to convert, whereas</w:t>
      </w:r>
      <w:r>
        <w:t xml:space="preserve"> </w:t>
      </w:r>
      <w:r w:rsidRPr="00E37FE2">
        <w:t>it is possible to conver</w:t>
      </w:r>
      <w:r w:rsidR="00BB3537">
        <w:t>t from other religions to Islam...</w:t>
      </w:r>
      <w:r w:rsidRPr="00E37FE2">
        <w:t>After the meeting with the delegation, the sources informed that this is a big issue</w:t>
      </w:r>
      <w:r>
        <w:t xml:space="preserve"> </w:t>
      </w:r>
      <w:r w:rsidRPr="00E37FE2">
        <w:t>right now in Iraq, especially during the last couple of weeks, as the Iraqi Parliament has passed a</w:t>
      </w:r>
      <w:r>
        <w:t xml:space="preserve"> </w:t>
      </w:r>
      <w:r w:rsidRPr="00E37FE2">
        <w:t>new law, part of the National Card law, that enforces Islamic religion on children of mixed</w:t>
      </w:r>
      <w:r>
        <w:t xml:space="preserve"> marriages.</w:t>
      </w:r>
      <w:r w:rsidRPr="00E37FE2">
        <w:t xml:space="preserve"> Under past regimes, the </w:t>
      </w:r>
      <w:proofErr w:type="spellStart"/>
      <w:r w:rsidRPr="00E37FE2">
        <w:t>Kakais</w:t>
      </w:r>
      <w:proofErr w:type="spellEnd"/>
      <w:r w:rsidRPr="00E37FE2">
        <w:t xml:space="preserve"> have registered at the authorities as Muslims </w:t>
      </w:r>
      <w:proofErr w:type="gramStart"/>
      <w:r w:rsidRPr="00E37FE2">
        <w:t>in order</w:t>
      </w:r>
      <w:r>
        <w:t xml:space="preserve"> </w:t>
      </w:r>
      <w:r w:rsidRPr="00E37FE2">
        <w:t>to</w:t>
      </w:r>
      <w:proofErr w:type="gramEnd"/>
      <w:r w:rsidRPr="00E37FE2">
        <w:t xml:space="preserve"> protect themselves. Now they are not allowed to change back t</w:t>
      </w:r>
      <w:r>
        <w:t>o their original religion’.</w:t>
      </w:r>
      <w:r>
        <w:rPr>
          <w:rStyle w:val="FootnoteReference"/>
        </w:rPr>
        <w:footnoteReference w:id="34"/>
      </w:r>
    </w:p>
    <w:p w:rsidR="00A95290" w:rsidRDefault="00A95290" w:rsidP="00A95290">
      <w:pPr>
        <w:pStyle w:val="ListParagraph"/>
      </w:pPr>
      <w:r>
        <w:t xml:space="preserve">For more information about conversion/apostasy, see a response by the </w:t>
      </w:r>
      <w:hyperlink r:id="rId32" w:history="1">
        <w:r w:rsidRPr="00C23982">
          <w:rPr>
            <w:rStyle w:val="Hyperlink"/>
          </w:rPr>
          <w:t>Immigration and Refugee Board of Canada, covering the period 2011 – July 2014</w:t>
        </w:r>
      </w:hyperlink>
    </w:p>
    <w:p w:rsidR="00122269" w:rsidRDefault="00882A02" w:rsidP="006932EF">
      <w:pPr>
        <w:pStyle w:val="ListParagraph"/>
        <w:numPr>
          <w:ilvl w:val="0"/>
          <w:numId w:val="0"/>
        </w:numPr>
        <w:ind w:left="6611"/>
      </w:pPr>
      <w:r>
        <w:t xml:space="preserve">        </w:t>
      </w:r>
      <w:hyperlink w:anchor="contents" w:history="1">
        <w:r w:rsidRPr="00882A02">
          <w:rPr>
            <w:rStyle w:val="Hyperlink"/>
            <w:szCs w:val="24"/>
          </w:rPr>
          <w:t>Back to Contents</w:t>
        </w:r>
      </w:hyperlink>
    </w:p>
    <w:p w:rsidR="00410F44" w:rsidRPr="008F36FA" w:rsidRDefault="007437CC" w:rsidP="008F36FA">
      <w:pPr>
        <w:pStyle w:val="Heading3"/>
      </w:pPr>
      <w:bookmarkStart w:id="38" w:name="_Mistreatment_by_the"/>
      <w:bookmarkStart w:id="39" w:name="_Toc458760064"/>
      <w:bookmarkEnd w:id="38"/>
      <w:r>
        <w:t>Mistreatment</w:t>
      </w:r>
      <w:r w:rsidR="008F36FA">
        <w:t xml:space="preserve"> by the </w:t>
      </w:r>
      <w:r w:rsidR="00410F44" w:rsidRPr="008F36FA">
        <w:t>Government of Iraq (</w:t>
      </w:r>
      <w:proofErr w:type="spellStart"/>
      <w:r w:rsidR="00410F44" w:rsidRPr="008F36FA">
        <w:t>GoI</w:t>
      </w:r>
      <w:proofErr w:type="spellEnd"/>
      <w:r w:rsidR="00410F44" w:rsidRPr="008F36FA">
        <w:t>)</w:t>
      </w:r>
      <w:bookmarkEnd w:id="39"/>
    </w:p>
    <w:p w:rsidR="00AA63F8" w:rsidRDefault="00AA63F8" w:rsidP="00AA63F8">
      <w:pPr>
        <w:pStyle w:val="ListParagraph"/>
      </w:pPr>
      <w:r>
        <w:t xml:space="preserve">USSD 2014 noted: </w:t>
      </w:r>
    </w:p>
    <w:p w:rsidR="00AA63F8" w:rsidRDefault="00AA63F8" w:rsidP="00AA63F8">
      <w:pPr>
        <w:pStyle w:val="ListParagraph"/>
        <w:numPr>
          <w:ilvl w:val="0"/>
          <w:numId w:val="0"/>
        </w:numPr>
        <w:ind w:left="851"/>
      </w:pPr>
      <w:r>
        <w:t>‘Because religion, politics, and ethnicity are often closely linked, it is difficult to categorize many incidents as being solely based on religious identity. There were reports the central government engaged in killings, kidnappings, arrests, detentions, restrictions, and discrimination based on religious affiliation.’</w:t>
      </w:r>
      <w:r>
        <w:rPr>
          <w:rStyle w:val="FootnoteReference"/>
        </w:rPr>
        <w:footnoteReference w:id="35"/>
      </w:r>
    </w:p>
    <w:p w:rsidR="0048342C" w:rsidRDefault="0048342C" w:rsidP="0048342C">
      <w:pPr>
        <w:pStyle w:val="ListParagraph"/>
      </w:pPr>
      <w:r>
        <w:lastRenderedPageBreak/>
        <w:t>A joint report by the Office of the United Nations High Commissioner for Human Rights (UNHCR) and the United Nations Assistance Mission for Iraq (UNAMI), covering the period 1 May to 31 October 2015, received only one report of an alleged attack by government-associated forces against members of an ethnic or religious community.</w:t>
      </w:r>
      <w:r>
        <w:rPr>
          <w:rStyle w:val="FootnoteReference"/>
        </w:rPr>
        <w:footnoteReference w:id="36"/>
      </w:r>
    </w:p>
    <w:p w:rsidR="00745B58" w:rsidRPr="00745B58" w:rsidRDefault="00745B58" w:rsidP="00745B58">
      <w:pPr>
        <w:pStyle w:val="ListParagraph"/>
      </w:pPr>
      <w:r w:rsidRPr="00745B58">
        <w:t>Heartland Alliance International reported the confiscation of Christian properties in Baghdad, particularly in middle- and upper- class neighbourhoods in al-</w:t>
      </w:r>
      <w:proofErr w:type="spellStart"/>
      <w:r w:rsidRPr="00745B58">
        <w:t>Karrada</w:t>
      </w:r>
      <w:proofErr w:type="spellEnd"/>
      <w:r w:rsidRPr="00745B58">
        <w:t xml:space="preserve"> district. It commented:</w:t>
      </w:r>
    </w:p>
    <w:p w:rsidR="00745B58" w:rsidRPr="00745B58" w:rsidRDefault="00745B58" w:rsidP="00745B58">
      <w:pPr>
        <w:pStyle w:val="ListParagraph"/>
        <w:numPr>
          <w:ilvl w:val="0"/>
          <w:numId w:val="0"/>
        </w:numPr>
        <w:ind w:left="851"/>
      </w:pPr>
      <w:r w:rsidRPr="00745B58">
        <w:t>‘Many Christians return home to find that their homes and properties have been seized by the central government and resold...Seizure of property is often carried out by parties and persons claiming to have powerful political connections, which can discourage owners from challenging the seizure...</w:t>
      </w:r>
      <w:r w:rsidR="00B92F02">
        <w:t>However, even when Christian property owners transfer property to one of these parties albeit through legal transactions, these owners are frequently acting under duress...</w:t>
      </w:r>
      <w:r w:rsidRPr="00745B58">
        <w:t>Most Christians refuse to file complaints against the practice out of fear that their family members would be abducted by affiliates of the confiscators.’</w:t>
      </w:r>
      <w:r w:rsidRPr="00745B58">
        <w:rPr>
          <w:rStyle w:val="FootnoteReference"/>
        </w:rPr>
        <w:footnoteReference w:id="37"/>
      </w:r>
    </w:p>
    <w:p w:rsidR="00745B58" w:rsidRDefault="00745B58" w:rsidP="00745B58">
      <w:pPr>
        <w:pStyle w:val="ListParagraph"/>
      </w:pPr>
      <w:r w:rsidRPr="00745B58">
        <w:t>The report noted that the Supreme Judicial Council had, in February 2015, ‘enacted strict measures on this issue’, although ‘despite these judiciary measures, property seizure is still taking place without penalty.’</w:t>
      </w:r>
      <w:r w:rsidRPr="00745B58">
        <w:rPr>
          <w:rStyle w:val="FootnoteReference"/>
        </w:rPr>
        <w:footnoteReference w:id="38"/>
      </w:r>
      <w:r w:rsidRPr="00745B58">
        <w:t xml:space="preserve"> </w:t>
      </w:r>
    </w:p>
    <w:p w:rsidR="005C3888" w:rsidRDefault="005C3888" w:rsidP="005C3888">
      <w:pPr>
        <w:pStyle w:val="ListParagraph"/>
      </w:pPr>
      <w:r w:rsidRPr="005C3888">
        <w:t>The source commented that Yezidis met with complicated procedures at entry points, particularly at Baghdad’s southern crossing. At al-</w:t>
      </w:r>
      <w:proofErr w:type="spellStart"/>
      <w:r w:rsidRPr="005C3888">
        <w:t>Shaap</w:t>
      </w:r>
      <w:proofErr w:type="spellEnd"/>
      <w:r w:rsidRPr="005C3888">
        <w:t xml:space="preserve"> checkpoint in Baghdad, Yezidis are required to provide a sponsorship document signed by a Baghdad citizen.</w:t>
      </w:r>
      <w:r w:rsidRPr="005C3888">
        <w:rPr>
          <w:rStyle w:val="FootnoteReference"/>
        </w:rPr>
        <w:footnoteReference w:id="39"/>
      </w:r>
      <w:r w:rsidRPr="005C3888">
        <w:t xml:space="preserve"> </w:t>
      </w:r>
    </w:p>
    <w:p w:rsidR="00BF7D9E" w:rsidRDefault="00B70E70" w:rsidP="008F36FA">
      <w:pPr>
        <w:pStyle w:val="ListParagraph"/>
      </w:pPr>
      <w:r>
        <w:t xml:space="preserve">The Heartland Alliance </w:t>
      </w:r>
      <w:r w:rsidR="00BF7D9E">
        <w:t xml:space="preserve">International report noted: </w:t>
      </w:r>
    </w:p>
    <w:p w:rsidR="008F36FA" w:rsidRDefault="00BF7D9E" w:rsidP="00BF7D9E">
      <w:pPr>
        <w:pStyle w:val="ListParagraph"/>
        <w:numPr>
          <w:ilvl w:val="0"/>
          <w:numId w:val="0"/>
        </w:numPr>
        <w:ind w:left="851"/>
      </w:pPr>
      <w:r>
        <w:t>‘</w:t>
      </w:r>
      <w:r w:rsidR="00B70E70">
        <w:t>Yezidi citizens frequently complained about complicated procedures at entry points into certain Iraqi governorates, particularly through Baghdad’s southern crossing point. Strict entry requirements frequently prevent Yezidis from crossing the border to conduct routine transactions, such as going to work in restaurants and entertainment clubs or obtaining official documents like passports. At the al-</w:t>
      </w:r>
      <w:proofErr w:type="spellStart"/>
      <w:r w:rsidR="00B70E70">
        <w:t>Shaap</w:t>
      </w:r>
      <w:proofErr w:type="spellEnd"/>
      <w:r w:rsidR="00B70E70">
        <w:t xml:space="preserve"> checkpoint on the Bagdad border, Yezidis </w:t>
      </w:r>
      <w:r w:rsidR="00B70E70">
        <w:lastRenderedPageBreak/>
        <w:t>entering the city are requested to provide a sponsorship document signed by a Baghdadi citizen before being granted entry.</w:t>
      </w:r>
      <w:r w:rsidR="00991C3B">
        <w:t xml:space="preserve"> </w:t>
      </w:r>
      <w:proofErr w:type="spellStart"/>
      <w:r w:rsidR="00B70E70">
        <w:t>Masarat</w:t>
      </w:r>
      <w:proofErr w:type="spellEnd"/>
      <w:r w:rsidR="00B70E70">
        <w:t xml:space="preserve"> spoke with a trucker on the </w:t>
      </w:r>
      <w:proofErr w:type="spellStart"/>
      <w:r w:rsidR="00B70E70">
        <w:t>Dohuk</w:t>
      </w:r>
      <w:proofErr w:type="spellEnd"/>
      <w:r w:rsidR="00B70E70">
        <w:t>-Baghdad road, who informed interviewers that some religious minorities received special treatment when attempting to enter Baghdad, but Yezidis were not among that number. “There is a special context adopted by security members towards the sons of the Yezidi religion.”’</w:t>
      </w:r>
      <w:r w:rsidR="00B70E70" w:rsidRPr="00B336A3">
        <w:rPr>
          <w:rStyle w:val="FootnoteReference"/>
        </w:rPr>
        <w:footnoteReference w:id="40"/>
      </w:r>
    </w:p>
    <w:p w:rsidR="008F36FA" w:rsidRPr="00237ADC" w:rsidRDefault="008F36FA" w:rsidP="00F62E35">
      <w:pPr>
        <w:pStyle w:val="ListParagraph"/>
        <w:numPr>
          <w:ilvl w:val="0"/>
          <w:numId w:val="0"/>
        </w:numPr>
        <w:ind w:left="6611"/>
      </w:pPr>
      <w:r>
        <w:t xml:space="preserve">        </w:t>
      </w:r>
      <w:hyperlink w:anchor="contents" w:history="1">
        <w:r w:rsidRPr="008F36FA">
          <w:rPr>
            <w:rStyle w:val="Hyperlink"/>
            <w:szCs w:val="24"/>
          </w:rPr>
          <w:t>Back to Contents</w:t>
        </w:r>
      </w:hyperlink>
    </w:p>
    <w:p w:rsidR="008F36FA" w:rsidRPr="008F36FA" w:rsidRDefault="008F36FA" w:rsidP="008F36FA">
      <w:pPr>
        <w:pStyle w:val="Heading3"/>
      </w:pPr>
      <w:bookmarkStart w:id="40" w:name="_Mistreatment_by_the_1"/>
      <w:bookmarkStart w:id="41" w:name="_Toc458760065"/>
      <w:bookmarkEnd w:id="40"/>
      <w:r>
        <w:t xml:space="preserve">Mistreatment by the </w:t>
      </w:r>
      <w:r w:rsidR="00AA63F8" w:rsidRPr="00AA63F8">
        <w:t>Kurdistan Regional Government (KRG)</w:t>
      </w:r>
      <w:bookmarkEnd w:id="41"/>
    </w:p>
    <w:p w:rsidR="00ED1A6F" w:rsidRDefault="00273161" w:rsidP="00697080">
      <w:pPr>
        <w:pStyle w:val="ListParagraph"/>
      </w:pPr>
      <w:r>
        <w:t xml:space="preserve">USSD 2014 </w:t>
      </w:r>
      <w:r w:rsidR="00ED1A6F">
        <w:t>noted</w:t>
      </w:r>
      <w:r w:rsidR="00697080">
        <w:t xml:space="preserve">: </w:t>
      </w:r>
      <w:r w:rsidR="00ED1A6F">
        <w:t>‘Because religion, politics, and ethnicity are often closely linked, it is difficult to categorize many incidents as being sole</w:t>
      </w:r>
      <w:r w:rsidR="00697080">
        <w:t>ly based on religious identity...</w:t>
      </w:r>
      <w:r w:rsidR="00ED1A6F">
        <w:t>There were relatively fewer reports</w:t>
      </w:r>
      <w:r w:rsidR="00697080">
        <w:t xml:space="preserve"> [than those related to </w:t>
      </w:r>
      <w:proofErr w:type="spellStart"/>
      <w:r w:rsidR="00697080">
        <w:t>GoI</w:t>
      </w:r>
      <w:proofErr w:type="spellEnd"/>
      <w:r w:rsidR="00697080">
        <w:t>]</w:t>
      </w:r>
      <w:r w:rsidR="00ED1A6F">
        <w:t xml:space="preserve"> of official abuse and discrimination based on religious affiliat</w:t>
      </w:r>
      <w:r w:rsidR="00697080">
        <w:t>ion in the IKR...</w:t>
      </w:r>
      <w:r w:rsidR="00ED1A6F">
        <w:t>’</w:t>
      </w:r>
      <w:r w:rsidR="00ED1A6F">
        <w:rPr>
          <w:rStyle w:val="FootnoteReference"/>
        </w:rPr>
        <w:footnoteReference w:id="41"/>
      </w:r>
    </w:p>
    <w:p w:rsidR="00B35098" w:rsidRDefault="00A16A39" w:rsidP="00B35098">
      <w:pPr>
        <w:pStyle w:val="ListParagraph"/>
      </w:pPr>
      <w:r>
        <w:t xml:space="preserve">The </w:t>
      </w:r>
      <w:r w:rsidR="00745B58">
        <w:t xml:space="preserve">source further noted: </w:t>
      </w:r>
    </w:p>
    <w:p w:rsidR="00B35098" w:rsidRDefault="00B35098" w:rsidP="00B35098">
      <w:pPr>
        <w:pStyle w:val="ListParagraph"/>
        <w:numPr>
          <w:ilvl w:val="0"/>
          <w:numId w:val="0"/>
        </w:numPr>
        <w:ind w:left="851"/>
      </w:pPr>
      <w:r>
        <w:t xml:space="preserve">‘... Yezidi and Christian political and civil society leaders stated that Kurdish Peshmerga and </w:t>
      </w:r>
      <w:proofErr w:type="spellStart"/>
      <w:r>
        <w:t>Asayish</w:t>
      </w:r>
      <w:proofErr w:type="spellEnd"/>
      <w:r>
        <w:t xml:space="preserve"> forces harassed and committed abuses against their communities in the portion of </w:t>
      </w:r>
      <w:proofErr w:type="spellStart"/>
      <w:r>
        <w:t>Ninewa</w:t>
      </w:r>
      <w:proofErr w:type="spellEnd"/>
      <w:r>
        <w:t xml:space="preserve"> Province controlled by the KRG or contested between the central government and the KRG. Both activists and members of the Iraqi Kurdistan Parliament stated that KRG security officials held some Yezidis in arbitrary detention both before and after ISIL</w:t>
      </w:r>
      <w:r w:rsidR="00B0257E">
        <w:t xml:space="preserve"> [Daesh]</w:t>
      </w:r>
      <w:r>
        <w:t xml:space="preserve"> occupied the Sinjar district of </w:t>
      </w:r>
      <w:proofErr w:type="spellStart"/>
      <w:r>
        <w:t>Ninewa</w:t>
      </w:r>
      <w:proofErr w:type="spellEnd"/>
      <w:r>
        <w:t>.</w:t>
      </w:r>
    </w:p>
    <w:p w:rsidR="007437CC" w:rsidRDefault="00B35098" w:rsidP="007437CC">
      <w:pPr>
        <w:pStyle w:val="ListParagraph"/>
        <w:numPr>
          <w:ilvl w:val="0"/>
          <w:numId w:val="0"/>
        </w:numPr>
        <w:ind w:left="851"/>
      </w:pPr>
      <w:r>
        <w:t xml:space="preserve"> ‘Human rights NGOs and Yezidi leaders stated KRG authorities discriminated against some groups of </w:t>
      </w:r>
      <w:proofErr w:type="gramStart"/>
      <w:r>
        <w:t>Yezidi</w:t>
      </w:r>
      <w:proofErr w:type="gramEnd"/>
      <w:r>
        <w:t xml:space="preserve">, Christian and </w:t>
      </w:r>
      <w:proofErr w:type="spellStart"/>
      <w:r>
        <w:t>Kakai</w:t>
      </w:r>
      <w:proofErr w:type="spellEnd"/>
      <w:r>
        <w:t xml:space="preserve"> IDPs in providing humanitarian assistance in the IKR. There were also reports that KRG authorities prevented individuals whom they deemed security </w:t>
      </w:r>
      <w:r w:rsidR="00A03F76">
        <w:t>threats from entering the IKR [although]...</w:t>
      </w:r>
      <w:r>
        <w:t>Kurdish authorities generally admitted eth</w:t>
      </w:r>
      <w:r w:rsidR="00A03F76">
        <w:t>nic and religious minority IDPs</w:t>
      </w:r>
      <w:r w:rsidR="00A3348A">
        <w:t>.</w:t>
      </w:r>
      <w:r w:rsidR="00A03F76">
        <w:t xml:space="preserve"> </w:t>
      </w:r>
      <w:proofErr w:type="gramStart"/>
      <w:r w:rsidR="00991C3B">
        <w:t>.</w:t>
      </w:r>
      <w:proofErr w:type="spellStart"/>
      <w:r>
        <w:t>Kakai</w:t>
      </w:r>
      <w:proofErr w:type="spellEnd"/>
      <w:proofErr w:type="gramEnd"/>
      <w:r>
        <w:t xml:space="preserve"> IDPs in Erbil also reported pressure from provincial authorities to move from a primarily Christian suburb to IDP camps. In September a provincial official reportedly threatened to move </w:t>
      </w:r>
      <w:proofErr w:type="spellStart"/>
      <w:r>
        <w:t>Kakai</w:t>
      </w:r>
      <w:proofErr w:type="spellEnd"/>
      <w:r>
        <w:t xml:space="preserve"> IDPs to a camp by force </w:t>
      </w:r>
      <w:r w:rsidR="007437CC">
        <w:t>if they did not go voluntarily...</w:t>
      </w:r>
    </w:p>
    <w:p w:rsidR="00B35098" w:rsidRDefault="007437CC" w:rsidP="007437CC">
      <w:pPr>
        <w:pStyle w:val="ListParagraph"/>
        <w:numPr>
          <w:ilvl w:val="0"/>
          <w:numId w:val="0"/>
        </w:numPr>
        <w:ind w:left="851"/>
      </w:pPr>
      <w:r>
        <w:t>‘</w:t>
      </w:r>
      <w:r w:rsidR="00B35098">
        <w:t xml:space="preserve">Some Christians in the Disputed Internal Boundaries Areas reported that false claims of land ownership by local officials blocked Christians from building on land that the Christians said was their property. </w:t>
      </w:r>
      <w:r w:rsidR="00A3348A">
        <w:t xml:space="preserve">According to a human rights NGO, one such dispute near </w:t>
      </w:r>
      <w:proofErr w:type="spellStart"/>
      <w:r w:rsidR="00A3348A">
        <w:t>Shaqlawa</w:t>
      </w:r>
      <w:proofErr w:type="spellEnd"/>
      <w:r w:rsidR="00A3348A">
        <w:t xml:space="preserve"> prevented the construction of dwellings for primarily Christian IDPs. </w:t>
      </w:r>
      <w:r w:rsidR="00B35098">
        <w:t xml:space="preserve">A Yezidi activist stated that local Kurdish officials in the village of Ain </w:t>
      </w:r>
      <w:proofErr w:type="spellStart"/>
      <w:r w:rsidR="00B35098">
        <w:t>Sifne</w:t>
      </w:r>
      <w:proofErr w:type="spellEnd"/>
      <w:r w:rsidR="00B35098">
        <w:t xml:space="preserve"> in the </w:t>
      </w:r>
      <w:proofErr w:type="spellStart"/>
      <w:r w:rsidR="00B35098">
        <w:t>Shaykhan</w:t>
      </w:r>
      <w:proofErr w:type="spellEnd"/>
      <w:r w:rsidR="00B35098">
        <w:t xml:space="preserve"> district </w:t>
      </w:r>
      <w:r w:rsidR="00B35098">
        <w:lastRenderedPageBreak/>
        <w:t xml:space="preserve">of </w:t>
      </w:r>
      <w:proofErr w:type="spellStart"/>
      <w:r w:rsidR="00B35098">
        <w:t>Ninewa</w:t>
      </w:r>
      <w:proofErr w:type="spellEnd"/>
      <w:r w:rsidR="00B35098">
        <w:t xml:space="preserve"> continued to pressure local Yezidis to swap their land for larger amounts of poorer quality land elsewhere, </w:t>
      </w:r>
      <w:proofErr w:type="gramStart"/>
      <w:r w:rsidR="00B35098">
        <w:t>in an effort to</w:t>
      </w:r>
      <w:proofErr w:type="gramEnd"/>
      <w:r w:rsidR="00B35098">
        <w:t xml:space="preserve"> “</w:t>
      </w:r>
      <w:proofErr w:type="spellStart"/>
      <w:r w:rsidR="00B35098">
        <w:t>Kurdify</w:t>
      </w:r>
      <w:proofErr w:type="spellEnd"/>
      <w:r w:rsidR="00B35098">
        <w:t>” the area.’</w:t>
      </w:r>
      <w:r w:rsidR="00B35098">
        <w:rPr>
          <w:rStyle w:val="FootnoteReference"/>
        </w:rPr>
        <w:footnoteReference w:id="42"/>
      </w:r>
    </w:p>
    <w:p w:rsidR="00B35098" w:rsidRDefault="00ED1A6F" w:rsidP="00B35098">
      <w:pPr>
        <w:pStyle w:val="ListParagraph"/>
      </w:pPr>
      <w:r>
        <w:t>The source also commented on the lack of representation of religious minorities</w:t>
      </w:r>
      <w:r w:rsidR="00B35098">
        <w:t xml:space="preserve">: </w:t>
      </w:r>
    </w:p>
    <w:p w:rsidR="007437CC" w:rsidRDefault="00B35098" w:rsidP="007437CC">
      <w:pPr>
        <w:pStyle w:val="ListParagraph"/>
        <w:numPr>
          <w:ilvl w:val="0"/>
          <w:numId w:val="0"/>
        </w:numPr>
        <w:ind w:left="851"/>
      </w:pPr>
      <w:r>
        <w:t>‘Members of minority religious groups held senior positions in the national parliament and central government, as well as in the KRG, although they were proportionally underrepresented in the unelected government workforce, particularly at the provincial and local levels. Minority group leaders said this underrepresentation limited minority groups’ access to government-p</w:t>
      </w:r>
      <w:r w:rsidR="007437CC">
        <w:t>rovided economic opportunities...</w:t>
      </w:r>
    </w:p>
    <w:p w:rsidR="00697CA7" w:rsidRDefault="00ED1A6F" w:rsidP="00697CA7">
      <w:pPr>
        <w:pStyle w:val="ListParagraph"/>
        <w:numPr>
          <w:ilvl w:val="0"/>
          <w:numId w:val="0"/>
        </w:numPr>
        <w:ind w:left="851"/>
      </w:pPr>
      <w:r>
        <w:t>‘</w:t>
      </w:r>
      <w:r w:rsidR="00B35098">
        <w:t xml:space="preserve">Non-Muslims throughout the country, including Christians, Yezidis, and </w:t>
      </w:r>
      <w:proofErr w:type="spellStart"/>
      <w:r w:rsidR="00B35098">
        <w:t>Sabean</w:t>
      </w:r>
      <w:proofErr w:type="spellEnd"/>
      <w:r w:rsidR="00B35098">
        <w:t>-Mandaeans, stated they were being politically isolated by the Muslim majority because of religious differences.</w:t>
      </w:r>
      <w:r>
        <w:t>..’</w:t>
      </w:r>
      <w:r>
        <w:rPr>
          <w:rStyle w:val="FootnoteReference"/>
        </w:rPr>
        <w:footnoteReference w:id="43"/>
      </w:r>
    </w:p>
    <w:p w:rsidR="007437CC" w:rsidRDefault="00882A02" w:rsidP="007437CC">
      <w:pPr>
        <w:pStyle w:val="ListParagraph"/>
      </w:pPr>
      <w:r>
        <w:t xml:space="preserve">The Minority Rights Group report </w:t>
      </w:r>
      <w:r w:rsidR="007437CC">
        <w:t>commented on the Yezidis:</w:t>
      </w:r>
    </w:p>
    <w:p w:rsidR="00B90161" w:rsidRDefault="00B90161" w:rsidP="007437CC">
      <w:pPr>
        <w:pStyle w:val="ListParagraph"/>
        <w:numPr>
          <w:ilvl w:val="0"/>
          <w:numId w:val="0"/>
        </w:numPr>
        <w:ind w:left="851"/>
      </w:pPr>
      <w:r>
        <w:t>‘Despite their distinct identity, some community members as well as Kurds consider Yezidis ethnically Kurdish. This reportedly has created conflict within the community and pressure from Kurdish officials and Kurdish</w:t>
      </w:r>
      <w:r w:rsidR="00080C4A">
        <w:t>-identifying community members...</w:t>
      </w:r>
      <w:r>
        <w:t xml:space="preserve"> Prior to June 2014, numerous incidents of arbitrary arrest, discrimination and other abuses against the community were reported by human rights groups.’</w:t>
      </w:r>
      <w:r>
        <w:rPr>
          <w:rStyle w:val="FootnoteReference"/>
        </w:rPr>
        <w:footnoteReference w:id="44"/>
      </w:r>
    </w:p>
    <w:p w:rsidR="000D46DD" w:rsidRDefault="000D46DD" w:rsidP="000D46DD">
      <w:pPr>
        <w:pStyle w:val="ListParagraph"/>
      </w:pPr>
      <w:r w:rsidRPr="005C3888">
        <w:t>Heartland Alliance Internati</w:t>
      </w:r>
      <w:r w:rsidR="002D10F3" w:rsidRPr="005C3888">
        <w:t xml:space="preserve">onal </w:t>
      </w:r>
      <w:r w:rsidR="00543139" w:rsidRPr="005C3888">
        <w:t>reported ‘several’ arbitrary arrests by the Kurdish security forces (‘</w:t>
      </w:r>
      <w:proofErr w:type="spellStart"/>
      <w:r w:rsidR="00543139" w:rsidRPr="005C3888">
        <w:t>Asayesh</w:t>
      </w:r>
      <w:proofErr w:type="spellEnd"/>
      <w:r w:rsidR="00543139" w:rsidRPr="005C3888">
        <w:t>’) of Yezidi activists in the KRI between May and August 2015. The source commented: ‘Yezidi activists describe these arbitrary arrests as tantamount to kidnapping operations despite taking place under the guise of legitimate political activity.’</w:t>
      </w:r>
      <w:r w:rsidR="00303464" w:rsidRPr="005C3888">
        <w:rPr>
          <w:rStyle w:val="FootnoteReference"/>
        </w:rPr>
        <w:footnoteReference w:id="45"/>
      </w:r>
      <w:r w:rsidR="00543139" w:rsidRPr="005C3888">
        <w:t xml:space="preserve">  </w:t>
      </w:r>
    </w:p>
    <w:p w:rsidR="00311B4B" w:rsidRDefault="00882A02" w:rsidP="00275C95">
      <w:pPr>
        <w:pStyle w:val="ListParagraph"/>
        <w:numPr>
          <w:ilvl w:val="0"/>
          <w:numId w:val="0"/>
        </w:numPr>
        <w:ind w:left="6480"/>
      </w:pPr>
      <w:r>
        <w:t xml:space="preserve">          </w:t>
      </w:r>
      <w:hyperlink w:anchor="contents" w:history="1">
        <w:r w:rsidRPr="00882A02">
          <w:rPr>
            <w:rStyle w:val="Hyperlink"/>
            <w:szCs w:val="24"/>
          </w:rPr>
          <w:t>Back to Contents</w:t>
        </w:r>
      </w:hyperlink>
    </w:p>
    <w:p w:rsidR="00237ADC" w:rsidRPr="00237ADC" w:rsidRDefault="00B35098" w:rsidP="00237ADC">
      <w:pPr>
        <w:pStyle w:val="Heading2"/>
      </w:pPr>
      <w:bookmarkStart w:id="42" w:name="_Non-state_treatment,_including"/>
      <w:bookmarkStart w:id="43" w:name="_Non-state_(Daesh)_treatment"/>
      <w:bookmarkStart w:id="44" w:name="_Non-state_treatment"/>
      <w:bookmarkStart w:id="45" w:name="_Toc458760066"/>
      <w:bookmarkEnd w:id="42"/>
      <w:bookmarkEnd w:id="43"/>
      <w:bookmarkEnd w:id="44"/>
      <w:r>
        <w:t>Non-state</w:t>
      </w:r>
      <w:r w:rsidR="0029152A">
        <w:t xml:space="preserve"> </w:t>
      </w:r>
      <w:r>
        <w:t>treatment</w:t>
      </w:r>
      <w:bookmarkEnd w:id="45"/>
      <w:r>
        <w:t xml:space="preserve"> </w:t>
      </w:r>
    </w:p>
    <w:p w:rsidR="00813347" w:rsidRPr="00813347" w:rsidRDefault="0029152A" w:rsidP="00EC4983">
      <w:pPr>
        <w:pStyle w:val="Heading3"/>
      </w:pPr>
      <w:bookmarkStart w:id="46" w:name="_Daesh"/>
      <w:bookmarkStart w:id="47" w:name="_Toc458760067"/>
      <w:bookmarkEnd w:id="46"/>
      <w:r>
        <w:t>Daesh</w:t>
      </w:r>
      <w:bookmarkEnd w:id="47"/>
      <w:r w:rsidR="000D46DD">
        <w:t xml:space="preserve"> </w:t>
      </w:r>
    </w:p>
    <w:p w:rsidR="00EC4983" w:rsidRDefault="00EC4983" w:rsidP="00EC4983">
      <w:pPr>
        <w:pStyle w:val="ListParagraph"/>
      </w:pPr>
      <w:r>
        <w:t>The latest Position on Returns paper by the UN High Commissioner for Refugees (UNHCR), da</w:t>
      </w:r>
      <w:r w:rsidR="00080C4A">
        <w:t xml:space="preserve">ted October 2014, observed that </w:t>
      </w:r>
      <w:r>
        <w:t>Daesh ‘intentionally and systematically targeted these</w:t>
      </w:r>
      <w:r w:rsidR="00080C4A">
        <w:t xml:space="preserve"> [religious minority]</w:t>
      </w:r>
      <w:r>
        <w:t xml:space="preserve"> communities for gross </w:t>
      </w:r>
      <w:r>
        <w:lastRenderedPageBreak/>
        <w:t>human rights abuses, at times aimed at destroying, suppressing or cleansing them from areas under their control.’</w:t>
      </w:r>
      <w:r>
        <w:rPr>
          <w:rStyle w:val="FootnoteReference"/>
        </w:rPr>
        <w:footnoteReference w:id="46"/>
      </w:r>
      <w:r>
        <w:t xml:space="preserve"> </w:t>
      </w:r>
    </w:p>
    <w:p w:rsidR="00EC4983" w:rsidRDefault="00EC4983" w:rsidP="00EC4983">
      <w:pPr>
        <w:pStyle w:val="ListParagraph"/>
      </w:pPr>
      <w:r>
        <w:t xml:space="preserve">The Minority Rights Group report noted: </w:t>
      </w:r>
    </w:p>
    <w:p w:rsidR="00EC4983" w:rsidRDefault="00EC4983" w:rsidP="00EC4983">
      <w:pPr>
        <w:pStyle w:val="ListParagraph"/>
        <w:numPr>
          <w:ilvl w:val="0"/>
          <w:numId w:val="0"/>
        </w:numPr>
        <w:ind w:left="851"/>
      </w:pPr>
      <w:r>
        <w:t xml:space="preserve">‘Iraq’s minorities have been steadily targeted over the years, but with </w:t>
      </w:r>
      <w:r w:rsidR="00F72A53">
        <w:t>ISIS [</w:t>
      </w:r>
      <w:r>
        <w:t>Daesh]’s ruthless advance there appears to be a new mindset. Since June 2014, many thousands belonging to minorities have been murdered, maimed or abducted, including unknown numbers of women and girls forced into ma</w:t>
      </w:r>
      <w:r w:rsidR="00080C4A">
        <w:t>rriage or sexual enslavement...</w:t>
      </w:r>
      <w:r>
        <w:t>ISIS forces and commanders have committed war crimes, crimes against humanity and the crime of genocide, including summary executions, killing, mutilation, rape, sexual violence, torture, cruel treatment, the use and recruitment of children, and outrages on personal dignity. Cultural and religious property dating back centuries has also been destroyed, while property and possessions have been systematically looted. These abuses...appear to be part of a conscious attempt to eradicate Iraq’s religious and ethnic diversity.</w:t>
      </w:r>
    </w:p>
    <w:p w:rsidR="00EC4983" w:rsidRDefault="00EC4983" w:rsidP="00EC4983">
      <w:pPr>
        <w:pStyle w:val="ListParagraph"/>
        <w:numPr>
          <w:ilvl w:val="0"/>
          <w:numId w:val="0"/>
        </w:numPr>
        <w:ind w:left="851"/>
      </w:pPr>
      <w:r>
        <w:t>‘The violence has also caused a wave of displacement as entire communities have had to flee ISIS forces...</w:t>
      </w:r>
      <w:r w:rsidR="00080C4A">
        <w:t>’</w:t>
      </w:r>
      <w:r>
        <w:rPr>
          <w:rStyle w:val="FootnoteReference"/>
        </w:rPr>
        <w:footnoteReference w:id="47"/>
      </w:r>
      <w:r>
        <w:t xml:space="preserve"> </w:t>
      </w:r>
    </w:p>
    <w:p w:rsidR="00D107E5" w:rsidRDefault="00B40AD8" w:rsidP="00B40AD8">
      <w:pPr>
        <w:pStyle w:val="ListParagraph"/>
      </w:pPr>
      <w:r>
        <w:t>The</w:t>
      </w:r>
      <w:r w:rsidR="002306F2">
        <w:t xml:space="preserve"> </w:t>
      </w:r>
      <w:r w:rsidR="00EC4983">
        <w:t xml:space="preserve">joint UNHCR/UNAMI report observed: </w:t>
      </w:r>
    </w:p>
    <w:p w:rsidR="00B40AD8" w:rsidRDefault="00B40AD8" w:rsidP="00B40AD8">
      <w:pPr>
        <w:pStyle w:val="ListParagraph"/>
        <w:numPr>
          <w:ilvl w:val="0"/>
          <w:numId w:val="0"/>
        </w:numPr>
        <w:ind w:left="851"/>
      </w:pPr>
      <w:r>
        <w:t>‘ISIL [Daesh] continues to target members of different ethnic and religious communities, intentionally depriving them of their fundamental rights and subjecting them to a range of abuses under international human rights and humanitarian law. These acts appear to form part of a systematic and widespread policy that aims to suppress, permanently expel, or destroy many of these communities within ISIL areas of control.</w:t>
      </w:r>
    </w:p>
    <w:p w:rsidR="00001F88" w:rsidRDefault="00B40AD8" w:rsidP="00B40AD8">
      <w:pPr>
        <w:pStyle w:val="ListParagraph"/>
        <w:numPr>
          <w:ilvl w:val="0"/>
          <w:numId w:val="0"/>
        </w:numPr>
        <w:ind w:left="851"/>
      </w:pPr>
      <w:r>
        <w:t xml:space="preserve">‘However, during the reporting period, the number of individual reports of such abuses received by UNAMI/OHCHR markedly decreased from previous reporting periods. It is likely that most of the members of ethnic and religious minority communities formerly located in areas of ISIL control have been killed or abducted by </w:t>
      </w:r>
      <w:proofErr w:type="gramStart"/>
      <w:r>
        <w:t>ISIL, or</w:t>
      </w:r>
      <w:proofErr w:type="gramEnd"/>
      <w:r>
        <w:t xml:space="preserve"> fled those areas during the period starting from June 2014 up to April 2015. However, UNAMI/OHCHR cannot exclude that specific human rights abuses targeting individuals from ethnic and religious communities have continued in areas under ISIL control, but owing to the inaccessibility of these areas, it has not received such reports and is unable to verify them.</w:t>
      </w:r>
      <w:r w:rsidR="00001F88">
        <w:t xml:space="preserve"> ...’</w:t>
      </w:r>
      <w:r w:rsidR="00001F88">
        <w:rPr>
          <w:rStyle w:val="FootnoteReference"/>
        </w:rPr>
        <w:footnoteReference w:id="48"/>
      </w:r>
      <w:r w:rsidR="00001F88">
        <w:t xml:space="preserve"> </w:t>
      </w:r>
    </w:p>
    <w:p w:rsidR="00813347" w:rsidRDefault="00813347" w:rsidP="00A26EAA">
      <w:pPr>
        <w:pStyle w:val="ListParagraph"/>
      </w:pPr>
      <w:r>
        <w:t>Regarding the Sabaean-Mandaean community, the Minority Rights Group report observed:</w:t>
      </w:r>
    </w:p>
    <w:p w:rsidR="00963331" w:rsidRDefault="00A26EAA" w:rsidP="00963331">
      <w:pPr>
        <w:pStyle w:val="ListParagraph"/>
        <w:numPr>
          <w:ilvl w:val="0"/>
          <w:numId w:val="0"/>
        </w:numPr>
        <w:ind w:left="851"/>
      </w:pPr>
      <w:r>
        <w:lastRenderedPageBreak/>
        <w:t>‘</w:t>
      </w:r>
      <w:proofErr w:type="spellStart"/>
      <w:r>
        <w:t>Sabean</w:t>
      </w:r>
      <w:proofErr w:type="spellEnd"/>
      <w:r>
        <w:t xml:space="preserve">-Mandaean families have also been affected by the advance of ISIS [Daesh] forces in Northern Iraq in 2014. There are at least 22 </w:t>
      </w:r>
      <w:proofErr w:type="spellStart"/>
      <w:r>
        <w:t>Sabean</w:t>
      </w:r>
      <w:proofErr w:type="spellEnd"/>
      <w:r>
        <w:t xml:space="preserve">-Mandaean families who have become internally displaced by the latest wave of violence, having lost everything they owned when they fled their homes. </w:t>
      </w:r>
      <w:proofErr w:type="spellStart"/>
      <w:r>
        <w:t>Sabean</w:t>
      </w:r>
      <w:proofErr w:type="spellEnd"/>
      <w:r>
        <w:t>-Mandaeans fear that staying in ISIS-controlled areas will mean either forced conversions or death, since ISIS does not consider them to be 'People of the Book' and will not offer them the option of paying jizya [tax] as they have offered to Christians. As a result, many are leaving the country.’</w:t>
      </w:r>
      <w:r>
        <w:rPr>
          <w:rStyle w:val="FootnoteReference"/>
        </w:rPr>
        <w:footnoteReference w:id="49"/>
      </w:r>
    </w:p>
    <w:p w:rsidR="00963331" w:rsidRDefault="00963331" w:rsidP="00963331">
      <w:pPr>
        <w:pStyle w:val="ListParagraph"/>
      </w:pPr>
      <w:r>
        <w:t>USSD 2014</w:t>
      </w:r>
      <w:r>
        <w:rPr>
          <w:rStyle w:val="FootnoteReference"/>
        </w:rPr>
        <w:footnoteReference w:id="50"/>
      </w:r>
      <w:r>
        <w:t xml:space="preserve"> and Minority Rights Group International’s report of July 2016</w:t>
      </w:r>
      <w:r>
        <w:rPr>
          <w:rStyle w:val="FootnoteReference"/>
        </w:rPr>
        <w:footnoteReference w:id="51"/>
      </w:r>
      <w:r>
        <w:t xml:space="preserve"> both included large sections about the treatment of religious minorities by Daesh. </w:t>
      </w:r>
    </w:p>
    <w:p w:rsidR="00882A02" w:rsidRPr="00882A02" w:rsidRDefault="00882A02" w:rsidP="00882A02">
      <w:pPr>
        <w:pStyle w:val="ListParagraph"/>
        <w:numPr>
          <w:ilvl w:val="0"/>
          <w:numId w:val="0"/>
        </w:numPr>
        <w:ind w:left="6480"/>
      </w:pPr>
      <w:r>
        <w:t xml:space="preserve">          </w:t>
      </w:r>
      <w:hyperlink w:anchor="contents" w:history="1">
        <w:r w:rsidRPr="006B4863">
          <w:rPr>
            <w:rStyle w:val="Hyperlink"/>
            <w:szCs w:val="24"/>
          </w:rPr>
          <w:t>Back to Contents</w:t>
        </w:r>
      </w:hyperlink>
    </w:p>
    <w:p w:rsidR="00582220" w:rsidRPr="00582220" w:rsidRDefault="00432D11" w:rsidP="00582220">
      <w:pPr>
        <w:pStyle w:val="Heading3"/>
      </w:pPr>
      <w:bookmarkStart w:id="48" w:name="_Other_non-state_actors"/>
      <w:bookmarkStart w:id="49" w:name="_Toc458760068"/>
      <w:bookmarkEnd w:id="48"/>
      <w:r>
        <w:t>O</w:t>
      </w:r>
      <w:r w:rsidR="0029152A">
        <w:t>ther non-state actors</w:t>
      </w:r>
      <w:bookmarkEnd w:id="49"/>
      <w:r w:rsidR="0029152A">
        <w:t xml:space="preserve"> </w:t>
      </w:r>
    </w:p>
    <w:p w:rsidR="00A92D7D" w:rsidRDefault="00A92D7D" w:rsidP="00A92D7D">
      <w:pPr>
        <w:pStyle w:val="ListParagraph"/>
      </w:pPr>
      <w:r>
        <w:t xml:space="preserve">USSD 2014 noted: </w:t>
      </w:r>
    </w:p>
    <w:p w:rsidR="00A92D7D" w:rsidRDefault="00A92D7D" w:rsidP="00A92D7D">
      <w:pPr>
        <w:pStyle w:val="ListParagraph"/>
        <w:numPr>
          <w:ilvl w:val="0"/>
          <w:numId w:val="0"/>
        </w:numPr>
        <w:ind w:left="851"/>
      </w:pPr>
      <w:r>
        <w:t>‘</w:t>
      </w:r>
      <w:r w:rsidRPr="00E57DEE">
        <w:t>Violence by sectarian and illegally armed groups occurred in many parts of the country. Although no reliable statistics on religiously motivated violence were available, acts committed against religious groups included killings, IED</w:t>
      </w:r>
      <w:r w:rsidR="00431BFB">
        <w:t xml:space="preserve"> [Improvised Explosive Device]</w:t>
      </w:r>
      <w:r w:rsidRPr="00E57DEE">
        <w:t xml:space="preserve"> and VBIED</w:t>
      </w:r>
      <w:r w:rsidR="00431BFB">
        <w:t xml:space="preserve"> [Vehicle-Borne Improvised Explosive Device]</w:t>
      </w:r>
      <w:r w:rsidRPr="00E57DEE">
        <w:t xml:space="preserve"> attacks, suicide bombings, kidnapping, robber</w:t>
      </w:r>
      <w:r>
        <w:t>y, harassment, and intimidation…</w:t>
      </w:r>
      <w:r w:rsidR="0051490D">
        <w:t>’</w:t>
      </w:r>
      <w:r>
        <w:rPr>
          <w:rStyle w:val="FootnoteReference"/>
        </w:rPr>
        <w:footnoteReference w:id="52"/>
      </w:r>
    </w:p>
    <w:p w:rsidR="00DD30C3" w:rsidRDefault="00DD30C3" w:rsidP="00DD30C3">
      <w:pPr>
        <w:pStyle w:val="ListParagraph"/>
      </w:pPr>
      <w:r>
        <w:t xml:space="preserve">The Minority Rights Group report noted: </w:t>
      </w:r>
    </w:p>
    <w:p w:rsidR="00431BFB" w:rsidRDefault="00DD30C3" w:rsidP="00431BFB">
      <w:pPr>
        <w:pStyle w:val="ListParagraph"/>
        <w:numPr>
          <w:ilvl w:val="0"/>
          <w:numId w:val="0"/>
        </w:numPr>
        <w:ind w:left="851"/>
      </w:pPr>
      <w:r>
        <w:t xml:space="preserve">‘Even before ISIS [Daesh]’s depredations, the situation of Iraq’s minorities was precarious, particularly for those living in the </w:t>
      </w:r>
      <w:proofErr w:type="spellStart"/>
      <w:r>
        <w:t>Ninewa</w:t>
      </w:r>
      <w:proofErr w:type="spellEnd"/>
      <w:r>
        <w:t xml:space="preserve"> plain and the territories disputed between the Kurdish region and the federal government. Before the fall of Mosul, more than half of Iraq’s religious and ethnic minorities had fled the country since 2003, and those who remained were at risk of targeted violence, arbitrary arrest and detention, torture, harassment, intimidation, displacement, political disenfranchisement, and social and economic marginalization...’</w:t>
      </w:r>
      <w:r>
        <w:rPr>
          <w:rStyle w:val="FootnoteReference"/>
        </w:rPr>
        <w:footnoteReference w:id="53"/>
      </w:r>
    </w:p>
    <w:p w:rsidR="00431BFB" w:rsidRDefault="00431BFB" w:rsidP="00431BFB">
      <w:pPr>
        <w:pStyle w:val="ListParagraph"/>
      </w:pPr>
      <w:r>
        <w:t xml:space="preserve">The same source in a follow-up report published in July 2016 further noted that ‘ISIS does not have a monopoly on violations of human rights law, international humanitarian law and international criminal law in Iraq…There </w:t>
      </w:r>
      <w:r>
        <w:lastRenderedPageBreak/>
        <w:t>are also some reported atrocities, ranging from kidnappings to bomb attacks, committed against Iraqi minorities by unknown or unidentified actors.</w:t>
      </w:r>
      <w:r w:rsidR="0084553C">
        <w:t>’</w:t>
      </w:r>
      <w:r>
        <w:rPr>
          <w:rStyle w:val="FootnoteReference"/>
        </w:rPr>
        <w:footnoteReference w:id="54"/>
      </w:r>
    </w:p>
    <w:p w:rsidR="00CA5733" w:rsidRDefault="00CA5733" w:rsidP="00CA5733">
      <w:pPr>
        <w:pStyle w:val="ListParagraph"/>
        <w:numPr>
          <w:ilvl w:val="0"/>
          <w:numId w:val="0"/>
        </w:numPr>
        <w:ind w:left="851"/>
      </w:pPr>
    </w:p>
    <w:p w:rsidR="00CA5733" w:rsidRPr="00CA5733" w:rsidRDefault="00CA5733" w:rsidP="00CA5733">
      <w:pPr>
        <w:pStyle w:val="ListParagraph"/>
        <w:numPr>
          <w:ilvl w:val="0"/>
          <w:numId w:val="0"/>
        </w:numPr>
        <w:ind w:left="851"/>
        <w:rPr>
          <w:b/>
        </w:rPr>
      </w:pPr>
      <w:r w:rsidRPr="00CA5733">
        <w:rPr>
          <w:b/>
        </w:rPr>
        <w:t>Abuses against Christians</w:t>
      </w:r>
    </w:p>
    <w:p w:rsidR="004D2699" w:rsidRDefault="004D2699" w:rsidP="004D2699">
      <w:pPr>
        <w:pStyle w:val="ListParagraph"/>
      </w:pPr>
      <w:r>
        <w:t>USSD 2014 noted that groups targeting Christians</w:t>
      </w:r>
      <w:r w:rsidRPr="004D2699">
        <w:t xml:space="preserve"> </w:t>
      </w:r>
      <w:r>
        <w:t>‘</w:t>
      </w:r>
      <w:r w:rsidRPr="00E57DEE">
        <w:t>reportedly combined kidnappings or killings with criminal activities for profit.</w:t>
      </w:r>
      <w:r>
        <w:t>..</w:t>
      </w:r>
      <w:r w:rsidRPr="00E57DEE">
        <w:t>Christian groups reported that militias and armed groups confiscated homes abandoned by community members who had fled the country following the sectarian violence of 2006-2008. Settlement was often reached when owners of the properties were forced to sell at prices below market value.</w:t>
      </w:r>
      <w:r>
        <w:t>’</w:t>
      </w:r>
      <w:r>
        <w:rPr>
          <w:rStyle w:val="FootnoteReference"/>
        </w:rPr>
        <w:footnoteReference w:id="55"/>
      </w:r>
    </w:p>
    <w:p w:rsidR="006D2231" w:rsidRPr="00582220" w:rsidRDefault="00CA5733" w:rsidP="004D2699">
      <w:pPr>
        <w:pStyle w:val="ListParagraph"/>
      </w:pPr>
      <w:r>
        <w:t>Heartland Alliance International</w:t>
      </w:r>
      <w:r w:rsidR="006D2231" w:rsidRPr="00582220">
        <w:t xml:space="preserve"> reported </w:t>
      </w:r>
      <w:proofErr w:type="gramStart"/>
      <w:r w:rsidR="006D2231" w:rsidRPr="00582220">
        <w:t>a number of</w:t>
      </w:r>
      <w:proofErr w:type="gramEnd"/>
      <w:r w:rsidR="006D2231" w:rsidRPr="00582220">
        <w:t xml:space="preserve"> murders and kidnappings of Christians in Baghdad. It opined that the trend of Christian kidnappings in Baghdad had risen since the formation of the Popular Mobilisation Unit (PMU) Shia militia. It added: </w:t>
      </w:r>
    </w:p>
    <w:p w:rsidR="006D2231" w:rsidRPr="00582220" w:rsidRDefault="006D2231" w:rsidP="006D2231">
      <w:pPr>
        <w:pStyle w:val="ListParagraph"/>
        <w:numPr>
          <w:ilvl w:val="0"/>
          <w:numId w:val="0"/>
        </w:numPr>
        <w:ind w:left="851"/>
      </w:pPr>
      <w:r w:rsidRPr="00582220">
        <w:t xml:space="preserve">‘The reappearance of kidnapping as a profit-making scheme, its recurring use by criminal elements, the absence of any serious action </w:t>
      </w:r>
      <w:r w:rsidR="0084553C">
        <w:t xml:space="preserve">by the </w:t>
      </w:r>
      <w:proofErr w:type="spellStart"/>
      <w:r w:rsidR="0084553C">
        <w:t>GoI</w:t>
      </w:r>
      <w:proofErr w:type="spellEnd"/>
      <w:r w:rsidR="0084553C">
        <w:t xml:space="preserve"> </w:t>
      </w:r>
      <w:r w:rsidRPr="00582220">
        <w:t>or security services to dismantle the criminal gangs behind these activities, and the prevalence of armed groups providing cover for criminal enterprise all motivate Christians to strongly consider emigration as the best way to maintain their safety and the safety of their children.’</w:t>
      </w:r>
      <w:r w:rsidRPr="00582220">
        <w:rPr>
          <w:rStyle w:val="FootnoteReference"/>
        </w:rPr>
        <w:footnoteReference w:id="56"/>
      </w:r>
      <w:r w:rsidRPr="00582220">
        <w:t xml:space="preserve"> </w:t>
      </w:r>
    </w:p>
    <w:p w:rsidR="00644B0E" w:rsidRDefault="00644B0E" w:rsidP="00644B0E">
      <w:pPr>
        <w:pStyle w:val="ListParagraph"/>
      </w:pPr>
      <w:r>
        <w:t>The US Commission report dated 2016 found:</w:t>
      </w:r>
    </w:p>
    <w:p w:rsidR="00644B0E" w:rsidRDefault="00644B0E" w:rsidP="00644B0E">
      <w:pPr>
        <w:pStyle w:val="ListParagraph"/>
        <w:numPr>
          <w:ilvl w:val="0"/>
          <w:numId w:val="0"/>
        </w:numPr>
        <w:ind w:left="851"/>
      </w:pPr>
      <w:r>
        <w:t>‘</w:t>
      </w:r>
      <w:r w:rsidRPr="0000725D">
        <w:t>At</w:t>
      </w:r>
      <w:r>
        <w:t xml:space="preserve"> </w:t>
      </w:r>
      <w:r w:rsidRPr="0000725D">
        <w:t>the end of December 2015, PMF</w:t>
      </w:r>
      <w:r>
        <w:t xml:space="preserve"> [Popular Mobilisation Units]</w:t>
      </w:r>
      <w:r w:rsidRPr="0000725D">
        <w:t xml:space="preserve"> groups were reported</w:t>
      </w:r>
      <w:r>
        <w:t xml:space="preserve"> </w:t>
      </w:r>
      <w:r w:rsidRPr="0000725D">
        <w:t>to be harassing Christian women who did not wear</w:t>
      </w:r>
      <w:r>
        <w:t xml:space="preserve"> </w:t>
      </w:r>
      <w:r w:rsidRPr="0000725D">
        <w:t>the Islamic headscarf. Christians in Baghdad said that</w:t>
      </w:r>
      <w:r>
        <w:t xml:space="preserve"> </w:t>
      </w:r>
      <w:r w:rsidRPr="0000725D">
        <w:t>the PMF hung posters on churches and monasteries in</w:t>
      </w:r>
      <w:r>
        <w:t xml:space="preserve"> </w:t>
      </w:r>
      <w:r w:rsidRPr="0000725D">
        <w:t xml:space="preserve">Christian </w:t>
      </w:r>
      <w:proofErr w:type="spellStart"/>
      <w:r w:rsidRPr="0000725D">
        <w:t>neighborhoods</w:t>
      </w:r>
      <w:proofErr w:type="spellEnd"/>
      <w:r w:rsidRPr="0000725D">
        <w:t xml:space="preserve"> urging women to cover their</w:t>
      </w:r>
      <w:r>
        <w:t xml:space="preserve"> </w:t>
      </w:r>
      <w:r w:rsidRPr="0000725D">
        <w:t>hair and that some Christians received threats that</w:t>
      </w:r>
      <w:r>
        <w:t xml:space="preserve"> </w:t>
      </w:r>
      <w:r w:rsidRPr="0000725D">
        <w:t>they should not celebrate Christmas or New Year’s or</w:t>
      </w:r>
      <w:r>
        <w:t xml:space="preserve"> </w:t>
      </w:r>
      <w:r w:rsidRPr="0000725D">
        <w:t>disrespect PMF</w:t>
      </w:r>
      <w:r>
        <w:t xml:space="preserve"> martyrs who died fighting ISIL’.</w:t>
      </w:r>
      <w:r>
        <w:rPr>
          <w:rStyle w:val="FootnoteReference"/>
        </w:rPr>
        <w:footnoteReference w:id="57"/>
      </w:r>
    </w:p>
    <w:p w:rsidR="00D717AE" w:rsidRDefault="00644B0E" w:rsidP="00D717AE">
      <w:pPr>
        <w:pStyle w:val="ListParagraph"/>
      </w:pPr>
      <w:r>
        <w:t xml:space="preserve">Heartland Alliance International </w:t>
      </w:r>
      <w:r w:rsidR="00D717AE">
        <w:t xml:space="preserve">further noted: </w:t>
      </w:r>
    </w:p>
    <w:p w:rsidR="00644B0E" w:rsidRDefault="00D717AE" w:rsidP="00644B0E">
      <w:pPr>
        <w:pStyle w:val="ListParagraph"/>
        <w:numPr>
          <w:ilvl w:val="0"/>
          <w:numId w:val="0"/>
        </w:numPr>
        <w:ind w:left="851"/>
      </w:pPr>
      <w:r>
        <w:t xml:space="preserve">‘When ISIS invaded Mosul and the </w:t>
      </w:r>
      <w:proofErr w:type="spellStart"/>
      <w:r>
        <w:t>Ninewa</w:t>
      </w:r>
      <w:proofErr w:type="spellEnd"/>
      <w:r>
        <w:t xml:space="preserve"> Plain, many Christians left their homes, abandoning the areas they had shared with other ethnic and religious groups for hundreds of years. Since their departure, Christian property and religious sites have become targets for attacks and looting. </w:t>
      </w:r>
      <w:r>
        <w:lastRenderedPageBreak/>
        <w:t xml:space="preserve">Christians in other parts of Iraq also live in fear, even though they have never been exposed </w:t>
      </w:r>
      <w:proofErr w:type="spellStart"/>
      <w:r>
        <w:t>firsthand</w:t>
      </w:r>
      <w:proofErr w:type="spellEnd"/>
      <w:r>
        <w:t xml:space="preserve"> to the effects of ISIS. Rather, this fear is a product of violations affecting the safety of individuals and the exposure of Christian property to illegal seizure. Discrimination against Christians remains prevalent in a way that threatens all Iraqi Christians and compels them to emigrate’.</w:t>
      </w:r>
      <w:r w:rsidRPr="00B336A3">
        <w:rPr>
          <w:rStyle w:val="FootnoteReference"/>
        </w:rPr>
        <w:footnoteReference w:id="58"/>
      </w:r>
    </w:p>
    <w:p w:rsidR="00882A02" w:rsidRPr="00582220" w:rsidRDefault="00882A02" w:rsidP="00882A02">
      <w:pPr>
        <w:pStyle w:val="ListParagraph"/>
      </w:pPr>
      <w:r w:rsidRPr="00582220">
        <w:t>The same source noted: ‘Throughout Iraq’s southern governorates, Christian women often encounter social stigma if they do not veil themselves before leaving their homes.’</w:t>
      </w:r>
      <w:r w:rsidRPr="00582220">
        <w:rPr>
          <w:rStyle w:val="FootnoteReference"/>
        </w:rPr>
        <w:footnoteReference w:id="59"/>
      </w:r>
      <w:r w:rsidRPr="00582220">
        <w:t xml:space="preserve">   </w:t>
      </w:r>
    </w:p>
    <w:p w:rsidR="00882A02" w:rsidRDefault="00882A02" w:rsidP="00882A02">
      <w:pPr>
        <w:pStyle w:val="ListParagraph"/>
      </w:pPr>
      <w:r w:rsidRPr="00582220">
        <w:t xml:space="preserve">The source also described discrimination against Christians, </w:t>
      </w:r>
      <w:r w:rsidR="0084553C">
        <w:t>including in employment and education,</w:t>
      </w:r>
      <w:r w:rsidRPr="00582220">
        <w:t xml:space="preserve"> in the KRI.</w:t>
      </w:r>
      <w:r w:rsidRPr="00582220">
        <w:rPr>
          <w:rStyle w:val="FootnoteReference"/>
        </w:rPr>
        <w:footnoteReference w:id="60"/>
      </w:r>
      <w:r w:rsidRPr="00582220">
        <w:t xml:space="preserve"> </w:t>
      </w:r>
    </w:p>
    <w:p w:rsidR="00CA5733" w:rsidRDefault="00CA5733" w:rsidP="00710AEB">
      <w:pPr>
        <w:pStyle w:val="ListParagraph"/>
        <w:numPr>
          <w:ilvl w:val="0"/>
          <w:numId w:val="0"/>
        </w:numPr>
        <w:ind w:left="851"/>
      </w:pPr>
    </w:p>
    <w:p w:rsidR="00CA5733" w:rsidRPr="00CA5733" w:rsidRDefault="00CA5733" w:rsidP="00710AEB">
      <w:pPr>
        <w:pStyle w:val="ListParagraph"/>
        <w:numPr>
          <w:ilvl w:val="0"/>
          <w:numId w:val="0"/>
        </w:numPr>
        <w:ind w:left="851"/>
        <w:rPr>
          <w:b/>
        </w:rPr>
      </w:pPr>
      <w:r w:rsidRPr="00CA5733">
        <w:rPr>
          <w:b/>
        </w:rPr>
        <w:t xml:space="preserve">Abuses against Yezidis </w:t>
      </w:r>
    </w:p>
    <w:p w:rsidR="00582220" w:rsidRDefault="00582220" w:rsidP="00582220">
      <w:pPr>
        <w:pStyle w:val="ListParagraph"/>
      </w:pPr>
      <w:r>
        <w:t>The Minority Rights Group report commented on the Yezidis:</w:t>
      </w:r>
    </w:p>
    <w:p w:rsidR="00331E24" w:rsidRDefault="00582220" w:rsidP="00331E24">
      <w:pPr>
        <w:pStyle w:val="ListParagraph"/>
        <w:numPr>
          <w:ilvl w:val="0"/>
          <w:numId w:val="0"/>
        </w:numPr>
        <w:ind w:left="851"/>
      </w:pPr>
      <w:r>
        <w:t>‘Despite their distinct identity, some community members as well as Kurds consider Yezidis ethnically Kurdish. This reportedly has created conflict within the community and pressure from Kurdish officials and Kurdish-identifying community members, as well as death threats. In addition, due to a misinterpretation of their religion, some militants regard Yezidis as heretical and not ‘People of the Book’. They have been regularly tar</w:t>
      </w:r>
      <w:r w:rsidR="0084553C">
        <w:t>geted with violence as a result.</w:t>
      </w:r>
      <w:r>
        <w:t>’</w:t>
      </w:r>
      <w:r>
        <w:rPr>
          <w:rStyle w:val="FootnoteReference"/>
        </w:rPr>
        <w:footnoteReference w:id="61"/>
      </w:r>
    </w:p>
    <w:p w:rsidR="00CA5733" w:rsidRDefault="00331E24" w:rsidP="00331E24">
      <w:pPr>
        <w:pStyle w:val="ListParagraph"/>
      </w:pPr>
      <w:r w:rsidRPr="00B336A3">
        <w:t xml:space="preserve">Heartland </w:t>
      </w:r>
      <w:r w:rsidR="00CA5733">
        <w:t>Alliance International also reported:</w:t>
      </w:r>
    </w:p>
    <w:p w:rsidR="00331E24" w:rsidRDefault="00331E24" w:rsidP="00CA5733">
      <w:pPr>
        <w:pStyle w:val="ListParagraph"/>
        <w:numPr>
          <w:ilvl w:val="0"/>
          <w:numId w:val="0"/>
        </w:numPr>
        <w:ind w:left="851"/>
      </w:pPr>
      <w:r>
        <w:t xml:space="preserve">‘Following the extreme violence and massive displacement already faced by Yezidis during ISIS occupation, the minority group has been further beset by continued hate speech from Iraqi society. A small number of Muslim clerics appear regularly on media platforms such as </w:t>
      </w:r>
      <w:proofErr w:type="spellStart"/>
      <w:r>
        <w:t>Rudaw</w:t>
      </w:r>
      <w:proofErr w:type="spellEnd"/>
      <w:r>
        <w:t xml:space="preserve">, </w:t>
      </w:r>
      <w:proofErr w:type="spellStart"/>
      <w:r>
        <w:t>Gelî</w:t>
      </w:r>
      <w:proofErr w:type="spellEnd"/>
      <w:r>
        <w:t xml:space="preserve"> Kurdistan, Kurdistan News, KNN, and Zagros to criticize Yezidis for not following Islam</w:t>
      </w:r>
      <w:r w:rsidRPr="00B336A3">
        <w:t>.’</w:t>
      </w:r>
      <w:r w:rsidRPr="00B336A3">
        <w:rPr>
          <w:rStyle w:val="FootnoteReference"/>
        </w:rPr>
        <w:footnoteReference w:id="62"/>
      </w:r>
      <w:r w:rsidRPr="00B336A3">
        <w:t xml:space="preserve">  </w:t>
      </w:r>
    </w:p>
    <w:p w:rsidR="00582220" w:rsidRPr="00582220" w:rsidRDefault="00582220" w:rsidP="00582220">
      <w:pPr>
        <w:pStyle w:val="ListParagraph"/>
      </w:pPr>
      <w:r w:rsidRPr="00582220">
        <w:t xml:space="preserve">Heartland International Alliance reported that Yezidis were targeted by various non-state groups and individuals. In June 2015, a Yezidi, Mousa </w:t>
      </w:r>
      <w:proofErr w:type="spellStart"/>
      <w:r w:rsidRPr="00582220">
        <w:t>Mirad</w:t>
      </w:r>
      <w:proofErr w:type="spellEnd"/>
      <w:r w:rsidRPr="00582220">
        <w:t xml:space="preserve"> </w:t>
      </w:r>
      <w:proofErr w:type="spellStart"/>
      <w:r w:rsidRPr="00582220">
        <w:t>Khidir</w:t>
      </w:r>
      <w:proofErr w:type="spellEnd"/>
      <w:r w:rsidRPr="00582220">
        <w:t xml:space="preserve"> Kirani, was shot dead and mutilated in Sulaymaniyah, KRI. It </w:t>
      </w:r>
      <w:r w:rsidRPr="00582220">
        <w:lastRenderedPageBreak/>
        <w:t>was speculated that he was killed because of his religion. Two weeks later, armed groups attacked Yezidi social clubs in al-</w:t>
      </w:r>
      <w:proofErr w:type="spellStart"/>
      <w:r w:rsidRPr="00582220">
        <w:t>Karrada</w:t>
      </w:r>
      <w:proofErr w:type="spellEnd"/>
      <w:r w:rsidRPr="00582220">
        <w:t xml:space="preserve"> district, Baghdad. Other similar incidents in Baghdad included the killing of five Yezidis in liquor stores in al-</w:t>
      </w:r>
      <w:proofErr w:type="spellStart"/>
      <w:r w:rsidRPr="00582220">
        <w:t>Muadham</w:t>
      </w:r>
      <w:proofErr w:type="spellEnd"/>
      <w:r w:rsidRPr="00582220">
        <w:t xml:space="preserve"> neighbourhood.</w:t>
      </w:r>
      <w:r w:rsidRPr="00582220">
        <w:rPr>
          <w:rStyle w:val="FootnoteReference"/>
        </w:rPr>
        <w:footnoteReference w:id="63"/>
      </w:r>
      <w:r w:rsidRPr="00582220">
        <w:t xml:space="preserve">     </w:t>
      </w:r>
    </w:p>
    <w:p w:rsidR="00582220" w:rsidRPr="00582220" w:rsidRDefault="00582220" w:rsidP="00582220">
      <w:pPr>
        <w:pStyle w:val="ListParagraph"/>
      </w:pPr>
      <w:r w:rsidRPr="00582220">
        <w:t xml:space="preserve">The same source reported that a small number of Muslim clerics in the media incited hate against the Yezidi community. The source commented: </w:t>
      </w:r>
    </w:p>
    <w:p w:rsidR="00582220" w:rsidRPr="00582220" w:rsidRDefault="00582220" w:rsidP="00582220">
      <w:pPr>
        <w:pStyle w:val="ListParagraph"/>
        <w:numPr>
          <w:ilvl w:val="0"/>
          <w:numId w:val="0"/>
        </w:numPr>
        <w:ind w:left="851"/>
      </w:pPr>
      <w:r w:rsidRPr="00582220">
        <w:t xml:space="preserve">‘...research suggests that the existence of Islamic movements in Kurdistan is a source of great concern for Yezidis...Despite shared language and ethnic background with non-Yezidi Kurds, the religious gap between these two sectors of Kurdish society can be significant. At times, the severity of these religious discrepancies becomes so obvious that </w:t>
      </w:r>
      <w:proofErr w:type="spellStart"/>
      <w:r w:rsidRPr="00582220">
        <w:t>hardline</w:t>
      </w:r>
      <w:proofErr w:type="spellEnd"/>
      <w:r w:rsidRPr="00582220">
        <w:t xml:space="preserve"> religious voices claim that the very existence of Yezidis pose a challenge to Kurdish Islamic identity...’</w:t>
      </w:r>
      <w:r w:rsidRPr="00582220">
        <w:rPr>
          <w:rStyle w:val="FootnoteReference"/>
        </w:rPr>
        <w:footnoteReference w:id="64"/>
      </w:r>
    </w:p>
    <w:p w:rsidR="00582220" w:rsidRPr="00582220" w:rsidRDefault="00582220" w:rsidP="00582220">
      <w:pPr>
        <w:pStyle w:val="ListParagraph"/>
      </w:pPr>
      <w:r w:rsidRPr="00582220">
        <w:t xml:space="preserve">The source also referred to discrimination, such as in financial support and employment, against Yezidis. It commented: ‘[There are] three big Yezidi towns near </w:t>
      </w:r>
      <w:proofErr w:type="spellStart"/>
      <w:r w:rsidRPr="00582220">
        <w:t>Dohuk</w:t>
      </w:r>
      <w:proofErr w:type="spellEnd"/>
      <w:r w:rsidRPr="00582220">
        <w:t xml:space="preserve"> City [in the KRI] but one cannot find any commercial or economic resource for Yezidis. There are no Yezidi restaurants in the </w:t>
      </w:r>
      <w:proofErr w:type="gramStart"/>
      <w:r w:rsidRPr="00582220">
        <w:t>city, because</w:t>
      </w:r>
      <w:proofErr w:type="gramEnd"/>
      <w:r w:rsidRPr="00582220">
        <w:t xml:space="preserve"> Muslims consider Yezidi food unclean, and refuse to eat it.’</w:t>
      </w:r>
      <w:r w:rsidRPr="00582220">
        <w:rPr>
          <w:rStyle w:val="FootnoteReference"/>
        </w:rPr>
        <w:footnoteReference w:id="65"/>
      </w:r>
      <w:r w:rsidRPr="00582220">
        <w:t xml:space="preserve"> </w:t>
      </w:r>
    </w:p>
    <w:p w:rsidR="00582220" w:rsidRDefault="001627FD" w:rsidP="00582220">
      <w:pPr>
        <w:pStyle w:val="ListParagraph"/>
      </w:pPr>
      <w:r>
        <w:t xml:space="preserve">The same source </w:t>
      </w:r>
      <w:r w:rsidR="00582220">
        <w:t xml:space="preserve">noted that the ‘rising influence of political Islam in Kurdish governmental departments is enabling further human rights abuses </w:t>
      </w:r>
      <w:proofErr w:type="gramStart"/>
      <w:r w:rsidR="00582220">
        <w:t>on the basis of</w:t>
      </w:r>
      <w:proofErr w:type="gramEnd"/>
      <w:r w:rsidR="00582220">
        <w:t xml:space="preserve"> Yezidi religious affiliation. According to statements of Yezidi activists, recurring acts of discrimination suggest to Yezidis that they live as unprotected prisoners of stereotypical perceptions and preconceived </w:t>
      </w:r>
      <w:proofErr w:type="spellStart"/>
      <w:r w:rsidR="00582220">
        <w:t>labeling</w:t>
      </w:r>
      <w:proofErr w:type="spellEnd"/>
      <w:r w:rsidR="00582220">
        <w:t xml:space="preserve"> as infidels, continuing their history of discrimination, persecution, and attempts at forced religious and ethnic conversion’.</w:t>
      </w:r>
      <w:r w:rsidR="00582220" w:rsidRPr="00B336A3">
        <w:rPr>
          <w:rStyle w:val="FootnoteReference"/>
        </w:rPr>
        <w:footnoteReference w:id="66"/>
      </w:r>
    </w:p>
    <w:p w:rsidR="00644B0E" w:rsidRPr="00582220" w:rsidRDefault="00644B0E" w:rsidP="00644B0E">
      <w:pPr>
        <w:pStyle w:val="ListParagraph"/>
        <w:numPr>
          <w:ilvl w:val="0"/>
          <w:numId w:val="0"/>
        </w:numPr>
        <w:ind w:left="851"/>
      </w:pPr>
    </w:p>
    <w:p w:rsidR="004D2699" w:rsidRPr="004D2699" w:rsidRDefault="004D2699" w:rsidP="004D2699">
      <w:pPr>
        <w:pStyle w:val="ListParagraph"/>
        <w:numPr>
          <w:ilvl w:val="0"/>
          <w:numId w:val="0"/>
        </w:numPr>
        <w:ind w:left="851"/>
        <w:rPr>
          <w:b/>
        </w:rPr>
      </w:pPr>
      <w:r w:rsidRPr="004D2699">
        <w:rPr>
          <w:b/>
        </w:rPr>
        <w:t>Abuses against Sabaean-Mandaeans</w:t>
      </w:r>
    </w:p>
    <w:p w:rsidR="004D2699" w:rsidRDefault="004D2699" w:rsidP="004D2699">
      <w:pPr>
        <w:pStyle w:val="ListParagraph"/>
      </w:pPr>
      <w:r>
        <w:t>USSD 2014 noted that groups targeting Sabaean-Mandaeans ‘</w:t>
      </w:r>
      <w:r w:rsidRPr="00E57DEE">
        <w:t>reportedly combined kidnappings or killings wit</w:t>
      </w:r>
      <w:r>
        <w:t>h criminal activities for profit...</w:t>
      </w:r>
      <w:r w:rsidRPr="00E57DEE">
        <w:t xml:space="preserve">For example, unknown assailants reportedly killed a </w:t>
      </w:r>
      <w:proofErr w:type="spellStart"/>
      <w:r w:rsidRPr="00E57DEE">
        <w:t>Sabean</w:t>
      </w:r>
      <w:proofErr w:type="spellEnd"/>
      <w:r w:rsidRPr="00E57DEE">
        <w:t xml:space="preserve">-Mandaean resident of Baghdad in February after he refused to pay a </w:t>
      </w:r>
      <w:proofErr w:type="gramStart"/>
      <w:r w:rsidRPr="00E57DEE">
        <w:t>ransom, and</w:t>
      </w:r>
      <w:proofErr w:type="gramEnd"/>
      <w:r w:rsidRPr="00E57DEE">
        <w:t xml:space="preserve"> killed a </w:t>
      </w:r>
      <w:proofErr w:type="spellStart"/>
      <w:r w:rsidRPr="00E57DEE">
        <w:t>Sabean</w:t>
      </w:r>
      <w:proofErr w:type="spellEnd"/>
      <w:r w:rsidRPr="00E57DEE">
        <w:t xml:space="preserve">-Mandaean business owner south of Baghdad in June. Two </w:t>
      </w:r>
      <w:proofErr w:type="spellStart"/>
      <w:r w:rsidRPr="00E57DEE">
        <w:t>Sabean</w:t>
      </w:r>
      <w:proofErr w:type="spellEnd"/>
      <w:r w:rsidRPr="00E57DEE">
        <w:t xml:space="preserve">-Mandaeans were kidnapped and held for ransom in </w:t>
      </w:r>
      <w:proofErr w:type="spellStart"/>
      <w:r w:rsidRPr="00E57DEE">
        <w:t>Maysan</w:t>
      </w:r>
      <w:proofErr w:type="spellEnd"/>
      <w:r w:rsidRPr="00E57DEE">
        <w:t xml:space="preserve"> and Baghdad in </w:t>
      </w:r>
      <w:r w:rsidRPr="00E57DEE">
        <w:lastRenderedPageBreak/>
        <w:t>August, but neither individual was returned to his family despite the payment of ransoms.</w:t>
      </w:r>
      <w:r>
        <w:t>’</w:t>
      </w:r>
      <w:r>
        <w:rPr>
          <w:rStyle w:val="FootnoteReference"/>
        </w:rPr>
        <w:footnoteReference w:id="67"/>
      </w:r>
    </w:p>
    <w:p w:rsidR="00080C4A" w:rsidRDefault="004D2699" w:rsidP="00080C4A">
      <w:pPr>
        <w:pStyle w:val="ListParagraph"/>
      </w:pPr>
      <w:proofErr w:type="gramStart"/>
      <w:r>
        <w:t xml:space="preserve">The </w:t>
      </w:r>
      <w:r w:rsidR="00080C4A">
        <w:t xml:space="preserve"> Minority</w:t>
      </w:r>
      <w:proofErr w:type="gramEnd"/>
      <w:r w:rsidR="00080C4A">
        <w:t xml:space="preserve"> Rights Group report stated:</w:t>
      </w:r>
    </w:p>
    <w:p w:rsidR="00080C4A" w:rsidRPr="00582220" w:rsidRDefault="00080C4A" w:rsidP="00080C4A">
      <w:pPr>
        <w:pStyle w:val="ListParagraph"/>
        <w:numPr>
          <w:ilvl w:val="0"/>
          <w:numId w:val="0"/>
        </w:numPr>
        <w:ind w:left="851"/>
      </w:pPr>
      <w:r>
        <w:t xml:space="preserve">‘Despite its dhimmi [protected] status, Shi'a and Sunni Islamic militants have targeted the group. This is made all the easier, as Mandaeans are prohibited by their beliefs from attempting armed self-defence. Hundreds of killings, abductions and incidents of torture have often been accompanied by rhetoric accusing </w:t>
      </w:r>
      <w:proofErr w:type="spellStart"/>
      <w:r>
        <w:t>Sabians</w:t>
      </w:r>
      <w:proofErr w:type="spellEnd"/>
      <w:r>
        <w:t xml:space="preserve"> of witchcraft, impurity, and systematic adultery. </w:t>
      </w:r>
      <w:proofErr w:type="spellStart"/>
      <w:r>
        <w:t>Sabian</w:t>
      </w:r>
      <w:proofErr w:type="spellEnd"/>
      <w:r>
        <w:t xml:space="preserve"> Mandaean women have been targeted for not covering their heads. In Baghdad, Mandaean goldsmiths, silversmiths and jewellers have been targeted for theft and murder at much higher rates than their Muslim </w:t>
      </w:r>
      <w:r w:rsidRPr="00582220">
        <w:t xml:space="preserve">colleagues. Faced with systematic pressure to convert, leave, or die, many </w:t>
      </w:r>
      <w:proofErr w:type="spellStart"/>
      <w:r w:rsidRPr="00582220">
        <w:t>Sabian</w:t>
      </w:r>
      <w:proofErr w:type="spellEnd"/>
      <w:r w:rsidRPr="00582220">
        <w:t xml:space="preserve"> Mandaeans have chosen to leave...’</w:t>
      </w:r>
      <w:r w:rsidRPr="00582220">
        <w:rPr>
          <w:rStyle w:val="FootnoteReference"/>
        </w:rPr>
        <w:footnoteReference w:id="68"/>
      </w:r>
    </w:p>
    <w:p w:rsidR="00080C4A" w:rsidRPr="00582220" w:rsidRDefault="00DA492C" w:rsidP="00080C4A">
      <w:pPr>
        <w:pStyle w:val="ListParagraph"/>
      </w:pPr>
      <w:r>
        <w:t>T</w:t>
      </w:r>
      <w:r w:rsidR="00080C4A" w:rsidRPr="00582220">
        <w:t>he Heartlan</w:t>
      </w:r>
      <w:r w:rsidR="00967B42" w:rsidRPr="00582220">
        <w:t xml:space="preserve">d Alliance International </w:t>
      </w:r>
      <w:r w:rsidR="00080C4A" w:rsidRPr="00582220">
        <w:t>spoke of a ‘range of abuses from abduction to discrimination.’ It reported four killings of Sabaean-</w:t>
      </w:r>
      <w:proofErr w:type="spellStart"/>
      <w:r w:rsidR="00080C4A" w:rsidRPr="00582220">
        <w:t>Mandaens</w:t>
      </w:r>
      <w:proofErr w:type="spellEnd"/>
      <w:r w:rsidR="00080C4A" w:rsidRPr="00582220">
        <w:t xml:space="preserve"> (three in Baghdad and one in </w:t>
      </w:r>
      <w:proofErr w:type="spellStart"/>
      <w:r w:rsidR="00080C4A" w:rsidRPr="00582220">
        <w:t>Missan</w:t>
      </w:r>
      <w:proofErr w:type="spellEnd"/>
      <w:r w:rsidR="00080C4A" w:rsidRPr="00582220">
        <w:t xml:space="preserve">); four kidnappings (two in Baghdad, one in </w:t>
      </w:r>
      <w:proofErr w:type="spellStart"/>
      <w:r w:rsidR="00080C4A" w:rsidRPr="00582220">
        <w:t>Diyala</w:t>
      </w:r>
      <w:proofErr w:type="spellEnd"/>
      <w:r w:rsidR="00080C4A" w:rsidRPr="00582220">
        <w:t xml:space="preserve"> and one in </w:t>
      </w:r>
      <w:proofErr w:type="spellStart"/>
      <w:r w:rsidR="00080C4A" w:rsidRPr="00582220">
        <w:t>Thi-Qar</w:t>
      </w:r>
      <w:proofErr w:type="spellEnd"/>
      <w:r w:rsidR="00080C4A" w:rsidRPr="00582220">
        <w:t>); and two armed robberies (one in Baghdad, one in Basra). All incidents were in 2014.</w:t>
      </w:r>
      <w:r w:rsidR="00080C4A" w:rsidRPr="00582220">
        <w:rPr>
          <w:rStyle w:val="FootnoteReference"/>
        </w:rPr>
        <w:footnoteReference w:id="69"/>
      </w:r>
      <w:r w:rsidR="00080C4A" w:rsidRPr="00582220">
        <w:t xml:space="preserve"> </w:t>
      </w:r>
    </w:p>
    <w:p w:rsidR="00080C4A" w:rsidRPr="00582220" w:rsidRDefault="00080C4A" w:rsidP="00080C4A">
      <w:pPr>
        <w:pStyle w:val="ListParagraph"/>
      </w:pPr>
      <w:r w:rsidRPr="00582220">
        <w:t xml:space="preserve">The source noted: </w:t>
      </w:r>
    </w:p>
    <w:p w:rsidR="00080C4A" w:rsidRPr="00582220" w:rsidRDefault="00080C4A" w:rsidP="00080C4A">
      <w:pPr>
        <w:pStyle w:val="ListParagraph"/>
        <w:numPr>
          <w:ilvl w:val="0"/>
          <w:numId w:val="0"/>
        </w:numPr>
        <w:ind w:left="851"/>
      </w:pPr>
      <w:r w:rsidRPr="00582220">
        <w:t xml:space="preserve">‘In late 2014, Deputy Chairman of the Mandaean Community in Iraq, Sheikh </w:t>
      </w:r>
      <w:proofErr w:type="spellStart"/>
      <w:r w:rsidRPr="00582220">
        <w:t>Alaa</w:t>
      </w:r>
      <w:proofErr w:type="spellEnd"/>
      <w:r w:rsidRPr="00582220">
        <w:t xml:space="preserve"> Aziz </w:t>
      </w:r>
      <w:proofErr w:type="spellStart"/>
      <w:r w:rsidRPr="00582220">
        <w:t>Tarish</w:t>
      </w:r>
      <w:proofErr w:type="spellEnd"/>
      <w:r w:rsidRPr="00582220">
        <w:t xml:space="preserve">, sent a letter...complaining about the kidnapping of </w:t>
      </w:r>
      <w:proofErr w:type="spellStart"/>
      <w:r w:rsidRPr="00582220">
        <w:t>Mandeans</w:t>
      </w:r>
      <w:proofErr w:type="spellEnd"/>
      <w:r w:rsidRPr="00582220">
        <w:t xml:space="preserve"> in central and southern Iraq. </w:t>
      </w:r>
      <w:proofErr w:type="spellStart"/>
      <w:r w:rsidRPr="00582220">
        <w:t>Tarish’s</w:t>
      </w:r>
      <w:proofErr w:type="spellEnd"/>
      <w:r w:rsidRPr="00582220">
        <w:t xml:space="preserve"> letter explained that Mandaeans had no community militias to protect them, and that moreover their beliefs ban all forms of violence. On the political level, there were no politicians to speak for them in government, because Mandaean votes are barely sufficient to achieve representation in local parliaments and governments.’</w:t>
      </w:r>
      <w:r w:rsidRPr="00582220">
        <w:rPr>
          <w:rStyle w:val="FootnoteReference"/>
        </w:rPr>
        <w:footnoteReference w:id="70"/>
      </w:r>
      <w:r w:rsidRPr="00582220">
        <w:t xml:space="preserve"> </w:t>
      </w:r>
    </w:p>
    <w:p w:rsidR="00582220" w:rsidRDefault="00080C4A" w:rsidP="00582220">
      <w:pPr>
        <w:pStyle w:val="ListParagraph"/>
      </w:pPr>
      <w:r w:rsidRPr="00582220">
        <w:t>The source also referred to</w:t>
      </w:r>
      <w:r w:rsidR="00967B42" w:rsidRPr="00582220">
        <w:t xml:space="preserve"> discrimination against Sabaean </w:t>
      </w:r>
      <w:r w:rsidRPr="00582220">
        <w:t xml:space="preserve">Mandaeans in education (in </w:t>
      </w:r>
      <w:proofErr w:type="spellStart"/>
      <w:r w:rsidRPr="00582220">
        <w:t>Missan</w:t>
      </w:r>
      <w:proofErr w:type="spellEnd"/>
      <w:r w:rsidRPr="00582220">
        <w:t xml:space="preserve">), Shia clerics’ issue of fatwas against the </w:t>
      </w:r>
      <w:proofErr w:type="spellStart"/>
      <w:r w:rsidRPr="00582220">
        <w:t>Sabean</w:t>
      </w:r>
      <w:proofErr w:type="spellEnd"/>
      <w:r w:rsidRPr="00582220">
        <w:t xml:space="preserve"> community in Basra, and social isolation of the community.</w:t>
      </w:r>
      <w:r w:rsidRPr="00582220">
        <w:rPr>
          <w:rStyle w:val="FootnoteReference"/>
        </w:rPr>
        <w:footnoteReference w:id="71"/>
      </w:r>
      <w:r w:rsidR="004A7621">
        <w:t xml:space="preserve"> </w:t>
      </w:r>
      <w:r w:rsidR="00582220" w:rsidRPr="00582220">
        <w:t xml:space="preserve">The USSD 2014 report observed that ‘The combination of corruption, attacks against non-Muslim businesses, uneven application of the rule of law, and nepotism in hiring practices throughout the country by members of the majority Muslim </w:t>
      </w:r>
      <w:r w:rsidR="00582220" w:rsidRPr="00582220">
        <w:lastRenderedPageBreak/>
        <w:t xml:space="preserve">population had a detrimental economic effect on non-Muslim communities and contributed to their emigration. The deputy chairman of the Council of </w:t>
      </w:r>
      <w:proofErr w:type="spellStart"/>
      <w:r w:rsidR="00582220" w:rsidRPr="00582220">
        <w:t>Sabean</w:t>
      </w:r>
      <w:proofErr w:type="spellEnd"/>
      <w:r w:rsidR="00582220" w:rsidRPr="00582220">
        <w:t xml:space="preserve">-Mandaeans in </w:t>
      </w:r>
      <w:proofErr w:type="spellStart"/>
      <w:r w:rsidR="00582220" w:rsidRPr="00582220">
        <w:t>Dhi</w:t>
      </w:r>
      <w:proofErr w:type="spellEnd"/>
      <w:r w:rsidR="00582220" w:rsidRPr="00582220">
        <w:t xml:space="preserve"> </w:t>
      </w:r>
      <w:proofErr w:type="spellStart"/>
      <w:r w:rsidR="00582220" w:rsidRPr="00582220">
        <w:t>Qar</w:t>
      </w:r>
      <w:proofErr w:type="spellEnd"/>
      <w:r w:rsidR="00582220" w:rsidRPr="00582220">
        <w:t xml:space="preserve"> Province, for example, attributed his group’s increased emigration rate to the lack of security and limited economic opportunity’.</w:t>
      </w:r>
      <w:r w:rsidR="00582220" w:rsidRPr="00582220">
        <w:rPr>
          <w:rStyle w:val="FootnoteReference"/>
        </w:rPr>
        <w:footnoteReference w:id="72"/>
      </w:r>
    </w:p>
    <w:p w:rsidR="006B1E99" w:rsidRDefault="006B1E99" w:rsidP="006B1E99">
      <w:pPr>
        <w:pStyle w:val="ListParagraph"/>
        <w:numPr>
          <w:ilvl w:val="0"/>
          <w:numId w:val="0"/>
        </w:numPr>
        <w:ind w:left="851"/>
      </w:pPr>
    </w:p>
    <w:p w:rsidR="006B1E99" w:rsidRPr="006B1E99" w:rsidRDefault="006B1E99" w:rsidP="006B1E99">
      <w:pPr>
        <w:pStyle w:val="ListParagraph"/>
        <w:numPr>
          <w:ilvl w:val="0"/>
          <w:numId w:val="0"/>
        </w:numPr>
        <w:ind w:left="851"/>
        <w:rPr>
          <w:b/>
        </w:rPr>
      </w:pPr>
      <w:r w:rsidRPr="006B1E99">
        <w:rPr>
          <w:b/>
        </w:rPr>
        <w:t xml:space="preserve">Abuses against </w:t>
      </w:r>
      <w:proofErr w:type="spellStart"/>
      <w:r w:rsidRPr="006B1E99">
        <w:rPr>
          <w:b/>
        </w:rPr>
        <w:t>Kaka’i</w:t>
      </w:r>
      <w:proofErr w:type="spellEnd"/>
      <w:r w:rsidRPr="006B1E99">
        <w:rPr>
          <w:b/>
        </w:rPr>
        <w:t xml:space="preserve"> </w:t>
      </w:r>
    </w:p>
    <w:p w:rsidR="00080C4A" w:rsidRDefault="00582220" w:rsidP="00BF1879">
      <w:pPr>
        <w:pStyle w:val="ListParagraph"/>
      </w:pPr>
      <w:r w:rsidRPr="00582220">
        <w:t xml:space="preserve">With respect to the </w:t>
      </w:r>
      <w:proofErr w:type="spellStart"/>
      <w:r w:rsidRPr="00582220">
        <w:t>Kaka’i</w:t>
      </w:r>
      <w:proofErr w:type="spellEnd"/>
      <w:r w:rsidRPr="00582220">
        <w:t xml:space="preserve">, Heartland Alliance International noted: ‘Cataloguing the violations of </w:t>
      </w:r>
      <w:proofErr w:type="spellStart"/>
      <w:r w:rsidRPr="00582220">
        <w:t>Kaka’i</w:t>
      </w:r>
      <w:proofErr w:type="spellEnd"/>
      <w:r w:rsidRPr="00582220">
        <w:t xml:space="preserve"> rights taking place is challenging...</w:t>
      </w:r>
      <w:proofErr w:type="spellStart"/>
      <w:r w:rsidRPr="00582220">
        <w:t>Kaka’i’s</w:t>
      </w:r>
      <w:proofErr w:type="spellEnd"/>
      <w:r w:rsidRPr="00582220">
        <w:t xml:space="preserve"> usually do not report human rights violations against them, since the disclosure of information required for this conflicts with keeping their societal practice of secrecy.’ Nevertheless, the source reported on </w:t>
      </w:r>
      <w:proofErr w:type="spellStart"/>
      <w:r w:rsidRPr="00582220">
        <w:t>Kakai</w:t>
      </w:r>
      <w:proofErr w:type="spellEnd"/>
      <w:r w:rsidRPr="00582220">
        <w:t xml:space="preserve"> marginalisation, the use of hate speech against them (in Kirkuk) and discrimination against them in employment, edu</w:t>
      </w:r>
      <w:r w:rsidR="00F74B29">
        <w:t xml:space="preserve">cation and society (in the KRI) and that: ‘Many extremist Muslim clerics are quick to attack the </w:t>
      </w:r>
      <w:proofErr w:type="spellStart"/>
      <w:r w:rsidR="00F74B29">
        <w:t>Kaka’is</w:t>
      </w:r>
      <w:proofErr w:type="spellEnd"/>
      <w:r w:rsidR="00F74B29">
        <w:t xml:space="preserve"> whenever given the chance. Some sources say that many Muslims perceive </w:t>
      </w:r>
      <w:proofErr w:type="spellStart"/>
      <w:r w:rsidR="00F74B29">
        <w:t>Kaka’is</w:t>
      </w:r>
      <w:proofErr w:type="spellEnd"/>
      <w:r w:rsidR="00F74B29">
        <w:t xml:space="preserve"> as very similar to Yezidis, believing that both are devil worshippers’.</w:t>
      </w:r>
      <w:r w:rsidR="00F74B29" w:rsidRPr="00B336A3">
        <w:rPr>
          <w:rStyle w:val="FootnoteReference"/>
        </w:rPr>
        <w:footnoteReference w:id="73"/>
      </w:r>
      <w:r w:rsidR="00F74B29" w:rsidRPr="00B336A3">
        <w:t xml:space="preserve"> </w:t>
      </w:r>
    </w:p>
    <w:p w:rsidR="00432D11" w:rsidRDefault="008373DB" w:rsidP="00432D11">
      <w:pPr>
        <w:pStyle w:val="ListParagraph"/>
        <w:numPr>
          <w:ilvl w:val="0"/>
          <w:numId w:val="0"/>
        </w:numPr>
        <w:ind w:left="851"/>
        <w:jc w:val="right"/>
      </w:pPr>
      <w:hyperlink w:anchor="contents" w:history="1">
        <w:r w:rsidR="006B4863" w:rsidRPr="006B4863">
          <w:rPr>
            <w:rStyle w:val="Hyperlink"/>
            <w:szCs w:val="24"/>
          </w:rPr>
          <w:t>Back to Contents</w:t>
        </w:r>
      </w:hyperlink>
    </w:p>
    <w:p w:rsidR="00F74B29" w:rsidRDefault="00F74B29" w:rsidP="00432D11">
      <w:pPr>
        <w:pStyle w:val="ListParagraph"/>
        <w:numPr>
          <w:ilvl w:val="0"/>
          <w:numId w:val="0"/>
        </w:numPr>
        <w:ind w:left="851"/>
        <w:jc w:val="right"/>
      </w:pPr>
    </w:p>
    <w:p w:rsidR="009611B8" w:rsidRDefault="009611B8" w:rsidP="00F62E35">
      <w:pPr>
        <w:pStyle w:val="Heading2"/>
      </w:pPr>
      <w:bookmarkStart w:id="50" w:name="_Toc458760069"/>
      <w:r>
        <w:t>Protection</w:t>
      </w:r>
      <w:bookmarkEnd w:id="50"/>
    </w:p>
    <w:p w:rsidR="009611B8" w:rsidRPr="00BD7711" w:rsidRDefault="009611B8" w:rsidP="00BD7711">
      <w:pPr>
        <w:pStyle w:val="Heading3"/>
      </w:pPr>
      <w:bookmarkStart w:id="51" w:name="_Government_of_Iraq"/>
      <w:bookmarkStart w:id="52" w:name="_Toc458760070"/>
      <w:bookmarkEnd w:id="51"/>
      <w:r w:rsidRPr="00BD7711">
        <w:t>Government of Iraq (</w:t>
      </w:r>
      <w:proofErr w:type="spellStart"/>
      <w:r w:rsidRPr="00BD7711">
        <w:t>GoI</w:t>
      </w:r>
      <w:proofErr w:type="spellEnd"/>
      <w:r w:rsidR="00BD7711" w:rsidRPr="00BD7711">
        <w:t>)</w:t>
      </w:r>
      <w:bookmarkEnd w:id="52"/>
      <w:r w:rsidR="00BD7711">
        <w:rPr>
          <w:b/>
        </w:rPr>
        <w:t xml:space="preserve"> </w:t>
      </w:r>
      <w:r w:rsidRPr="00BD7711">
        <w:rPr>
          <w:b/>
        </w:rPr>
        <w:t xml:space="preserve"> </w:t>
      </w:r>
    </w:p>
    <w:p w:rsidR="009611B8" w:rsidRDefault="009611B8" w:rsidP="009611B8">
      <w:pPr>
        <w:pStyle w:val="ListParagraph"/>
      </w:pPr>
      <w:r>
        <w:t>USSD 2014 commented:</w:t>
      </w:r>
    </w:p>
    <w:p w:rsidR="009611B8" w:rsidRDefault="009611B8" w:rsidP="009611B8">
      <w:pPr>
        <w:pStyle w:val="ListParagraph"/>
        <w:numPr>
          <w:ilvl w:val="0"/>
          <w:numId w:val="0"/>
        </w:numPr>
        <w:ind w:left="851"/>
      </w:pPr>
      <w:r>
        <w:t>‘Official investigations of abuses by government forces, illegal armed groups, and terrorist organizations were infrequent, and the outcomes of investigations that did occur were often unpublished, unknown, or incomplete. The government also publicly called for tolerance for all religious communities...Religious and ethnic minorities residing within the territory of the disputed internal boundaries in north-central Iraq blamed the central government and the KRG for the lack of security in the area.’</w:t>
      </w:r>
      <w:r>
        <w:rPr>
          <w:rStyle w:val="FootnoteReference"/>
        </w:rPr>
        <w:footnoteReference w:id="74"/>
      </w:r>
    </w:p>
    <w:p w:rsidR="009611B8" w:rsidRDefault="009611B8" w:rsidP="009611B8">
      <w:pPr>
        <w:pStyle w:val="ListParagraph"/>
      </w:pPr>
      <w:r>
        <w:t xml:space="preserve">The 2016 US Commission on International Religious Freedom report (‘the US Commission report’) observed: ‘Religious minority communities, especially the Yazidi population, doubt the Iraqi government’s willingness, ability, or both to protect them from ISIL. This degree of mistrust among Iraq’s religious and ethnic communities and these communities’ lack of </w:t>
      </w:r>
      <w:r>
        <w:lastRenderedPageBreak/>
        <w:t>confidence in the Iraqi government have combined to exacerbate sectarian tensions, undermine the country’s stability, and create doubt that religious freedom and human rights are a priority and will be protected by the government</w:t>
      </w:r>
      <w:r w:rsidR="00EE60AD">
        <w:t>.’</w:t>
      </w:r>
      <w:r>
        <w:rPr>
          <w:rStyle w:val="FootnoteReference"/>
        </w:rPr>
        <w:footnoteReference w:id="75"/>
      </w:r>
    </w:p>
    <w:p w:rsidR="00BD7711" w:rsidRDefault="009611B8" w:rsidP="00BD7711">
      <w:pPr>
        <w:pStyle w:val="ListParagraph"/>
      </w:pPr>
      <w:r w:rsidRPr="00B336A3">
        <w:t>In respect of Christians, the Heartland Alliance International report commented: ‘...incidents...suggest to Iraqi Christians that the law does not offer them adequate protection. Iraqi Christians feel that they cannot claim their rights, because in many cases tribal norms are applied instead of relying on the rule of law.’</w:t>
      </w:r>
      <w:r w:rsidRPr="00B336A3">
        <w:rPr>
          <w:rStyle w:val="FootnoteReference"/>
        </w:rPr>
        <w:footnoteReference w:id="76"/>
      </w:r>
      <w:r w:rsidRPr="00B336A3">
        <w:t xml:space="preserve"> </w:t>
      </w:r>
    </w:p>
    <w:p w:rsidR="00DD3308" w:rsidRPr="00B336A3" w:rsidRDefault="00DD3308" w:rsidP="00DD3308">
      <w:pPr>
        <w:pStyle w:val="ListParagraph"/>
      </w:pPr>
      <w:r>
        <w:t xml:space="preserve">In respect of Yezidis, the </w:t>
      </w:r>
      <w:r w:rsidRPr="00B336A3">
        <w:t xml:space="preserve">Heartland Alliance International reported a lack of government action to </w:t>
      </w:r>
      <w:r>
        <w:t xml:space="preserve">investigate killings </w:t>
      </w:r>
      <w:r w:rsidRPr="00B336A3">
        <w:t xml:space="preserve">in Baghdad and the KRI. The source commented: </w:t>
      </w:r>
    </w:p>
    <w:p w:rsidR="00DD3308" w:rsidRPr="00B336A3" w:rsidRDefault="00DD3308" w:rsidP="00DD3308">
      <w:pPr>
        <w:pStyle w:val="ListParagraph"/>
        <w:numPr>
          <w:ilvl w:val="0"/>
          <w:numId w:val="0"/>
        </w:numPr>
        <w:ind w:left="851"/>
      </w:pPr>
      <w:r w:rsidRPr="00B336A3">
        <w:t>‘From interviews with Yezidis...it was clear that Yezidis in Iraq’s capital are reluctant to call attention to the Baghdad attacks due to concerns of their perception among the Baghdad population...</w:t>
      </w:r>
    </w:p>
    <w:p w:rsidR="00DD3308" w:rsidRPr="00B336A3" w:rsidRDefault="00DD3308" w:rsidP="00DD3308">
      <w:pPr>
        <w:pStyle w:val="ListParagraph"/>
        <w:numPr>
          <w:ilvl w:val="0"/>
          <w:numId w:val="0"/>
        </w:numPr>
        <w:ind w:left="851"/>
      </w:pPr>
      <w:r w:rsidRPr="00B336A3">
        <w:t>‘While neither the Kurdistan Regional Government (KRG), nor the Government of Iraq (</w:t>
      </w:r>
      <w:proofErr w:type="spellStart"/>
      <w:r w:rsidRPr="00B336A3">
        <w:t>GoI</w:t>
      </w:r>
      <w:proofErr w:type="spellEnd"/>
      <w:r w:rsidRPr="00B336A3">
        <w:t xml:space="preserve">), have taken any serious steps in following up attacks on Yezidis, it is unclear whether government inaction was intended to prevent uproar of these incidents...or due to Islamic political influence in Iraqi and Kurdish governments. </w:t>
      </w:r>
    </w:p>
    <w:p w:rsidR="00DD3308" w:rsidRDefault="00DD3308" w:rsidP="00DD3308">
      <w:pPr>
        <w:pStyle w:val="ListParagraph"/>
        <w:numPr>
          <w:ilvl w:val="0"/>
          <w:numId w:val="0"/>
        </w:numPr>
        <w:ind w:left="851"/>
      </w:pPr>
      <w:r w:rsidRPr="00B336A3">
        <w:t>‘In any event, the failure of the government to respond to such violence suggests that equality is not afforded to persons of Yezidi descent, creating the impression amongst Yezidis that they are not considered real citizens of Iraq in the eyes of government authorities who create an environment of impunity for perpetrators of anti-Yezidi violence.’</w:t>
      </w:r>
      <w:r w:rsidRPr="00B336A3">
        <w:rPr>
          <w:rStyle w:val="FootnoteReference"/>
        </w:rPr>
        <w:footnoteReference w:id="77"/>
      </w:r>
      <w:r>
        <w:t xml:space="preserve"> </w:t>
      </w:r>
    </w:p>
    <w:p w:rsidR="00BD7711" w:rsidRPr="00BD7711" w:rsidRDefault="00BD7711" w:rsidP="00DD3308">
      <w:pPr>
        <w:pStyle w:val="ListParagraph"/>
        <w:numPr>
          <w:ilvl w:val="0"/>
          <w:numId w:val="0"/>
        </w:numPr>
        <w:ind w:left="6611"/>
      </w:pPr>
      <w:r>
        <w:t xml:space="preserve">        </w:t>
      </w:r>
      <w:hyperlink w:anchor="contents" w:history="1">
        <w:r w:rsidRPr="00BD7711">
          <w:rPr>
            <w:rStyle w:val="Hyperlink"/>
            <w:szCs w:val="24"/>
          </w:rPr>
          <w:t>Back to Contents</w:t>
        </w:r>
      </w:hyperlink>
    </w:p>
    <w:p w:rsidR="009611B8" w:rsidRPr="00BD7711" w:rsidRDefault="009611B8" w:rsidP="00BD7711">
      <w:pPr>
        <w:pStyle w:val="Heading3"/>
      </w:pPr>
      <w:bookmarkStart w:id="53" w:name="_Kurdistan_Regional_Government"/>
      <w:bookmarkStart w:id="54" w:name="_Toc458760071"/>
      <w:bookmarkEnd w:id="53"/>
      <w:r w:rsidRPr="00BD7711">
        <w:t>Kurdistan Regional Government (KRG)</w:t>
      </w:r>
      <w:bookmarkEnd w:id="54"/>
    </w:p>
    <w:p w:rsidR="00DD3308" w:rsidRDefault="009611B8" w:rsidP="00F26598">
      <w:pPr>
        <w:pStyle w:val="ListParagraph"/>
      </w:pPr>
      <w:r>
        <w:t>The Internal Displacement Monitoring Centre (IDMC) noted in its June 2015 report that the Kurdistan Region of Iraq (KRI) is historically a haven for religious minorities.</w:t>
      </w:r>
      <w:r>
        <w:rPr>
          <w:rStyle w:val="FootnoteReference"/>
        </w:rPr>
        <w:footnoteReference w:id="78"/>
      </w:r>
      <w:r w:rsidR="00DD3308">
        <w:t xml:space="preserve"> </w:t>
      </w:r>
      <w:r>
        <w:t>The UNHCR Position Paper on Returns observed that religious minorities were generally admitted to the KRI, despite the increasing access restrictions for other groups.</w:t>
      </w:r>
      <w:r>
        <w:rPr>
          <w:rStyle w:val="FootnoteReference"/>
        </w:rPr>
        <w:footnoteReference w:id="79"/>
      </w:r>
      <w:r w:rsidR="00F26598">
        <w:t xml:space="preserve"> </w:t>
      </w:r>
      <w:r w:rsidR="00DD3308">
        <w:t xml:space="preserve">The US Commission report </w:t>
      </w:r>
      <w:r w:rsidR="00DD3308">
        <w:lastRenderedPageBreak/>
        <w:t>observed: ‘Since 2014, the semi-autonomous Kurdistan region and its government (KRG) have played a significant role in providing a safe haven for religious minority communities fleeing ISIL’s advancements and attacks.’</w:t>
      </w:r>
      <w:r w:rsidR="00DD3308">
        <w:rPr>
          <w:rStyle w:val="FootnoteReference"/>
        </w:rPr>
        <w:footnoteReference w:id="80"/>
      </w:r>
      <w:r w:rsidR="00DD3308" w:rsidRPr="00B41D75">
        <w:t>On 1 March 2016, the Kurdistan Regional Government (KRG)’s foreign affairs department quoted Izsak-</w:t>
      </w:r>
      <w:proofErr w:type="spellStart"/>
      <w:r w:rsidR="00DD3308" w:rsidRPr="00B41D75">
        <w:t>Ndiaye</w:t>
      </w:r>
      <w:proofErr w:type="spellEnd"/>
      <w:r w:rsidR="00DD3308" w:rsidRPr="00B41D75">
        <w:t xml:space="preserve"> Rita, UN Special Rapporteur on minority issues: ‘“What the KRG has done for minorities and different ethnic and religious groups who have fled to this region is very well appreciated and recognized internationally.”’</w:t>
      </w:r>
      <w:r w:rsidR="00DD3308" w:rsidRPr="00B41D75">
        <w:rPr>
          <w:rStyle w:val="FootnoteReference"/>
        </w:rPr>
        <w:footnoteReference w:id="81"/>
      </w:r>
    </w:p>
    <w:p w:rsidR="00F26598" w:rsidRDefault="00F26598" w:rsidP="00F26598">
      <w:pPr>
        <w:pStyle w:val="ListParagraph"/>
      </w:pPr>
      <w:r>
        <w:t xml:space="preserve">USSD 2014 commented: </w:t>
      </w:r>
    </w:p>
    <w:p w:rsidR="00F26598" w:rsidRDefault="00F26598" w:rsidP="00F26598">
      <w:pPr>
        <w:pStyle w:val="ListParagraph"/>
        <w:numPr>
          <w:ilvl w:val="0"/>
          <w:numId w:val="0"/>
        </w:numPr>
        <w:ind w:left="851"/>
      </w:pPr>
      <w:r>
        <w:t xml:space="preserve">‘Religious and ethnic minorities residing within the territory of the disputed internal boundaries in north-central Iraq blamed the central government and the KRG for the lack of security in the area... Advocacy groups and representatives of religious minority communities said the failure of the ISF [Iraqi Security Forces], including the Kurdish Peshmerga, to ensure protection for minority communities against ISIL [Daesh] in Mosul and across the </w:t>
      </w:r>
      <w:proofErr w:type="spellStart"/>
      <w:r>
        <w:t>Ninewa</w:t>
      </w:r>
      <w:proofErr w:type="spellEnd"/>
      <w:r>
        <w:t xml:space="preserve"> Plain also led to the departure of Christians and other religious minority communities from northern Iraq during the year.’</w:t>
      </w:r>
      <w:r>
        <w:rPr>
          <w:rStyle w:val="FootnoteReference"/>
        </w:rPr>
        <w:footnoteReference w:id="82"/>
      </w:r>
      <w:r>
        <w:t xml:space="preserve"> </w:t>
      </w:r>
    </w:p>
    <w:p w:rsidR="00F26598" w:rsidRDefault="00F26598" w:rsidP="00F26598">
      <w:pPr>
        <w:pStyle w:val="ListParagraph"/>
      </w:pPr>
      <w:r w:rsidRPr="00A57407">
        <w:t>Heartland Alliance International reported a lack of government action to inv</w:t>
      </w:r>
      <w:r>
        <w:t xml:space="preserve">estigate killings of Yezidis, including in the </w:t>
      </w:r>
      <w:r w:rsidRPr="00A57407">
        <w:t>KRI</w:t>
      </w:r>
      <w:r>
        <w:t>.</w:t>
      </w:r>
      <w:r w:rsidRPr="00A57407">
        <w:rPr>
          <w:rStyle w:val="FootnoteReference"/>
        </w:rPr>
        <w:footnoteReference w:id="83"/>
      </w:r>
      <w:r>
        <w:t xml:space="preserve"> </w:t>
      </w:r>
    </w:p>
    <w:p w:rsidR="009611B8" w:rsidRDefault="009611B8" w:rsidP="009611B8">
      <w:pPr>
        <w:pStyle w:val="ListParagraph"/>
      </w:pPr>
      <w:r>
        <w:t>The Danish report noted:</w:t>
      </w:r>
    </w:p>
    <w:p w:rsidR="009611B8" w:rsidRDefault="009611B8" w:rsidP="009611B8">
      <w:pPr>
        <w:pStyle w:val="ListParagraph"/>
        <w:numPr>
          <w:ilvl w:val="0"/>
          <w:numId w:val="0"/>
        </w:numPr>
        <w:ind w:left="851"/>
      </w:pPr>
      <w:r>
        <w:t>‘</w:t>
      </w:r>
      <w:r w:rsidRPr="00E9263C">
        <w:t xml:space="preserve">Human Rights Watch said that compared to south and central Iraq, the effectiveness in terms of law enforcement in KRI is higher. An international humanitarian organisation characterized law enforcement in KRI as exceptionally effective but said that it varies in other Kurdish controlled areas. The international humanitarian organisation added that law enforcement in Kirkuk is very effective but that, in some Peshmerga controlled areas outside KRI, there are many pockets with lack of law enforcement, especially in a westward direction of KRI towards Anbar. </w:t>
      </w:r>
    </w:p>
    <w:p w:rsidR="009611B8" w:rsidRDefault="009611B8" w:rsidP="009611B8">
      <w:pPr>
        <w:pStyle w:val="ListParagraph"/>
        <w:numPr>
          <w:ilvl w:val="0"/>
          <w:numId w:val="0"/>
        </w:numPr>
        <w:ind w:left="851"/>
      </w:pPr>
      <w:r>
        <w:t>‘</w:t>
      </w:r>
      <w:r w:rsidRPr="00E9263C">
        <w:t xml:space="preserve">According to two sources, the Kurdish authorities have the potential to provide very effective security in the areas that they control. Being one of these sources, the international humanitarian organisation, however, stated that if Kurdish authorities do not want to protect an individual, they can also enforce that very effectively. Correspondingly, Journalist Osama Al </w:t>
      </w:r>
      <w:proofErr w:type="spellStart"/>
      <w:r w:rsidRPr="00E9263C">
        <w:t>Habahbeh</w:t>
      </w:r>
      <w:proofErr w:type="spellEnd"/>
      <w:r w:rsidRPr="00E9263C">
        <w:t xml:space="preserve"> said that the possibility to receive protection from KRI authorities </w:t>
      </w:r>
      <w:r w:rsidRPr="00E9263C">
        <w:lastRenderedPageBreak/>
        <w:t xml:space="preserve">depends on who the persecutor is. Journalist Osama Al </w:t>
      </w:r>
      <w:proofErr w:type="spellStart"/>
      <w:r w:rsidRPr="00E9263C">
        <w:t>Habahbeh</w:t>
      </w:r>
      <w:proofErr w:type="spellEnd"/>
      <w:r w:rsidRPr="00E9263C">
        <w:t xml:space="preserve"> explained that the authorities would not protect an individual in case the person had a conflict with a politician. In line with this, Human Rights Watch characterized the Kurdish court system as being under political influence and used to stifle dissent and target critical voices, including journalists. </w:t>
      </w:r>
    </w:p>
    <w:p w:rsidR="009611B8" w:rsidRDefault="009611B8" w:rsidP="009611B8">
      <w:pPr>
        <w:pStyle w:val="ListParagraph"/>
        <w:numPr>
          <w:ilvl w:val="0"/>
          <w:numId w:val="0"/>
        </w:numPr>
        <w:ind w:left="851"/>
      </w:pPr>
      <w:r>
        <w:t>‘</w:t>
      </w:r>
      <w:r w:rsidRPr="00E9263C">
        <w:t xml:space="preserve">According to UNHCR, there is very little regard of law enforcement among the local population in KRI and people do not make use of the police or the courts. UNHCR said that the courts are not seen to respond, even though, in principle, they have </w:t>
      </w:r>
      <w:proofErr w:type="gramStart"/>
      <w:r w:rsidRPr="00E9263C">
        <w:t>a number of</w:t>
      </w:r>
      <w:proofErr w:type="gramEnd"/>
      <w:r w:rsidRPr="00E9263C">
        <w:t xml:space="preserve"> excellent laws meeting international standards. In addition, UNHCR explained that access to rule of law is dependent on ethnic and religious affiliation, tribe, connections, family and relatives, and it is very difficult, if not impossible, for an individual to stand up for his rights by himself</w:t>
      </w:r>
      <w:r>
        <w:t>…</w:t>
      </w:r>
    </w:p>
    <w:p w:rsidR="009611B8" w:rsidRPr="00E9263C" w:rsidRDefault="009611B8" w:rsidP="009611B8">
      <w:pPr>
        <w:pStyle w:val="ListParagraph"/>
        <w:numPr>
          <w:ilvl w:val="0"/>
          <w:numId w:val="0"/>
        </w:numPr>
        <w:ind w:left="851"/>
      </w:pPr>
      <w:r>
        <w:t>‘[A]...</w:t>
      </w:r>
      <w:r w:rsidRPr="00E9263C">
        <w:t xml:space="preserve"> western diplomat, however, said that many IDPs from</w:t>
      </w:r>
      <w:r>
        <w:t xml:space="preserve"> </w:t>
      </w:r>
      <w:r w:rsidRPr="00E9263C">
        <w:t>the south cannot get access to the courts due to lack of documents.</w:t>
      </w:r>
      <w:r>
        <w:t xml:space="preserve"> </w:t>
      </w:r>
      <w:r w:rsidRPr="00E9263C">
        <w:t xml:space="preserve">According to PAO/KHRW, the </w:t>
      </w:r>
      <w:proofErr w:type="spellStart"/>
      <w:r w:rsidRPr="00E9263C">
        <w:t>Asayish</w:t>
      </w:r>
      <w:proofErr w:type="spellEnd"/>
      <w:r w:rsidRPr="00E9263C">
        <w:t xml:space="preserve"> has extended powers when it comes to IDPs because IDPs</w:t>
      </w:r>
      <w:r>
        <w:t xml:space="preserve"> </w:t>
      </w:r>
      <w:r w:rsidRPr="00E9263C">
        <w:t xml:space="preserve">need approval from the </w:t>
      </w:r>
      <w:proofErr w:type="spellStart"/>
      <w:r w:rsidRPr="00E9263C">
        <w:t>Asayish</w:t>
      </w:r>
      <w:proofErr w:type="spellEnd"/>
      <w:r w:rsidRPr="00E9263C">
        <w:t xml:space="preserve"> to change address, to change work, to get electricity in their</w:t>
      </w:r>
      <w:r>
        <w:t xml:space="preserve"> homes, to go to health care clinics and schools etc., and there are no fixed criteria for the approval. According to Human Rights Watch, </w:t>
      </w:r>
      <w:proofErr w:type="gramStart"/>
      <w:r>
        <w:t>as regards</w:t>
      </w:r>
      <w:proofErr w:type="gramEnd"/>
      <w:r>
        <w:t xml:space="preserve"> the </w:t>
      </w:r>
      <w:proofErr w:type="spellStart"/>
      <w:r>
        <w:t>Asayish</w:t>
      </w:r>
      <w:proofErr w:type="spellEnd"/>
      <w:r>
        <w:t>, both Arabs and Kurds are at risk of arbitrary detention and torture. According to UNHCR, collective punishment of IDPs upon security incidents is common practice’.</w:t>
      </w:r>
      <w:r>
        <w:rPr>
          <w:rStyle w:val="FootnoteReference"/>
        </w:rPr>
        <w:footnoteReference w:id="84"/>
      </w:r>
    </w:p>
    <w:p w:rsidR="002816D9" w:rsidRDefault="00AB51E2" w:rsidP="000D19A7">
      <w:pPr>
        <w:pStyle w:val="ListParagraph"/>
      </w:pPr>
      <w:r>
        <w:t>The report also commented</w:t>
      </w:r>
      <w:r w:rsidR="009611B8">
        <w:t xml:space="preserve">: </w:t>
      </w:r>
    </w:p>
    <w:p w:rsidR="002816D9" w:rsidRDefault="009611B8" w:rsidP="000D19A7">
      <w:pPr>
        <w:pStyle w:val="ListParagraph"/>
      </w:pPr>
      <w:r>
        <w:t>‘</w:t>
      </w:r>
      <w:r w:rsidRPr="00421893">
        <w:t xml:space="preserve">PAO/KHRW explained that, as Saddam Hussein repressed the Kurds, the Kurds are now repressing minorities in their own region. Journalist Osama Al </w:t>
      </w:r>
      <w:proofErr w:type="spellStart"/>
      <w:r w:rsidRPr="00421893">
        <w:t>Habahbeh</w:t>
      </w:r>
      <w:proofErr w:type="spellEnd"/>
      <w:r w:rsidRPr="00421893">
        <w:t xml:space="preserve"> also referred to lack of protection of minority groups by authorities and said that it manifests itself in IDPs creating ghettos based on ethnic affiliation inside the camps and in other areas where they live. As an elaboration to this picture, Visiting Scholar </w:t>
      </w:r>
      <w:proofErr w:type="spellStart"/>
      <w:r w:rsidRPr="00421893">
        <w:t>Renad</w:t>
      </w:r>
      <w:proofErr w:type="spellEnd"/>
      <w:r w:rsidRPr="00421893">
        <w:t xml:space="preserve"> Mansour said that, traditionally, it has been more difficult for minorities to trust the Peshmerga, but, nevertheless, the Kurdistan Regional Government (KRG) has been keen on showing that it protects minorities, especially Christians. According to Visiting Scholar </w:t>
      </w:r>
      <w:proofErr w:type="spellStart"/>
      <w:r w:rsidRPr="00421893">
        <w:t>Renad</w:t>
      </w:r>
      <w:proofErr w:type="spellEnd"/>
      <w:r w:rsidRPr="00421893">
        <w:t xml:space="preserve"> Mansour, measures are taken by Kurdish authorities </w:t>
      </w:r>
      <w:proofErr w:type="gramStart"/>
      <w:r w:rsidRPr="00421893">
        <w:t>in order to</w:t>
      </w:r>
      <w:proofErr w:type="gramEnd"/>
      <w:r w:rsidRPr="00421893">
        <w:t xml:space="preserve"> prevent incidents of disputes based on ethnic affiliation. </w:t>
      </w:r>
      <w:r>
        <w:t>…</w:t>
      </w:r>
      <w:r w:rsidRPr="00421893">
        <w:t>According to UNHCR, the possibility to seek protection from the authorities in KRI and other Kurdish controlled areas in case of harassment based on religious and/or ethnic affiliation, however, depends on the personal connections of the person in question</w:t>
      </w:r>
      <w:r>
        <w:t>.’</w:t>
      </w:r>
      <w:r>
        <w:rPr>
          <w:rStyle w:val="FootnoteReference"/>
        </w:rPr>
        <w:footnoteReference w:id="85"/>
      </w:r>
      <w:r w:rsidR="00EF5E3C">
        <w:t xml:space="preserve">                               </w:t>
      </w:r>
      <w:hyperlink w:anchor="contents" w:history="1">
        <w:r w:rsidR="00EF5E3C" w:rsidRPr="002816D9">
          <w:rPr>
            <w:rStyle w:val="Hyperlink"/>
            <w:szCs w:val="24"/>
          </w:rPr>
          <w:t>Back to Contents</w:t>
        </w:r>
      </w:hyperlink>
    </w:p>
    <w:p w:rsidR="00D728BE" w:rsidRDefault="00EC7DF2" w:rsidP="00764279">
      <w:pPr>
        <w:pStyle w:val="Subheading"/>
      </w:pPr>
      <w:bookmarkStart w:id="55" w:name="_Toc458760072"/>
      <w:r>
        <w:lastRenderedPageBreak/>
        <w:t xml:space="preserve">Version </w:t>
      </w:r>
      <w:r w:rsidR="00FE3E58">
        <w:t>C</w:t>
      </w:r>
      <w:r>
        <w:t xml:space="preserve">ontrol and </w:t>
      </w:r>
      <w:r w:rsidR="00FE3E58">
        <w:t>C</w:t>
      </w:r>
      <w:r>
        <w:t>ontacts</w:t>
      </w:r>
      <w:bookmarkEnd w:id="19"/>
      <w:bookmarkEnd w:id="55"/>
    </w:p>
    <w:p w:rsidR="000D19A7" w:rsidRDefault="000D19A7" w:rsidP="000D19A7">
      <w:pPr>
        <w:pStyle w:val="Subheading"/>
      </w:pPr>
    </w:p>
    <w:p w:rsidR="00FE3E58" w:rsidRPr="00923E92" w:rsidRDefault="00FE3E58" w:rsidP="00923E92">
      <w:pPr>
        <w:pStyle w:val="subheading2"/>
        <w:rPr>
          <w:sz w:val="24"/>
          <w:szCs w:val="24"/>
        </w:rPr>
      </w:pPr>
      <w:r w:rsidRPr="00923E92">
        <w:rPr>
          <w:sz w:val="24"/>
          <w:szCs w:val="24"/>
        </w:rPr>
        <w:t>Contacts</w:t>
      </w:r>
    </w:p>
    <w:p w:rsidR="00FE3E58" w:rsidRDefault="00FE3E58" w:rsidP="00FE3E58">
      <w:pPr>
        <w:contextualSpacing/>
      </w:pPr>
      <w:r>
        <w:t>If you have any questions about the guidance and your line manager or senior caseworker cannot help you or you think that the guidance has factual errors then email</w:t>
      </w:r>
      <w:r w:rsidR="006B4863">
        <w:t xml:space="preserve"> </w:t>
      </w:r>
      <w:hyperlink r:id="rId33" w:history="1">
        <w:r w:rsidR="003E4A8A">
          <w:rPr>
            <w:rStyle w:val="Hyperlink"/>
          </w:rPr>
          <w:t>the Country Policy and Information Team</w:t>
        </w:r>
      </w:hyperlink>
      <w:r w:rsidRPr="00ED67A7">
        <w:t>.</w:t>
      </w:r>
    </w:p>
    <w:p w:rsidR="00FE3E58" w:rsidRDefault="00FE3E58" w:rsidP="00FE3E58">
      <w:pPr>
        <w:contextualSpacing/>
      </w:pPr>
    </w:p>
    <w:p w:rsidR="00FE3E58" w:rsidRDefault="00FE3E58" w:rsidP="00FE3E58">
      <w:pPr>
        <w:contextualSpacing/>
      </w:pPr>
      <w:r>
        <w:t>If you notice any formatting errors in this guidance (broken links, spelling mistakes and so on) or have any comments about the layout or navigability of the guidance then you can email</w:t>
      </w:r>
      <w:r w:rsidR="003E4A8A">
        <w:t xml:space="preserve"> </w:t>
      </w:r>
      <w:hyperlink r:id="rId34" w:history="1">
        <w:r w:rsidR="003E4A8A">
          <w:rPr>
            <w:rStyle w:val="Hyperlink"/>
          </w:rPr>
          <w:t>the Guidance, Rules and Forms Team</w:t>
        </w:r>
      </w:hyperlink>
      <w:r w:rsidRPr="003E4A8A">
        <w:rPr>
          <w:rStyle w:val="CPITCOI-Link"/>
          <w:u w:val="none"/>
        </w:rPr>
        <w:t>.</w:t>
      </w:r>
    </w:p>
    <w:p w:rsidR="00FE3E58" w:rsidRDefault="00FE3E58" w:rsidP="00FE3E58">
      <w:pPr>
        <w:contextualSpacing/>
      </w:pPr>
    </w:p>
    <w:p w:rsidR="00FE3E58" w:rsidRPr="00923E92" w:rsidRDefault="00FE3E58" w:rsidP="00923E92">
      <w:pPr>
        <w:pStyle w:val="subheading2"/>
        <w:rPr>
          <w:sz w:val="24"/>
          <w:szCs w:val="24"/>
        </w:rPr>
      </w:pPr>
      <w:r w:rsidRPr="00923E92">
        <w:rPr>
          <w:sz w:val="24"/>
          <w:szCs w:val="24"/>
        </w:rPr>
        <w:t>Clearance</w:t>
      </w:r>
    </w:p>
    <w:p w:rsidR="00FE3E58" w:rsidRDefault="00FE3E58" w:rsidP="00FE3E58">
      <w:r>
        <w:t>Below is information on when this version of the guidance was cleared:</w:t>
      </w:r>
    </w:p>
    <w:p w:rsidR="00FE3E58" w:rsidRDefault="00FE3E58" w:rsidP="00FE3E58">
      <w:pPr>
        <w:numPr>
          <w:ilvl w:val="0"/>
          <w:numId w:val="1"/>
        </w:numPr>
        <w:spacing w:after="0"/>
      </w:pPr>
      <w:r>
        <w:t xml:space="preserve">version </w:t>
      </w:r>
      <w:r w:rsidR="00596C19">
        <w:rPr>
          <w:b/>
        </w:rPr>
        <w:t xml:space="preserve">1.0 </w:t>
      </w:r>
    </w:p>
    <w:p w:rsidR="00CB40E5" w:rsidRPr="008373DB" w:rsidRDefault="00FE3E58" w:rsidP="00923E92">
      <w:pPr>
        <w:numPr>
          <w:ilvl w:val="0"/>
          <w:numId w:val="1"/>
        </w:numPr>
        <w:spacing w:after="0"/>
      </w:pPr>
      <w:r>
        <w:t xml:space="preserve">valid from </w:t>
      </w:r>
      <w:r w:rsidR="00CB40E5">
        <w:rPr>
          <w:b/>
        </w:rPr>
        <w:t>12 August 2016</w:t>
      </w:r>
    </w:p>
    <w:p w:rsidR="008373DB" w:rsidRPr="008373DB" w:rsidRDefault="008373DB" w:rsidP="008373DB">
      <w:pPr>
        <w:spacing w:after="0"/>
        <w:ind w:left="567"/>
      </w:pPr>
      <w:bookmarkStart w:id="56" w:name="_GoBack"/>
      <w:bookmarkEnd w:id="56"/>
    </w:p>
    <w:p w:rsidR="00FE3E58" w:rsidRDefault="00FE3E58" w:rsidP="00923E92">
      <w:pPr>
        <w:pStyle w:val="subheading2"/>
        <w:rPr>
          <w:sz w:val="24"/>
          <w:szCs w:val="24"/>
        </w:rPr>
      </w:pPr>
      <w:r w:rsidRPr="00923E92">
        <w:rPr>
          <w:sz w:val="24"/>
          <w:szCs w:val="24"/>
        </w:rPr>
        <w:t>Changes from last version of this guidance</w:t>
      </w:r>
    </w:p>
    <w:p w:rsidR="00CB40E5" w:rsidRPr="00CB40E5" w:rsidRDefault="00CB40E5" w:rsidP="00923E92">
      <w:pPr>
        <w:pStyle w:val="subheading2"/>
        <w:rPr>
          <w:b w:val="0"/>
          <w:color w:val="auto"/>
          <w:sz w:val="24"/>
          <w:szCs w:val="24"/>
        </w:rPr>
      </w:pPr>
      <w:r w:rsidRPr="00CB40E5">
        <w:rPr>
          <w:b w:val="0"/>
          <w:color w:val="auto"/>
          <w:sz w:val="24"/>
          <w:szCs w:val="24"/>
        </w:rPr>
        <w:t>First version in CIG format</w:t>
      </w:r>
    </w:p>
    <w:p w:rsidR="00FE3E58" w:rsidRPr="00402729" w:rsidRDefault="008373DB" w:rsidP="00FE3E58">
      <w:pPr>
        <w:contextualSpacing/>
        <w:jc w:val="right"/>
      </w:pPr>
      <w:hyperlink w:anchor="contents" w:history="1">
        <w:r w:rsidR="003E4A8A" w:rsidRPr="006B4863">
          <w:rPr>
            <w:rStyle w:val="Hyperlink"/>
            <w:szCs w:val="24"/>
          </w:rPr>
          <w:t>Back to Contents</w:t>
        </w:r>
      </w:hyperlink>
    </w:p>
    <w:p w:rsidR="001824D8" w:rsidRDefault="001824D8" w:rsidP="00FE3E58">
      <w:pPr>
        <w:pStyle w:val="Heading1"/>
        <w:jc w:val="right"/>
        <w:rPr>
          <w:rFonts w:asciiTheme="majorHAnsi" w:hAnsiTheme="majorHAnsi"/>
          <w:color w:val="4F81BD" w:themeColor="accent1"/>
        </w:rPr>
      </w:pPr>
    </w:p>
    <w:sectPr w:rsidR="001824D8" w:rsidSect="00BE58E5">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5C7" w:rsidRDefault="00D765C7" w:rsidP="00943D7D">
      <w:r>
        <w:separator/>
      </w:r>
    </w:p>
    <w:p w:rsidR="00D765C7" w:rsidRDefault="00D765C7"/>
  </w:endnote>
  <w:endnote w:type="continuationSeparator" w:id="0">
    <w:p w:rsidR="00D765C7" w:rsidRDefault="00D765C7" w:rsidP="00943D7D">
      <w:r>
        <w:continuationSeparator/>
      </w:r>
    </w:p>
    <w:p w:rsidR="00D765C7" w:rsidRDefault="00D765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E75" w:rsidRDefault="00AB7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74001"/>
      <w:docPartObj>
        <w:docPartGallery w:val="Page Numbers (Bottom of Page)"/>
        <w:docPartUnique/>
      </w:docPartObj>
    </w:sdtPr>
    <w:sdtEndPr/>
    <w:sdtContent>
      <w:sdt>
        <w:sdtPr>
          <w:id w:val="212808186"/>
          <w:docPartObj>
            <w:docPartGallery w:val="Page Numbers (Bottom of Page)"/>
            <w:docPartUnique/>
          </w:docPartObj>
        </w:sdtPr>
        <w:sdtEndPr/>
        <w:sdtContent>
          <w:sdt>
            <w:sdtPr>
              <w:id w:val="212808187"/>
              <w:docPartObj>
                <w:docPartGallery w:val="Page Numbers (Top of Page)"/>
                <w:docPartUnique/>
              </w:docPartObj>
            </w:sdtPr>
            <w:sdtEndPr/>
            <w:sdtContent>
              <w:sdt>
                <w:sdtPr>
                  <w:id w:val="229301752"/>
                  <w:docPartObj>
                    <w:docPartGallery w:val="Page Numbers (Top of Page)"/>
                    <w:docPartUnique/>
                  </w:docPartObj>
                </w:sdtPr>
                <w:sdtEndPr/>
                <w:sdtContent>
                  <w:p w:rsidR="00D765C7" w:rsidRDefault="008373DB" w:rsidP="00A524BF">
                    <w:pPr>
                      <w:pStyle w:val="Footer"/>
                      <w:tabs>
                        <w:tab w:val="left" w:pos="11199"/>
                        <w:tab w:val="right" w:pos="11340"/>
                      </w:tabs>
                      <w:ind w:left="-851" w:right="-144"/>
                      <w:jc w:val="center"/>
                      <w:rPr>
                        <w:color w:val="999999"/>
                        <w:sz w:val="16"/>
                        <w:szCs w:val="16"/>
                      </w:rPr>
                    </w:pPr>
                    <w:r>
                      <w:rPr>
                        <w:color w:val="999999"/>
                        <w:sz w:val="16"/>
                        <w:szCs w:val="16"/>
                      </w:rPr>
                      <w:pict>
                        <v:rect id="_x0000_i1025" style="width:446.8pt;height:.75pt" o:hrpct="990" o:hralign="center" o:hrstd="t" o:hrnoshade="t" o:hr="t" fillcolor="#8f23b3" stroked="f"/>
                      </w:pict>
                    </w:r>
                  </w:p>
                  <w:p w:rsidR="00D765C7" w:rsidRDefault="00D765C7" w:rsidP="00A524BF">
                    <w:pPr>
                      <w:pStyle w:val="Footer"/>
                      <w:spacing w:before="60" w:after="60"/>
                      <w:ind w:right="6"/>
                      <w:jc w:val="center"/>
                    </w:pPr>
                    <w:r>
                      <w:rPr>
                        <w:color w:val="999999"/>
                        <w:sz w:val="16"/>
                        <w:szCs w:val="16"/>
                      </w:rPr>
                      <w:t xml:space="preserve">Page </w:t>
                    </w:r>
                    <w:r w:rsidR="00CC285B">
                      <w:rPr>
                        <w:color w:val="999999"/>
                        <w:sz w:val="16"/>
                        <w:szCs w:val="16"/>
                      </w:rPr>
                      <w:fldChar w:fldCharType="begin"/>
                    </w:r>
                    <w:r>
                      <w:rPr>
                        <w:color w:val="999999"/>
                        <w:sz w:val="16"/>
                        <w:szCs w:val="16"/>
                      </w:rPr>
                      <w:instrText xml:space="preserve"> PAGE </w:instrText>
                    </w:r>
                    <w:r w:rsidR="00CC285B">
                      <w:rPr>
                        <w:color w:val="999999"/>
                        <w:sz w:val="16"/>
                        <w:szCs w:val="16"/>
                      </w:rPr>
                      <w:fldChar w:fldCharType="separate"/>
                    </w:r>
                    <w:r w:rsidR="00EA3C2A">
                      <w:rPr>
                        <w:noProof/>
                        <w:color w:val="999999"/>
                        <w:sz w:val="16"/>
                        <w:szCs w:val="16"/>
                      </w:rPr>
                      <w:t>2</w:t>
                    </w:r>
                    <w:r w:rsidR="00CC285B">
                      <w:rPr>
                        <w:color w:val="999999"/>
                        <w:sz w:val="16"/>
                        <w:szCs w:val="16"/>
                      </w:rPr>
                      <w:fldChar w:fldCharType="end"/>
                    </w:r>
                    <w:r>
                      <w:rPr>
                        <w:color w:val="999999"/>
                        <w:sz w:val="16"/>
                        <w:szCs w:val="16"/>
                      </w:rPr>
                      <w:t xml:space="preserve"> of </w:t>
                    </w:r>
                    <w:r w:rsidR="00CC285B">
                      <w:rPr>
                        <w:color w:val="999999"/>
                        <w:sz w:val="16"/>
                        <w:szCs w:val="16"/>
                      </w:rPr>
                      <w:fldChar w:fldCharType="begin"/>
                    </w:r>
                    <w:r>
                      <w:rPr>
                        <w:color w:val="999999"/>
                        <w:sz w:val="16"/>
                        <w:szCs w:val="16"/>
                      </w:rPr>
                      <w:instrText xml:space="preserve"> NUMPAGES </w:instrText>
                    </w:r>
                    <w:r w:rsidR="00CC285B">
                      <w:rPr>
                        <w:color w:val="999999"/>
                        <w:sz w:val="16"/>
                        <w:szCs w:val="16"/>
                      </w:rPr>
                      <w:fldChar w:fldCharType="separate"/>
                    </w:r>
                    <w:r w:rsidR="00EA3C2A">
                      <w:rPr>
                        <w:noProof/>
                        <w:color w:val="999999"/>
                        <w:sz w:val="16"/>
                        <w:szCs w:val="16"/>
                      </w:rPr>
                      <w:t>31</w:t>
                    </w:r>
                    <w:r w:rsidR="00CC285B">
                      <w:rPr>
                        <w:color w:val="999999"/>
                        <w:sz w:val="16"/>
                        <w:szCs w:val="16"/>
                      </w:rPr>
                      <w:fldChar w:fldCharType="end"/>
                    </w:r>
                  </w:p>
                </w:sdtContent>
              </w:sdt>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5C7" w:rsidRDefault="00D765C7">
    <w:pPr>
      <w:pStyle w:val="Footer"/>
      <w:jc w:val="center"/>
    </w:pPr>
  </w:p>
  <w:p w:rsidR="00D765C7" w:rsidRDefault="00D765C7">
    <w:pPr>
      <w:pStyle w:val="Footer"/>
    </w:pPr>
  </w:p>
  <w:p w:rsidR="00D765C7" w:rsidRDefault="00D765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5C7" w:rsidRDefault="00D765C7" w:rsidP="00943D7D">
      <w:r>
        <w:separator/>
      </w:r>
    </w:p>
    <w:p w:rsidR="00D765C7" w:rsidRDefault="00D765C7"/>
  </w:footnote>
  <w:footnote w:type="continuationSeparator" w:id="0">
    <w:p w:rsidR="00D765C7" w:rsidRDefault="00D765C7" w:rsidP="00943D7D">
      <w:r>
        <w:continuationSeparator/>
      </w:r>
    </w:p>
    <w:p w:rsidR="00D765C7" w:rsidRDefault="00D765C7"/>
  </w:footnote>
  <w:footnote w:id="1">
    <w:p w:rsidR="00D765C7" w:rsidRDefault="00D765C7">
      <w:pPr>
        <w:pStyle w:val="FootnoteText"/>
      </w:pPr>
      <w:r>
        <w:rPr>
          <w:rStyle w:val="FootnoteReference"/>
        </w:rPr>
        <w:footnoteRef/>
      </w:r>
      <w:r>
        <w:t xml:space="preserve"> A July 2014 estimate by the US Government, according to </w:t>
      </w:r>
      <w:r>
        <w:rPr>
          <w:rStyle w:val="FootnoteTextChar"/>
        </w:rPr>
        <w:t xml:space="preserve">US State Department, International Religious Freedoms Report for 2014, Iraq, Section 1: Religious Demography, 14 October 2015, </w:t>
      </w:r>
      <w:hyperlink r:id="rId1" w:history="1">
        <w:r w:rsidRPr="00036AEE">
          <w:rPr>
            <w:rStyle w:val="Hyperlink"/>
          </w:rPr>
          <w:t>http://www.state.gov/j/drl/rls/irf/2014/nea/238456.htm</w:t>
        </w:r>
      </w:hyperlink>
      <w:r>
        <w:t>, accessed 26 July 2016</w:t>
      </w:r>
    </w:p>
  </w:footnote>
  <w:footnote w:id="2">
    <w:p w:rsidR="00D765C7" w:rsidRDefault="00D765C7">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2" w:history="1">
        <w:r w:rsidRPr="00036AEE">
          <w:rPr>
            <w:rStyle w:val="Hyperlink"/>
          </w:rPr>
          <w:t>http://www.state.gov/j/drl/rls/irf/2014/nea/238456.htm</w:t>
        </w:r>
      </w:hyperlink>
      <w:r>
        <w:t>, accessed 26 July 2016</w:t>
      </w:r>
    </w:p>
  </w:footnote>
  <w:footnote w:id="3">
    <w:p w:rsidR="00D765C7" w:rsidRPr="00414FA2" w:rsidRDefault="00D765C7" w:rsidP="000E5F8E">
      <w:pPr>
        <w:pStyle w:val="Bibliography"/>
        <w:widowControl w:val="0"/>
        <w:spacing w:after="0"/>
        <w:rPr>
          <w:rStyle w:val="FootnoteTextChar"/>
        </w:rPr>
      </w:pPr>
      <w:r w:rsidRPr="00641438">
        <w:rPr>
          <w:rStyle w:val="FootnoteReference"/>
          <w:sz w:val="20"/>
          <w:szCs w:val="20"/>
        </w:rPr>
        <w:footnoteRef/>
      </w:r>
      <w:r>
        <w:rPr>
          <w:sz w:val="20"/>
          <w:szCs w:val="20"/>
        </w:rPr>
        <w:t xml:space="preserve"> </w:t>
      </w:r>
      <w:r>
        <w:rPr>
          <w:rStyle w:val="FootnoteTextChar"/>
        </w:rPr>
        <w:t xml:space="preserve">US State Department, International Religious Freedoms Report for 2014, Iraq, Section 1: Religious Demography, 14 October 2015, </w:t>
      </w:r>
      <w:hyperlink r:id="rId3" w:history="1">
        <w:r w:rsidRPr="00036AEE">
          <w:rPr>
            <w:rStyle w:val="Hyperlink"/>
            <w:sz w:val="20"/>
            <w:szCs w:val="20"/>
          </w:rPr>
          <w:t>http://www.state.gov/j/drl/rls/irf/2014/nea/238456.htm</w:t>
        </w:r>
      </w:hyperlink>
      <w:r>
        <w:rPr>
          <w:sz w:val="20"/>
          <w:szCs w:val="20"/>
        </w:rPr>
        <w:t xml:space="preserve">, accessed 26 July 2016 </w:t>
      </w:r>
    </w:p>
    <w:p w:rsidR="00D765C7" w:rsidRPr="000E5F8E" w:rsidRDefault="00D765C7" w:rsidP="000E5F8E"/>
  </w:footnote>
  <w:footnote w:id="4">
    <w:p w:rsidR="00D765C7" w:rsidRDefault="00D765C7">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4" w:history="1">
        <w:r w:rsidRPr="00036AEE">
          <w:rPr>
            <w:rStyle w:val="Hyperlink"/>
          </w:rPr>
          <w:t>http://www.state.gov/j/drl/rls/irf/2014/nea/238456.htm</w:t>
        </w:r>
      </w:hyperlink>
      <w:r>
        <w:t>, accessed 26 July 2016</w:t>
      </w:r>
    </w:p>
  </w:footnote>
  <w:footnote w:id="5">
    <w:p w:rsidR="00D765C7" w:rsidRDefault="00D765C7">
      <w:pPr>
        <w:pStyle w:val="FootnoteText"/>
      </w:pPr>
      <w:r>
        <w:rPr>
          <w:rStyle w:val="FootnoteReference"/>
        </w:rPr>
        <w:footnoteRef/>
      </w:r>
      <w:r>
        <w:t xml:space="preserve"> Heartland Alliance International, ‘At Crossroads: Human Rights Violations Against Iraqi Minorities After ISIS’, 2015, </w:t>
      </w:r>
      <w:hyperlink r:id="rId5" w:history="1">
        <w:r w:rsidRPr="00C87A05">
          <w:rPr>
            <w:rStyle w:val="Hyperlink"/>
          </w:rPr>
          <w:t>http://masaratiraq.org/wp-content/uploads/2015/09/AT-CROSSROADS.pdf</w:t>
        </w:r>
      </w:hyperlink>
      <w:r>
        <w:t xml:space="preserve">, p. 21, accessed 15 June 2016 </w:t>
      </w:r>
    </w:p>
  </w:footnote>
  <w:footnote w:id="6">
    <w:p w:rsidR="00D765C7" w:rsidRDefault="00D765C7">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6" w:history="1">
        <w:r w:rsidRPr="00036AEE">
          <w:rPr>
            <w:rStyle w:val="Hyperlink"/>
          </w:rPr>
          <w:t>http://www.state.gov/j/drl/rls/irf/2014/nea/238456.htm</w:t>
        </w:r>
      </w:hyperlink>
      <w:r>
        <w:t>, accessed 26 July 2016</w:t>
      </w:r>
    </w:p>
  </w:footnote>
  <w:footnote w:id="7">
    <w:p w:rsidR="00D765C7" w:rsidRDefault="00D765C7" w:rsidP="006E252B">
      <w:pPr>
        <w:pStyle w:val="FootnoteText"/>
      </w:pPr>
      <w:r>
        <w:rPr>
          <w:rStyle w:val="FootnoteReference"/>
        </w:rPr>
        <w:footnoteRef/>
      </w:r>
      <w:r>
        <w:t xml:space="preserve"> Minority Rights Group, </w:t>
      </w:r>
      <w:r w:rsidRPr="00343B98">
        <w:t>Between the Millstones: The State of Iraq’s Minorities Since the Fall of Mosul, February 2015</w:t>
      </w:r>
      <w:r>
        <w:t xml:space="preserve">, p.8, </w:t>
      </w:r>
      <w:hyperlink r:id="rId7" w:history="1">
        <w:r w:rsidRPr="00036AEE">
          <w:rPr>
            <w:rStyle w:val="Hyperlink"/>
          </w:rPr>
          <w:t>http://minorityrights.org/wp-content/uploads/2015/03/MRG_Rep_Iraq_ONLINE.pdf</w:t>
        </w:r>
      </w:hyperlink>
      <w:r>
        <w:t>, accessed 11 February 2016</w:t>
      </w:r>
    </w:p>
  </w:footnote>
  <w:footnote w:id="8">
    <w:p w:rsidR="00D765C7" w:rsidRPr="00956A60" w:rsidRDefault="00D765C7" w:rsidP="00956A60">
      <w:pPr>
        <w:pStyle w:val="NoSpacing"/>
        <w:rPr>
          <w:sz w:val="20"/>
          <w:szCs w:val="20"/>
        </w:rPr>
      </w:pPr>
      <w:r w:rsidRPr="00956A60">
        <w:rPr>
          <w:rStyle w:val="FootnoteReference"/>
          <w:sz w:val="20"/>
          <w:szCs w:val="20"/>
        </w:rPr>
        <w:footnoteRef/>
      </w:r>
      <w:r w:rsidRPr="00956A60">
        <w:rPr>
          <w:sz w:val="20"/>
          <w:szCs w:val="20"/>
        </w:rPr>
        <w:t xml:space="preserve"> Gulf 2000 Project, Baghdad Ethnic Composition in 2015: The metropolitan area and the province, </w:t>
      </w:r>
      <w:hyperlink r:id="rId8" w:history="1">
        <w:r w:rsidRPr="00956A60">
          <w:rPr>
            <w:rStyle w:val="Hyperlink"/>
            <w:sz w:val="20"/>
            <w:szCs w:val="20"/>
          </w:rPr>
          <w:t>http://gulf2000.columbia.edu/images/maps/Baghdad_Ethnic_2015_lg.png</w:t>
        </w:r>
      </w:hyperlink>
      <w:r>
        <w:rPr>
          <w:sz w:val="20"/>
          <w:szCs w:val="20"/>
        </w:rPr>
        <w:t xml:space="preserve">, accessed </w:t>
      </w:r>
      <w:r w:rsidRPr="00956A60">
        <w:rPr>
          <w:sz w:val="20"/>
          <w:szCs w:val="20"/>
        </w:rPr>
        <w:t xml:space="preserve">11 February 2016 </w:t>
      </w:r>
    </w:p>
  </w:footnote>
  <w:footnote w:id="9">
    <w:p w:rsidR="00D765C7" w:rsidRDefault="00D765C7">
      <w:pPr>
        <w:pStyle w:val="FootnoteText"/>
      </w:pPr>
      <w:r>
        <w:rPr>
          <w:rStyle w:val="FootnoteReference"/>
        </w:rPr>
        <w:footnoteRef/>
      </w:r>
      <w:r>
        <w:t xml:space="preserve"> National Geographic, ‘Iraqi Christians weigh up taking arms against Islamic State’, 27 August 2014, </w:t>
      </w:r>
      <w:hyperlink r:id="rId9" w:history="1">
        <w:r w:rsidRPr="00601183">
          <w:rPr>
            <w:rStyle w:val="Hyperlink"/>
          </w:rPr>
          <w:t>http://news.nationalgeographic.com/news/2014/08/140827-iraq-dahuk-islamic-state-assyrian-christians-peshmerga-nineveh-kurdistan/</w:t>
        </w:r>
      </w:hyperlink>
      <w:r>
        <w:t xml:space="preserve">, accessed 26 July 2016 </w:t>
      </w:r>
    </w:p>
  </w:footnote>
  <w:footnote w:id="10">
    <w:p w:rsidR="00D765C7" w:rsidRDefault="00D765C7" w:rsidP="00B069CA">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10" w:history="1">
        <w:r w:rsidRPr="00036AEE">
          <w:rPr>
            <w:rStyle w:val="Hyperlink"/>
          </w:rPr>
          <w:t>http://www.state.gov/j/drl/rls/irf/2014/nea/238456.htm</w:t>
        </w:r>
      </w:hyperlink>
      <w:r>
        <w:t>, accessed 26 July 2016</w:t>
      </w:r>
    </w:p>
  </w:footnote>
  <w:footnote w:id="11">
    <w:p w:rsidR="00D765C7" w:rsidRDefault="00D765C7" w:rsidP="00B069CA">
      <w:pPr>
        <w:pStyle w:val="FootnoteText"/>
      </w:pPr>
      <w:r>
        <w:rPr>
          <w:rStyle w:val="FootnoteReference"/>
        </w:rPr>
        <w:footnoteRef/>
      </w:r>
      <w:r>
        <w:t xml:space="preserve"> Heartland Alliance International, ‘At Crossroads: Human Rights Violations Against Iraqi Minorities After ISIS’, 2015, </w:t>
      </w:r>
      <w:hyperlink r:id="rId11" w:history="1">
        <w:r w:rsidRPr="00C87A05">
          <w:rPr>
            <w:rStyle w:val="Hyperlink"/>
          </w:rPr>
          <w:t>http://masaratiraq.org/wp-content/uploads/2015/09/AT-CROSSROADS.pdf</w:t>
        </w:r>
      </w:hyperlink>
      <w:r>
        <w:t>, p. 17, accessed 15 June 2016</w:t>
      </w:r>
    </w:p>
  </w:footnote>
  <w:footnote w:id="12">
    <w:p w:rsidR="00D765C7" w:rsidRDefault="00D765C7" w:rsidP="00B069CA">
      <w:pPr>
        <w:pStyle w:val="FootnoteText"/>
      </w:pPr>
      <w:r>
        <w:rPr>
          <w:rStyle w:val="FootnoteReference"/>
        </w:rPr>
        <w:footnoteRef/>
      </w:r>
      <w:r>
        <w:t xml:space="preserve"> Minority Rights Group, </w:t>
      </w:r>
      <w:r w:rsidRPr="00343B98">
        <w:t>Between the Millstones: The State of Iraq’s Minorities Since the Fall of Mosul, February 2015</w:t>
      </w:r>
      <w:r>
        <w:t xml:space="preserve">, p.8, </w:t>
      </w:r>
      <w:hyperlink r:id="rId12" w:history="1">
        <w:r w:rsidRPr="00036AEE">
          <w:rPr>
            <w:rStyle w:val="Hyperlink"/>
          </w:rPr>
          <w:t>http://minorityrights.org/wp-content/uploads/2015/03/MRG_Rep_Iraq_ONLINE.pdf</w:t>
        </w:r>
      </w:hyperlink>
      <w:r>
        <w:t>, accessed 11 February 2016</w:t>
      </w:r>
    </w:p>
  </w:footnote>
  <w:footnote w:id="13">
    <w:p w:rsidR="00D765C7" w:rsidRPr="00956A60" w:rsidRDefault="00D765C7" w:rsidP="00956A60">
      <w:pPr>
        <w:pStyle w:val="NoSpacing"/>
        <w:rPr>
          <w:sz w:val="20"/>
          <w:szCs w:val="20"/>
        </w:rPr>
      </w:pPr>
      <w:r w:rsidRPr="00956A60">
        <w:rPr>
          <w:rStyle w:val="FootnoteReference"/>
          <w:sz w:val="20"/>
          <w:szCs w:val="20"/>
        </w:rPr>
        <w:footnoteRef/>
      </w:r>
      <w:r w:rsidRPr="00956A60">
        <w:rPr>
          <w:sz w:val="20"/>
          <w:szCs w:val="20"/>
        </w:rPr>
        <w:t xml:space="preserve"> Minority Rights Group, Between the Millstones: The State of Iraq’s Minorities Since the Fall of Mosul, February 2015, p.8, </w:t>
      </w:r>
      <w:hyperlink r:id="rId13" w:history="1">
        <w:r w:rsidRPr="00956A60">
          <w:rPr>
            <w:rStyle w:val="Hyperlink"/>
            <w:sz w:val="20"/>
            <w:szCs w:val="20"/>
          </w:rPr>
          <w:t>http://minorityrights.org/wp-content/uploads/2015/03/MRG_Rep_Iraq_ONLINE.pdf</w:t>
        </w:r>
      </w:hyperlink>
      <w:r>
        <w:rPr>
          <w:sz w:val="20"/>
          <w:szCs w:val="20"/>
        </w:rPr>
        <w:t xml:space="preserve">, accessed </w:t>
      </w:r>
      <w:r w:rsidRPr="00956A60">
        <w:rPr>
          <w:sz w:val="20"/>
          <w:szCs w:val="20"/>
        </w:rPr>
        <w:t>11 February 2016</w:t>
      </w:r>
    </w:p>
  </w:footnote>
  <w:footnote w:id="14">
    <w:p w:rsidR="00D765C7" w:rsidRDefault="00D765C7" w:rsidP="00956A60">
      <w:pPr>
        <w:pStyle w:val="NoSpacing"/>
      </w:pPr>
      <w:r w:rsidRPr="00956A60">
        <w:rPr>
          <w:rStyle w:val="FootnoteReference"/>
          <w:sz w:val="20"/>
          <w:szCs w:val="20"/>
        </w:rPr>
        <w:footnoteRef/>
      </w:r>
      <w:r w:rsidRPr="00956A60">
        <w:rPr>
          <w:sz w:val="20"/>
          <w:szCs w:val="20"/>
        </w:rPr>
        <w:t xml:space="preserve"> </w:t>
      </w:r>
      <w:r>
        <w:rPr>
          <w:rStyle w:val="FootnoteTextChar"/>
        </w:rPr>
        <w:t xml:space="preserve">US State Department, International Religious Freedoms Report for 2014, Iraq, Section 1: Religious Demography, 14 October 2015, </w:t>
      </w:r>
      <w:hyperlink r:id="rId14" w:history="1">
        <w:r w:rsidRPr="00036AEE">
          <w:rPr>
            <w:rStyle w:val="Hyperlink"/>
            <w:sz w:val="20"/>
            <w:szCs w:val="20"/>
          </w:rPr>
          <w:t>http://www.state.gov/j/drl/rls/irf/2014/nea/238456.htm</w:t>
        </w:r>
      </w:hyperlink>
      <w:r>
        <w:rPr>
          <w:sz w:val="20"/>
          <w:szCs w:val="20"/>
        </w:rPr>
        <w:t>, accessed 26 July 2016</w:t>
      </w:r>
    </w:p>
  </w:footnote>
  <w:footnote w:id="15">
    <w:p w:rsidR="00D765C7" w:rsidRDefault="00D765C7">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15" w:history="1">
        <w:r w:rsidRPr="00036AEE">
          <w:rPr>
            <w:rStyle w:val="Hyperlink"/>
          </w:rPr>
          <w:t>http://www.state.gov/j/drl/rls/irf/2014/nea/238456.htm</w:t>
        </w:r>
      </w:hyperlink>
      <w:r>
        <w:t>, accessed 26 July 2016</w:t>
      </w:r>
    </w:p>
  </w:footnote>
  <w:footnote w:id="16">
    <w:p w:rsidR="00D765C7" w:rsidRDefault="00D765C7">
      <w:pPr>
        <w:pStyle w:val="FootnoteText"/>
      </w:pPr>
      <w:r>
        <w:rPr>
          <w:rStyle w:val="FootnoteReference"/>
        </w:rPr>
        <w:footnoteRef/>
      </w:r>
      <w:r>
        <w:t xml:space="preserve"> Heartland Alliance International, ‘At Crossroads: Human Rights Violations Against Iraqi Minorities After ISIS’, 2015, </w:t>
      </w:r>
      <w:hyperlink r:id="rId16" w:history="1">
        <w:r w:rsidRPr="00C87A05">
          <w:rPr>
            <w:rStyle w:val="Hyperlink"/>
          </w:rPr>
          <w:t>http://masaratiraq.org/wp-content/uploads/2015/09/AT-CROSSROADS.pdf</w:t>
        </w:r>
      </w:hyperlink>
      <w:r>
        <w:t>, p. 64, accessed 15 June 2016</w:t>
      </w:r>
    </w:p>
  </w:footnote>
  <w:footnote w:id="17">
    <w:p w:rsidR="00D765C7" w:rsidRDefault="00D765C7">
      <w:pPr>
        <w:pStyle w:val="FootnoteText"/>
      </w:pPr>
      <w:r>
        <w:rPr>
          <w:rStyle w:val="FootnoteReference"/>
        </w:rPr>
        <w:footnoteRef/>
      </w:r>
      <w:r>
        <w:t xml:space="preserve"> Minority Rights Group International, ‘</w:t>
      </w:r>
      <w:r w:rsidRPr="00847A11">
        <w:t>World Directory of Minoritie</w:t>
      </w:r>
      <w:r>
        <w:t>s and Indigenous Peoples - Iraq</w:t>
      </w:r>
      <w:r w:rsidRPr="00847A11">
        <w:t xml:space="preserve">: </w:t>
      </w:r>
      <w:proofErr w:type="spellStart"/>
      <w:r w:rsidRPr="00847A11">
        <w:t>Sabian</w:t>
      </w:r>
      <w:proofErr w:type="spellEnd"/>
      <w:r w:rsidRPr="00847A11">
        <w:t xml:space="preserve"> Mandaeans</w:t>
      </w:r>
      <w:r>
        <w:t xml:space="preserve">’, October 2014, </w:t>
      </w:r>
      <w:hyperlink r:id="rId17" w:history="1">
        <w:r w:rsidRPr="000A6E21">
          <w:rPr>
            <w:rStyle w:val="Hyperlink"/>
          </w:rPr>
          <w:t>http://minorityrights.org/minorities/sabian-mandaeans/</w:t>
        </w:r>
      </w:hyperlink>
      <w:r>
        <w:t>, accessed 7 March 2016</w:t>
      </w:r>
    </w:p>
  </w:footnote>
  <w:footnote w:id="18">
    <w:p w:rsidR="00D765C7" w:rsidRDefault="00D765C7">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18" w:history="1">
        <w:r w:rsidRPr="00036AEE">
          <w:rPr>
            <w:rStyle w:val="Hyperlink"/>
          </w:rPr>
          <w:t>http://www.state.gov/j/drl/rls/irf/2014/nea/238456.htm</w:t>
        </w:r>
      </w:hyperlink>
      <w:r>
        <w:t>, accessed 26 July 2016</w:t>
      </w:r>
    </w:p>
  </w:footnote>
  <w:footnote w:id="19">
    <w:p w:rsidR="00D765C7" w:rsidRDefault="00D765C7" w:rsidP="00C475D5">
      <w:pPr>
        <w:pStyle w:val="FootnoteText"/>
      </w:pPr>
      <w:r>
        <w:rPr>
          <w:rStyle w:val="FootnoteReference"/>
        </w:rPr>
        <w:footnoteRef/>
      </w:r>
      <w:r>
        <w:t xml:space="preserve"> Heartland Alliance International, ‘At Crossroads: Human Rights Violations Against Iraqi Minorities After ISIS’, 2015, p. 9, </w:t>
      </w:r>
      <w:hyperlink r:id="rId19" w:history="1">
        <w:r w:rsidRPr="00C87A05">
          <w:rPr>
            <w:rStyle w:val="Hyperlink"/>
          </w:rPr>
          <w:t>http://masaratiraq.org/wp-content/uploads/2015/09/AT-CROSSROADS.pdf</w:t>
        </w:r>
      </w:hyperlink>
      <w:r>
        <w:t>, accessed 15 June 2016</w:t>
      </w:r>
    </w:p>
  </w:footnote>
  <w:footnote w:id="20">
    <w:p w:rsidR="00D765C7" w:rsidRDefault="00D765C7">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20" w:history="1">
        <w:r w:rsidRPr="00036AEE">
          <w:rPr>
            <w:rStyle w:val="Hyperlink"/>
          </w:rPr>
          <w:t>http://www.state.gov/j/drl/rls/irf/2014/nea/238456.htm</w:t>
        </w:r>
      </w:hyperlink>
      <w:r>
        <w:t>, accessed 26 July 2016</w:t>
      </w:r>
    </w:p>
  </w:footnote>
  <w:footnote w:id="21">
    <w:p w:rsidR="00D765C7" w:rsidRDefault="00D765C7" w:rsidP="009548EB">
      <w:pPr>
        <w:pStyle w:val="FootnoteText"/>
      </w:pPr>
      <w:r>
        <w:rPr>
          <w:rStyle w:val="FootnoteReference"/>
        </w:rPr>
        <w:footnoteRef/>
      </w:r>
      <w:r>
        <w:t xml:space="preserve"> Heartland Alliance International, ‘At Crossroads: Human Rights Violations Against Iraqi Minorities After ISIS’, 2015, p. 9 </w:t>
      </w:r>
      <w:hyperlink r:id="rId21" w:history="1">
        <w:r w:rsidRPr="00C87A05">
          <w:rPr>
            <w:rStyle w:val="Hyperlink"/>
          </w:rPr>
          <w:t>http://masaratiraq.org/wp-content/uploads/2015/09/AT-CROSSROADS.pdf</w:t>
        </w:r>
      </w:hyperlink>
      <w:r>
        <w:t>, accessed 15 June 2016</w:t>
      </w:r>
    </w:p>
  </w:footnote>
  <w:footnote w:id="22">
    <w:p w:rsidR="00D765C7" w:rsidRDefault="00D765C7" w:rsidP="00A6342E">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22" w:history="1">
        <w:r w:rsidRPr="00036AEE">
          <w:rPr>
            <w:rStyle w:val="Hyperlink"/>
          </w:rPr>
          <w:t>http://www.state.gov/j/drl/rls/irf/2014/nea/238456.htm</w:t>
        </w:r>
      </w:hyperlink>
      <w:r>
        <w:t>, accessed 26 July 2016</w:t>
      </w:r>
    </w:p>
  </w:footnote>
  <w:footnote w:id="23">
    <w:p w:rsidR="00D765C7" w:rsidRDefault="00D765C7" w:rsidP="00A6342E">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23" w:history="1">
        <w:r w:rsidRPr="00036AEE">
          <w:rPr>
            <w:rStyle w:val="Hyperlink"/>
          </w:rPr>
          <w:t>http://www.state.gov/j/drl/rls/irf/2014/nea/238456.htm</w:t>
        </w:r>
      </w:hyperlink>
      <w:r>
        <w:t>, accessed 26 July 2016</w:t>
      </w:r>
    </w:p>
  </w:footnote>
  <w:footnote w:id="24">
    <w:p w:rsidR="00D765C7" w:rsidRDefault="00D765C7" w:rsidP="00A6342E">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24" w:history="1">
        <w:r w:rsidRPr="00036AEE">
          <w:rPr>
            <w:rStyle w:val="Hyperlink"/>
          </w:rPr>
          <w:t>http://www.state.gov/j/drl/rls/irf/2014/nea/238456.htm</w:t>
        </w:r>
      </w:hyperlink>
      <w:r>
        <w:t>, accessed 26 July 2016</w:t>
      </w:r>
    </w:p>
  </w:footnote>
  <w:footnote w:id="25">
    <w:p w:rsidR="00D765C7" w:rsidRDefault="00D765C7">
      <w:pPr>
        <w:pStyle w:val="FootnoteText"/>
      </w:pPr>
      <w:r>
        <w:rPr>
          <w:rStyle w:val="FootnoteReference"/>
        </w:rPr>
        <w:footnoteRef/>
      </w:r>
      <w:r>
        <w:t xml:space="preserve"> Peace and Freedom Organization in Kurdistan/Al-</w:t>
      </w:r>
      <w:proofErr w:type="spellStart"/>
      <w:r>
        <w:t>Mesalla</w:t>
      </w:r>
      <w:proofErr w:type="spellEnd"/>
      <w:r>
        <w:t xml:space="preserve"> Organization Human Resources Development, A Reading for the Law of Protecting Components in Kurdistan, July 2015, </w:t>
      </w:r>
      <w:hyperlink r:id="rId25" w:history="1">
        <w:r w:rsidRPr="00252FF7">
          <w:rPr>
            <w:rStyle w:val="Hyperlink"/>
          </w:rPr>
          <w:t>http://www.iraqicivilsociety.org/wp-content/uploads/2015/08/A-Reading-for-the-Law-of-Protecting-Components-in-Kurdistan-english.pdf</w:t>
        </w:r>
      </w:hyperlink>
      <w:r>
        <w:t xml:space="preserve">, accessed 26 July 2016 </w:t>
      </w:r>
    </w:p>
  </w:footnote>
  <w:footnote w:id="26">
    <w:p w:rsidR="00D765C7" w:rsidRDefault="00D765C7" w:rsidP="00A6342E">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26" w:history="1">
        <w:r w:rsidRPr="00036AEE">
          <w:rPr>
            <w:rStyle w:val="Hyperlink"/>
          </w:rPr>
          <w:t>http://www.state.gov/j/drl/rls/irf/2014/nea/238456.htm</w:t>
        </w:r>
      </w:hyperlink>
      <w:r>
        <w:t>, accessed 26 July 2016</w:t>
      </w:r>
    </w:p>
  </w:footnote>
  <w:footnote w:id="27">
    <w:p w:rsidR="00D765C7" w:rsidRDefault="00D765C7" w:rsidP="00A6342E">
      <w:pPr>
        <w:pStyle w:val="Bibliography"/>
        <w:widowControl w:val="0"/>
        <w:spacing w:after="0"/>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27" w:history="1">
        <w:r w:rsidRPr="00036AEE">
          <w:rPr>
            <w:rStyle w:val="Hyperlink"/>
            <w:sz w:val="20"/>
            <w:szCs w:val="20"/>
          </w:rPr>
          <w:t>http://www.state.gov/j/drl/rls/irf/2014/nea/238456.htm</w:t>
        </w:r>
      </w:hyperlink>
      <w:r>
        <w:rPr>
          <w:sz w:val="20"/>
          <w:szCs w:val="20"/>
        </w:rPr>
        <w:t>, accessed 26 July 2016</w:t>
      </w:r>
    </w:p>
  </w:footnote>
  <w:footnote w:id="28">
    <w:p w:rsidR="00D765C7" w:rsidRDefault="00D765C7" w:rsidP="00A6342E">
      <w:pPr>
        <w:pStyle w:val="FootnoteText"/>
      </w:pPr>
      <w:r>
        <w:rPr>
          <w:rStyle w:val="FootnoteReference"/>
        </w:rPr>
        <w:footnoteRef/>
      </w:r>
      <w:r>
        <w:t xml:space="preserve"> </w:t>
      </w:r>
      <w:r>
        <w:rPr>
          <w:rStyle w:val="FootnoteTextChar"/>
        </w:rPr>
        <w:t xml:space="preserve">US State Department, International Religious Freedoms Report for 2014, Iraq, Section 1: Religious Demography, 14 October 2015, </w:t>
      </w:r>
      <w:hyperlink r:id="rId28" w:history="1">
        <w:r w:rsidRPr="00036AEE">
          <w:rPr>
            <w:rStyle w:val="Hyperlink"/>
          </w:rPr>
          <w:t>http://www.state.gov/j/drl/rls/irf/2014/nea/238456.htm</w:t>
        </w:r>
      </w:hyperlink>
      <w:r>
        <w:t>, accessed 26 July 2016</w:t>
      </w:r>
    </w:p>
  </w:footnote>
  <w:footnote w:id="29">
    <w:p w:rsidR="00D765C7" w:rsidRDefault="00D765C7" w:rsidP="00A6342E">
      <w:pPr>
        <w:pStyle w:val="FootnoteText"/>
      </w:pPr>
      <w:r>
        <w:rPr>
          <w:rStyle w:val="FootnoteReference"/>
        </w:rPr>
        <w:footnoteRef/>
      </w:r>
      <w:r>
        <w:t xml:space="preserve"> </w:t>
      </w:r>
      <w:r>
        <w:rPr>
          <w:rStyle w:val="FootnoteTextChar"/>
        </w:rPr>
        <w:t xml:space="preserve">US State Department, International Religious Freedoms Report, 2014, Iraq, Section 2, Legal framework,  </w:t>
      </w:r>
      <w:hyperlink r:id="rId29" w:history="1">
        <w:r w:rsidRPr="00036AEE">
          <w:rPr>
            <w:rStyle w:val="Hyperlink"/>
          </w:rPr>
          <w:t>http://www.state.gov/j/drl/rls/irf/2014/nea/238456.htm</w:t>
        </w:r>
      </w:hyperlink>
    </w:p>
  </w:footnote>
  <w:footnote w:id="30">
    <w:p w:rsidR="00D765C7" w:rsidRDefault="00D765C7" w:rsidP="00882CAE">
      <w:pPr>
        <w:pStyle w:val="FootnoteText"/>
      </w:pPr>
      <w:r>
        <w:rPr>
          <w:rStyle w:val="FootnoteReference"/>
        </w:rPr>
        <w:footnoteRef/>
      </w:r>
      <w:r>
        <w:t xml:space="preserve"> UN High Commissioner for Refugees, UNHCR Eligibility Guidelines for Assessing the International Protection Needs of Asylum-Seekers from Iraq, 31 May 2012, IV. Eligibility for International Protection, 5. Individuals with Religion-Based Claims, b) Members of Religious Minorities, iv. Christians including converts, and </w:t>
      </w:r>
      <w:proofErr w:type="spellStart"/>
      <w:r>
        <w:t>fn</w:t>
      </w:r>
      <w:proofErr w:type="spellEnd"/>
      <w:r>
        <w:t xml:space="preserve"> 674, </w:t>
      </w:r>
      <w:hyperlink r:id="rId30" w:history="1">
        <w:r w:rsidRPr="005A2F56">
          <w:rPr>
            <w:rStyle w:val="Hyperlink"/>
          </w:rPr>
          <w:t>http://www.refworld.org/docid/4fc77d522.html</w:t>
        </w:r>
      </w:hyperlink>
      <w:r>
        <w:t>, accessed 21 June 2016</w:t>
      </w:r>
    </w:p>
  </w:footnote>
  <w:footnote w:id="31">
    <w:p w:rsidR="00D765C7" w:rsidRPr="00BB6154" w:rsidRDefault="00D765C7" w:rsidP="00B91D7C">
      <w:pPr>
        <w:pStyle w:val="FootnoteText"/>
        <w:rPr>
          <w:lang w:val="en-US"/>
        </w:rPr>
      </w:pPr>
      <w:r>
        <w:rPr>
          <w:rStyle w:val="FootnoteReference"/>
        </w:rPr>
        <w:footnoteRef/>
      </w:r>
      <w:r>
        <w:t xml:space="preserve"> </w:t>
      </w:r>
      <w:r>
        <w:rPr>
          <w:lang w:val="en-US"/>
        </w:rPr>
        <w:t xml:space="preserve">Institute for International Law and Human Rights, </w:t>
      </w:r>
      <w:r w:rsidRPr="00BB6154">
        <w:rPr>
          <w:lang w:val="en-US"/>
        </w:rPr>
        <w:t>Iraq’s Minorities and Other Vulnerable Groups:</w:t>
      </w:r>
    </w:p>
    <w:p w:rsidR="00D765C7" w:rsidRPr="00BB6154" w:rsidRDefault="00D765C7" w:rsidP="00B91D7C">
      <w:pPr>
        <w:pStyle w:val="FootnoteText"/>
      </w:pPr>
      <w:r w:rsidRPr="00BB6154">
        <w:rPr>
          <w:lang w:val="en-US"/>
        </w:rPr>
        <w:t xml:space="preserve"> Legal Framework, Documentation, and Human Rights</w:t>
      </w:r>
      <w:r>
        <w:rPr>
          <w:lang w:val="en-US"/>
        </w:rPr>
        <w:t xml:space="preserve">, May 2013, </w:t>
      </w:r>
      <w:r w:rsidRPr="00BB6154">
        <w:t>Iraq’s Legal and Regulatory Framework</w:t>
      </w:r>
      <w:r>
        <w:t xml:space="preserve">, </w:t>
      </w:r>
      <w:hyperlink r:id="rId31" w:history="1">
        <w:r w:rsidRPr="00252FF7">
          <w:rPr>
            <w:rStyle w:val="Hyperlink"/>
          </w:rPr>
          <w:t>http://lawandhumanrights.org/documents/MinorityHB_EN.pdf</w:t>
        </w:r>
      </w:hyperlink>
      <w:r>
        <w:t>, accessed 13 July 2016</w:t>
      </w:r>
    </w:p>
    <w:p w:rsidR="00D765C7" w:rsidRPr="00EC4FA9" w:rsidRDefault="00D765C7" w:rsidP="00B91D7C">
      <w:pPr>
        <w:pStyle w:val="FootnoteText"/>
        <w:rPr>
          <w:lang w:val="en-US"/>
        </w:rPr>
      </w:pPr>
    </w:p>
  </w:footnote>
  <w:footnote w:id="32">
    <w:p w:rsidR="00D765C7" w:rsidRPr="00830A83" w:rsidRDefault="00D765C7" w:rsidP="00B91D7C">
      <w:pPr>
        <w:pStyle w:val="FootnoteText"/>
        <w:rPr>
          <w:lang w:val="en-US"/>
        </w:rPr>
      </w:pPr>
      <w:r>
        <w:rPr>
          <w:rStyle w:val="FootnoteReference"/>
        </w:rPr>
        <w:footnoteRef/>
      </w:r>
      <w:r>
        <w:t xml:space="preserve"> </w:t>
      </w:r>
      <w:r>
        <w:rPr>
          <w:lang w:val="en-US"/>
        </w:rPr>
        <w:t xml:space="preserve">Minority Rights Group International, ‘From Crisis to Catastrophe: </w:t>
      </w:r>
      <w:r w:rsidRPr="00830A83">
        <w:rPr>
          <w:lang w:val="en-US"/>
        </w:rPr>
        <w:t>the situation of minorities in Iraq</w:t>
      </w:r>
      <w:r>
        <w:rPr>
          <w:lang w:val="en-US"/>
        </w:rPr>
        <w:t xml:space="preserve">’, </w:t>
      </w:r>
      <w:r w:rsidRPr="00BB6154">
        <w:t>3 Participation, identity and personal status</w:t>
      </w:r>
      <w:r>
        <w:t>,</w:t>
      </w:r>
      <w:r>
        <w:rPr>
          <w:lang w:val="en-US"/>
        </w:rPr>
        <w:t xml:space="preserve"> Personal status, p. 24, </w:t>
      </w:r>
      <w:hyperlink r:id="rId32" w:history="1">
        <w:r w:rsidRPr="00252FF7">
          <w:rPr>
            <w:rStyle w:val="Hyperlink"/>
            <w:lang w:val="en-US"/>
          </w:rPr>
          <w:t>http://www.ecoi.net/file_upload/1930_1414494869_mrg-ceasefire-report-iraq-2014.pdf</w:t>
        </w:r>
      </w:hyperlink>
      <w:r>
        <w:rPr>
          <w:lang w:val="en-US"/>
        </w:rPr>
        <w:t>, accessed 13 July 2016</w:t>
      </w:r>
    </w:p>
  </w:footnote>
  <w:footnote w:id="33">
    <w:p w:rsidR="00D765C7" w:rsidRPr="00BB3537" w:rsidRDefault="00D765C7" w:rsidP="00A95290">
      <w:pPr>
        <w:pStyle w:val="FootnoteText"/>
      </w:pPr>
      <w:r>
        <w:rPr>
          <w:rStyle w:val="FootnoteReference"/>
        </w:rPr>
        <w:footnoteRef/>
      </w:r>
      <w:r>
        <w:t xml:space="preserve"> </w:t>
      </w:r>
      <w:r>
        <w:rPr>
          <w:rStyle w:val="FootnoteTextChar"/>
        </w:rPr>
        <w:t xml:space="preserve">US State Department, International Religious Freedoms Report for 2014, Iraq, 14 October 2015, Section 2, Legal framework,  </w:t>
      </w:r>
      <w:hyperlink r:id="rId33" w:history="1">
        <w:r w:rsidRPr="00036AEE">
          <w:rPr>
            <w:rStyle w:val="Hyperlink"/>
          </w:rPr>
          <w:t>http://www.state.gov/j/drl/rls/irf/2014/nea/238456.htm</w:t>
        </w:r>
      </w:hyperlink>
      <w:r>
        <w:rPr>
          <w:rStyle w:val="Hyperlink"/>
          <w:u w:val="none"/>
        </w:rPr>
        <w:t xml:space="preserve">, </w:t>
      </w:r>
      <w:r>
        <w:rPr>
          <w:rStyle w:val="Hyperlink"/>
          <w:color w:val="auto"/>
          <w:u w:val="none"/>
        </w:rPr>
        <w:t xml:space="preserve">accessed 26 July 2016 </w:t>
      </w:r>
    </w:p>
  </w:footnote>
  <w:footnote w:id="34">
    <w:p w:rsidR="00D765C7" w:rsidRPr="00421893" w:rsidRDefault="00D765C7" w:rsidP="00A95290">
      <w:pPr>
        <w:pStyle w:val="FootnoteText"/>
      </w:pPr>
      <w:r>
        <w:rPr>
          <w:rStyle w:val="FootnoteReference"/>
        </w:rPr>
        <w:footnoteRef/>
      </w:r>
      <w:r>
        <w:t xml:space="preserve"> Danish Immigration Service,</w:t>
      </w:r>
      <w:r w:rsidRPr="00421893">
        <w:t xml:space="preserve"> </w:t>
      </w:r>
      <w:r>
        <w:t>‘</w:t>
      </w:r>
      <w:r w:rsidRPr="00421893">
        <w:t>The Kurdistan Region of Iraq (KRI); Access, Possibility of Protection, Security and Humanitarian Situation; Report from fact finding mission to Erbil, the Kurdistan Region of Iraq (KRI) and Beirut, Lebanon, 26 September to 6 October 2015</w:t>
      </w:r>
      <w:r>
        <w:t xml:space="preserve">’, 12 April 2016, Appendix 2, </w:t>
      </w:r>
      <w:hyperlink r:id="rId34" w:history="1">
        <w:r w:rsidRPr="00601183">
          <w:rPr>
            <w:rStyle w:val="Hyperlink"/>
          </w:rPr>
          <w:t>https://www.nyidanmark.dk/NR/rdonlyres/4B4E8C12-84B7-4ACB-8553-5E0218C5689A/0/FactfindingreportKurdistanRegionofIraq11042016.pdf</w:t>
        </w:r>
      </w:hyperlink>
      <w:r>
        <w:t>, accessed 13 July 2016</w:t>
      </w:r>
    </w:p>
  </w:footnote>
  <w:footnote w:id="35">
    <w:p w:rsidR="00D765C7" w:rsidRDefault="00D765C7" w:rsidP="00AA63F8">
      <w:pPr>
        <w:pStyle w:val="FootnoteText"/>
      </w:pPr>
      <w:r>
        <w:rPr>
          <w:rStyle w:val="FootnoteReference"/>
        </w:rPr>
        <w:footnoteRef/>
      </w:r>
      <w:r>
        <w:t xml:space="preserve"> </w:t>
      </w:r>
      <w:r>
        <w:rPr>
          <w:rStyle w:val="FootnoteTextChar"/>
        </w:rPr>
        <w:t xml:space="preserve">US State Department, International Religious Freedoms Report for 2014, Iraq, 14 October 2015, Section 2, Legal framework, </w:t>
      </w:r>
      <w:hyperlink r:id="rId35" w:history="1">
        <w:r w:rsidRPr="00036AEE">
          <w:rPr>
            <w:rStyle w:val="Hyperlink"/>
          </w:rPr>
          <w:t>http://www.state.gov/j/drl/rls/irf/2014/nea/238456.htm</w:t>
        </w:r>
      </w:hyperlink>
      <w:r>
        <w:rPr>
          <w:rStyle w:val="Hyperlink"/>
        </w:rPr>
        <w:t>,</w:t>
      </w:r>
      <w:r w:rsidRPr="004447D6">
        <w:rPr>
          <w:rStyle w:val="Hyperlink"/>
          <w:u w:val="none"/>
        </w:rPr>
        <w:t xml:space="preserve"> </w:t>
      </w:r>
      <w:r>
        <w:rPr>
          <w:rStyle w:val="Hyperlink"/>
          <w:color w:val="auto"/>
          <w:u w:val="none"/>
        </w:rPr>
        <w:t xml:space="preserve">accessed </w:t>
      </w:r>
      <w:r w:rsidRPr="004447D6">
        <w:rPr>
          <w:rStyle w:val="Hyperlink"/>
          <w:color w:val="auto"/>
          <w:u w:val="none"/>
        </w:rPr>
        <w:t>13 July 2016</w:t>
      </w:r>
    </w:p>
  </w:footnote>
  <w:footnote w:id="36">
    <w:p w:rsidR="00D765C7" w:rsidRDefault="00D765C7" w:rsidP="0048342C">
      <w:pPr>
        <w:pStyle w:val="FootnoteText"/>
      </w:pPr>
      <w:r>
        <w:rPr>
          <w:rStyle w:val="FootnoteReference"/>
        </w:rPr>
        <w:footnoteRef/>
      </w:r>
      <w:r>
        <w:t xml:space="preserve"> Office of the United Nations High Commissioner for Human Rights and United Nations Assistance Mission for Iraq, Report on the Protection of Civilians in the Armed Conflict of Iraq, covering the period 1 May to 31 October 2015, p.23, </w:t>
      </w:r>
      <w:hyperlink r:id="rId36" w:history="1">
        <w:r w:rsidRPr="0026729D">
          <w:rPr>
            <w:rStyle w:val="Hyperlink"/>
          </w:rPr>
          <w:t>http://www.uniraq.org/index.php?option=com_k2&amp;view=item&amp;task=download&amp;id=1660_f694b996c122ba6ea212cd3fa4344381&amp;Itemid=650&amp;lang=en</w:t>
        </w:r>
      </w:hyperlink>
      <w:r>
        <w:t>, date accessed: 6 March 2016</w:t>
      </w:r>
    </w:p>
  </w:footnote>
  <w:footnote w:id="37">
    <w:p w:rsidR="00D765C7" w:rsidRDefault="00D765C7" w:rsidP="00745B58">
      <w:pPr>
        <w:pStyle w:val="FootnoteText"/>
      </w:pPr>
      <w:r>
        <w:rPr>
          <w:rStyle w:val="FootnoteReference"/>
        </w:rPr>
        <w:footnoteRef/>
      </w:r>
      <w:r>
        <w:t xml:space="preserve"> Heartland Alliance International, ‘At Crossroads: Human Rights Violations Against Iraqi Minorities After ISIS’, 2015, </w:t>
      </w:r>
      <w:hyperlink r:id="rId37" w:history="1">
        <w:r w:rsidRPr="00C87A05">
          <w:rPr>
            <w:rStyle w:val="Hyperlink"/>
          </w:rPr>
          <w:t>http://masaratiraq.org/wp-content/uploads/2015/09/AT-CROSSROADS.pdf</w:t>
        </w:r>
      </w:hyperlink>
      <w:r>
        <w:t>, p. 25, accessed 15 June 2016</w:t>
      </w:r>
    </w:p>
  </w:footnote>
  <w:footnote w:id="38">
    <w:p w:rsidR="00D765C7" w:rsidRDefault="00D765C7" w:rsidP="00745B58">
      <w:pPr>
        <w:pStyle w:val="FootnoteText"/>
      </w:pPr>
      <w:r>
        <w:rPr>
          <w:rStyle w:val="FootnoteReference"/>
        </w:rPr>
        <w:footnoteRef/>
      </w:r>
      <w:r>
        <w:t xml:space="preserve"> Heartland Alliance International, ‘At Crossroads: Human Rights Violations Against Iraqi Minorities After ISIS’, 2015, </w:t>
      </w:r>
      <w:hyperlink r:id="rId38" w:history="1">
        <w:r w:rsidRPr="00C87A05">
          <w:rPr>
            <w:rStyle w:val="Hyperlink"/>
          </w:rPr>
          <w:t>http://masaratiraq.org/wp-content/uploads/2015/09/AT-CROSSROADS.pdf</w:t>
        </w:r>
      </w:hyperlink>
      <w:r>
        <w:t>, p. 26, accessed 15 June 2016</w:t>
      </w:r>
    </w:p>
  </w:footnote>
  <w:footnote w:id="39">
    <w:p w:rsidR="00D765C7" w:rsidRDefault="00D765C7" w:rsidP="005C3888">
      <w:pPr>
        <w:pStyle w:val="FootnoteText"/>
      </w:pPr>
      <w:r>
        <w:rPr>
          <w:rStyle w:val="FootnoteReference"/>
        </w:rPr>
        <w:footnoteRef/>
      </w:r>
      <w:r>
        <w:t xml:space="preserve"> Heartland Alliance International, ‘At Crossroads: Human Rights Violations Against Iraqi Minorities After ISIS’, 2015, </w:t>
      </w:r>
      <w:hyperlink r:id="rId39" w:history="1">
        <w:r w:rsidRPr="00601183">
          <w:rPr>
            <w:rStyle w:val="Hyperlink"/>
          </w:rPr>
          <w:t>http://masaratiraq.org/wp-content/uploads/2015/09/AT-CROSSROADS.pdf p.17</w:t>
        </w:r>
      </w:hyperlink>
      <w:r>
        <w:t>, accessed 15 June 2016</w:t>
      </w:r>
    </w:p>
  </w:footnote>
  <w:footnote w:id="40">
    <w:p w:rsidR="00D765C7" w:rsidRDefault="00D765C7" w:rsidP="00B70E70">
      <w:pPr>
        <w:pStyle w:val="FootnoteText"/>
      </w:pPr>
      <w:r>
        <w:rPr>
          <w:rStyle w:val="FootnoteReference"/>
        </w:rPr>
        <w:footnoteRef/>
      </w:r>
      <w:r>
        <w:t xml:space="preserve"> Heartland Alliance International, ‘At Crossroads: Human Rights Violations Against Iraqi Minorities After ISIS’, 2015, p. 17, </w:t>
      </w:r>
      <w:hyperlink r:id="rId40" w:history="1">
        <w:r w:rsidRPr="00C87A05">
          <w:rPr>
            <w:rStyle w:val="Hyperlink"/>
          </w:rPr>
          <w:t>http://masaratiraq.org/wp-content/uploads/2015/09/AT-CROSSROADS.pdf</w:t>
        </w:r>
      </w:hyperlink>
      <w:r>
        <w:t>, date accessed: 15 June 2016</w:t>
      </w:r>
    </w:p>
  </w:footnote>
  <w:footnote w:id="41">
    <w:p w:rsidR="00D765C7" w:rsidRDefault="00D765C7" w:rsidP="00ED1A6F">
      <w:pPr>
        <w:pStyle w:val="FootnoteText"/>
      </w:pPr>
      <w:r>
        <w:rPr>
          <w:rStyle w:val="FootnoteReference"/>
        </w:rPr>
        <w:footnoteRef/>
      </w:r>
      <w:r>
        <w:t xml:space="preserve"> </w:t>
      </w:r>
      <w:r>
        <w:rPr>
          <w:rStyle w:val="FootnoteTextChar"/>
        </w:rPr>
        <w:t xml:space="preserve">US State Department, International Religious Freedoms Report, 2014 for Iraq, Section 2, Legal framework,  </w:t>
      </w:r>
      <w:hyperlink r:id="rId41" w:history="1">
        <w:r w:rsidRPr="00036AEE">
          <w:rPr>
            <w:rStyle w:val="Hyperlink"/>
          </w:rPr>
          <w:t>http://www.state.gov/j/drl/rls/irf/2014/nea/238456.htm</w:t>
        </w:r>
      </w:hyperlink>
    </w:p>
  </w:footnote>
  <w:footnote w:id="42">
    <w:p w:rsidR="00D765C7" w:rsidRDefault="00D765C7" w:rsidP="00ED1A6F">
      <w:pPr>
        <w:pStyle w:val="Bibliography"/>
        <w:widowControl w:val="0"/>
        <w:spacing w:after="0"/>
      </w:pPr>
      <w:r>
        <w:rPr>
          <w:rStyle w:val="FootnoteReference"/>
        </w:rPr>
        <w:footnoteRef/>
      </w:r>
      <w:r>
        <w:t xml:space="preserve"> </w:t>
      </w:r>
      <w:r>
        <w:rPr>
          <w:rStyle w:val="FootnoteTextChar"/>
        </w:rPr>
        <w:t xml:space="preserve">US State Department, International Religious Freedoms Report for 2014, Iraq, Section 2, Government practices,  </w:t>
      </w:r>
      <w:hyperlink r:id="rId42" w:history="1">
        <w:r w:rsidRPr="000A6E21">
          <w:rPr>
            <w:rStyle w:val="Hyperlink"/>
            <w:sz w:val="20"/>
            <w:szCs w:val="20"/>
          </w:rPr>
          <w:t>http://www.state.gov/j/drl/rls/irf/2014/nea/238456.htm</w:t>
        </w:r>
      </w:hyperlink>
      <w:r>
        <w:rPr>
          <w:sz w:val="20"/>
          <w:szCs w:val="20"/>
        </w:rPr>
        <w:t>, accessed 6 March 2016</w:t>
      </w:r>
    </w:p>
  </w:footnote>
  <w:footnote w:id="43">
    <w:p w:rsidR="00D765C7" w:rsidRDefault="00D765C7">
      <w:pPr>
        <w:pStyle w:val="FootnoteText"/>
      </w:pPr>
      <w:r>
        <w:rPr>
          <w:rStyle w:val="FootnoteReference"/>
        </w:rPr>
        <w:footnoteRef/>
      </w:r>
      <w:r>
        <w:t xml:space="preserve"> </w:t>
      </w:r>
      <w:r>
        <w:rPr>
          <w:rStyle w:val="FootnoteTextChar"/>
        </w:rPr>
        <w:t xml:space="preserve">US State Department, International Religious Freedoms Report for 2014, Iraq,  </w:t>
      </w:r>
      <w:hyperlink r:id="rId43" w:history="1">
        <w:r w:rsidRPr="000A6E21">
          <w:rPr>
            <w:rStyle w:val="Hyperlink"/>
          </w:rPr>
          <w:t>http://www.state.gov/j/drl/rls/irf/2014/nea/238456.htm</w:t>
        </w:r>
      </w:hyperlink>
      <w:r>
        <w:t>, accessed 6 March 2016</w:t>
      </w:r>
    </w:p>
  </w:footnote>
  <w:footnote w:id="44">
    <w:p w:rsidR="00D765C7" w:rsidRDefault="00D765C7">
      <w:pPr>
        <w:pStyle w:val="FootnoteText"/>
      </w:pPr>
      <w:r>
        <w:rPr>
          <w:rStyle w:val="FootnoteReference"/>
        </w:rPr>
        <w:footnoteRef/>
      </w:r>
      <w:r>
        <w:t xml:space="preserve"> Minority Rights Group, </w:t>
      </w:r>
      <w:r w:rsidRPr="00343B98">
        <w:t>Between the Millstones: The State of Iraq’s Minorities Since the Fall of Mosul, February 2015</w:t>
      </w:r>
      <w:r>
        <w:t xml:space="preserve">, p.8, </w:t>
      </w:r>
      <w:hyperlink r:id="rId44" w:history="1">
        <w:r w:rsidRPr="00036AEE">
          <w:rPr>
            <w:rStyle w:val="Hyperlink"/>
          </w:rPr>
          <w:t>http://minorityrights.org/wp-content/uploads/2015/03/MRG_Rep_Iraq_ONLINE.pdf</w:t>
        </w:r>
      </w:hyperlink>
      <w:r>
        <w:t>, accessed 11 February 2016</w:t>
      </w:r>
    </w:p>
  </w:footnote>
  <w:footnote w:id="45">
    <w:p w:rsidR="00D765C7" w:rsidRDefault="00D765C7">
      <w:pPr>
        <w:pStyle w:val="FootnoteText"/>
      </w:pPr>
      <w:r>
        <w:rPr>
          <w:rStyle w:val="FootnoteReference"/>
        </w:rPr>
        <w:footnoteRef/>
      </w:r>
      <w:r>
        <w:t xml:space="preserve"> Heartland Alliance International, ‘At Crossroads: Human Rights Violations Against Iraqi Minorities After ISIS’, 2015, </w:t>
      </w:r>
      <w:hyperlink r:id="rId45" w:history="1">
        <w:r w:rsidRPr="00601183">
          <w:rPr>
            <w:rStyle w:val="Hyperlink"/>
          </w:rPr>
          <w:t>http://masaratiraq.org/wp-content/uploads/2015/09/AT-CROSSROADS.pdf p.12</w:t>
        </w:r>
      </w:hyperlink>
      <w:r>
        <w:t>, accessed 15 June 2016</w:t>
      </w:r>
    </w:p>
  </w:footnote>
  <w:footnote w:id="46">
    <w:p w:rsidR="00D765C7" w:rsidRDefault="00D765C7" w:rsidP="00EC4983">
      <w:pPr>
        <w:pStyle w:val="FootnoteText"/>
      </w:pPr>
      <w:r>
        <w:rPr>
          <w:rStyle w:val="FootnoteReference"/>
        </w:rPr>
        <w:footnoteRef/>
      </w:r>
      <w:r>
        <w:t xml:space="preserve"> UNHCR, Position on Returns to Iraq, October 2014, para 3, </w:t>
      </w:r>
      <w:hyperlink r:id="rId46" w:history="1">
        <w:r w:rsidRPr="0026729D">
          <w:rPr>
            <w:rStyle w:val="Hyperlink"/>
          </w:rPr>
          <w:t>http://www.refworld.org/docid/544e4b3c4.html</w:t>
        </w:r>
      </w:hyperlink>
      <w:r>
        <w:t>, accessed 7 March 2016</w:t>
      </w:r>
    </w:p>
  </w:footnote>
  <w:footnote w:id="47">
    <w:p w:rsidR="00D765C7" w:rsidRDefault="00D765C7" w:rsidP="00EC4983">
      <w:pPr>
        <w:pStyle w:val="FootnoteText"/>
      </w:pPr>
      <w:r>
        <w:rPr>
          <w:rStyle w:val="FootnoteReference"/>
        </w:rPr>
        <w:footnoteRef/>
      </w:r>
      <w:r>
        <w:t xml:space="preserve"> Minority Rights Group, </w:t>
      </w:r>
      <w:r w:rsidRPr="00343B98">
        <w:t>Between the Millstones: The State of Iraq’s Minorities Since the Fall of Mosul, February 2015</w:t>
      </w:r>
      <w:r>
        <w:t xml:space="preserve">, p.8, </w:t>
      </w:r>
      <w:hyperlink r:id="rId47" w:history="1">
        <w:r w:rsidRPr="00036AEE">
          <w:rPr>
            <w:rStyle w:val="Hyperlink"/>
          </w:rPr>
          <w:t>http://minorityrights.org/wp-content/uploads/2015/03/MRG_Rep_Iraq_ONLINE.pdf</w:t>
        </w:r>
      </w:hyperlink>
      <w:r>
        <w:t>, accessed 11 February 2016</w:t>
      </w:r>
    </w:p>
  </w:footnote>
  <w:footnote w:id="48">
    <w:p w:rsidR="00D765C7" w:rsidRDefault="00D765C7">
      <w:pPr>
        <w:pStyle w:val="FootnoteText"/>
      </w:pPr>
      <w:r>
        <w:rPr>
          <w:rStyle w:val="FootnoteReference"/>
        </w:rPr>
        <w:footnoteRef/>
      </w:r>
      <w:r>
        <w:t xml:space="preserve"> Office of the United Nations High Commissioner for Human Rights and United Nations Assistance Mission for Iraq, Report on the Protection of Civilians in the Armed Conflict of Iraq, covering the period 1 May to 31 October 2015, p.19, </w:t>
      </w:r>
      <w:hyperlink r:id="rId48" w:history="1">
        <w:r w:rsidRPr="0026729D">
          <w:rPr>
            <w:rStyle w:val="Hyperlink"/>
          </w:rPr>
          <w:t>http://www.uniraq.org/index.php?option=com_k2&amp;view=item&amp;task=download&amp;id=1660_f694b996c122ba6ea212cd3fa4344381&amp;Itemid=650&amp;lang=en</w:t>
        </w:r>
      </w:hyperlink>
      <w:r>
        <w:t>, accessed 6 March 2016</w:t>
      </w:r>
    </w:p>
  </w:footnote>
  <w:footnote w:id="49">
    <w:p w:rsidR="00D765C7" w:rsidRDefault="00D765C7">
      <w:pPr>
        <w:pStyle w:val="FootnoteText"/>
      </w:pPr>
      <w:r>
        <w:rPr>
          <w:rStyle w:val="FootnoteReference"/>
        </w:rPr>
        <w:footnoteRef/>
      </w:r>
      <w:r>
        <w:t xml:space="preserve"> Minority Rights Group International, ‘</w:t>
      </w:r>
      <w:r w:rsidRPr="00847A11">
        <w:t xml:space="preserve">World Directory of Minorities and Indigenous Peoples - Iraq : </w:t>
      </w:r>
      <w:proofErr w:type="spellStart"/>
      <w:r w:rsidRPr="00847A11">
        <w:t>Sabian</w:t>
      </w:r>
      <w:proofErr w:type="spellEnd"/>
      <w:r w:rsidRPr="00847A11">
        <w:t xml:space="preserve"> Mandaeans</w:t>
      </w:r>
      <w:r>
        <w:t xml:space="preserve">’, October 2014, </w:t>
      </w:r>
      <w:hyperlink r:id="rId49" w:history="1">
        <w:r w:rsidRPr="000A6E21">
          <w:rPr>
            <w:rStyle w:val="Hyperlink"/>
          </w:rPr>
          <w:t>http://minorityrights.org/minorities/sabian-mandaeans/</w:t>
        </w:r>
      </w:hyperlink>
      <w:r>
        <w:t>, accessed 7 March 2016</w:t>
      </w:r>
    </w:p>
  </w:footnote>
  <w:footnote w:id="50">
    <w:p w:rsidR="00D765C7" w:rsidRPr="00916D38" w:rsidRDefault="00D765C7" w:rsidP="00963331">
      <w:pPr>
        <w:pStyle w:val="Bibliography"/>
        <w:widowControl w:val="0"/>
        <w:spacing w:after="0"/>
        <w:rPr>
          <w:sz w:val="20"/>
          <w:szCs w:val="20"/>
        </w:rPr>
      </w:pPr>
      <w:r w:rsidRPr="00641438">
        <w:rPr>
          <w:rStyle w:val="FootnoteReference"/>
          <w:sz w:val="20"/>
          <w:szCs w:val="20"/>
        </w:rPr>
        <w:footnoteRef/>
      </w:r>
      <w:r>
        <w:rPr>
          <w:sz w:val="20"/>
          <w:szCs w:val="20"/>
        </w:rPr>
        <w:t xml:space="preserve"> </w:t>
      </w:r>
      <w:r>
        <w:rPr>
          <w:rStyle w:val="FootnoteTextChar"/>
        </w:rPr>
        <w:t xml:space="preserve">US State Department, International Religious Freedoms Report for 2014, Iraq, Section 2, Status of government respect for religious freedoms,  </w:t>
      </w:r>
      <w:hyperlink r:id="rId50" w:history="1">
        <w:r w:rsidRPr="00036AEE">
          <w:rPr>
            <w:rStyle w:val="Hyperlink"/>
            <w:sz w:val="20"/>
            <w:szCs w:val="20"/>
          </w:rPr>
          <w:t>http://www.state.gov/j/drl/rls/irf/2014/nea/238456.htm</w:t>
        </w:r>
      </w:hyperlink>
    </w:p>
  </w:footnote>
  <w:footnote w:id="51">
    <w:p w:rsidR="00D765C7" w:rsidRDefault="00D765C7" w:rsidP="00963331">
      <w:pPr>
        <w:pStyle w:val="FootnoteText"/>
      </w:pPr>
      <w:r>
        <w:rPr>
          <w:rStyle w:val="FootnoteReference"/>
        </w:rPr>
        <w:footnoteRef/>
      </w:r>
      <w:r>
        <w:t xml:space="preserve"> Minority Rights Group International, ‘No Way Home: Iraq’s minorities on the verge of disappearance’, July 2016, </w:t>
      </w:r>
      <w:hyperlink r:id="rId51" w:history="1">
        <w:r w:rsidRPr="00B72CF8">
          <w:rPr>
            <w:rStyle w:val="Hyperlink"/>
          </w:rPr>
          <w:t>http://minorityrights.org/wp-content/uploads/2016/06/MRG_CFRep_Iraq_Jun16_4.pdf</w:t>
        </w:r>
      </w:hyperlink>
      <w:r>
        <w:t xml:space="preserve">, accessed 6 July 2016  </w:t>
      </w:r>
    </w:p>
  </w:footnote>
  <w:footnote w:id="52">
    <w:p w:rsidR="00D765C7" w:rsidRPr="00916D38" w:rsidRDefault="00D765C7" w:rsidP="00A92D7D">
      <w:pPr>
        <w:pStyle w:val="Bibliography"/>
        <w:widowControl w:val="0"/>
        <w:spacing w:after="0"/>
        <w:rPr>
          <w:sz w:val="20"/>
          <w:szCs w:val="20"/>
        </w:rPr>
      </w:pPr>
      <w:r w:rsidRPr="00641438">
        <w:rPr>
          <w:rStyle w:val="FootnoteReference"/>
          <w:sz w:val="20"/>
          <w:szCs w:val="20"/>
        </w:rPr>
        <w:footnoteRef/>
      </w:r>
      <w:r>
        <w:rPr>
          <w:sz w:val="20"/>
          <w:szCs w:val="20"/>
        </w:rPr>
        <w:t xml:space="preserve"> </w:t>
      </w:r>
      <w:r>
        <w:rPr>
          <w:rStyle w:val="FootnoteTextChar"/>
        </w:rPr>
        <w:t xml:space="preserve">US State Department, International Religious Freedoms Report for 2014, Iraq, 14 October 2015, Section 3, </w:t>
      </w:r>
      <w:hyperlink r:id="rId52" w:history="1">
        <w:r w:rsidRPr="00036AEE">
          <w:rPr>
            <w:rStyle w:val="Hyperlink"/>
            <w:sz w:val="20"/>
            <w:szCs w:val="20"/>
          </w:rPr>
          <w:t>http://www.state.gov/j/drl/rls/irf/2014/nea/238456.htm</w:t>
        </w:r>
      </w:hyperlink>
      <w:r>
        <w:t xml:space="preserve">, </w:t>
      </w:r>
      <w:r w:rsidRPr="004D2699">
        <w:rPr>
          <w:sz w:val="20"/>
          <w:szCs w:val="20"/>
        </w:rPr>
        <w:t>accessed 26 July 2016</w:t>
      </w:r>
    </w:p>
  </w:footnote>
  <w:footnote w:id="53">
    <w:p w:rsidR="00D765C7" w:rsidRDefault="00D765C7" w:rsidP="00DD30C3">
      <w:pPr>
        <w:pStyle w:val="FootnoteText"/>
      </w:pPr>
      <w:r>
        <w:rPr>
          <w:rStyle w:val="FootnoteReference"/>
        </w:rPr>
        <w:footnoteRef/>
      </w:r>
      <w:r>
        <w:t xml:space="preserve"> Minority Rights Group, </w:t>
      </w:r>
      <w:r w:rsidRPr="00343B98">
        <w:t>Between the Millstones: The State of Iraq’s Minorities Since the Fall of Mosul, February 2015</w:t>
      </w:r>
      <w:r>
        <w:t xml:space="preserve">, p.8, </w:t>
      </w:r>
      <w:hyperlink r:id="rId53" w:history="1">
        <w:r w:rsidRPr="00036AEE">
          <w:rPr>
            <w:rStyle w:val="Hyperlink"/>
          </w:rPr>
          <w:t>http://minorityrights.org/wp-content/uploads/2015/03/MRG_Rep_Iraq_ONLINE.pdf</w:t>
        </w:r>
      </w:hyperlink>
      <w:r>
        <w:t>, accessed 11 February 2016</w:t>
      </w:r>
    </w:p>
  </w:footnote>
  <w:footnote w:id="54">
    <w:p w:rsidR="00D765C7" w:rsidRPr="000334BB" w:rsidRDefault="00D765C7" w:rsidP="00431BFB">
      <w:pPr>
        <w:pStyle w:val="FootnoteText"/>
        <w:rPr>
          <w:lang w:val="en-US"/>
        </w:rPr>
      </w:pPr>
      <w:r>
        <w:rPr>
          <w:rStyle w:val="FootnoteReference"/>
        </w:rPr>
        <w:footnoteRef/>
      </w:r>
      <w:r>
        <w:t xml:space="preserve"> Minority Rights Group International, ‘No Way Home: Iraq’s minorities on the verge of disappearance’, July 2016, p. 18 and 19, </w:t>
      </w:r>
      <w:hyperlink r:id="rId54" w:history="1">
        <w:r w:rsidRPr="00B72CF8">
          <w:rPr>
            <w:rStyle w:val="Hyperlink"/>
          </w:rPr>
          <w:t>http://minorityrights.org/wp-content/uploads/2016/06/MRG_CFRep_Iraq_Jun16_4.pdf</w:t>
        </w:r>
      </w:hyperlink>
      <w:r>
        <w:t>, accessed 13 July 2016</w:t>
      </w:r>
    </w:p>
  </w:footnote>
  <w:footnote w:id="55">
    <w:p w:rsidR="00D765C7" w:rsidRDefault="00D765C7">
      <w:pPr>
        <w:pStyle w:val="FootnoteText"/>
      </w:pPr>
      <w:r>
        <w:rPr>
          <w:rStyle w:val="FootnoteReference"/>
        </w:rPr>
        <w:footnoteRef/>
      </w:r>
      <w:r>
        <w:t xml:space="preserve"> </w:t>
      </w:r>
      <w:r>
        <w:rPr>
          <w:rStyle w:val="FootnoteTextChar"/>
        </w:rPr>
        <w:t xml:space="preserve">US State Department, International Religious Freedoms Report for 2014, Iraq, 14 October 2015, Section 3, </w:t>
      </w:r>
      <w:hyperlink r:id="rId55" w:history="1">
        <w:r w:rsidRPr="00036AEE">
          <w:rPr>
            <w:rStyle w:val="Hyperlink"/>
          </w:rPr>
          <w:t>http://www.state.gov/j/drl/rls/irf/2014/nea/238456.htm</w:t>
        </w:r>
      </w:hyperlink>
    </w:p>
  </w:footnote>
  <w:footnote w:id="56">
    <w:p w:rsidR="00D765C7" w:rsidRDefault="00D765C7" w:rsidP="006D2231">
      <w:pPr>
        <w:pStyle w:val="FootnoteText"/>
      </w:pPr>
      <w:r>
        <w:rPr>
          <w:rStyle w:val="FootnoteReference"/>
        </w:rPr>
        <w:footnoteRef/>
      </w:r>
      <w:r>
        <w:t xml:space="preserve"> Heartland Alliance International, ‘At Crossroads: Human Rights Violations Against Iraqi Minorities After ISIS’, 2015, </w:t>
      </w:r>
      <w:hyperlink r:id="rId56" w:history="1">
        <w:r w:rsidRPr="00C87A05">
          <w:rPr>
            <w:rStyle w:val="Hyperlink"/>
          </w:rPr>
          <w:t>http://masaratiraq.org/wp-content/uploads/2015/09/AT-CROSSROADS.pdf</w:t>
        </w:r>
      </w:hyperlink>
      <w:r>
        <w:t>, p. 24, accessed 15 June 2016</w:t>
      </w:r>
    </w:p>
  </w:footnote>
  <w:footnote w:id="57">
    <w:p w:rsidR="00D765C7" w:rsidRPr="00182169" w:rsidRDefault="00D765C7" w:rsidP="00644B0E">
      <w:pPr>
        <w:pStyle w:val="FootnoteText"/>
        <w:rPr>
          <w:lang w:val="en-US"/>
        </w:rPr>
      </w:pPr>
      <w:r>
        <w:rPr>
          <w:rStyle w:val="FootnoteReference"/>
        </w:rPr>
        <w:footnoteRef/>
      </w:r>
      <w:r>
        <w:t xml:space="preserve"> </w:t>
      </w:r>
      <w:r>
        <w:rPr>
          <w:lang w:val="en-US"/>
        </w:rPr>
        <w:t xml:space="preserve">U.S. Commission on International Religious Freedom, 2016 Annual Report, 2 May 2016, Iraq, Religious Freedom Conditions 2015/2016, Violations by the Iraqi Government, p. 101 and 102, </w:t>
      </w:r>
      <w:hyperlink r:id="rId57" w:history="1">
        <w:r w:rsidRPr="00252FF7">
          <w:rPr>
            <w:rStyle w:val="Hyperlink"/>
            <w:lang w:val="en-US"/>
          </w:rPr>
          <w:t>http://www.uscirf.gov/sites/default/files/USCIRF%202016%20Annual%20Report.pdf</w:t>
        </w:r>
      </w:hyperlink>
      <w:r>
        <w:rPr>
          <w:lang w:val="en-US"/>
        </w:rPr>
        <w:t>, accessed 13 July 2016</w:t>
      </w:r>
    </w:p>
  </w:footnote>
  <w:footnote w:id="58">
    <w:p w:rsidR="00D765C7" w:rsidRDefault="00D765C7" w:rsidP="00D717AE">
      <w:pPr>
        <w:pStyle w:val="FootnoteText"/>
      </w:pPr>
      <w:r>
        <w:rPr>
          <w:rStyle w:val="FootnoteReference"/>
        </w:rPr>
        <w:footnoteRef/>
      </w:r>
      <w:r>
        <w:t xml:space="preserve"> Heartland Alliance International, ‘At Crossroads: Human Rights Violations Against Iraqi Minorities After ISIS’, 2015, p. 21, </w:t>
      </w:r>
      <w:hyperlink r:id="rId58" w:history="1">
        <w:r w:rsidRPr="00C87A05">
          <w:rPr>
            <w:rStyle w:val="Hyperlink"/>
          </w:rPr>
          <w:t>http://masaratiraq.org/wp-content/uploads/2015/09/AT-CROSSROADS.pdf</w:t>
        </w:r>
      </w:hyperlink>
      <w:r>
        <w:t>, accessed 15 June 2016</w:t>
      </w:r>
    </w:p>
  </w:footnote>
  <w:footnote w:id="59">
    <w:p w:rsidR="00D765C7" w:rsidRDefault="00D765C7" w:rsidP="00882A02">
      <w:pPr>
        <w:pStyle w:val="FootnoteText"/>
      </w:pPr>
      <w:r>
        <w:rPr>
          <w:rStyle w:val="FootnoteReference"/>
        </w:rPr>
        <w:footnoteRef/>
      </w:r>
      <w:r>
        <w:t xml:space="preserve"> Heartland Alliance International, ‘At Crossroads: Human Rights Violations Against Iraqi Minorities After ISIS’, 2015, </w:t>
      </w:r>
      <w:hyperlink r:id="rId59" w:history="1">
        <w:r w:rsidRPr="00C87A05">
          <w:rPr>
            <w:rStyle w:val="Hyperlink"/>
          </w:rPr>
          <w:t>http://masaratiraq.org/wp-content/uploads/2015/09/AT-CROSSROADS.pdf</w:t>
        </w:r>
      </w:hyperlink>
      <w:r>
        <w:t>, p. 24, accessed 15 June 2016</w:t>
      </w:r>
    </w:p>
  </w:footnote>
  <w:footnote w:id="60">
    <w:p w:rsidR="00D765C7" w:rsidRDefault="00D765C7" w:rsidP="00882A02">
      <w:pPr>
        <w:pStyle w:val="FootnoteText"/>
      </w:pPr>
      <w:r>
        <w:rPr>
          <w:rStyle w:val="FootnoteReference"/>
        </w:rPr>
        <w:footnoteRef/>
      </w:r>
      <w:r>
        <w:t xml:space="preserve"> Heartland Alliance International, ‘At Crossroads: Human Rights Violations Against Iraqi Minorities After ISIS’, 2015, </w:t>
      </w:r>
      <w:hyperlink r:id="rId60" w:history="1">
        <w:r w:rsidRPr="00C87A05">
          <w:rPr>
            <w:rStyle w:val="Hyperlink"/>
          </w:rPr>
          <w:t>http://masaratiraq.org/wp-content/uploads/2015/09/AT-CROSSROADS.pdf</w:t>
        </w:r>
      </w:hyperlink>
      <w:r>
        <w:t>, pp. 26-28, accessed 15 June 2016</w:t>
      </w:r>
    </w:p>
  </w:footnote>
  <w:footnote w:id="61">
    <w:p w:rsidR="00D765C7" w:rsidRDefault="00D765C7" w:rsidP="00582220">
      <w:pPr>
        <w:pStyle w:val="FootnoteText"/>
      </w:pPr>
      <w:r>
        <w:rPr>
          <w:rStyle w:val="FootnoteReference"/>
        </w:rPr>
        <w:footnoteRef/>
      </w:r>
      <w:r>
        <w:t xml:space="preserve"> Minority Rights Group, </w:t>
      </w:r>
      <w:r w:rsidRPr="00343B98">
        <w:t>Between the Millstones: The State of Iraq’s Minorities Since the Fall of Mosul, February 2015</w:t>
      </w:r>
      <w:r>
        <w:t xml:space="preserve">, p.8, </w:t>
      </w:r>
      <w:hyperlink r:id="rId61" w:history="1">
        <w:r w:rsidRPr="00036AEE">
          <w:rPr>
            <w:rStyle w:val="Hyperlink"/>
          </w:rPr>
          <w:t>http://minorityrights.org/wp-content/uploads/2015/03/MRG_Rep_Iraq_ONLINE.pdf</w:t>
        </w:r>
      </w:hyperlink>
      <w:r>
        <w:t>, accessed 11 February 2016</w:t>
      </w:r>
    </w:p>
  </w:footnote>
  <w:footnote w:id="62">
    <w:p w:rsidR="00D765C7" w:rsidRDefault="00D765C7" w:rsidP="00331E24">
      <w:pPr>
        <w:pStyle w:val="FootnoteText"/>
      </w:pPr>
      <w:r>
        <w:rPr>
          <w:rStyle w:val="FootnoteReference"/>
        </w:rPr>
        <w:footnoteRef/>
      </w:r>
      <w:r>
        <w:t xml:space="preserve"> Heartland Alliance International, ‘At Crossroads: Human Rights Violations Against Iraqi Minorities After ISIS’, 2015, p. 13, </w:t>
      </w:r>
      <w:hyperlink r:id="rId62" w:history="1">
        <w:r w:rsidRPr="00C87A05">
          <w:rPr>
            <w:rStyle w:val="Hyperlink"/>
          </w:rPr>
          <w:t>http://masaratiraq.org/wp-content/uploads/2015/09/AT-CROSSROADS.pdf</w:t>
        </w:r>
      </w:hyperlink>
      <w:r>
        <w:t>, accessed 15 June 2016</w:t>
      </w:r>
    </w:p>
  </w:footnote>
  <w:footnote w:id="63">
    <w:p w:rsidR="00D765C7" w:rsidRDefault="00D765C7" w:rsidP="00582220">
      <w:pPr>
        <w:pStyle w:val="FootnoteText"/>
      </w:pPr>
      <w:r>
        <w:rPr>
          <w:rStyle w:val="FootnoteReference"/>
        </w:rPr>
        <w:footnoteRef/>
      </w:r>
      <w:r>
        <w:t xml:space="preserve"> Heartland Alliance International, ‘At Crossroads: Human Rights Violations Against Iraqi Minorities After ISIS’, 2015, </w:t>
      </w:r>
      <w:hyperlink r:id="rId63" w:history="1">
        <w:r w:rsidRPr="00C87A05">
          <w:rPr>
            <w:rStyle w:val="Hyperlink"/>
          </w:rPr>
          <w:t>http://masaratiraq.org/wp-content/uploads/2015/09/AT-CROSSROADS.pdf</w:t>
        </w:r>
      </w:hyperlink>
      <w:r>
        <w:t>, pp. 10-11, accessed 15 June 2016</w:t>
      </w:r>
    </w:p>
  </w:footnote>
  <w:footnote w:id="64">
    <w:p w:rsidR="00D765C7" w:rsidRDefault="00D765C7" w:rsidP="00582220">
      <w:pPr>
        <w:pStyle w:val="FootnoteText"/>
      </w:pPr>
      <w:r>
        <w:rPr>
          <w:rStyle w:val="FootnoteReference"/>
        </w:rPr>
        <w:footnoteRef/>
      </w:r>
      <w:r>
        <w:t xml:space="preserve"> Heartland Alliance International, ‘At Crossroads: Human Rights Violations Against Iraqi Minorities After ISIS’, 2015, </w:t>
      </w:r>
      <w:hyperlink r:id="rId64" w:history="1">
        <w:r w:rsidRPr="00C87A05">
          <w:rPr>
            <w:rStyle w:val="Hyperlink"/>
          </w:rPr>
          <w:t>http://masaratiraq.org/wp-content/uploads/2015/09/AT-CROSSROADS.pdf</w:t>
        </w:r>
      </w:hyperlink>
      <w:r>
        <w:t>, p.14, accessed 15 June 2016</w:t>
      </w:r>
    </w:p>
  </w:footnote>
  <w:footnote w:id="65">
    <w:p w:rsidR="00D765C7" w:rsidRDefault="00D765C7" w:rsidP="00582220">
      <w:pPr>
        <w:pStyle w:val="FootnoteText"/>
      </w:pPr>
      <w:r>
        <w:rPr>
          <w:rStyle w:val="FootnoteReference"/>
        </w:rPr>
        <w:footnoteRef/>
      </w:r>
      <w:r>
        <w:t xml:space="preserve"> Heartland Alliance International, ‘At Crossroads: Human Rights Violations Against Iraqi Minorities After ISIS’, 2015, </w:t>
      </w:r>
      <w:hyperlink r:id="rId65" w:history="1">
        <w:r w:rsidRPr="00C87A05">
          <w:rPr>
            <w:rStyle w:val="Hyperlink"/>
          </w:rPr>
          <w:t>http://masaratiraq.org/wp-content/uploads/2015/09/AT-CROSSROADS.pdf</w:t>
        </w:r>
      </w:hyperlink>
      <w:r>
        <w:t>, p.16, accessed 15 June 2016</w:t>
      </w:r>
    </w:p>
  </w:footnote>
  <w:footnote w:id="66">
    <w:p w:rsidR="00D765C7" w:rsidRDefault="00D765C7" w:rsidP="00582220">
      <w:pPr>
        <w:pStyle w:val="FootnoteText"/>
      </w:pPr>
      <w:r>
        <w:rPr>
          <w:rStyle w:val="FootnoteReference"/>
        </w:rPr>
        <w:footnoteRef/>
      </w:r>
      <w:r>
        <w:t xml:space="preserve"> Heartland Alliance International, ‘At Crossroads: Human Rights Violations Against Iraqi Minorities After ISIS’, 2015, p. 14, </w:t>
      </w:r>
      <w:hyperlink r:id="rId66" w:history="1">
        <w:r w:rsidRPr="00C87A05">
          <w:rPr>
            <w:rStyle w:val="Hyperlink"/>
          </w:rPr>
          <w:t>http://masaratiraq.org/wp-content/uploads/2015/09/AT-CROSSROADS.</w:t>
        </w:r>
        <w:r w:rsidRPr="00DA492C">
          <w:rPr>
            <w:rStyle w:val="Hyperlink"/>
            <w:color w:val="auto"/>
            <w:u w:val="none"/>
          </w:rPr>
          <w:t>pdf</w:t>
        </w:r>
      </w:hyperlink>
      <w:r>
        <w:rPr>
          <w:rStyle w:val="Hyperlink"/>
          <w:color w:val="auto"/>
          <w:u w:val="none"/>
        </w:rPr>
        <w:t xml:space="preserve">, accessed </w:t>
      </w:r>
      <w:r w:rsidRPr="00DA492C">
        <w:t>15</w:t>
      </w:r>
      <w:r>
        <w:t xml:space="preserve"> June 2016</w:t>
      </w:r>
    </w:p>
  </w:footnote>
  <w:footnote w:id="67">
    <w:p w:rsidR="00D765C7" w:rsidRDefault="00D765C7">
      <w:pPr>
        <w:pStyle w:val="FootnoteText"/>
      </w:pPr>
      <w:r>
        <w:rPr>
          <w:rStyle w:val="FootnoteReference"/>
        </w:rPr>
        <w:footnoteRef/>
      </w:r>
      <w:r>
        <w:t xml:space="preserve"> </w:t>
      </w:r>
      <w:r>
        <w:rPr>
          <w:rStyle w:val="FootnoteTextChar"/>
        </w:rPr>
        <w:t xml:space="preserve">US State Department, International Religious Freedoms Report for 2014, Iraq, 14 October 2015, Section 3, </w:t>
      </w:r>
      <w:hyperlink r:id="rId67" w:history="1">
        <w:r w:rsidRPr="00036AEE">
          <w:rPr>
            <w:rStyle w:val="Hyperlink"/>
          </w:rPr>
          <w:t>http://www.state.gov/j/drl/rls/irf/2014/nea/238456.htm</w:t>
        </w:r>
      </w:hyperlink>
      <w:r>
        <w:t xml:space="preserve">, accessed 26 July 2016 </w:t>
      </w:r>
    </w:p>
  </w:footnote>
  <w:footnote w:id="68">
    <w:p w:rsidR="00D765C7" w:rsidRDefault="00D765C7" w:rsidP="00080C4A">
      <w:pPr>
        <w:pStyle w:val="FootnoteText"/>
      </w:pPr>
      <w:r>
        <w:rPr>
          <w:rStyle w:val="FootnoteReference"/>
        </w:rPr>
        <w:footnoteRef/>
      </w:r>
      <w:r>
        <w:t xml:space="preserve"> Minority Rights Group International, ‘</w:t>
      </w:r>
      <w:r w:rsidRPr="00847A11">
        <w:t xml:space="preserve">World Directory of Minorities and Indigenous Peoples - Iraq : </w:t>
      </w:r>
      <w:proofErr w:type="spellStart"/>
      <w:r w:rsidRPr="00847A11">
        <w:t>Sabian</w:t>
      </w:r>
      <w:proofErr w:type="spellEnd"/>
      <w:r w:rsidRPr="00847A11">
        <w:t xml:space="preserve"> Mandaeans</w:t>
      </w:r>
      <w:r>
        <w:t xml:space="preserve">’, October 2014, </w:t>
      </w:r>
      <w:hyperlink r:id="rId68" w:history="1">
        <w:r w:rsidRPr="000A6E21">
          <w:rPr>
            <w:rStyle w:val="Hyperlink"/>
          </w:rPr>
          <w:t>http://minorityrights.org/minorities/sabian-mandaeans/</w:t>
        </w:r>
      </w:hyperlink>
      <w:r>
        <w:t>, accessed 7 March 2016</w:t>
      </w:r>
    </w:p>
  </w:footnote>
  <w:footnote w:id="69">
    <w:p w:rsidR="00D765C7" w:rsidRDefault="00D765C7" w:rsidP="00080C4A">
      <w:pPr>
        <w:pStyle w:val="FootnoteText"/>
      </w:pPr>
      <w:r>
        <w:rPr>
          <w:rStyle w:val="FootnoteReference"/>
        </w:rPr>
        <w:footnoteRef/>
      </w:r>
      <w:r>
        <w:t xml:space="preserve"> Heartland Alliance International, ‘At Crossroads: Human Rights Violations Against Iraqi Minorities After ISIS’, 2015, </w:t>
      </w:r>
      <w:hyperlink r:id="rId69" w:history="1">
        <w:r w:rsidRPr="00C87A05">
          <w:rPr>
            <w:rStyle w:val="Hyperlink"/>
          </w:rPr>
          <w:t>http://masaratiraq.org/wp-content/uploads/2015/09/AT-CROSSROADS.pdf</w:t>
        </w:r>
      </w:hyperlink>
      <w:r>
        <w:t>, pp. 59, 61-62, accessed 15 June 2016</w:t>
      </w:r>
    </w:p>
  </w:footnote>
  <w:footnote w:id="70">
    <w:p w:rsidR="00D765C7" w:rsidRDefault="00D765C7" w:rsidP="00080C4A">
      <w:pPr>
        <w:pStyle w:val="FootnoteText"/>
      </w:pPr>
      <w:r>
        <w:rPr>
          <w:rStyle w:val="FootnoteReference"/>
        </w:rPr>
        <w:footnoteRef/>
      </w:r>
      <w:r>
        <w:t xml:space="preserve"> Heartland Alliance International, ‘At Crossroads: Human Rights Violations Against Iraqi Minorities After ISIS’, 2015, </w:t>
      </w:r>
      <w:hyperlink r:id="rId70" w:history="1">
        <w:r w:rsidRPr="00C87A05">
          <w:rPr>
            <w:rStyle w:val="Hyperlink"/>
          </w:rPr>
          <w:t>http://masaratiraq.org/wp-content/uploads/2015/09/AT-CROSSROADS.pdf</w:t>
        </w:r>
      </w:hyperlink>
      <w:r>
        <w:t>, p. 64, accessed 15 June 2016</w:t>
      </w:r>
    </w:p>
  </w:footnote>
  <w:footnote w:id="71">
    <w:p w:rsidR="00D765C7" w:rsidRDefault="00D765C7" w:rsidP="00080C4A">
      <w:pPr>
        <w:pStyle w:val="FootnoteText"/>
      </w:pPr>
      <w:r>
        <w:rPr>
          <w:rStyle w:val="FootnoteReference"/>
        </w:rPr>
        <w:footnoteRef/>
      </w:r>
      <w:r>
        <w:t xml:space="preserve"> Heartland Alliance International, ‘At Crossroads: Human Rights Violations Against Iraqi Minorities After ISIS’, 2015, </w:t>
      </w:r>
      <w:hyperlink r:id="rId71" w:history="1">
        <w:r w:rsidRPr="00C87A05">
          <w:rPr>
            <w:rStyle w:val="Hyperlink"/>
          </w:rPr>
          <w:t>http://masaratiraq.org/wp-content/uploads/2015/09/AT-CROSSROADS.pdf</w:t>
        </w:r>
      </w:hyperlink>
      <w:r>
        <w:t>, p. 64, accessed 15 June 2016</w:t>
      </w:r>
    </w:p>
  </w:footnote>
  <w:footnote w:id="72">
    <w:p w:rsidR="00D765C7" w:rsidRPr="0039016F" w:rsidRDefault="00D765C7" w:rsidP="00582220">
      <w:pPr>
        <w:pStyle w:val="FootnoteText"/>
        <w:rPr>
          <w:lang w:val="en-US"/>
        </w:rPr>
      </w:pPr>
      <w:r>
        <w:rPr>
          <w:rStyle w:val="FootnoteReference"/>
        </w:rPr>
        <w:footnoteRef/>
      </w:r>
      <w:r>
        <w:t xml:space="preserve"> </w:t>
      </w:r>
      <w:r>
        <w:rPr>
          <w:rStyle w:val="FootnoteTextChar"/>
        </w:rPr>
        <w:t xml:space="preserve">US State Department, International Religious Freedoms Report for 2014 for Iraq, 14 October 2015, Section 2, Government practices, </w:t>
      </w:r>
      <w:hyperlink r:id="rId72" w:history="1">
        <w:r w:rsidRPr="000A6E21">
          <w:rPr>
            <w:rStyle w:val="Hyperlink"/>
          </w:rPr>
          <w:t>http://www.state.gov/j/drl/rls/irf/2014/nea/238456.htm</w:t>
        </w:r>
      </w:hyperlink>
      <w:r>
        <w:t>, accessed 12 July 2016</w:t>
      </w:r>
    </w:p>
  </w:footnote>
  <w:footnote w:id="73">
    <w:p w:rsidR="00D765C7" w:rsidRDefault="00D765C7" w:rsidP="00F74B29">
      <w:pPr>
        <w:pStyle w:val="FootnoteText"/>
      </w:pPr>
      <w:r>
        <w:rPr>
          <w:rStyle w:val="FootnoteReference"/>
        </w:rPr>
        <w:footnoteRef/>
      </w:r>
      <w:r>
        <w:t xml:space="preserve"> Heartland Alliance International, ‘At Crossroads: Human Rights Violations Against Iraqi Minorities After ISIS’, 2015, p. 53,  </w:t>
      </w:r>
      <w:hyperlink r:id="rId73" w:history="1">
        <w:r w:rsidRPr="00601183">
          <w:rPr>
            <w:rStyle w:val="Hyperlink"/>
          </w:rPr>
          <w:t>http://masaratiraq.org/wp-content/uploads/2015/09/AT-CROSSROADS.pdf</w:t>
        </w:r>
      </w:hyperlink>
      <w:r>
        <w:t>, accessed 15 June 2016</w:t>
      </w:r>
    </w:p>
  </w:footnote>
  <w:footnote w:id="74">
    <w:p w:rsidR="00D765C7" w:rsidRDefault="00D765C7" w:rsidP="009611B8">
      <w:pPr>
        <w:pStyle w:val="Bibliography"/>
        <w:widowControl w:val="0"/>
        <w:spacing w:after="0"/>
      </w:pPr>
      <w:r>
        <w:rPr>
          <w:rStyle w:val="FootnoteReference"/>
        </w:rPr>
        <w:footnoteRef/>
      </w:r>
      <w:r>
        <w:t xml:space="preserve"> </w:t>
      </w:r>
      <w:r>
        <w:rPr>
          <w:rStyle w:val="FootnoteTextChar"/>
        </w:rPr>
        <w:t xml:space="preserve">US State Department, International Religious Freedoms Report for 2014, Iraq, 14 October 2015, Section 2, Government practices, </w:t>
      </w:r>
      <w:hyperlink r:id="rId74" w:history="1">
        <w:r w:rsidRPr="000A6E21">
          <w:rPr>
            <w:rStyle w:val="Hyperlink"/>
            <w:sz w:val="20"/>
            <w:szCs w:val="20"/>
          </w:rPr>
          <w:t>http://www.state.gov/j/drl/rls/irf/2014/nea/238456.htm</w:t>
        </w:r>
      </w:hyperlink>
      <w:r>
        <w:rPr>
          <w:sz w:val="20"/>
          <w:szCs w:val="20"/>
        </w:rPr>
        <w:t>, accessed 6 March 2016</w:t>
      </w:r>
    </w:p>
  </w:footnote>
  <w:footnote w:id="75">
    <w:p w:rsidR="00D765C7" w:rsidRPr="002E3194" w:rsidRDefault="00D765C7" w:rsidP="009611B8">
      <w:pPr>
        <w:pStyle w:val="FootnoteText"/>
        <w:rPr>
          <w:lang w:val="en-US"/>
        </w:rPr>
      </w:pPr>
      <w:r>
        <w:rPr>
          <w:rStyle w:val="FootnoteReference"/>
        </w:rPr>
        <w:footnoteRef/>
      </w:r>
      <w:r>
        <w:t xml:space="preserve"> US Commission on International Religious Freedom, 2016 Annual Report, 2 May 2016, Iraq, p. 106, </w:t>
      </w:r>
      <w:hyperlink r:id="rId75" w:history="1">
        <w:r w:rsidRPr="00252FF7">
          <w:rPr>
            <w:rStyle w:val="Hyperlink"/>
          </w:rPr>
          <w:t>http://www.uscirf.gov/sites/default/files/USCIRF%202016%20Annual%20Report.pdf</w:t>
        </w:r>
      </w:hyperlink>
      <w:r>
        <w:t>, accessed 12 July 2016</w:t>
      </w:r>
    </w:p>
  </w:footnote>
  <w:footnote w:id="76">
    <w:p w:rsidR="00D765C7" w:rsidRDefault="00D765C7" w:rsidP="009611B8">
      <w:pPr>
        <w:pStyle w:val="FootnoteText"/>
      </w:pPr>
      <w:r>
        <w:rPr>
          <w:rStyle w:val="FootnoteReference"/>
        </w:rPr>
        <w:footnoteRef/>
      </w:r>
      <w:r>
        <w:t xml:space="preserve"> Heartland Alliance International, ‘At Crossroads: Human Rights Violations Against Iraqi Minorities After ISIS’, 2015, p. 22, </w:t>
      </w:r>
      <w:hyperlink r:id="rId76" w:history="1">
        <w:r w:rsidRPr="00C87A05">
          <w:rPr>
            <w:rStyle w:val="Hyperlink"/>
          </w:rPr>
          <w:t>http://masaratiraq.org/wp-content/uploads/2015/09/AT-CROSSROADS.pdf</w:t>
        </w:r>
      </w:hyperlink>
      <w:r>
        <w:t>, accessed 15 June 2016</w:t>
      </w:r>
    </w:p>
  </w:footnote>
  <w:footnote w:id="77">
    <w:p w:rsidR="00D765C7" w:rsidRDefault="00D765C7" w:rsidP="00DD3308">
      <w:pPr>
        <w:pStyle w:val="FootnoteText"/>
      </w:pPr>
      <w:r>
        <w:rPr>
          <w:rStyle w:val="FootnoteReference"/>
        </w:rPr>
        <w:footnoteRef/>
      </w:r>
      <w:r>
        <w:t xml:space="preserve"> Heartland Alliance International, ‘At Crossroads: Human Rights Violations Against Iraqi Minorities After ISIS’, 2015, p. 12, </w:t>
      </w:r>
      <w:hyperlink r:id="rId77" w:history="1">
        <w:r w:rsidRPr="00C87A05">
          <w:rPr>
            <w:rStyle w:val="Hyperlink"/>
          </w:rPr>
          <w:t>http://masaratiraq.org/wp-content/uploads/2015/09/AT-CROSSROADS.pdf</w:t>
        </w:r>
      </w:hyperlink>
      <w:r>
        <w:t>, accessed 15 June 2016</w:t>
      </w:r>
    </w:p>
  </w:footnote>
  <w:footnote w:id="78">
    <w:p w:rsidR="00D765C7" w:rsidRDefault="00D765C7" w:rsidP="009611B8">
      <w:pPr>
        <w:pStyle w:val="FootnoteText"/>
      </w:pPr>
      <w:r>
        <w:rPr>
          <w:rStyle w:val="FootnoteReference"/>
        </w:rPr>
        <w:footnoteRef/>
      </w:r>
      <w:r>
        <w:t xml:space="preserve"> Internal Displacement Monitoring Centre (IDMC), ‘Iraq: IDPs caught between a rock and a hard place as displacement crisis deepens’, 30 June 2015, see Kurdish Region of Iraq, </w:t>
      </w:r>
      <w:hyperlink r:id="rId78" w:history="1">
        <w:r w:rsidRPr="00F0170E">
          <w:rPr>
            <w:rStyle w:val="Hyperlink"/>
          </w:rPr>
          <w:t>http://www.internal-displacement.org/middle-east-and-north-africa/iraq/2015/iraq-idps-caught-between-a-rock-and-a-hard-place-as-displacement-crisis-deepens</w:t>
        </w:r>
      </w:hyperlink>
      <w:r>
        <w:t>, accessed 7 March 2016</w:t>
      </w:r>
    </w:p>
  </w:footnote>
  <w:footnote w:id="79">
    <w:p w:rsidR="00D765C7" w:rsidRDefault="00D765C7" w:rsidP="009611B8">
      <w:pPr>
        <w:pStyle w:val="FootnoteText"/>
      </w:pPr>
      <w:r>
        <w:rPr>
          <w:rStyle w:val="FootnoteReference"/>
        </w:rPr>
        <w:footnoteRef/>
      </w:r>
      <w:r>
        <w:t xml:space="preserve"> UNHCR, Position on Returns to Iraq, October 2014, para 24 and footnote 97, </w:t>
      </w:r>
      <w:hyperlink r:id="rId79" w:history="1">
        <w:r w:rsidRPr="0026729D">
          <w:rPr>
            <w:rStyle w:val="Hyperlink"/>
          </w:rPr>
          <w:t>http://www.refworld.org/docid/544e4b3c4.html</w:t>
        </w:r>
      </w:hyperlink>
      <w:r>
        <w:t>, accessed 7 March 2016</w:t>
      </w:r>
    </w:p>
  </w:footnote>
  <w:footnote w:id="80">
    <w:p w:rsidR="00D765C7" w:rsidRPr="002E3194" w:rsidRDefault="00D765C7" w:rsidP="00DD3308">
      <w:pPr>
        <w:pStyle w:val="FootnoteText"/>
        <w:rPr>
          <w:lang w:val="en-US"/>
        </w:rPr>
      </w:pPr>
      <w:r>
        <w:rPr>
          <w:rStyle w:val="FootnoteReference"/>
        </w:rPr>
        <w:footnoteRef/>
      </w:r>
      <w:r>
        <w:t xml:space="preserve"> US Commission on International Religious Freedom, 2016 Annual Report, 2 May 2016, Iraq, p. 101 and 102, </w:t>
      </w:r>
      <w:hyperlink r:id="rId80" w:history="1">
        <w:r w:rsidRPr="00252FF7">
          <w:rPr>
            <w:rStyle w:val="Hyperlink"/>
          </w:rPr>
          <w:t>http://www.uscirf.gov/sites/default/files/USCIRF%202016%20Annual%20Report.pdf</w:t>
        </w:r>
      </w:hyperlink>
      <w:r>
        <w:t>, accessed 12 July 2016</w:t>
      </w:r>
    </w:p>
  </w:footnote>
  <w:footnote w:id="81">
    <w:p w:rsidR="00D765C7" w:rsidRDefault="00D765C7" w:rsidP="00DD3308">
      <w:pPr>
        <w:pStyle w:val="FootnoteText"/>
      </w:pPr>
      <w:r>
        <w:rPr>
          <w:rStyle w:val="FootnoteReference"/>
        </w:rPr>
        <w:footnoteRef/>
      </w:r>
      <w:r>
        <w:t xml:space="preserve"> Department of Foreign Affairs, Kurdistan Regional Government (KRG), ‘UN Special Rapporteur on minority issues commends KRG for minority protection efforts’, 1 March 2016, </w:t>
      </w:r>
      <w:hyperlink r:id="rId81" w:history="1">
        <w:r w:rsidRPr="00C87A05">
          <w:rPr>
            <w:rStyle w:val="Hyperlink"/>
          </w:rPr>
          <w:t>http://dfr.gov.krd/a/d.aspx?l=12&amp;a=45549</w:t>
        </w:r>
      </w:hyperlink>
      <w:r>
        <w:t xml:space="preserve">, accessed 15 June 2016  </w:t>
      </w:r>
    </w:p>
  </w:footnote>
  <w:footnote w:id="82">
    <w:p w:rsidR="00D765C7" w:rsidRDefault="00D765C7" w:rsidP="00F26598">
      <w:pPr>
        <w:pStyle w:val="FootnoteText"/>
      </w:pPr>
      <w:r>
        <w:rPr>
          <w:rStyle w:val="FootnoteReference"/>
        </w:rPr>
        <w:footnoteRef/>
      </w:r>
      <w:r>
        <w:t xml:space="preserve"> </w:t>
      </w:r>
      <w:r>
        <w:rPr>
          <w:rStyle w:val="FootnoteTextChar"/>
        </w:rPr>
        <w:t xml:space="preserve">US State Department, International Religious Freedoms Report for 2014, Iraq, 14 October 2015, Section 2, Government practices, </w:t>
      </w:r>
      <w:hyperlink r:id="rId82" w:history="1">
        <w:r w:rsidRPr="00036AEE">
          <w:rPr>
            <w:rStyle w:val="Hyperlink"/>
          </w:rPr>
          <w:t>http://www.state.gov/j/drl/rls/irf/2014/nea/238456.htm</w:t>
        </w:r>
      </w:hyperlink>
    </w:p>
  </w:footnote>
  <w:footnote w:id="83">
    <w:p w:rsidR="00D765C7" w:rsidRDefault="00D765C7" w:rsidP="00F26598">
      <w:pPr>
        <w:pStyle w:val="FootnoteText"/>
      </w:pPr>
      <w:r>
        <w:rPr>
          <w:rStyle w:val="FootnoteReference"/>
        </w:rPr>
        <w:footnoteRef/>
      </w:r>
      <w:r>
        <w:t xml:space="preserve"> Heartland Alliance International, ‘At Crossroads: Human Rights Violations Against Iraqi Minorities After ISIS’, 2015, p. 12, </w:t>
      </w:r>
      <w:hyperlink r:id="rId83" w:history="1">
        <w:r w:rsidRPr="00C87A05">
          <w:rPr>
            <w:rStyle w:val="Hyperlink"/>
          </w:rPr>
          <w:t>http://masaratiraq.org/wp-content/uploads/2015/09/AT-CROSSROADS.pdf</w:t>
        </w:r>
      </w:hyperlink>
      <w:r>
        <w:t>, accessed 15 June 2016</w:t>
      </w:r>
    </w:p>
  </w:footnote>
  <w:footnote w:id="84">
    <w:p w:rsidR="00D765C7" w:rsidRPr="00421893" w:rsidRDefault="00D765C7" w:rsidP="009611B8">
      <w:pPr>
        <w:pStyle w:val="FootnoteText"/>
      </w:pPr>
      <w:r>
        <w:rPr>
          <w:rStyle w:val="FootnoteReference"/>
        </w:rPr>
        <w:footnoteRef/>
      </w:r>
      <w:r>
        <w:t xml:space="preserve"> Danish Immigration Service,</w:t>
      </w:r>
      <w:r w:rsidRPr="00421893">
        <w:t xml:space="preserve"> </w:t>
      </w:r>
      <w:r>
        <w:t>‘</w:t>
      </w:r>
      <w:r w:rsidRPr="00421893">
        <w:t>The Kurdistan Region of Iraq (KRI); Access, Possibility of Protection, Security and Humanitarian Situation; Report from fact finding mission to Erbil, the Kurdistan Region of Iraq (KRI) and Beirut, Lebanon, 26 September to 6 October 2015</w:t>
      </w:r>
      <w:r>
        <w:t>’</w:t>
      </w:r>
      <w:r w:rsidRPr="00421893">
        <w:t>, 12 April 2016</w:t>
      </w:r>
      <w:r>
        <w:t xml:space="preserve">, Section 4, </w:t>
      </w:r>
      <w:hyperlink r:id="rId84" w:history="1">
        <w:r w:rsidRPr="00601183">
          <w:rPr>
            <w:rStyle w:val="Hyperlink"/>
          </w:rPr>
          <w:t>https://www.nyidanmark.dk/NR/rdonlyres/4B4E8C12-84B7-4ACB-8553-5E0218C5689A/0/FactfindingreportKurdistanRegionofIraq11042016.pdf</w:t>
        </w:r>
      </w:hyperlink>
      <w:r>
        <w:t>, accessed 13 July 2016</w:t>
      </w:r>
    </w:p>
  </w:footnote>
  <w:footnote w:id="85">
    <w:p w:rsidR="00D765C7" w:rsidRPr="00421893" w:rsidRDefault="00D765C7" w:rsidP="009611B8">
      <w:pPr>
        <w:pStyle w:val="FootnoteText"/>
      </w:pPr>
      <w:r>
        <w:rPr>
          <w:rStyle w:val="FootnoteReference"/>
        </w:rPr>
        <w:footnoteRef/>
      </w:r>
      <w:r>
        <w:t xml:space="preserve"> Danish Immigration Service,</w:t>
      </w:r>
      <w:r w:rsidRPr="00421893">
        <w:t xml:space="preserve"> The Kurdistan Region of Iraq (KRI); Access, Possibility of Protection, Security and Humanitarian Situation; Report from fact finding mission to Erbil, the Kurdistan Region of Iraq (KRI) and Beirut, Lebanon, 26 September to 6 October 2015, 12 April 2016</w:t>
      </w:r>
      <w:r>
        <w:t xml:space="preserve">, Section 4, </w:t>
      </w:r>
      <w:hyperlink r:id="rId85" w:history="1">
        <w:r w:rsidRPr="00601183">
          <w:rPr>
            <w:rStyle w:val="Hyperlink"/>
          </w:rPr>
          <w:t>https://www.nyidanmark.dk/NR/rdonlyres/4B4E8C12-84B7-4ACB-8553-5E0218C5689A/0/FactfindingreportKurdistanRegionofIraq11042016.pdf</w:t>
        </w:r>
      </w:hyperlink>
      <w:r>
        <w:t>, accessed 13 July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E75" w:rsidRDefault="008373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8297" o:spid="_x0000_s12292" type="#_x0000_t136" style="position:absolute;margin-left:0;margin-top:0;width:494.85pt;height:141.35pt;rotation:315;z-index:-251652096;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5C7" w:rsidRDefault="008373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8298" o:spid="_x0000_s12293" type="#_x0000_t136" style="position:absolute;margin-left:0;margin-top:0;width:494.85pt;height:141.35pt;rotation:315;z-index:-251650048;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r>
      <w:rPr>
        <w:noProof/>
        <w:lang w:eastAsia="en-GB"/>
      </w:rPr>
      <w:pict>
        <v:rect id="_x0000_s12289" style="position:absolute;margin-left:-71.9pt;margin-top:-34.65pt;width:22.7pt;height:905.4pt;z-index:251660288" fillcolor="#8f23b3" stroked="f" strokecolor="#8f23b3"/>
      </w:pict>
    </w:r>
  </w:p>
  <w:p w:rsidR="00D765C7" w:rsidRDefault="00D765C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5C7" w:rsidRDefault="008373D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78296" o:spid="_x0000_s12291" type="#_x0000_t136" style="position:absolute;margin-left:0;margin-top:0;width:494.85pt;height:141.35pt;rotation:315;z-index:-251654144;mso-position-horizontal:center;mso-position-horizontal-relative:margin;mso-position-vertical:center;mso-position-vertical-relative:margin" o:allowincell="f" fillcolor="silver" stroked="f">
          <v:fill opacity=".5"/>
          <v:textpath style="font-family:&quot;Arial&quot;;font-size:1pt" string="ARCHIVE"/>
          <w10:wrap anchorx="margin" anchory="margin"/>
        </v:shape>
      </w:pict>
    </w:r>
  </w:p>
  <w:p w:rsidR="00D765C7" w:rsidRDefault="00D765C7">
    <w:pPr>
      <w:pStyle w:val="Header"/>
    </w:pPr>
    <w:r w:rsidRPr="005150A1">
      <w:rPr>
        <w:noProof/>
        <w:lang w:eastAsia="en-GB"/>
      </w:rPr>
      <w:drawing>
        <wp:anchor distT="0" distB="0" distL="114300" distR="114300" simplePos="0" relativeHeight="251659264" behindDoc="1" locked="0" layoutInCell="1" allowOverlap="1">
          <wp:simplePos x="0" y="0"/>
          <wp:positionH relativeFrom="column">
            <wp:posOffset>-104775</wp:posOffset>
          </wp:positionH>
          <wp:positionV relativeFrom="paragraph">
            <wp:posOffset>60960</wp:posOffset>
          </wp:positionV>
          <wp:extent cx="1914525" cy="828675"/>
          <wp:effectExtent l="19050" t="0" r="9525" b="0"/>
          <wp:wrapNone/>
          <wp:docPr id="2" name="Picture 3"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Office_RGB_AW"/>
                  <pic:cNvPicPr>
                    <a:picLocks noChangeAspect="1" noChangeArrowheads="1"/>
                  </pic:cNvPicPr>
                </pic:nvPicPr>
                <pic:blipFill>
                  <a:blip r:embed="rId1"/>
                  <a:srcRect/>
                  <a:stretch>
                    <a:fillRect/>
                  </a:stretch>
                </pic:blipFill>
                <pic:spPr bwMode="auto">
                  <a:xfrm>
                    <a:off x="0" y="0"/>
                    <a:ext cx="1914525" cy="828675"/>
                  </a:xfrm>
                  <a:prstGeom prst="rect">
                    <a:avLst/>
                  </a:prstGeom>
                  <a:noFill/>
                  <a:ln w="9525">
                    <a:noFill/>
                    <a:miter lim="800000"/>
                    <a:headEnd/>
                    <a:tailEnd/>
                  </a:ln>
                </pic:spPr>
              </pic:pic>
            </a:graphicData>
          </a:graphic>
        </wp:anchor>
      </w:drawing>
    </w: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pPr>
      <w:pStyle w:val="Header"/>
    </w:pPr>
  </w:p>
  <w:p w:rsidR="00D765C7" w:rsidRDefault="00D765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033F"/>
    <w:multiLevelType w:val="hybridMultilevel"/>
    <w:tmpl w:val="48D2F79A"/>
    <w:lvl w:ilvl="0" w:tplc="600874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B37268"/>
    <w:multiLevelType w:val="hybridMultilevel"/>
    <w:tmpl w:val="7CEE3EF2"/>
    <w:lvl w:ilvl="0" w:tplc="853CE772">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13734AC1"/>
    <w:multiLevelType w:val="hybridMultilevel"/>
    <w:tmpl w:val="28280B8C"/>
    <w:lvl w:ilvl="0" w:tplc="CFDE0174">
      <w:start w:val="1"/>
      <w:numFmt w:val="decimal"/>
      <w:pStyle w:val="paragraphtext"/>
      <w:lvlText w:val="%1."/>
      <w:lvlJc w:val="left"/>
      <w:pPr>
        <w:ind w:left="360" w:hanging="360"/>
      </w:pPr>
      <w:rPr>
        <w:rFonts w:ascii="Arial" w:hAnsi="Arial" w:hint="default"/>
        <w:b w:val="0"/>
        <w:i w:val="0"/>
        <w:sz w:val="24"/>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14C27E58"/>
    <w:multiLevelType w:val="hybridMultilevel"/>
    <w:tmpl w:val="B2086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8166E0"/>
    <w:multiLevelType w:val="hybridMultilevel"/>
    <w:tmpl w:val="E7E86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B83C4E"/>
    <w:multiLevelType w:val="hybridMultilevel"/>
    <w:tmpl w:val="821AC5D4"/>
    <w:lvl w:ilvl="0" w:tplc="60087448">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19B7B97"/>
    <w:multiLevelType w:val="hybridMultilevel"/>
    <w:tmpl w:val="7CAAFEA8"/>
    <w:lvl w:ilvl="0" w:tplc="76BA3194">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15:restartNumberingAfterBreak="0">
    <w:nsid w:val="24743EE6"/>
    <w:multiLevelType w:val="hybridMultilevel"/>
    <w:tmpl w:val="5B46211C"/>
    <w:lvl w:ilvl="0" w:tplc="77E2BC7C">
      <w:start w:val="6"/>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2D247F02"/>
    <w:multiLevelType w:val="multilevel"/>
    <w:tmpl w:val="8B247C82"/>
    <w:lvl w:ilvl="0">
      <w:start w:val="1"/>
      <w:numFmt w:val="decimal"/>
      <w:pStyle w:val="Heading2"/>
      <w:lvlText w:val="%1."/>
      <w:lvlJc w:val="left"/>
      <w:pPr>
        <w:ind w:left="360" w:hanging="360"/>
      </w:pPr>
    </w:lvl>
    <w:lvl w:ilvl="1">
      <w:start w:val="1"/>
      <w:numFmt w:val="decimal"/>
      <w:pStyle w:val="Heading3"/>
      <w:isLgl/>
      <w:lvlText w:val="%1.%2"/>
      <w:lvlJc w:val="left"/>
      <w:pPr>
        <w:ind w:left="390" w:hanging="390"/>
      </w:pPr>
      <w:rPr>
        <w:rFonts w:hint="default"/>
      </w:rPr>
    </w:lvl>
    <w:lvl w:ilvl="2">
      <w:start w:val="1"/>
      <w:numFmt w:val="decimal"/>
      <w:pStyle w:val="ListParagraph"/>
      <w:isLgl/>
      <w:lvlText w:val="%1.%2.%3"/>
      <w:lvlJc w:val="left"/>
      <w:pPr>
        <w:ind w:left="720" w:hanging="720"/>
      </w:pPr>
      <w:rPr>
        <w:rFonts w:hint="default"/>
        <w:b w:val="0"/>
        <w:color w:val="auto"/>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06F1539"/>
    <w:multiLevelType w:val="hybridMultilevel"/>
    <w:tmpl w:val="18667790"/>
    <w:lvl w:ilvl="0" w:tplc="9F3E9F98">
      <w:start w:val="4"/>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4F45471A"/>
    <w:multiLevelType w:val="hybridMultilevel"/>
    <w:tmpl w:val="3D184912"/>
    <w:lvl w:ilvl="0" w:tplc="A3E06E42">
      <w:start w:val="1"/>
      <w:numFmt w:val="decimal"/>
      <w:lvlText w:val="%1."/>
      <w:lvlJc w:val="left"/>
      <w:pPr>
        <w:ind w:left="-349" w:hanging="360"/>
      </w:pPr>
      <w:rPr>
        <w:rFonts w:cs="Arial" w:hint="default"/>
        <w:b w:val="0"/>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11" w15:restartNumberingAfterBreak="0">
    <w:nsid w:val="55B4158D"/>
    <w:multiLevelType w:val="hybridMultilevel"/>
    <w:tmpl w:val="476C725E"/>
    <w:lvl w:ilvl="0" w:tplc="FD60FD48">
      <w:start w:val="2"/>
      <w:numFmt w:val="bullet"/>
      <w:lvlText w:val=""/>
      <w:lvlJc w:val="left"/>
      <w:pPr>
        <w:ind w:left="1211" w:hanging="360"/>
      </w:pPr>
      <w:rPr>
        <w:rFonts w:ascii="Symbol" w:eastAsiaTheme="minorHAnsi" w:hAnsi="Symbol" w:cs="Aria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5B6B6234"/>
    <w:multiLevelType w:val="multilevel"/>
    <w:tmpl w:val="D4762FE2"/>
    <w:lvl w:ilvl="0">
      <w:start w:val="2"/>
      <w:numFmt w:val="decimal"/>
      <w:lvlText w:val="%1"/>
      <w:lvlJc w:val="left"/>
      <w:pPr>
        <w:ind w:left="435" w:hanging="435"/>
      </w:pPr>
      <w:rPr>
        <w:rFonts w:hint="default"/>
        <w:color w:val="FF0000"/>
      </w:rPr>
    </w:lvl>
    <w:lvl w:ilvl="1">
      <w:start w:val="2"/>
      <w:numFmt w:val="decimal"/>
      <w:lvlText w:val="%1.%2"/>
      <w:lvlJc w:val="left"/>
      <w:pPr>
        <w:ind w:left="435" w:hanging="435"/>
      </w:pPr>
      <w:rPr>
        <w:rFonts w:hint="default"/>
        <w:color w:val="7030A0"/>
      </w:rPr>
    </w:lvl>
    <w:lvl w:ilvl="2">
      <w:start w:val="1"/>
      <w:numFmt w:val="decimal"/>
      <w:lvlText w:val="%1.%2.%3"/>
      <w:lvlJc w:val="left"/>
      <w:pPr>
        <w:ind w:left="720" w:hanging="720"/>
      </w:pPr>
      <w:rPr>
        <w:rFonts w:hint="default"/>
        <w:color w:val="auto"/>
        <w:sz w:val="24"/>
        <w:szCs w:val="24"/>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3" w15:restartNumberingAfterBreak="0">
    <w:nsid w:val="5B6C789B"/>
    <w:multiLevelType w:val="multilevel"/>
    <w:tmpl w:val="DBD619B2"/>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4F3179"/>
    <w:multiLevelType w:val="hybridMultilevel"/>
    <w:tmpl w:val="25A2F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5F4A73"/>
    <w:multiLevelType w:val="hybridMultilevel"/>
    <w:tmpl w:val="C4FC79C0"/>
    <w:lvl w:ilvl="0" w:tplc="7992610E">
      <w:start w:val="1"/>
      <w:numFmt w:val="low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663B2D73"/>
    <w:multiLevelType w:val="hybridMultilevel"/>
    <w:tmpl w:val="2F820168"/>
    <w:lvl w:ilvl="0" w:tplc="E84418E8">
      <w:start w:val="1"/>
      <w:numFmt w:val="bullet"/>
      <w:lvlText w:val=""/>
      <w:lvlJc w:val="left"/>
      <w:pPr>
        <w:tabs>
          <w:tab w:val="num" w:pos="567"/>
        </w:tabs>
        <w:ind w:left="567" w:hanging="283"/>
      </w:pPr>
      <w:rPr>
        <w:rFonts w:ascii="Symbol" w:hAnsi="Symbol" w:hint="default"/>
      </w:rPr>
    </w:lvl>
    <w:lvl w:ilvl="1" w:tplc="C214109E" w:tentative="1">
      <w:start w:val="1"/>
      <w:numFmt w:val="bullet"/>
      <w:lvlText w:val="o"/>
      <w:lvlJc w:val="left"/>
      <w:pPr>
        <w:ind w:left="1440" w:hanging="360"/>
      </w:pPr>
      <w:rPr>
        <w:rFonts w:ascii="Courier New" w:hAnsi="Courier New" w:cs="Courier New" w:hint="default"/>
      </w:rPr>
    </w:lvl>
    <w:lvl w:ilvl="2" w:tplc="BF0CB51E">
      <w:start w:val="1"/>
      <w:numFmt w:val="bullet"/>
      <w:lvlText w:val=""/>
      <w:lvlJc w:val="left"/>
      <w:pPr>
        <w:ind w:left="2160" w:hanging="360"/>
      </w:pPr>
      <w:rPr>
        <w:rFonts w:ascii="Wingdings" w:hAnsi="Wingdings" w:hint="default"/>
      </w:rPr>
    </w:lvl>
    <w:lvl w:ilvl="3" w:tplc="B35A3544" w:tentative="1">
      <w:start w:val="1"/>
      <w:numFmt w:val="bullet"/>
      <w:lvlText w:val=""/>
      <w:lvlJc w:val="left"/>
      <w:pPr>
        <w:ind w:left="2880" w:hanging="360"/>
      </w:pPr>
      <w:rPr>
        <w:rFonts w:ascii="Symbol" w:hAnsi="Symbol" w:hint="default"/>
      </w:rPr>
    </w:lvl>
    <w:lvl w:ilvl="4" w:tplc="C234B598" w:tentative="1">
      <w:start w:val="1"/>
      <w:numFmt w:val="bullet"/>
      <w:lvlText w:val="o"/>
      <w:lvlJc w:val="left"/>
      <w:pPr>
        <w:ind w:left="3600" w:hanging="360"/>
      </w:pPr>
      <w:rPr>
        <w:rFonts w:ascii="Courier New" w:hAnsi="Courier New" w:cs="Courier New" w:hint="default"/>
      </w:rPr>
    </w:lvl>
    <w:lvl w:ilvl="5" w:tplc="3D6269E2" w:tentative="1">
      <w:start w:val="1"/>
      <w:numFmt w:val="bullet"/>
      <w:lvlText w:val=""/>
      <w:lvlJc w:val="left"/>
      <w:pPr>
        <w:ind w:left="4320" w:hanging="360"/>
      </w:pPr>
      <w:rPr>
        <w:rFonts w:ascii="Wingdings" w:hAnsi="Wingdings" w:hint="default"/>
      </w:rPr>
    </w:lvl>
    <w:lvl w:ilvl="6" w:tplc="9716BFA2" w:tentative="1">
      <w:start w:val="1"/>
      <w:numFmt w:val="bullet"/>
      <w:lvlText w:val=""/>
      <w:lvlJc w:val="left"/>
      <w:pPr>
        <w:ind w:left="5040" w:hanging="360"/>
      </w:pPr>
      <w:rPr>
        <w:rFonts w:ascii="Symbol" w:hAnsi="Symbol" w:hint="default"/>
      </w:rPr>
    </w:lvl>
    <w:lvl w:ilvl="7" w:tplc="3524F674" w:tentative="1">
      <w:start w:val="1"/>
      <w:numFmt w:val="bullet"/>
      <w:lvlText w:val="o"/>
      <w:lvlJc w:val="left"/>
      <w:pPr>
        <w:ind w:left="5760" w:hanging="360"/>
      </w:pPr>
      <w:rPr>
        <w:rFonts w:ascii="Courier New" w:hAnsi="Courier New" w:cs="Courier New" w:hint="default"/>
      </w:rPr>
    </w:lvl>
    <w:lvl w:ilvl="8" w:tplc="6AC20B5E" w:tentative="1">
      <w:start w:val="1"/>
      <w:numFmt w:val="bullet"/>
      <w:lvlText w:val=""/>
      <w:lvlJc w:val="left"/>
      <w:pPr>
        <w:ind w:left="6480" w:hanging="360"/>
      </w:pPr>
      <w:rPr>
        <w:rFonts w:ascii="Wingdings" w:hAnsi="Wingdings" w:hint="default"/>
      </w:rPr>
    </w:lvl>
  </w:abstractNum>
  <w:abstractNum w:abstractNumId="17" w15:restartNumberingAfterBreak="0">
    <w:nsid w:val="6BE0374F"/>
    <w:multiLevelType w:val="hybridMultilevel"/>
    <w:tmpl w:val="123ABE5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9900CC"/>
    <w:multiLevelType w:val="hybridMultilevel"/>
    <w:tmpl w:val="7A3A61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5"/>
  </w:num>
  <w:num w:numId="4">
    <w:abstractNumId w:val="13"/>
  </w:num>
  <w:num w:numId="5">
    <w:abstractNumId w:val="14"/>
  </w:num>
  <w:num w:numId="6">
    <w:abstractNumId w:val="4"/>
  </w:num>
  <w:num w:numId="7">
    <w:abstractNumId w:val="0"/>
  </w:num>
  <w:num w:numId="8">
    <w:abstractNumId w:val="17"/>
  </w:num>
  <w:num w:numId="9">
    <w:abstractNumId w:val="18"/>
  </w:num>
  <w:num w:numId="10">
    <w:abstractNumId w:val="15"/>
  </w:num>
  <w:num w:numId="11">
    <w:abstractNumId w:val="9"/>
  </w:num>
  <w:num w:numId="12">
    <w:abstractNumId w:val="7"/>
  </w:num>
  <w:num w:numId="13">
    <w:abstractNumId w:val="2"/>
  </w:num>
  <w:num w:numId="14">
    <w:abstractNumId w:val="10"/>
  </w:num>
  <w:num w:numId="15">
    <w:abstractNumId w:val="3"/>
  </w:num>
  <w:num w:numId="16">
    <w:abstractNumId w:val="11"/>
  </w:num>
  <w:num w:numId="17">
    <w:abstractNumId w:val="12"/>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characterSpacingControl w:val="doNotCompress"/>
  <w:hdrShapeDefaults>
    <o:shapedefaults v:ext="edit" spidmax="12295"/>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7DF2"/>
    <w:rsid w:val="000006B0"/>
    <w:rsid w:val="00000A4A"/>
    <w:rsid w:val="000017B8"/>
    <w:rsid w:val="00001F88"/>
    <w:rsid w:val="00003BC0"/>
    <w:rsid w:val="000044B5"/>
    <w:rsid w:val="000067E6"/>
    <w:rsid w:val="00006B0A"/>
    <w:rsid w:val="00007A59"/>
    <w:rsid w:val="00010433"/>
    <w:rsid w:val="00015C72"/>
    <w:rsid w:val="00016063"/>
    <w:rsid w:val="000211B5"/>
    <w:rsid w:val="000215E9"/>
    <w:rsid w:val="00021A2B"/>
    <w:rsid w:val="00021B45"/>
    <w:rsid w:val="0002383D"/>
    <w:rsid w:val="00024CC4"/>
    <w:rsid w:val="00026C11"/>
    <w:rsid w:val="00032BA5"/>
    <w:rsid w:val="0003414C"/>
    <w:rsid w:val="00036177"/>
    <w:rsid w:val="000370EC"/>
    <w:rsid w:val="00041098"/>
    <w:rsid w:val="00041281"/>
    <w:rsid w:val="00042726"/>
    <w:rsid w:val="00043BB8"/>
    <w:rsid w:val="000442F4"/>
    <w:rsid w:val="00052572"/>
    <w:rsid w:val="000546CB"/>
    <w:rsid w:val="00061203"/>
    <w:rsid w:val="000651F6"/>
    <w:rsid w:val="000700B8"/>
    <w:rsid w:val="0007388F"/>
    <w:rsid w:val="00074695"/>
    <w:rsid w:val="000766F0"/>
    <w:rsid w:val="00080C4A"/>
    <w:rsid w:val="00087C5B"/>
    <w:rsid w:val="00092895"/>
    <w:rsid w:val="00092AB9"/>
    <w:rsid w:val="000947DB"/>
    <w:rsid w:val="000A2725"/>
    <w:rsid w:val="000A4906"/>
    <w:rsid w:val="000A6CAC"/>
    <w:rsid w:val="000A7D53"/>
    <w:rsid w:val="000B01FE"/>
    <w:rsid w:val="000B1359"/>
    <w:rsid w:val="000B1A8B"/>
    <w:rsid w:val="000B4C31"/>
    <w:rsid w:val="000B6612"/>
    <w:rsid w:val="000C3F17"/>
    <w:rsid w:val="000C4ABB"/>
    <w:rsid w:val="000D056F"/>
    <w:rsid w:val="000D0F89"/>
    <w:rsid w:val="000D19A7"/>
    <w:rsid w:val="000D2942"/>
    <w:rsid w:val="000D46DD"/>
    <w:rsid w:val="000D4B67"/>
    <w:rsid w:val="000D67FA"/>
    <w:rsid w:val="000E40D1"/>
    <w:rsid w:val="000E4576"/>
    <w:rsid w:val="000E5F8E"/>
    <w:rsid w:val="000F0246"/>
    <w:rsid w:val="000F0A54"/>
    <w:rsid w:val="000F1A1D"/>
    <w:rsid w:val="000F71A9"/>
    <w:rsid w:val="00100156"/>
    <w:rsid w:val="00101CE7"/>
    <w:rsid w:val="001031DD"/>
    <w:rsid w:val="001043D1"/>
    <w:rsid w:val="001047F5"/>
    <w:rsid w:val="001066BD"/>
    <w:rsid w:val="00115FFB"/>
    <w:rsid w:val="00122269"/>
    <w:rsid w:val="0012416D"/>
    <w:rsid w:val="00125603"/>
    <w:rsid w:val="0012607F"/>
    <w:rsid w:val="001352B7"/>
    <w:rsid w:val="001368FA"/>
    <w:rsid w:val="00144073"/>
    <w:rsid w:val="00144826"/>
    <w:rsid w:val="00145C41"/>
    <w:rsid w:val="00150193"/>
    <w:rsid w:val="00150E95"/>
    <w:rsid w:val="001576C8"/>
    <w:rsid w:val="00157B6D"/>
    <w:rsid w:val="001627FD"/>
    <w:rsid w:val="00163BBF"/>
    <w:rsid w:val="001644CD"/>
    <w:rsid w:val="00165DC0"/>
    <w:rsid w:val="001663CD"/>
    <w:rsid w:val="00166CD2"/>
    <w:rsid w:val="0016796D"/>
    <w:rsid w:val="00171EDB"/>
    <w:rsid w:val="00174ABF"/>
    <w:rsid w:val="00175329"/>
    <w:rsid w:val="001756EF"/>
    <w:rsid w:val="001769AE"/>
    <w:rsid w:val="00176D73"/>
    <w:rsid w:val="001824D8"/>
    <w:rsid w:val="00182726"/>
    <w:rsid w:val="00184222"/>
    <w:rsid w:val="001856A6"/>
    <w:rsid w:val="00185C92"/>
    <w:rsid w:val="00190CBE"/>
    <w:rsid w:val="001947CD"/>
    <w:rsid w:val="0019704C"/>
    <w:rsid w:val="00197E25"/>
    <w:rsid w:val="001A107D"/>
    <w:rsid w:val="001A14DE"/>
    <w:rsid w:val="001A43BB"/>
    <w:rsid w:val="001B2C8E"/>
    <w:rsid w:val="001B6BEB"/>
    <w:rsid w:val="001B7305"/>
    <w:rsid w:val="001C2030"/>
    <w:rsid w:val="001C223F"/>
    <w:rsid w:val="001C5B38"/>
    <w:rsid w:val="001C78C6"/>
    <w:rsid w:val="001D14EF"/>
    <w:rsid w:val="001D1B60"/>
    <w:rsid w:val="001D2409"/>
    <w:rsid w:val="001D30BA"/>
    <w:rsid w:val="001D7B53"/>
    <w:rsid w:val="001E32F4"/>
    <w:rsid w:val="001E4208"/>
    <w:rsid w:val="001E7D01"/>
    <w:rsid w:val="001F1FB3"/>
    <w:rsid w:val="001F24E0"/>
    <w:rsid w:val="0020053E"/>
    <w:rsid w:val="00201549"/>
    <w:rsid w:val="00205709"/>
    <w:rsid w:val="002074B8"/>
    <w:rsid w:val="00207D92"/>
    <w:rsid w:val="002101A4"/>
    <w:rsid w:val="00211A72"/>
    <w:rsid w:val="00212C37"/>
    <w:rsid w:val="00213C42"/>
    <w:rsid w:val="00217E18"/>
    <w:rsid w:val="0022553A"/>
    <w:rsid w:val="00225E62"/>
    <w:rsid w:val="00226320"/>
    <w:rsid w:val="002306F2"/>
    <w:rsid w:val="002319FF"/>
    <w:rsid w:val="00232B59"/>
    <w:rsid w:val="00237ADC"/>
    <w:rsid w:val="00237FAB"/>
    <w:rsid w:val="002408AC"/>
    <w:rsid w:val="00241777"/>
    <w:rsid w:val="00242A50"/>
    <w:rsid w:val="00252B91"/>
    <w:rsid w:val="00253536"/>
    <w:rsid w:val="00254D35"/>
    <w:rsid w:val="002579BE"/>
    <w:rsid w:val="00264F2E"/>
    <w:rsid w:val="00265FB8"/>
    <w:rsid w:val="00270C8D"/>
    <w:rsid w:val="00273161"/>
    <w:rsid w:val="0027382E"/>
    <w:rsid w:val="00273D1C"/>
    <w:rsid w:val="00275C95"/>
    <w:rsid w:val="002767BA"/>
    <w:rsid w:val="002816D9"/>
    <w:rsid w:val="002820E7"/>
    <w:rsid w:val="00282554"/>
    <w:rsid w:val="00282BA4"/>
    <w:rsid w:val="00283BA0"/>
    <w:rsid w:val="00283FF3"/>
    <w:rsid w:val="002876CD"/>
    <w:rsid w:val="0029152A"/>
    <w:rsid w:val="002921F9"/>
    <w:rsid w:val="0029340E"/>
    <w:rsid w:val="0029442D"/>
    <w:rsid w:val="00296481"/>
    <w:rsid w:val="0029746D"/>
    <w:rsid w:val="0029795E"/>
    <w:rsid w:val="002A2FBC"/>
    <w:rsid w:val="002A4245"/>
    <w:rsid w:val="002A551A"/>
    <w:rsid w:val="002B25D9"/>
    <w:rsid w:val="002B29EE"/>
    <w:rsid w:val="002B5F73"/>
    <w:rsid w:val="002B640E"/>
    <w:rsid w:val="002C20C2"/>
    <w:rsid w:val="002C4174"/>
    <w:rsid w:val="002C4796"/>
    <w:rsid w:val="002C4A99"/>
    <w:rsid w:val="002C572F"/>
    <w:rsid w:val="002C7E99"/>
    <w:rsid w:val="002D060A"/>
    <w:rsid w:val="002D10F3"/>
    <w:rsid w:val="002D573A"/>
    <w:rsid w:val="002F05EC"/>
    <w:rsid w:val="002F493A"/>
    <w:rsid w:val="002F6224"/>
    <w:rsid w:val="002F648F"/>
    <w:rsid w:val="003011D2"/>
    <w:rsid w:val="00302423"/>
    <w:rsid w:val="00303464"/>
    <w:rsid w:val="003050F3"/>
    <w:rsid w:val="00311B4B"/>
    <w:rsid w:val="00313603"/>
    <w:rsid w:val="00314FA3"/>
    <w:rsid w:val="003178B5"/>
    <w:rsid w:val="00317B6F"/>
    <w:rsid w:val="003207D3"/>
    <w:rsid w:val="0032122D"/>
    <w:rsid w:val="00321752"/>
    <w:rsid w:val="00322A51"/>
    <w:rsid w:val="0032624F"/>
    <w:rsid w:val="00331E24"/>
    <w:rsid w:val="00333AA1"/>
    <w:rsid w:val="0033423C"/>
    <w:rsid w:val="003350C1"/>
    <w:rsid w:val="00336913"/>
    <w:rsid w:val="00340175"/>
    <w:rsid w:val="00343B98"/>
    <w:rsid w:val="003534ED"/>
    <w:rsid w:val="0035499B"/>
    <w:rsid w:val="00370AC0"/>
    <w:rsid w:val="00371CA9"/>
    <w:rsid w:val="00376219"/>
    <w:rsid w:val="003810B7"/>
    <w:rsid w:val="0038354C"/>
    <w:rsid w:val="00384D99"/>
    <w:rsid w:val="00386B74"/>
    <w:rsid w:val="00390593"/>
    <w:rsid w:val="00391716"/>
    <w:rsid w:val="003977A5"/>
    <w:rsid w:val="003A256B"/>
    <w:rsid w:val="003A69BD"/>
    <w:rsid w:val="003A69F6"/>
    <w:rsid w:val="003A7527"/>
    <w:rsid w:val="003A79FA"/>
    <w:rsid w:val="003B091F"/>
    <w:rsid w:val="003B0FD5"/>
    <w:rsid w:val="003B3FBB"/>
    <w:rsid w:val="003B4317"/>
    <w:rsid w:val="003B4981"/>
    <w:rsid w:val="003B524A"/>
    <w:rsid w:val="003B6043"/>
    <w:rsid w:val="003C0ADE"/>
    <w:rsid w:val="003C1D5C"/>
    <w:rsid w:val="003D3AC5"/>
    <w:rsid w:val="003D4078"/>
    <w:rsid w:val="003D707A"/>
    <w:rsid w:val="003E0C7C"/>
    <w:rsid w:val="003E4550"/>
    <w:rsid w:val="003E4A8A"/>
    <w:rsid w:val="003E54A3"/>
    <w:rsid w:val="003F0392"/>
    <w:rsid w:val="003F2937"/>
    <w:rsid w:val="003F37B6"/>
    <w:rsid w:val="003F3DA8"/>
    <w:rsid w:val="0040125F"/>
    <w:rsid w:val="00402B7C"/>
    <w:rsid w:val="00402DDD"/>
    <w:rsid w:val="00403CA4"/>
    <w:rsid w:val="00410F44"/>
    <w:rsid w:val="00412008"/>
    <w:rsid w:val="004130E3"/>
    <w:rsid w:val="00414FA2"/>
    <w:rsid w:val="00420028"/>
    <w:rsid w:val="00426DD6"/>
    <w:rsid w:val="004272A0"/>
    <w:rsid w:val="00431BFB"/>
    <w:rsid w:val="00432D11"/>
    <w:rsid w:val="004351C6"/>
    <w:rsid w:val="00442847"/>
    <w:rsid w:val="00442F47"/>
    <w:rsid w:val="004447D6"/>
    <w:rsid w:val="004469AD"/>
    <w:rsid w:val="0045006C"/>
    <w:rsid w:val="0045163C"/>
    <w:rsid w:val="00456CA7"/>
    <w:rsid w:val="0046037C"/>
    <w:rsid w:val="00460A73"/>
    <w:rsid w:val="00460B6D"/>
    <w:rsid w:val="00463F2B"/>
    <w:rsid w:val="00464F8A"/>
    <w:rsid w:val="004658E3"/>
    <w:rsid w:val="004669D3"/>
    <w:rsid w:val="0046788D"/>
    <w:rsid w:val="00470F02"/>
    <w:rsid w:val="00472463"/>
    <w:rsid w:val="004773E6"/>
    <w:rsid w:val="00481667"/>
    <w:rsid w:val="00482DDB"/>
    <w:rsid w:val="0048342C"/>
    <w:rsid w:val="00486E87"/>
    <w:rsid w:val="004874B8"/>
    <w:rsid w:val="0049176F"/>
    <w:rsid w:val="004936AF"/>
    <w:rsid w:val="004979F2"/>
    <w:rsid w:val="004A39FE"/>
    <w:rsid w:val="004A3D2A"/>
    <w:rsid w:val="004A419C"/>
    <w:rsid w:val="004A58C3"/>
    <w:rsid w:val="004A7621"/>
    <w:rsid w:val="004A7771"/>
    <w:rsid w:val="004B2904"/>
    <w:rsid w:val="004B2EE2"/>
    <w:rsid w:val="004B37D7"/>
    <w:rsid w:val="004B475A"/>
    <w:rsid w:val="004B713B"/>
    <w:rsid w:val="004C2062"/>
    <w:rsid w:val="004C22DB"/>
    <w:rsid w:val="004C6A2A"/>
    <w:rsid w:val="004C6A95"/>
    <w:rsid w:val="004C6E90"/>
    <w:rsid w:val="004D01DE"/>
    <w:rsid w:val="004D0AB7"/>
    <w:rsid w:val="004D0D2A"/>
    <w:rsid w:val="004D2699"/>
    <w:rsid w:val="004D44B0"/>
    <w:rsid w:val="004D4F63"/>
    <w:rsid w:val="004E26DA"/>
    <w:rsid w:val="004E2B81"/>
    <w:rsid w:val="004E3361"/>
    <w:rsid w:val="004E62BC"/>
    <w:rsid w:val="004F6C4A"/>
    <w:rsid w:val="00500ED8"/>
    <w:rsid w:val="00501806"/>
    <w:rsid w:val="00503024"/>
    <w:rsid w:val="00511EA6"/>
    <w:rsid w:val="0051490D"/>
    <w:rsid w:val="005150A1"/>
    <w:rsid w:val="005163E1"/>
    <w:rsid w:val="00520F7D"/>
    <w:rsid w:val="005238F8"/>
    <w:rsid w:val="00524DDD"/>
    <w:rsid w:val="00525253"/>
    <w:rsid w:val="005252C0"/>
    <w:rsid w:val="0052609E"/>
    <w:rsid w:val="00530A02"/>
    <w:rsid w:val="00530A41"/>
    <w:rsid w:val="005358C5"/>
    <w:rsid w:val="0053616A"/>
    <w:rsid w:val="005366B7"/>
    <w:rsid w:val="00542AF3"/>
    <w:rsid w:val="0054311D"/>
    <w:rsid w:val="00543139"/>
    <w:rsid w:val="00543DC5"/>
    <w:rsid w:val="005511CB"/>
    <w:rsid w:val="00553646"/>
    <w:rsid w:val="00560CDF"/>
    <w:rsid w:val="005624FE"/>
    <w:rsid w:val="005643C9"/>
    <w:rsid w:val="005666E7"/>
    <w:rsid w:val="0057353B"/>
    <w:rsid w:val="00575F89"/>
    <w:rsid w:val="00576DDC"/>
    <w:rsid w:val="005808FE"/>
    <w:rsid w:val="0058142E"/>
    <w:rsid w:val="00581D8B"/>
    <w:rsid w:val="00582220"/>
    <w:rsid w:val="00582752"/>
    <w:rsid w:val="0058397C"/>
    <w:rsid w:val="00593554"/>
    <w:rsid w:val="00596C19"/>
    <w:rsid w:val="005A03EF"/>
    <w:rsid w:val="005A1050"/>
    <w:rsid w:val="005A6755"/>
    <w:rsid w:val="005B1CE3"/>
    <w:rsid w:val="005B3626"/>
    <w:rsid w:val="005B5812"/>
    <w:rsid w:val="005B6215"/>
    <w:rsid w:val="005C022E"/>
    <w:rsid w:val="005C3888"/>
    <w:rsid w:val="005C67FE"/>
    <w:rsid w:val="005C7B1F"/>
    <w:rsid w:val="005D31E8"/>
    <w:rsid w:val="005D7E42"/>
    <w:rsid w:val="005E2F30"/>
    <w:rsid w:val="005E365B"/>
    <w:rsid w:val="005E37CB"/>
    <w:rsid w:val="005E4AC3"/>
    <w:rsid w:val="005E755D"/>
    <w:rsid w:val="005E77D2"/>
    <w:rsid w:val="005F2807"/>
    <w:rsid w:val="005F2AAF"/>
    <w:rsid w:val="005F5684"/>
    <w:rsid w:val="005F5E80"/>
    <w:rsid w:val="0060289D"/>
    <w:rsid w:val="00603B7B"/>
    <w:rsid w:val="00603FBA"/>
    <w:rsid w:val="0060427C"/>
    <w:rsid w:val="00605C65"/>
    <w:rsid w:val="00605FCD"/>
    <w:rsid w:val="0060738A"/>
    <w:rsid w:val="0060785E"/>
    <w:rsid w:val="00624865"/>
    <w:rsid w:val="00624AD3"/>
    <w:rsid w:val="00627457"/>
    <w:rsid w:val="00627A85"/>
    <w:rsid w:val="00627F81"/>
    <w:rsid w:val="00630DBB"/>
    <w:rsid w:val="006320AD"/>
    <w:rsid w:val="0063552E"/>
    <w:rsid w:val="00640657"/>
    <w:rsid w:val="00640D30"/>
    <w:rsid w:val="006410C6"/>
    <w:rsid w:val="00641438"/>
    <w:rsid w:val="00644B0E"/>
    <w:rsid w:val="00650953"/>
    <w:rsid w:val="006511CE"/>
    <w:rsid w:val="00651F65"/>
    <w:rsid w:val="00653531"/>
    <w:rsid w:val="006537AD"/>
    <w:rsid w:val="00654588"/>
    <w:rsid w:val="006560EA"/>
    <w:rsid w:val="0066224E"/>
    <w:rsid w:val="006654BD"/>
    <w:rsid w:val="00665F18"/>
    <w:rsid w:val="00670E4C"/>
    <w:rsid w:val="006718B7"/>
    <w:rsid w:val="0067349D"/>
    <w:rsid w:val="0067572A"/>
    <w:rsid w:val="00681A26"/>
    <w:rsid w:val="00682A67"/>
    <w:rsid w:val="00683B58"/>
    <w:rsid w:val="00684BB9"/>
    <w:rsid w:val="00686538"/>
    <w:rsid w:val="00686CBD"/>
    <w:rsid w:val="006872FD"/>
    <w:rsid w:val="006919DF"/>
    <w:rsid w:val="006932EF"/>
    <w:rsid w:val="006943C8"/>
    <w:rsid w:val="00695723"/>
    <w:rsid w:val="00695D48"/>
    <w:rsid w:val="00697080"/>
    <w:rsid w:val="00697CA7"/>
    <w:rsid w:val="006A16FF"/>
    <w:rsid w:val="006A7DA3"/>
    <w:rsid w:val="006B0DDC"/>
    <w:rsid w:val="006B14C6"/>
    <w:rsid w:val="006B1C63"/>
    <w:rsid w:val="006B1E99"/>
    <w:rsid w:val="006B4863"/>
    <w:rsid w:val="006B5589"/>
    <w:rsid w:val="006B5932"/>
    <w:rsid w:val="006C3795"/>
    <w:rsid w:val="006C3A0C"/>
    <w:rsid w:val="006D2231"/>
    <w:rsid w:val="006D5364"/>
    <w:rsid w:val="006E252B"/>
    <w:rsid w:val="006E2ADF"/>
    <w:rsid w:val="006E4074"/>
    <w:rsid w:val="006E4F37"/>
    <w:rsid w:val="006E5B5D"/>
    <w:rsid w:val="006E686E"/>
    <w:rsid w:val="006E78C7"/>
    <w:rsid w:val="006F19B2"/>
    <w:rsid w:val="006F4DDB"/>
    <w:rsid w:val="006F575C"/>
    <w:rsid w:val="006F7244"/>
    <w:rsid w:val="00700D18"/>
    <w:rsid w:val="00704016"/>
    <w:rsid w:val="00706A0F"/>
    <w:rsid w:val="00706BED"/>
    <w:rsid w:val="00707D3A"/>
    <w:rsid w:val="007108A9"/>
    <w:rsid w:val="00710AEB"/>
    <w:rsid w:val="00710D1E"/>
    <w:rsid w:val="007110C4"/>
    <w:rsid w:val="00721903"/>
    <w:rsid w:val="00722CD3"/>
    <w:rsid w:val="00723CEB"/>
    <w:rsid w:val="007242E8"/>
    <w:rsid w:val="00726956"/>
    <w:rsid w:val="00726EC8"/>
    <w:rsid w:val="007301C1"/>
    <w:rsid w:val="007326C7"/>
    <w:rsid w:val="0073321D"/>
    <w:rsid w:val="00735FFA"/>
    <w:rsid w:val="00737A30"/>
    <w:rsid w:val="00742507"/>
    <w:rsid w:val="00743555"/>
    <w:rsid w:val="007437CC"/>
    <w:rsid w:val="00744ADD"/>
    <w:rsid w:val="00745B58"/>
    <w:rsid w:val="00764279"/>
    <w:rsid w:val="0076525B"/>
    <w:rsid w:val="00767E4B"/>
    <w:rsid w:val="00771FE7"/>
    <w:rsid w:val="00773DD3"/>
    <w:rsid w:val="007812FB"/>
    <w:rsid w:val="007824BC"/>
    <w:rsid w:val="00782A31"/>
    <w:rsid w:val="00782AD4"/>
    <w:rsid w:val="00782F5D"/>
    <w:rsid w:val="00783CE0"/>
    <w:rsid w:val="00784494"/>
    <w:rsid w:val="00784670"/>
    <w:rsid w:val="007856A0"/>
    <w:rsid w:val="007879BB"/>
    <w:rsid w:val="00790CBF"/>
    <w:rsid w:val="00790EF7"/>
    <w:rsid w:val="00791084"/>
    <w:rsid w:val="007918DD"/>
    <w:rsid w:val="007A1BE9"/>
    <w:rsid w:val="007A55B7"/>
    <w:rsid w:val="007A6392"/>
    <w:rsid w:val="007B2E3A"/>
    <w:rsid w:val="007B7E6A"/>
    <w:rsid w:val="007C3AAF"/>
    <w:rsid w:val="007C442A"/>
    <w:rsid w:val="007C592B"/>
    <w:rsid w:val="007C7C42"/>
    <w:rsid w:val="007D5EDE"/>
    <w:rsid w:val="007D6F3D"/>
    <w:rsid w:val="007D7179"/>
    <w:rsid w:val="007E2942"/>
    <w:rsid w:val="007E31D5"/>
    <w:rsid w:val="007E626C"/>
    <w:rsid w:val="007E769F"/>
    <w:rsid w:val="007F0796"/>
    <w:rsid w:val="007F340A"/>
    <w:rsid w:val="007F5C1D"/>
    <w:rsid w:val="007F65C5"/>
    <w:rsid w:val="00800185"/>
    <w:rsid w:val="008013E6"/>
    <w:rsid w:val="00801FC0"/>
    <w:rsid w:val="00804E68"/>
    <w:rsid w:val="00805F32"/>
    <w:rsid w:val="00813347"/>
    <w:rsid w:val="00816517"/>
    <w:rsid w:val="00821106"/>
    <w:rsid w:val="00823D96"/>
    <w:rsid w:val="0082658E"/>
    <w:rsid w:val="008314C9"/>
    <w:rsid w:val="00831DB1"/>
    <w:rsid w:val="00833A0D"/>
    <w:rsid w:val="008373DB"/>
    <w:rsid w:val="00840B0A"/>
    <w:rsid w:val="00841386"/>
    <w:rsid w:val="00843821"/>
    <w:rsid w:val="00844FA1"/>
    <w:rsid w:val="0084553C"/>
    <w:rsid w:val="00847A11"/>
    <w:rsid w:val="00855820"/>
    <w:rsid w:val="008604BE"/>
    <w:rsid w:val="008607C1"/>
    <w:rsid w:val="00862F2C"/>
    <w:rsid w:val="008645FB"/>
    <w:rsid w:val="008708FE"/>
    <w:rsid w:val="008737DF"/>
    <w:rsid w:val="00876A1C"/>
    <w:rsid w:val="00880791"/>
    <w:rsid w:val="00882A02"/>
    <w:rsid w:val="00882CAE"/>
    <w:rsid w:val="00883777"/>
    <w:rsid w:val="00885A3C"/>
    <w:rsid w:val="00890246"/>
    <w:rsid w:val="00891113"/>
    <w:rsid w:val="00891F39"/>
    <w:rsid w:val="00895453"/>
    <w:rsid w:val="0089606B"/>
    <w:rsid w:val="00896669"/>
    <w:rsid w:val="008976DD"/>
    <w:rsid w:val="008A3675"/>
    <w:rsid w:val="008A49E2"/>
    <w:rsid w:val="008B2D10"/>
    <w:rsid w:val="008B3123"/>
    <w:rsid w:val="008B3875"/>
    <w:rsid w:val="008C77FD"/>
    <w:rsid w:val="008D5382"/>
    <w:rsid w:val="008D69BF"/>
    <w:rsid w:val="008E1118"/>
    <w:rsid w:val="008E1B67"/>
    <w:rsid w:val="008E2B18"/>
    <w:rsid w:val="008E5264"/>
    <w:rsid w:val="008E65EE"/>
    <w:rsid w:val="008E7BB9"/>
    <w:rsid w:val="008F276D"/>
    <w:rsid w:val="008F36FA"/>
    <w:rsid w:val="008F3E94"/>
    <w:rsid w:val="008F60E5"/>
    <w:rsid w:val="008F75D8"/>
    <w:rsid w:val="00900CFD"/>
    <w:rsid w:val="00902A44"/>
    <w:rsid w:val="009032EF"/>
    <w:rsid w:val="00904EF8"/>
    <w:rsid w:val="0091224D"/>
    <w:rsid w:val="009137BA"/>
    <w:rsid w:val="00915D15"/>
    <w:rsid w:val="00916991"/>
    <w:rsid w:val="00916D38"/>
    <w:rsid w:val="009213B9"/>
    <w:rsid w:val="00923E92"/>
    <w:rsid w:val="00924B60"/>
    <w:rsid w:val="00925E32"/>
    <w:rsid w:val="00926295"/>
    <w:rsid w:val="00927C94"/>
    <w:rsid w:val="0093651E"/>
    <w:rsid w:val="00941768"/>
    <w:rsid w:val="00943D7D"/>
    <w:rsid w:val="009448D3"/>
    <w:rsid w:val="00947172"/>
    <w:rsid w:val="009548EB"/>
    <w:rsid w:val="00956A53"/>
    <w:rsid w:val="00956A60"/>
    <w:rsid w:val="009575B2"/>
    <w:rsid w:val="009611B8"/>
    <w:rsid w:val="00962F07"/>
    <w:rsid w:val="00963331"/>
    <w:rsid w:val="009633AB"/>
    <w:rsid w:val="00965061"/>
    <w:rsid w:val="009654CE"/>
    <w:rsid w:val="00967B42"/>
    <w:rsid w:val="00967FED"/>
    <w:rsid w:val="00971C18"/>
    <w:rsid w:val="00972246"/>
    <w:rsid w:val="00972BC6"/>
    <w:rsid w:val="0097300C"/>
    <w:rsid w:val="0097400F"/>
    <w:rsid w:val="009744D1"/>
    <w:rsid w:val="009776E4"/>
    <w:rsid w:val="009847E2"/>
    <w:rsid w:val="00986817"/>
    <w:rsid w:val="009870A9"/>
    <w:rsid w:val="00987D06"/>
    <w:rsid w:val="00991C3B"/>
    <w:rsid w:val="00991D21"/>
    <w:rsid w:val="00996918"/>
    <w:rsid w:val="009A2049"/>
    <w:rsid w:val="009A26FC"/>
    <w:rsid w:val="009A64C9"/>
    <w:rsid w:val="009A6F3B"/>
    <w:rsid w:val="009B0C7C"/>
    <w:rsid w:val="009B5D71"/>
    <w:rsid w:val="009B7919"/>
    <w:rsid w:val="009C0938"/>
    <w:rsid w:val="009C1B6C"/>
    <w:rsid w:val="009C22D3"/>
    <w:rsid w:val="009C38B4"/>
    <w:rsid w:val="009C4A00"/>
    <w:rsid w:val="009C4EC5"/>
    <w:rsid w:val="009C503D"/>
    <w:rsid w:val="009D0686"/>
    <w:rsid w:val="009D0B16"/>
    <w:rsid w:val="009D1366"/>
    <w:rsid w:val="009D611F"/>
    <w:rsid w:val="009D6CAD"/>
    <w:rsid w:val="009E3357"/>
    <w:rsid w:val="009E4807"/>
    <w:rsid w:val="009E5813"/>
    <w:rsid w:val="009F099D"/>
    <w:rsid w:val="009F4B66"/>
    <w:rsid w:val="009F4C36"/>
    <w:rsid w:val="00A023DD"/>
    <w:rsid w:val="00A03F76"/>
    <w:rsid w:val="00A110AA"/>
    <w:rsid w:val="00A11980"/>
    <w:rsid w:val="00A13AEB"/>
    <w:rsid w:val="00A14203"/>
    <w:rsid w:val="00A14FDD"/>
    <w:rsid w:val="00A156AD"/>
    <w:rsid w:val="00A1570D"/>
    <w:rsid w:val="00A16A39"/>
    <w:rsid w:val="00A176F0"/>
    <w:rsid w:val="00A2032B"/>
    <w:rsid w:val="00A21FF3"/>
    <w:rsid w:val="00A23B17"/>
    <w:rsid w:val="00A24420"/>
    <w:rsid w:val="00A248EF"/>
    <w:rsid w:val="00A256A9"/>
    <w:rsid w:val="00A26EAA"/>
    <w:rsid w:val="00A27586"/>
    <w:rsid w:val="00A32949"/>
    <w:rsid w:val="00A3348A"/>
    <w:rsid w:val="00A347DF"/>
    <w:rsid w:val="00A40D57"/>
    <w:rsid w:val="00A411F5"/>
    <w:rsid w:val="00A4320A"/>
    <w:rsid w:val="00A44362"/>
    <w:rsid w:val="00A456EE"/>
    <w:rsid w:val="00A46D86"/>
    <w:rsid w:val="00A524BF"/>
    <w:rsid w:val="00A531AB"/>
    <w:rsid w:val="00A54CC3"/>
    <w:rsid w:val="00A55A78"/>
    <w:rsid w:val="00A55BDD"/>
    <w:rsid w:val="00A57407"/>
    <w:rsid w:val="00A608FE"/>
    <w:rsid w:val="00A614A8"/>
    <w:rsid w:val="00A630C1"/>
    <w:rsid w:val="00A6342E"/>
    <w:rsid w:val="00A63FE4"/>
    <w:rsid w:val="00A64C7E"/>
    <w:rsid w:val="00A657EF"/>
    <w:rsid w:val="00A670AB"/>
    <w:rsid w:val="00A70477"/>
    <w:rsid w:val="00A73D0E"/>
    <w:rsid w:val="00A81BB7"/>
    <w:rsid w:val="00A907C3"/>
    <w:rsid w:val="00A91D9B"/>
    <w:rsid w:val="00A92A7F"/>
    <w:rsid w:val="00A92D7D"/>
    <w:rsid w:val="00A95290"/>
    <w:rsid w:val="00A9630B"/>
    <w:rsid w:val="00AA0F93"/>
    <w:rsid w:val="00AA63F8"/>
    <w:rsid w:val="00AA7200"/>
    <w:rsid w:val="00AB3F8C"/>
    <w:rsid w:val="00AB51E2"/>
    <w:rsid w:val="00AB76A5"/>
    <w:rsid w:val="00AB7E75"/>
    <w:rsid w:val="00AC40B3"/>
    <w:rsid w:val="00AC497C"/>
    <w:rsid w:val="00AD7345"/>
    <w:rsid w:val="00AE4DBE"/>
    <w:rsid w:val="00AE6447"/>
    <w:rsid w:val="00AE753C"/>
    <w:rsid w:val="00AF01A9"/>
    <w:rsid w:val="00AF1745"/>
    <w:rsid w:val="00AF4D69"/>
    <w:rsid w:val="00AF6065"/>
    <w:rsid w:val="00B0257E"/>
    <w:rsid w:val="00B02ADF"/>
    <w:rsid w:val="00B03FC3"/>
    <w:rsid w:val="00B04A12"/>
    <w:rsid w:val="00B0613A"/>
    <w:rsid w:val="00B069CA"/>
    <w:rsid w:val="00B101B1"/>
    <w:rsid w:val="00B10591"/>
    <w:rsid w:val="00B12595"/>
    <w:rsid w:val="00B14581"/>
    <w:rsid w:val="00B16EC4"/>
    <w:rsid w:val="00B25C95"/>
    <w:rsid w:val="00B27742"/>
    <w:rsid w:val="00B30927"/>
    <w:rsid w:val="00B30CEB"/>
    <w:rsid w:val="00B35098"/>
    <w:rsid w:val="00B373F0"/>
    <w:rsid w:val="00B375A3"/>
    <w:rsid w:val="00B40AD8"/>
    <w:rsid w:val="00B40C17"/>
    <w:rsid w:val="00B41D75"/>
    <w:rsid w:val="00B4479D"/>
    <w:rsid w:val="00B53BAF"/>
    <w:rsid w:val="00B62F62"/>
    <w:rsid w:val="00B64D73"/>
    <w:rsid w:val="00B65A95"/>
    <w:rsid w:val="00B666ED"/>
    <w:rsid w:val="00B70E70"/>
    <w:rsid w:val="00B7396B"/>
    <w:rsid w:val="00B73AC7"/>
    <w:rsid w:val="00B76578"/>
    <w:rsid w:val="00B8783D"/>
    <w:rsid w:val="00B90161"/>
    <w:rsid w:val="00B90BDF"/>
    <w:rsid w:val="00B90F07"/>
    <w:rsid w:val="00B91692"/>
    <w:rsid w:val="00B91D7C"/>
    <w:rsid w:val="00B92F02"/>
    <w:rsid w:val="00B93640"/>
    <w:rsid w:val="00B93C21"/>
    <w:rsid w:val="00B9412B"/>
    <w:rsid w:val="00B96B37"/>
    <w:rsid w:val="00BA2789"/>
    <w:rsid w:val="00BA281A"/>
    <w:rsid w:val="00BA6635"/>
    <w:rsid w:val="00BB0CB2"/>
    <w:rsid w:val="00BB3537"/>
    <w:rsid w:val="00BB44B3"/>
    <w:rsid w:val="00BB5136"/>
    <w:rsid w:val="00BB7F34"/>
    <w:rsid w:val="00BC03EC"/>
    <w:rsid w:val="00BC36A5"/>
    <w:rsid w:val="00BC39F9"/>
    <w:rsid w:val="00BC6B2C"/>
    <w:rsid w:val="00BD0D07"/>
    <w:rsid w:val="00BD0F17"/>
    <w:rsid w:val="00BD5BDE"/>
    <w:rsid w:val="00BD7711"/>
    <w:rsid w:val="00BE1567"/>
    <w:rsid w:val="00BE5009"/>
    <w:rsid w:val="00BE5379"/>
    <w:rsid w:val="00BE53B2"/>
    <w:rsid w:val="00BE58E5"/>
    <w:rsid w:val="00BE7855"/>
    <w:rsid w:val="00BF1879"/>
    <w:rsid w:val="00BF1B09"/>
    <w:rsid w:val="00BF1CD0"/>
    <w:rsid w:val="00BF7D9E"/>
    <w:rsid w:val="00C054A1"/>
    <w:rsid w:val="00C11320"/>
    <w:rsid w:val="00C160D1"/>
    <w:rsid w:val="00C16A3F"/>
    <w:rsid w:val="00C2006D"/>
    <w:rsid w:val="00C25292"/>
    <w:rsid w:val="00C31346"/>
    <w:rsid w:val="00C362B9"/>
    <w:rsid w:val="00C36D80"/>
    <w:rsid w:val="00C42106"/>
    <w:rsid w:val="00C44E39"/>
    <w:rsid w:val="00C475D5"/>
    <w:rsid w:val="00C47E25"/>
    <w:rsid w:val="00C54986"/>
    <w:rsid w:val="00C55252"/>
    <w:rsid w:val="00C56816"/>
    <w:rsid w:val="00C642C6"/>
    <w:rsid w:val="00C67713"/>
    <w:rsid w:val="00C70856"/>
    <w:rsid w:val="00C71406"/>
    <w:rsid w:val="00C77FA6"/>
    <w:rsid w:val="00C80170"/>
    <w:rsid w:val="00C81D16"/>
    <w:rsid w:val="00C826E8"/>
    <w:rsid w:val="00C86173"/>
    <w:rsid w:val="00C86E1B"/>
    <w:rsid w:val="00C8735D"/>
    <w:rsid w:val="00C94660"/>
    <w:rsid w:val="00C96BA6"/>
    <w:rsid w:val="00CA5733"/>
    <w:rsid w:val="00CA5FA8"/>
    <w:rsid w:val="00CA7932"/>
    <w:rsid w:val="00CB3ABF"/>
    <w:rsid w:val="00CB40E5"/>
    <w:rsid w:val="00CC285B"/>
    <w:rsid w:val="00CC2E0C"/>
    <w:rsid w:val="00CC6432"/>
    <w:rsid w:val="00CC6C8B"/>
    <w:rsid w:val="00CD04AA"/>
    <w:rsid w:val="00CD264C"/>
    <w:rsid w:val="00CD2E60"/>
    <w:rsid w:val="00CD7A25"/>
    <w:rsid w:val="00CE04EB"/>
    <w:rsid w:val="00CE0B54"/>
    <w:rsid w:val="00CF0C02"/>
    <w:rsid w:val="00D002F3"/>
    <w:rsid w:val="00D0641D"/>
    <w:rsid w:val="00D107E5"/>
    <w:rsid w:val="00D15884"/>
    <w:rsid w:val="00D1715F"/>
    <w:rsid w:val="00D24B76"/>
    <w:rsid w:val="00D30ACE"/>
    <w:rsid w:val="00D33B51"/>
    <w:rsid w:val="00D3516E"/>
    <w:rsid w:val="00D376D6"/>
    <w:rsid w:val="00D405E5"/>
    <w:rsid w:val="00D41C40"/>
    <w:rsid w:val="00D42A5F"/>
    <w:rsid w:val="00D451A8"/>
    <w:rsid w:val="00D46B8E"/>
    <w:rsid w:val="00D56791"/>
    <w:rsid w:val="00D57696"/>
    <w:rsid w:val="00D60D6C"/>
    <w:rsid w:val="00D61A9C"/>
    <w:rsid w:val="00D636CF"/>
    <w:rsid w:val="00D6408F"/>
    <w:rsid w:val="00D652FC"/>
    <w:rsid w:val="00D67507"/>
    <w:rsid w:val="00D7077C"/>
    <w:rsid w:val="00D71447"/>
    <w:rsid w:val="00D717AE"/>
    <w:rsid w:val="00D728BE"/>
    <w:rsid w:val="00D7366C"/>
    <w:rsid w:val="00D765C7"/>
    <w:rsid w:val="00D76A53"/>
    <w:rsid w:val="00D8104D"/>
    <w:rsid w:val="00D83B47"/>
    <w:rsid w:val="00D83C19"/>
    <w:rsid w:val="00D843C2"/>
    <w:rsid w:val="00D858DA"/>
    <w:rsid w:val="00D91F7D"/>
    <w:rsid w:val="00D92EAB"/>
    <w:rsid w:val="00D9794A"/>
    <w:rsid w:val="00DA492C"/>
    <w:rsid w:val="00DA5094"/>
    <w:rsid w:val="00DA555F"/>
    <w:rsid w:val="00DB07F8"/>
    <w:rsid w:val="00DB15C5"/>
    <w:rsid w:val="00DB6F02"/>
    <w:rsid w:val="00DB70A7"/>
    <w:rsid w:val="00DB7DA3"/>
    <w:rsid w:val="00DC02E6"/>
    <w:rsid w:val="00DC29E1"/>
    <w:rsid w:val="00DD2647"/>
    <w:rsid w:val="00DD30C3"/>
    <w:rsid w:val="00DD3308"/>
    <w:rsid w:val="00DD3D9B"/>
    <w:rsid w:val="00DE0294"/>
    <w:rsid w:val="00DE2C60"/>
    <w:rsid w:val="00DE4FAA"/>
    <w:rsid w:val="00DE5304"/>
    <w:rsid w:val="00DF49C4"/>
    <w:rsid w:val="00DF6BD0"/>
    <w:rsid w:val="00E00E90"/>
    <w:rsid w:val="00E01191"/>
    <w:rsid w:val="00E0146E"/>
    <w:rsid w:val="00E01E9A"/>
    <w:rsid w:val="00E05E80"/>
    <w:rsid w:val="00E0790E"/>
    <w:rsid w:val="00E11B32"/>
    <w:rsid w:val="00E122A1"/>
    <w:rsid w:val="00E1290F"/>
    <w:rsid w:val="00E138AB"/>
    <w:rsid w:val="00E21AFE"/>
    <w:rsid w:val="00E21FE6"/>
    <w:rsid w:val="00E24450"/>
    <w:rsid w:val="00E27C20"/>
    <w:rsid w:val="00E31750"/>
    <w:rsid w:val="00E33756"/>
    <w:rsid w:val="00E34D41"/>
    <w:rsid w:val="00E43010"/>
    <w:rsid w:val="00E43362"/>
    <w:rsid w:val="00E43B64"/>
    <w:rsid w:val="00E44CB3"/>
    <w:rsid w:val="00E45059"/>
    <w:rsid w:val="00E56201"/>
    <w:rsid w:val="00E61D6E"/>
    <w:rsid w:val="00E67631"/>
    <w:rsid w:val="00E67664"/>
    <w:rsid w:val="00E72B84"/>
    <w:rsid w:val="00E83599"/>
    <w:rsid w:val="00E84926"/>
    <w:rsid w:val="00E929DA"/>
    <w:rsid w:val="00E93393"/>
    <w:rsid w:val="00EA0ED1"/>
    <w:rsid w:val="00EA18AD"/>
    <w:rsid w:val="00EA32B4"/>
    <w:rsid w:val="00EA3C2A"/>
    <w:rsid w:val="00EA5F44"/>
    <w:rsid w:val="00EA6D85"/>
    <w:rsid w:val="00EB02DE"/>
    <w:rsid w:val="00EB3F27"/>
    <w:rsid w:val="00EB4C54"/>
    <w:rsid w:val="00EB6E76"/>
    <w:rsid w:val="00EB718F"/>
    <w:rsid w:val="00EC2A26"/>
    <w:rsid w:val="00EC35C7"/>
    <w:rsid w:val="00EC4983"/>
    <w:rsid w:val="00EC7DF2"/>
    <w:rsid w:val="00ED1A6F"/>
    <w:rsid w:val="00ED228B"/>
    <w:rsid w:val="00ED3EDA"/>
    <w:rsid w:val="00ED6669"/>
    <w:rsid w:val="00ED67A7"/>
    <w:rsid w:val="00ED77A9"/>
    <w:rsid w:val="00EE0DE4"/>
    <w:rsid w:val="00EE2E55"/>
    <w:rsid w:val="00EE45B7"/>
    <w:rsid w:val="00EE60AD"/>
    <w:rsid w:val="00EF31C4"/>
    <w:rsid w:val="00EF3A36"/>
    <w:rsid w:val="00EF3DBB"/>
    <w:rsid w:val="00EF5B3E"/>
    <w:rsid w:val="00EF5E3C"/>
    <w:rsid w:val="00EF7C64"/>
    <w:rsid w:val="00F064CD"/>
    <w:rsid w:val="00F0682B"/>
    <w:rsid w:val="00F06AD2"/>
    <w:rsid w:val="00F12E20"/>
    <w:rsid w:val="00F16A74"/>
    <w:rsid w:val="00F25F4F"/>
    <w:rsid w:val="00F26598"/>
    <w:rsid w:val="00F26F95"/>
    <w:rsid w:val="00F27474"/>
    <w:rsid w:val="00F3282B"/>
    <w:rsid w:val="00F35F54"/>
    <w:rsid w:val="00F36897"/>
    <w:rsid w:val="00F374D1"/>
    <w:rsid w:val="00F37EF3"/>
    <w:rsid w:val="00F405C6"/>
    <w:rsid w:val="00F42CD1"/>
    <w:rsid w:val="00F50E04"/>
    <w:rsid w:val="00F561A9"/>
    <w:rsid w:val="00F62E35"/>
    <w:rsid w:val="00F6367D"/>
    <w:rsid w:val="00F63F73"/>
    <w:rsid w:val="00F66542"/>
    <w:rsid w:val="00F6755C"/>
    <w:rsid w:val="00F704DE"/>
    <w:rsid w:val="00F71348"/>
    <w:rsid w:val="00F72A53"/>
    <w:rsid w:val="00F74B29"/>
    <w:rsid w:val="00F8206B"/>
    <w:rsid w:val="00F83EE3"/>
    <w:rsid w:val="00F87F3E"/>
    <w:rsid w:val="00F91ACA"/>
    <w:rsid w:val="00F97BCA"/>
    <w:rsid w:val="00FA24A2"/>
    <w:rsid w:val="00FB3636"/>
    <w:rsid w:val="00FB3FAB"/>
    <w:rsid w:val="00FB5DE2"/>
    <w:rsid w:val="00FB763A"/>
    <w:rsid w:val="00FC0BEA"/>
    <w:rsid w:val="00FC1DDC"/>
    <w:rsid w:val="00FC2C2D"/>
    <w:rsid w:val="00FE0C08"/>
    <w:rsid w:val="00FE0C28"/>
    <w:rsid w:val="00FE282F"/>
    <w:rsid w:val="00FE3E58"/>
    <w:rsid w:val="00FF0589"/>
    <w:rsid w:val="00FF2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95"/>
    <o:shapelayout v:ext="edit">
      <o:idmap v:ext="edit" data="1"/>
    </o:shapelayout>
  </w:shapeDefaults>
  <w:decimalSymbol w:val="."/>
  <w:listSeparator w:val=","/>
  <w14:docId w14:val="6CA60E1E"/>
  <w15:docId w15:val="{50EE5672-17E1-4286-8EF5-9C2C7E63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C7C"/>
    <w:pPr>
      <w:spacing w:after="120" w:line="240" w:lineRule="auto"/>
    </w:pPr>
  </w:style>
  <w:style w:type="paragraph" w:styleId="Heading1">
    <w:name w:val="heading 1"/>
    <w:basedOn w:val="Normal"/>
    <w:next w:val="Normal"/>
    <w:link w:val="Heading1Char"/>
    <w:uiPriority w:val="9"/>
    <w:qFormat/>
    <w:rsid w:val="009B0C7C"/>
    <w:pPr>
      <w:keepNext/>
      <w:keepLines/>
      <w:outlineLvl w:val="0"/>
    </w:pPr>
    <w:rPr>
      <w:rFonts w:eastAsiaTheme="majorEastAsia" w:cstheme="majorBidi"/>
      <w:bCs/>
      <w:color w:val="7030A0"/>
      <w:sz w:val="52"/>
      <w:szCs w:val="28"/>
    </w:rPr>
  </w:style>
  <w:style w:type="paragraph" w:styleId="Heading2">
    <w:name w:val="heading 2"/>
    <w:basedOn w:val="Normal"/>
    <w:next w:val="Normal"/>
    <w:link w:val="Heading2Char"/>
    <w:uiPriority w:val="9"/>
    <w:unhideWhenUsed/>
    <w:qFormat/>
    <w:rsid w:val="00FE3E58"/>
    <w:pPr>
      <w:keepNext/>
      <w:keepLines/>
      <w:numPr>
        <w:numId w:val="2"/>
      </w:numPr>
      <w:ind w:left="851" w:hanging="851"/>
      <w:outlineLvl w:val="1"/>
    </w:pPr>
    <w:rPr>
      <w:rFonts w:eastAsiaTheme="majorEastAsia" w:cstheme="majorBidi"/>
      <w:b/>
      <w:bCs/>
      <w:color w:val="7030A0"/>
      <w:sz w:val="32"/>
      <w:szCs w:val="26"/>
    </w:rPr>
  </w:style>
  <w:style w:type="paragraph" w:styleId="Heading3">
    <w:name w:val="heading 3"/>
    <w:basedOn w:val="Normal"/>
    <w:next w:val="Normal"/>
    <w:link w:val="Heading3Char"/>
    <w:uiPriority w:val="9"/>
    <w:unhideWhenUsed/>
    <w:qFormat/>
    <w:rsid w:val="00FE3E58"/>
    <w:pPr>
      <w:keepNext/>
      <w:keepLines/>
      <w:numPr>
        <w:ilvl w:val="1"/>
        <w:numId w:val="2"/>
      </w:numPr>
      <w:ind w:left="851" w:hanging="851"/>
      <w:outlineLvl w:val="2"/>
    </w:pPr>
    <w:rPr>
      <w:rFonts w:eastAsiaTheme="majorEastAsia" w:cstheme="majorBidi"/>
      <w:bCs/>
      <w:color w:val="7030A0"/>
      <w:szCs w:val="24"/>
    </w:rPr>
  </w:style>
  <w:style w:type="paragraph" w:styleId="Heading4">
    <w:name w:val="heading 4"/>
    <w:basedOn w:val="Normal"/>
    <w:next w:val="Normal"/>
    <w:link w:val="Heading4Char"/>
    <w:uiPriority w:val="9"/>
    <w:unhideWhenUsed/>
    <w:qFormat/>
    <w:rsid w:val="00DA5094"/>
    <w:pPr>
      <w:keepNext/>
      <w:keepLines/>
      <w:outlineLvl w:val="3"/>
    </w:pPr>
    <w:rPr>
      <w:rFonts w:eastAsiaTheme="majorEastAsia" w:cstheme="majorBidi"/>
      <w:b/>
      <w:bCs/>
      <w:iCs/>
      <w:color w:val="7030A0"/>
      <w:sz w:val="32"/>
    </w:rPr>
  </w:style>
  <w:style w:type="paragraph" w:styleId="Heading5">
    <w:name w:val="heading 5"/>
    <w:basedOn w:val="Normal"/>
    <w:next w:val="Normal"/>
    <w:link w:val="Heading5Char"/>
    <w:uiPriority w:val="9"/>
    <w:unhideWhenUsed/>
    <w:qFormat/>
    <w:rsid w:val="00DA5094"/>
    <w:pPr>
      <w:keepNext/>
      <w:keepLines/>
      <w:outlineLvl w:val="4"/>
    </w:pPr>
    <w:rPr>
      <w:rFonts w:eastAsiaTheme="majorEastAsia" w:cstheme="majorBidi"/>
      <w:b/>
      <w:color w:val="7030A0"/>
      <w:sz w:val="32"/>
    </w:rPr>
  </w:style>
  <w:style w:type="paragraph" w:styleId="Heading6">
    <w:name w:val="heading 6"/>
    <w:basedOn w:val="Normal"/>
    <w:next w:val="Normal"/>
    <w:link w:val="Heading6Char"/>
    <w:uiPriority w:val="9"/>
    <w:unhideWhenUsed/>
    <w:qFormat/>
    <w:rsid w:val="00DA5094"/>
    <w:pPr>
      <w:keepNext/>
      <w:keepLines/>
      <w:outlineLvl w:val="5"/>
    </w:pPr>
    <w:rPr>
      <w:rFonts w:eastAsiaTheme="majorEastAsia" w:cstheme="majorBidi"/>
      <w:b/>
      <w:iCs/>
      <w:color w:val="7030A0"/>
      <w:sz w:val="32"/>
    </w:rPr>
  </w:style>
  <w:style w:type="paragraph" w:styleId="Heading7">
    <w:name w:val="heading 7"/>
    <w:basedOn w:val="Normal"/>
    <w:next w:val="Normal"/>
    <w:link w:val="Heading7Char"/>
    <w:uiPriority w:val="9"/>
    <w:unhideWhenUsed/>
    <w:qFormat/>
    <w:rsid w:val="00DA5094"/>
    <w:pPr>
      <w:keepNext/>
      <w:keepLines/>
      <w:spacing w:before="200"/>
      <w:outlineLvl w:val="6"/>
    </w:pPr>
    <w:rPr>
      <w:rFonts w:eastAsiaTheme="majorEastAsia" w:cstheme="majorBidi"/>
      <w:b/>
      <w:iCs/>
      <w:color w:val="7030A0"/>
      <w:sz w:val="32"/>
    </w:rPr>
  </w:style>
  <w:style w:type="paragraph" w:styleId="Heading8">
    <w:name w:val="heading 8"/>
    <w:basedOn w:val="Normal"/>
    <w:next w:val="Normal"/>
    <w:link w:val="Heading8Char"/>
    <w:uiPriority w:val="9"/>
    <w:unhideWhenUsed/>
    <w:qFormat/>
    <w:rsid w:val="00DA5094"/>
    <w:pPr>
      <w:keepNext/>
      <w:keepLines/>
      <w:spacing w:before="200"/>
      <w:outlineLvl w:val="7"/>
    </w:pPr>
    <w:rPr>
      <w:rFonts w:eastAsiaTheme="majorEastAsia" w:cstheme="majorBidi"/>
      <w:b/>
      <w:color w:val="7030A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DF2"/>
    <w:rPr>
      <w:color w:val="0000FF" w:themeColor="hyperlink"/>
      <w:u w:val="single"/>
    </w:rPr>
  </w:style>
  <w:style w:type="table" w:styleId="TableGrid">
    <w:name w:val="Table Grid"/>
    <w:basedOn w:val="TableNormal"/>
    <w:uiPriority w:val="59"/>
    <w:rsid w:val="00E27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788D"/>
    <w:rPr>
      <w:sz w:val="16"/>
      <w:szCs w:val="16"/>
    </w:rPr>
  </w:style>
  <w:style w:type="paragraph" w:styleId="CommentText">
    <w:name w:val="annotation text"/>
    <w:basedOn w:val="Normal"/>
    <w:link w:val="CommentTextChar"/>
    <w:uiPriority w:val="99"/>
    <w:unhideWhenUsed/>
    <w:rsid w:val="0046788D"/>
    <w:rPr>
      <w:sz w:val="20"/>
      <w:szCs w:val="20"/>
    </w:rPr>
  </w:style>
  <w:style w:type="character" w:customStyle="1" w:styleId="CommentTextChar">
    <w:name w:val="Comment Text Char"/>
    <w:basedOn w:val="DefaultParagraphFont"/>
    <w:link w:val="CommentText"/>
    <w:uiPriority w:val="99"/>
    <w:rsid w:val="0046788D"/>
    <w:rPr>
      <w:sz w:val="20"/>
      <w:szCs w:val="20"/>
    </w:rPr>
  </w:style>
  <w:style w:type="paragraph" w:styleId="CommentSubject">
    <w:name w:val="annotation subject"/>
    <w:basedOn w:val="CommentText"/>
    <w:next w:val="CommentText"/>
    <w:link w:val="CommentSubjectChar"/>
    <w:uiPriority w:val="99"/>
    <w:semiHidden/>
    <w:unhideWhenUsed/>
    <w:rsid w:val="0046788D"/>
    <w:rPr>
      <w:b/>
      <w:bCs/>
    </w:rPr>
  </w:style>
  <w:style w:type="character" w:customStyle="1" w:styleId="CommentSubjectChar">
    <w:name w:val="Comment Subject Char"/>
    <w:basedOn w:val="CommentTextChar"/>
    <w:link w:val="CommentSubject"/>
    <w:uiPriority w:val="99"/>
    <w:semiHidden/>
    <w:rsid w:val="0046788D"/>
    <w:rPr>
      <w:b/>
      <w:bCs/>
      <w:sz w:val="20"/>
      <w:szCs w:val="20"/>
    </w:rPr>
  </w:style>
  <w:style w:type="paragraph" w:styleId="BalloonText">
    <w:name w:val="Balloon Text"/>
    <w:basedOn w:val="Normal"/>
    <w:link w:val="BalloonTextChar"/>
    <w:uiPriority w:val="99"/>
    <w:semiHidden/>
    <w:unhideWhenUsed/>
    <w:rsid w:val="0046788D"/>
    <w:rPr>
      <w:rFonts w:ascii="Tahoma" w:hAnsi="Tahoma" w:cs="Tahoma"/>
      <w:sz w:val="16"/>
      <w:szCs w:val="16"/>
    </w:rPr>
  </w:style>
  <w:style w:type="character" w:customStyle="1" w:styleId="BalloonTextChar">
    <w:name w:val="Balloon Text Char"/>
    <w:basedOn w:val="DefaultParagraphFont"/>
    <w:link w:val="BalloonText"/>
    <w:uiPriority w:val="99"/>
    <w:semiHidden/>
    <w:rsid w:val="0046788D"/>
    <w:rPr>
      <w:rFonts w:ascii="Tahoma" w:hAnsi="Tahoma" w:cs="Tahoma"/>
      <w:sz w:val="16"/>
      <w:szCs w:val="16"/>
    </w:rPr>
  </w:style>
  <w:style w:type="paragraph" w:styleId="Header">
    <w:name w:val="header"/>
    <w:basedOn w:val="Normal"/>
    <w:link w:val="HeaderChar"/>
    <w:uiPriority w:val="99"/>
    <w:unhideWhenUsed/>
    <w:rsid w:val="005150A1"/>
    <w:pPr>
      <w:tabs>
        <w:tab w:val="center" w:pos="4513"/>
        <w:tab w:val="right" w:pos="9026"/>
      </w:tabs>
    </w:pPr>
  </w:style>
  <w:style w:type="character" w:customStyle="1" w:styleId="HeaderChar">
    <w:name w:val="Header Char"/>
    <w:basedOn w:val="DefaultParagraphFont"/>
    <w:link w:val="Header"/>
    <w:uiPriority w:val="99"/>
    <w:rsid w:val="005150A1"/>
  </w:style>
  <w:style w:type="paragraph" w:styleId="Footer">
    <w:name w:val="footer"/>
    <w:basedOn w:val="Normal"/>
    <w:link w:val="FooterChar"/>
    <w:uiPriority w:val="99"/>
    <w:unhideWhenUsed/>
    <w:rsid w:val="00943D7D"/>
    <w:pPr>
      <w:tabs>
        <w:tab w:val="center" w:pos="4513"/>
        <w:tab w:val="right" w:pos="9026"/>
      </w:tabs>
    </w:pPr>
  </w:style>
  <w:style w:type="character" w:customStyle="1" w:styleId="FooterChar">
    <w:name w:val="Footer Char"/>
    <w:basedOn w:val="DefaultParagraphFont"/>
    <w:link w:val="Footer"/>
    <w:uiPriority w:val="99"/>
    <w:rsid w:val="00943D7D"/>
  </w:style>
  <w:style w:type="character" w:customStyle="1" w:styleId="Heading1Char">
    <w:name w:val="Heading 1 Char"/>
    <w:basedOn w:val="DefaultParagraphFont"/>
    <w:link w:val="Heading1"/>
    <w:uiPriority w:val="9"/>
    <w:rsid w:val="009B0C7C"/>
    <w:rPr>
      <w:rFonts w:eastAsiaTheme="majorEastAsia" w:cstheme="majorBidi"/>
      <w:bCs/>
      <w:color w:val="7030A0"/>
      <w:sz w:val="52"/>
      <w:szCs w:val="28"/>
    </w:rPr>
  </w:style>
  <w:style w:type="character" w:customStyle="1" w:styleId="Heading2Char">
    <w:name w:val="Heading 2 Char"/>
    <w:basedOn w:val="DefaultParagraphFont"/>
    <w:link w:val="Heading2"/>
    <w:uiPriority w:val="9"/>
    <w:rsid w:val="00FE3E58"/>
    <w:rPr>
      <w:rFonts w:eastAsiaTheme="majorEastAsia" w:cstheme="majorBidi"/>
      <w:b/>
      <w:bCs/>
      <w:color w:val="7030A0"/>
      <w:sz w:val="32"/>
      <w:szCs w:val="26"/>
    </w:rPr>
  </w:style>
  <w:style w:type="paragraph" w:styleId="TOCHeading">
    <w:name w:val="TOC Heading"/>
    <w:basedOn w:val="Heading1"/>
    <w:next w:val="Normal"/>
    <w:uiPriority w:val="39"/>
    <w:unhideWhenUsed/>
    <w:qFormat/>
    <w:rsid w:val="001824D8"/>
    <w:pPr>
      <w:spacing w:before="480"/>
      <w:outlineLvl w:val="9"/>
    </w:pPr>
    <w:rPr>
      <w:rFonts w:asciiTheme="majorHAnsi" w:hAnsiTheme="majorHAnsi"/>
      <w:color w:val="365F91" w:themeColor="accent1" w:themeShade="BF"/>
      <w:sz w:val="28"/>
      <w:lang w:val="en-US"/>
    </w:rPr>
  </w:style>
  <w:style w:type="paragraph" w:styleId="TOC1">
    <w:name w:val="toc 1"/>
    <w:basedOn w:val="Normal"/>
    <w:next w:val="Normal"/>
    <w:autoRedefine/>
    <w:uiPriority w:val="39"/>
    <w:unhideWhenUsed/>
    <w:rsid w:val="00FE3E58"/>
    <w:pPr>
      <w:spacing w:after="100"/>
    </w:pPr>
    <w:rPr>
      <w:b/>
      <w:color w:val="7030A0"/>
    </w:rPr>
  </w:style>
  <w:style w:type="paragraph" w:styleId="TOC2">
    <w:name w:val="toc 2"/>
    <w:basedOn w:val="Normal"/>
    <w:next w:val="Normal"/>
    <w:autoRedefine/>
    <w:uiPriority w:val="39"/>
    <w:unhideWhenUsed/>
    <w:rsid w:val="004C6A95"/>
    <w:pPr>
      <w:tabs>
        <w:tab w:val="left" w:pos="709"/>
        <w:tab w:val="right" w:leader="dot" w:pos="9016"/>
      </w:tabs>
      <w:spacing w:after="100"/>
      <w:ind w:left="240"/>
    </w:pPr>
    <w:rPr>
      <w:color w:val="7030A0"/>
    </w:rPr>
  </w:style>
  <w:style w:type="character" w:customStyle="1" w:styleId="Heading3Char">
    <w:name w:val="Heading 3 Char"/>
    <w:basedOn w:val="DefaultParagraphFont"/>
    <w:link w:val="Heading3"/>
    <w:uiPriority w:val="9"/>
    <w:rsid w:val="00FE3E58"/>
    <w:rPr>
      <w:rFonts w:eastAsiaTheme="majorEastAsia" w:cstheme="majorBidi"/>
      <w:bCs/>
      <w:color w:val="7030A0"/>
      <w:szCs w:val="24"/>
    </w:rPr>
  </w:style>
  <w:style w:type="character" w:customStyle="1" w:styleId="Heading4Char">
    <w:name w:val="Heading 4 Char"/>
    <w:basedOn w:val="DefaultParagraphFont"/>
    <w:link w:val="Heading4"/>
    <w:uiPriority w:val="9"/>
    <w:rsid w:val="00DA5094"/>
    <w:rPr>
      <w:rFonts w:eastAsiaTheme="majorEastAsia" w:cstheme="majorBidi"/>
      <w:b/>
      <w:bCs/>
      <w:iCs/>
      <w:color w:val="7030A0"/>
      <w:sz w:val="32"/>
    </w:rPr>
  </w:style>
  <w:style w:type="character" w:customStyle="1" w:styleId="Heading5Char">
    <w:name w:val="Heading 5 Char"/>
    <w:basedOn w:val="DefaultParagraphFont"/>
    <w:link w:val="Heading5"/>
    <w:uiPriority w:val="9"/>
    <w:rsid w:val="00DA5094"/>
    <w:rPr>
      <w:rFonts w:eastAsiaTheme="majorEastAsia" w:cstheme="majorBidi"/>
      <w:b/>
      <w:color w:val="7030A0"/>
      <w:sz w:val="32"/>
    </w:rPr>
  </w:style>
  <w:style w:type="character" w:customStyle="1" w:styleId="Heading6Char">
    <w:name w:val="Heading 6 Char"/>
    <w:basedOn w:val="DefaultParagraphFont"/>
    <w:link w:val="Heading6"/>
    <w:uiPriority w:val="9"/>
    <w:rsid w:val="00DA5094"/>
    <w:rPr>
      <w:rFonts w:eastAsiaTheme="majorEastAsia" w:cstheme="majorBidi"/>
      <w:b/>
      <w:iCs/>
      <w:color w:val="7030A0"/>
      <w:sz w:val="32"/>
    </w:rPr>
  </w:style>
  <w:style w:type="character" w:customStyle="1" w:styleId="Heading7Char">
    <w:name w:val="Heading 7 Char"/>
    <w:basedOn w:val="DefaultParagraphFont"/>
    <w:link w:val="Heading7"/>
    <w:uiPriority w:val="9"/>
    <w:rsid w:val="00DA5094"/>
    <w:rPr>
      <w:rFonts w:eastAsiaTheme="majorEastAsia" w:cstheme="majorBidi"/>
      <w:b/>
      <w:iCs/>
      <w:color w:val="7030A0"/>
      <w:sz w:val="32"/>
    </w:rPr>
  </w:style>
  <w:style w:type="character" w:customStyle="1" w:styleId="Heading8Char">
    <w:name w:val="Heading 8 Char"/>
    <w:basedOn w:val="DefaultParagraphFont"/>
    <w:link w:val="Heading8"/>
    <w:uiPriority w:val="9"/>
    <w:rsid w:val="00DA5094"/>
    <w:rPr>
      <w:rFonts w:eastAsiaTheme="majorEastAsia" w:cstheme="majorBidi"/>
      <w:b/>
      <w:color w:val="7030A0"/>
      <w:sz w:val="32"/>
      <w:szCs w:val="20"/>
    </w:rPr>
  </w:style>
  <w:style w:type="paragraph" w:styleId="TOC3">
    <w:name w:val="toc 3"/>
    <w:basedOn w:val="Normal"/>
    <w:next w:val="Normal"/>
    <w:autoRedefine/>
    <w:uiPriority w:val="39"/>
    <w:unhideWhenUsed/>
    <w:rsid w:val="004C6A95"/>
    <w:pPr>
      <w:tabs>
        <w:tab w:val="left" w:pos="1200"/>
        <w:tab w:val="right" w:leader="dot" w:pos="9016"/>
      </w:tabs>
      <w:spacing w:after="100"/>
      <w:ind w:left="709"/>
    </w:pPr>
    <w:rPr>
      <w:color w:val="7030A0"/>
    </w:rPr>
  </w:style>
  <w:style w:type="paragraph" w:styleId="TOC4">
    <w:name w:val="toc 4"/>
    <w:basedOn w:val="Normal"/>
    <w:next w:val="Normal"/>
    <w:autoRedefine/>
    <w:uiPriority w:val="39"/>
    <w:unhideWhenUsed/>
    <w:rsid w:val="00DA5094"/>
    <w:pPr>
      <w:spacing w:after="100"/>
      <w:ind w:left="720"/>
    </w:pPr>
  </w:style>
  <w:style w:type="paragraph" w:styleId="TOC5">
    <w:name w:val="toc 5"/>
    <w:basedOn w:val="Normal"/>
    <w:next w:val="Normal"/>
    <w:autoRedefine/>
    <w:uiPriority w:val="39"/>
    <w:unhideWhenUsed/>
    <w:rsid w:val="00DA5094"/>
    <w:pPr>
      <w:spacing w:after="100"/>
      <w:ind w:left="960"/>
    </w:pPr>
  </w:style>
  <w:style w:type="paragraph" w:styleId="TOC6">
    <w:name w:val="toc 6"/>
    <w:basedOn w:val="Normal"/>
    <w:next w:val="Normal"/>
    <w:autoRedefine/>
    <w:uiPriority w:val="39"/>
    <w:unhideWhenUsed/>
    <w:rsid w:val="00DA5094"/>
    <w:pPr>
      <w:spacing w:after="100"/>
      <w:ind w:left="1200"/>
    </w:pPr>
  </w:style>
  <w:style w:type="paragraph" w:styleId="TOC7">
    <w:name w:val="toc 7"/>
    <w:basedOn w:val="Normal"/>
    <w:next w:val="Normal"/>
    <w:autoRedefine/>
    <w:uiPriority w:val="39"/>
    <w:unhideWhenUsed/>
    <w:rsid w:val="00DA5094"/>
    <w:pPr>
      <w:spacing w:after="100"/>
      <w:ind w:left="1440"/>
    </w:pPr>
  </w:style>
  <w:style w:type="paragraph" w:styleId="TOC8">
    <w:name w:val="toc 8"/>
    <w:basedOn w:val="Normal"/>
    <w:next w:val="Normal"/>
    <w:autoRedefine/>
    <w:uiPriority w:val="39"/>
    <w:unhideWhenUsed/>
    <w:rsid w:val="00DA5094"/>
    <w:pPr>
      <w:spacing w:after="100"/>
      <w:ind w:left="1680"/>
    </w:pPr>
  </w:style>
  <w:style w:type="paragraph" w:styleId="Title">
    <w:name w:val="Title"/>
    <w:basedOn w:val="Normal"/>
    <w:next w:val="Normal"/>
    <w:link w:val="TitleChar"/>
    <w:uiPriority w:val="10"/>
    <w:qFormat/>
    <w:rsid w:val="002319FF"/>
    <w:pPr>
      <w:contextualSpacing/>
    </w:pPr>
    <w:rPr>
      <w:rFonts w:eastAsiaTheme="majorEastAsia" w:cstheme="majorBidi"/>
      <w:color w:val="7030A0"/>
      <w:spacing w:val="5"/>
      <w:kern w:val="28"/>
      <w:sz w:val="52"/>
      <w:szCs w:val="52"/>
    </w:rPr>
  </w:style>
  <w:style w:type="character" w:customStyle="1" w:styleId="TitleChar">
    <w:name w:val="Title Char"/>
    <w:basedOn w:val="DefaultParagraphFont"/>
    <w:link w:val="Title"/>
    <w:uiPriority w:val="10"/>
    <w:rsid w:val="002319FF"/>
    <w:rPr>
      <w:rFonts w:eastAsiaTheme="majorEastAsia" w:cstheme="majorBidi"/>
      <w:color w:val="7030A0"/>
      <w:spacing w:val="5"/>
      <w:kern w:val="28"/>
      <w:sz w:val="52"/>
      <w:szCs w:val="52"/>
    </w:rPr>
  </w:style>
  <w:style w:type="paragraph" w:customStyle="1" w:styleId="Subheading">
    <w:name w:val="Sub heading"/>
    <w:basedOn w:val="Normal"/>
    <w:link w:val="SubheadingChar"/>
    <w:qFormat/>
    <w:rsid w:val="00AE753C"/>
    <w:pPr>
      <w:contextualSpacing/>
    </w:pPr>
    <w:rPr>
      <w:color w:val="7030A0"/>
      <w:sz w:val="52"/>
    </w:rPr>
  </w:style>
  <w:style w:type="character" w:customStyle="1" w:styleId="SubheadingChar">
    <w:name w:val="Sub heading Char"/>
    <w:basedOn w:val="DefaultParagraphFont"/>
    <w:link w:val="Subheading"/>
    <w:rsid w:val="00AE753C"/>
    <w:rPr>
      <w:color w:val="7030A0"/>
      <w:sz w:val="52"/>
    </w:rPr>
  </w:style>
  <w:style w:type="character" w:styleId="FollowedHyperlink">
    <w:name w:val="FollowedHyperlink"/>
    <w:basedOn w:val="DefaultParagraphFont"/>
    <w:uiPriority w:val="99"/>
    <w:semiHidden/>
    <w:unhideWhenUsed/>
    <w:rsid w:val="009B0C7C"/>
    <w:rPr>
      <w:color w:val="800080" w:themeColor="followedHyperlink"/>
      <w:u w:val="single"/>
    </w:rPr>
  </w:style>
  <w:style w:type="paragraph" w:styleId="ListParagraph">
    <w:name w:val="List Paragraph"/>
    <w:aliases w:val="Comments,List Paragraph1,Dot pt,F5 List Paragraph,No Spacing1,List Paragraph Char Char Char,Indicator Text,Numbered Para 1,Bullet 1,Colorful List - Accent 11,Bullet Points,Párrafo de lista,MAIN CONTENT,Recommendation,List Paragraph2"/>
    <w:basedOn w:val="Normal"/>
    <w:link w:val="ListParagraphChar"/>
    <w:uiPriority w:val="34"/>
    <w:qFormat/>
    <w:rsid w:val="00FE3E58"/>
    <w:pPr>
      <w:numPr>
        <w:ilvl w:val="2"/>
        <w:numId w:val="2"/>
      </w:numPr>
      <w:ind w:left="851" w:hanging="851"/>
    </w:pPr>
  </w:style>
  <w:style w:type="character" w:customStyle="1" w:styleId="CPITCOI-Link">
    <w:name w:val="CPIT COI-Link"/>
    <w:rsid w:val="00FE3E58"/>
    <w:rPr>
      <w:rFonts w:ascii="Arial" w:hAnsi="Arial" w:cs="Arial"/>
      <w:color w:val="auto"/>
      <w:sz w:val="24"/>
      <w:szCs w:val="22"/>
      <w:u w:val="single" w:color="8F23B3"/>
    </w:rPr>
  </w:style>
  <w:style w:type="paragraph" w:styleId="FootnoteText">
    <w:name w:val="footnote text"/>
    <w:basedOn w:val="Bibliography"/>
    <w:link w:val="FootnoteTextChar"/>
    <w:uiPriority w:val="99"/>
    <w:unhideWhenUsed/>
    <w:qFormat/>
    <w:rsid w:val="000E40D1"/>
    <w:pPr>
      <w:widowControl w:val="0"/>
      <w:spacing w:after="0"/>
    </w:pPr>
    <w:rPr>
      <w:sz w:val="20"/>
      <w:szCs w:val="20"/>
    </w:rPr>
  </w:style>
  <w:style w:type="character" w:customStyle="1" w:styleId="FootnoteTextChar">
    <w:name w:val="Footnote Text Char"/>
    <w:basedOn w:val="DefaultParagraphFont"/>
    <w:link w:val="FootnoteText"/>
    <w:uiPriority w:val="99"/>
    <w:rsid w:val="000E40D1"/>
    <w:rPr>
      <w:sz w:val="20"/>
      <w:szCs w:val="20"/>
    </w:rPr>
  </w:style>
  <w:style w:type="character" w:styleId="FootnoteReference">
    <w:name w:val="footnote reference"/>
    <w:basedOn w:val="DefaultParagraphFont"/>
    <w:uiPriority w:val="99"/>
    <w:unhideWhenUsed/>
    <w:rsid w:val="00A524BF"/>
    <w:rPr>
      <w:vertAlign w:val="superscript"/>
    </w:rPr>
  </w:style>
  <w:style w:type="paragraph" w:styleId="Bibliography">
    <w:name w:val="Bibliography"/>
    <w:basedOn w:val="Normal"/>
    <w:next w:val="Normal"/>
    <w:uiPriority w:val="37"/>
    <w:unhideWhenUsed/>
    <w:rsid w:val="00A524BF"/>
  </w:style>
  <w:style w:type="paragraph" w:customStyle="1" w:styleId="CPITPrefaceText">
    <w:name w:val="CPIT Preface Text"/>
    <w:basedOn w:val="Normal"/>
    <w:rsid w:val="004C6A95"/>
    <w:rPr>
      <w:rFonts w:eastAsia="Times New Roman" w:cs="Times New Roman"/>
      <w:szCs w:val="20"/>
      <w:lang w:eastAsia="en-GB"/>
    </w:rPr>
  </w:style>
  <w:style w:type="character" w:customStyle="1" w:styleId="COI-Link">
    <w:name w:val="COI-Link"/>
    <w:qFormat/>
    <w:rsid w:val="001D2409"/>
    <w:rPr>
      <w:rFonts w:ascii="Arial" w:hAnsi="Arial" w:cs="Arial" w:hint="default"/>
      <w:color w:val="auto"/>
      <w:sz w:val="20"/>
      <w:szCs w:val="22"/>
      <w:u w:val="single" w:color="8F23B3"/>
    </w:rPr>
  </w:style>
  <w:style w:type="paragraph" w:customStyle="1" w:styleId="CPITNumberedParagraphText">
    <w:name w:val="CPIT Numbered Paragraph Text"/>
    <w:link w:val="CPITNumberedParagraphTextChar"/>
    <w:rsid w:val="00F704DE"/>
    <w:pPr>
      <w:tabs>
        <w:tab w:val="left" w:pos="851"/>
      </w:tabs>
      <w:spacing w:after="120" w:line="240" w:lineRule="auto"/>
    </w:pPr>
    <w:rPr>
      <w:rFonts w:eastAsia="Times New Roman"/>
      <w:szCs w:val="24"/>
      <w:lang w:eastAsia="en-GB"/>
    </w:rPr>
  </w:style>
  <w:style w:type="character" w:customStyle="1" w:styleId="CPITNumberedParagraphTextChar">
    <w:name w:val="CPIT Numbered Paragraph Text Char"/>
    <w:basedOn w:val="DefaultParagraphFont"/>
    <w:link w:val="CPITNumberedParagraphText"/>
    <w:rsid w:val="00F704DE"/>
    <w:rPr>
      <w:rFonts w:eastAsia="Times New Roman"/>
      <w:szCs w:val="24"/>
      <w:lang w:eastAsia="en-GB"/>
    </w:rPr>
  </w:style>
  <w:style w:type="paragraph" w:customStyle="1" w:styleId="subheading2">
    <w:name w:val="subheading2"/>
    <w:basedOn w:val="Subheading"/>
    <w:qFormat/>
    <w:rsid w:val="00923E92"/>
    <w:pPr>
      <w:contextualSpacing w:val="0"/>
    </w:pPr>
    <w:rPr>
      <w:b/>
      <w:sz w:val="28"/>
    </w:rPr>
  </w:style>
  <w:style w:type="paragraph" w:customStyle="1" w:styleId="CPITBacktoContentsLinks">
    <w:name w:val="CPIT Back to Contents Links"/>
    <w:basedOn w:val="Normal"/>
    <w:rsid w:val="0029746D"/>
    <w:pPr>
      <w:ind w:left="720" w:right="-1"/>
      <w:jc w:val="right"/>
    </w:pPr>
    <w:rPr>
      <w:rFonts w:eastAsia="Times New Roman" w:cs="Times New Roman"/>
      <w:szCs w:val="20"/>
      <w:u w:val="single" w:color="8F23B3"/>
      <w:lang w:eastAsia="en-GB"/>
    </w:rPr>
  </w:style>
  <w:style w:type="paragraph" w:styleId="NoSpacing">
    <w:name w:val="No Spacing"/>
    <w:uiPriority w:val="1"/>
    <w:qFormat/>
    <w:rsid w:val="006B4863"/>
    <w:pPr>
      <w:spacing w:after="0" w:line="240" w:lineRule="auto"/>
    </w:pPr>
  </w:style>
  <w:style w:type="paragraph" w:customStyle="1" w:styleId="paragraphtext">
    <w:name w:val="paragraph text"/>
    <w:basedOn w:val="Normal"/>
    <w:qFormat/>
    <w:rsid w:val="00264F2E"/>
    <w:pPr>
      <w:numPr>
        <w:numId w:val="13"/>
      </w:numPr>
      <w:spacing w:after="240"/>
      <w:ind w:left="-17" w:hanging="720"/>
    </w:pPr>
    <w:rPr>
      <w:rFonts w:eastAsia="Times New Roman" w:cs="Times New Roman"/>
      <w:color w:val="000000"/>
      <w:szCs w:val="24"/>
      <w:lang w:eastAsia="en-GB"/>
    </w:rPr>
  </w:style>
  <w:style w:type="paragraph" w:customStyle="1" w:styleId="COI-SubsectionTitle1">
    <w:name w:val="COI-Subsection Title 1"/>
    <w:next w:val="Normal"/>
    <w:rsid w:val="00AF01A9"/>
    <w:pPr>
      <w:spacing w:before="240" w:after="240" w:line="240" w:lineRule="auto"/>
    </w:pPr>
    <w:rPr>
      <w:rFonts w:eastAsia="Times New Roman" w:cs="Times New Roman"/>
      <w:b/>
      <w:bCs/>
      <w:color w:val="000000"/>
      <w:szCs w:val="24"/>
      <w:lang w:eastAsia="en-GB"/>
    </w:rPr>
  </w:style>
  <w:style w:type="character" w:customStyle="1" w:styleId="apple-converted-space">
    <w:name w:val="apple-converted-space"/>
    <w:basedOn w:val="DefaultParagraphFont"/>
    <w:rsid w:val="00AF01A9"/>
  </w:style>
  <w:style w:type="character" w:styleId="Strong">
    <w:name w:val="Strong"/>
    <w:basedOn w:val="DefaultParagraphFont"/>
    <w:uiPriority w:val="22"/>
    <w:qFormat/>
    <w:rsid w:val="00E67631"/>
    <w:rPr>
      <w:b/>
      <w:bCs/>
    </w:rPr>
  </w:style>
  <w:style w:type="paragraph" w:styleId="NormalWeb">
    <w:name w:val="Normal (Web)"/>
    <w:basedOn w:val="Normal"/>
    <w:uiPriority w:val="99"/>
    <w:semiHidden/>
    <w:unhideWhenUsed/>
    <w:rsid w:val="002767BA"/>
    <w:pPr>
      <w:spacing w:before="100" w:beforeAutospacing="1" w:after="100" w:afterAutospacing="1"/>
    </w:pPr>
    <w:rPr>
      <w:rFonts w:ascii="Times New Roman" w:eastAsia="Times New Roman" w:hAnsi="Times New Roman" w:cs="Times New Roman"/>
      <w:szCs w:val="24"/>
      <w:lang w:eastAsia="en-GB"/>
    </w:rPr>
  </w:style>
  <w:style w:type="paragraph" w:customStyle="1" w:styleId="COI-FootnoteLink">
    <w:name w:val="COI-Footnote Link"/>
    <w:basedOn w:val="FootnoteText"/>
    <w:link w:val="COI-FootnoteLinkChar"/>
    <w:qFormat/>
    <w:rsid w:val="00EF5B3E"/>
    <w:pPr>
      <w:widowControl/>
    </w:pPr>
    <w:rPr>
      <w:rFonts w:eastAsia="Times New Roman" w:cs="Times New Roman"/>
      <w:color w:val="000000"/>
      <w:u w:val="single" w:color="8F23B3"/>
      <w:lang w:eastAsia="en-GB"/>
    </w:rPr>
  </w:style>
  <w:style w:type="character" w:customStyle="1" w:styleId="COI-FootnoteLinkChar">
    <w:name w:val="COI-Footnote Link Char"/>
    <w:basedOn w:val="FootnoteTextChar"/>
    <w:link w:val="COI-FootnoteLink"/>
    <w:rsid w:val="00EF5B3E"/>
    <w:rPr>
      <w:rFonts w:eastAsia="Times New Roman" w:cs="Times New Roman"/>
      <w:color w:val="000000"/>
      <w:sz w:val="20"/>
      <w:szCs w:val="20"/>
      <w:u w:val="single" w:color="8F23B3"/>
      <w:lang w:eastAsia="en-GB"/>
    </w:rPr>
  </w:style>
  <w:style w:type="character" w:customStyle="1" w:styleId="ListParagraphChar">
    <w:name w:val="List Paragraph Char"/>
    <w:aliases w:val="Comments Char,List Paragraph1 Char,Dot pt Char,F5 List Paragraph Char,No Spacing1 Char,List Paragraph Char Char Char Char,Indicator Text Char,Numbered Para 1 Char,Bullet 1 Char,Colorful List - Accent 11 Char,Bullet Points Char"/>
    <w:basedOn w:val="DefaultParagraphFont"/>
    <w:link w:val="ListParagraph"/>
    <w:uiPriority w:val="34"/>
    <w:locked/>
    <w:rsid w:val="00104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hiefinspectorukba@icinspector.gsi.gov.uk" TargetMode="External"/><Relationship Id="rId26" Type="http://schemas.openxmlformats.org/officeDocument/2006/relationships/hyperlink" Target="http://www.bailii.org/cgi-bin/format.cgi?doc=/uk/cases/UKIAT/2009/00038.html&amp;query=(iraq)+AND+(christian)"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gov.uk/government/publications/visa-matches-handling-asylum-claims-from-uk-visa-applicants-instruction" TargetMode="External"/><Relationship Id="rId34" Type="http://schemas.openxmlformats.org/officeDocument/2006/relationships/hyperlink" Target="mailto:Modernisedguidanceteam@ukba.gsi.gov.uk" TargetMode="External"/><Relationship Id="rId42"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is@homeoffice.gsi.gov.uk" TargetMode="External"/><Relationship Id="rId25" Type="http://schemas.openxmlformats.org/officeDocument/2006/relationships/hyperlink" Target="http://www.bailii.org/cgi-bin/format.cgi?doc=/uk/cases/UKIAT/2005/00091.html&amp;query=(iraq)+AND+(christian)" TargetMode="External"/><Relationship Id="rId33" Type="http://schemas.openxmlformats.org/officeDocument/2006/relationships/hyperlink" Target="mailto:cois@homeoffice.gsi.gov.uk"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c.europa.eu/dgs/home-affairs/what-we-do/policies/asylum/european-asylum-support-office/coireportmethodologyfinallayout_en.pdf"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s://www.gov.uk/government/publications/iraq-country-information-and-guidanc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bailii.org/cgi-bin/format.cgi?doc=/uk/cases/UKIAT/2004/00298.html&amp;query=(iraq)+AND+(christian)" TargetMode="External"/><Relationship Id="rId32" Type="http://schemas.openxmlformats.org/officeDocument/2006/relationships/hyperlink" Target="https://www.justice.gov/sites/default/files/pages/attachments/2015/12/07/irq104909.e.pdf"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refworld.org/cgi-bin/texis/vtx/rwmain?page=search&amp;docid=48493f7f2&amp;skip=0&amp;query=eu%20common%20guidelines%20on%20COi" TargetMode="External"/><Relationship Id="rId23" Type="http://schemas.openxmlformats.org/officeDocument/2006/relationships/hyperlink" Target="https://www.gov.uk/government/uploads/system/uploads/attachment_data/file/529116/Country-info-Iraq-humanitarian-situation.pdf" TargetMode="External"/><Relationship Id="rId28" Type="http://schemas.openxmlformats.org/officeDocument/2006/relationships/hyperlink" Target="https://www.gov.uk/government/publications/considering-asylum-claims-and-assessing-credibility-instruction" TargetMode="External"/><Relationship Id="rId36"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www.gov.uk/government/publications/non-suspensive-appeals-certification-under-section-94-of-the-nia-act-2002-process"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language-analysis-instruc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s://www.gov.uk/government/publications/considering-asylum-claims-and-assessing-credibility-instruction"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minorityrights.org/wp-content/uploads/2015/03/MRG_Rep_Iraq_ONLINE.pdf" TargetMode="External"/><Relationship Id="rId18" Type="http://schemas.openxmlformats.org/officeDocument/2006/relationships/hyperlink" Target="http://www.state.gov/j/drl/rls/irf/2014/nea/238456.htm" TargetMode="External"/><Relationship Id="rId26" Type="http://schemas.openxmlformats.org/officeDocument/2006/relationships/hyperlink" Target="http://www.state.gov/j/drl/rls/irf/2014/nea/238456.htm" TargetMode="External"/><Relationship Id="rId39" Type="http://schemas.openxmlformats.org/officeDocument/2006/relationships/hyperlink" Target="http://masaratiraq.org/wp-content/uploads/2015/09/AT-CROSSROADS.pdf%20p.17" TargetMode="External"/><Relationship Id="rId21" Type="http://schemas.openxmlformats.org/officeDocument/2006/relationships/hyperlink" Target="http://masaratiraq.org/wp-content/uploads/2015/09/AT-CROSSROADS.pdf" TargetMode="External"/><Relationship Id="rId34" Type="http://schemas.openxmlformats.org/officeDocument/2006/relationships/hyperlink" Target="https://www.nyidanmark.dk/NR/rdonlyres/4B4E8C12-84B7-4ACB-8553-5E0218C5689A/0/FactfindingreportKurdistanRegionofIraq11042016.pdf" TargetMode="External"/><Relationship Id="rId42" Type="http://schemas.openxmlformats.org/officeDocument/2006/relationships/hyperlink" Target="http://www.state.gov/j/drl/rls/irf/2014/nea/238456.htm" TargetMode="External"/><Relationship Id="rId47" Type="http://schemas.openxmlformats.org/officeDocument/2006/relationships/hyperlink" Target="http://minorityrights.org/wp-content/uploads/2015/03/MRG_Rep_Iraq_ONLINE.pdf" TargetMode="External"/><Relationship Id="rId50" Type="http://schemas.openxmlformats.org/officeDocument/2006/relationships/hyperlink" Target="http://www.state.gov/j/drl/rls/irf/2014/nea/238456.htm" TargetMode="External"/><Relationship Id="rId55" Type="http://schemas.openxmlformats.org/officeDocument/2006/relationships/hyperlink" Target="http://www.state.gov/j/drl/rls/irf/2014/nea/238456.htm" TargetMode="External"/><Relationship Id="rId63" Type="http://schemas.openxmlformats.org/officeDocument/2006/relationships/hyperlink" Target="http://masaratiraq.org/wp-content/uploads/2015/09/AT-CROSSROADS.pdf" TargetMode="External"/><Relationship Id="rId68" Type="http://schemas.openxmlformats.org/officeDocument/2006/relationships/hyperlink" Target="http://minorityrights.org/minorities/sabian-mandaeans/" TargetMode="External"/><Relationship Id="rId76" Type="http://schemas.openxmlformats.org/officeDocument/2006/relationships/hyperlink" Target="http://masaratiraq.org/wp-content/uploads/2015/09/AT-CROSSROADS.pdf" TargetMode="External"/><Relationship Id="rId84" Type="http://schemas.openxmlformats.org/officeDocument/2006/relationships/hyperlink" Target="https://www.nyidanmark.dk/NR/rdonlyres/4B4E8C12-84B7-4ACB-8553-5E0218C5689A/0/FactfindingreportKurdistanRegionofIraq11042016.pdf" TargetMode="External"/><Relationship Id="rId7" Type="http://schemas.openxmlformats.org/officeDocument/2006/relationships/hyperlink" Target="http://minorityrights.org/wp-content/uploads/2015/03/MRG_Rep_Iraq_ONLINE.pdf" TargetMode="External"/><Relationship Id="rId71" Type="http://schemas.openxmlformats.org/officeDocument/2006/relationships/hyperlink" Target="http://masaratiraq.org/wp-content/uploads/2015/09/AT-CROSSROADS.pdf" TargetMode="External"/><Relationship Id="rId2" Type="http://schemas.openxmlformats.org/officeDocument/2006/relationships/hyperlink" Target="http://www.state.gov/j/drl/rls/irf/2014/nea/238456.htm" TargetMode="External"/><Relationship Id="rId16" Type="http://schemas.openxmlformats.org/officeDocument/2006/relationships/hyperlink" Target="http://masaratiraq.org/wp-content/uploads/2015/09/AT-CROSSROADS.pdf" TargetMode="External"/><Relationship Id="rId29" Type="http://schemas.openxmlformats.org/officeDocument/2006/relationships/hyperlink" Target="http://www.state.gov/j/drl/rls/irf/2014/nea/238456.htm" TargetMode="External"/><Relationship Id="rId11" Type="http://schemas.openxmlformats.org/officeDocument/2006/relationships/hyperlink" Target="http://masaratiraq.org/wp-content/uploads/2015/09/AT-CROSSROADS.pdf" TargetMode="External"/><Relationship Id="rId24" Type="http://schemas.openxmlformats.org/officeDocument/2006/relationships/hyperlink" Target="http://www.state.gov/j/drl/rls/irf/2014/nea/238456.htm" TargetMode="External"/><Relationship Id="rId32" Type="http://schemas.openxmlformats.org/officeDocument/2006/relationships/hyperlink" Target="http://www.ecoi.net/file_upload/1930_1414494869_mrg-ceasefire-report-iraq-2014.pdf" TargetMode="External"/><Relationship Id="rId37" Type="http://schemas.openxmlformats.org/officeDocument/2006/relationships/hyperlink" Target="http://masaratiraq.org/wp-content/uploads/2015/09/AT-CROSSROADS.pdf" TargetMode="External"/><Relationship Id="rId40" Type="http://schemas.openxmlformats.org/officeDocument/2006/relationships/hyperlink" Target="http://masaratiraq.org/wp-content/uploads/2015/09/AT-CROSSROADS.pdf" TargetMode="External"/><Relationship Id="rId45" Type="http://schemas.openxmlformats.org/officeDocument/2006/relationships/hyperlink" Target="http://masaratiraq.org/wp-content/uploads/2015/09/AT-CROSSROADS.pdf%20p.12" TargetMode="External"/><Relationship Id="rId53" Type="http://schemas.openxmlformats.org/officeDocument/2006/relationships/hyperlink" Target="http://minorityrights.org/wp-content/uploads/2015/03/MRG_Rep_Iraq_ONLINE.pdf" TargetMode="External"/><Relationship Id="rId58" Type="http://schemas.openxmlformats.org/officeDocument/2006/relationships/hyperlink" Target="http://masaratiraq.org/wp-content/uploads/2015/09/AT-CROSSROADS.pdf" TargetMode="External"/><Relationship Id="rId66" Type="http://schemas.openxmlformats.org/officeDocument/2006/relationships/hyperlink" Target="http://masaratiraq.org/wp-content/uploads/2015/09/AT-CROSSROADS.pdf" TargetMode="External"/><Relationship Id="rId74" Type="http://schemas.openxmlformats.org/officeDocument/2006/relationships/hyperlink" Target="http://www.state.gov/j/drl/rls/irf/2014/nea/238456.htm" TargetMode="External"/><Relationship Id="rId79" Type="http://schemas.openxmlformats.org/officeDocument/2006/relationships/hyperlink" Target="http://www.refworld.org/docid/544e4b3c4.html" TargetMode="External"/><Relationship Id="rId5" Type="http://schemas.openxmlformats.org/officeDocument/2006/relationships/hyperlink" Target="http://masaratiraq.org/wp-content/uploads/2015/09/AT-CROSSROADS.pdf" TargetMode="External"/><Relationship Id="rId61" Type="http://schemas.openxmlformats.org/officeDocument/2006/relationships/hyperlink" Target="http://minorityrights.org/wp-content/uploads/2015/03/MRG_Rep_Iraq_ONLINE.pdf" TargetMode="External"/><Relationship Id="rId82" Type="http://schemas.openxmlformats.org/officeDocument/2006/relationships/hyperlink" Target="http://www.state.gov/j/drl/rls/irf/2014/nea/238456.htm" TargetMode="External"/><Relationship Id="rId19" Type="http://schemas.openxmlformats.org/officeDocument/2006/relationships/hyperlink" Target="http://masaratiraq.org/wp-content/uploads/2015/09/AT-CROSSROADS.pdf" TargetMode="External"/><Relationship Id="rId4" Type="http://schemas.openxmlformats.org/officeDocument/2006/relationships/hyperlink" Target="http://www.state.gov/j/drl/rls/irf/2014/nea/238456.htm" TargetMode="External"/><Relationship Id="rId9" Type="http://schemas.openxmlformats.org/officeDocument/2006/relationships/hyperlink" Target="http://news.nationalgeographic.com/news/2014/08/140827-iraq-dahuk-islamic-state-assyrian-christians-peshmerga-nineveh-kurdistan/" TargetMode="External"/><Relationship Id="rId14" Type="http://schemas.openxmlformats.org/officeDocument/2006/relationships/hyperlink" Target="http://www.state.gov/j/drl/rls/irf/2014/nea/238456.htm" TargetMode="External"/><Relationship Id="rId22" Type="http://schemas.openxmlformats.org/officeDocument/2006/relationships/hyperlink" Target="http://www.state.gov/j/drl/rls/irf/2014/nea/238456.htm" TargetMode="External"/><Relationship Id="rId27" Type="http://schemas.openxmlformats.org/officeDocument/2006/relationships/hyperlink" Target="http://www.state.gov/j/drl/rls/irf/2014/nea/238456.htm" TargetMode="External"/><Relationship Id="rId30" Type="http://schemas.openxmlformats.org/officeDocument/2006/relationships/hyperlink" Target="http://www.refworld.org/docid/4fc77d522.html" TargetMode="External"/><Relationship Id="rId35" Type="http://schemas.openxmlformats.org/officeDocument/2006/relationships/hyperlink" Target="http://www.state.gov/j/drl/rls/irf/2014/nea/238456.htm" TargetMode="External"/><Relationship Id="rId43" Type="http://schemas.openxmlformats.org/officeDocument/2006/relationships/hyperlink" Target="http://www.state.gov/j/drl/rls/irf/2014/nea/238456.htm" TargetMode="External"/><Relationship Id="rId48" Type="http://schemas.openxmlformats.org/officeDocument/2006/relationships/hyperlink" Target="http://www.uniraq.org/index.php?option=com_k2&amp;view=item&amp;task=download&amp;id=1660_f694b996c122ba6ea212cd3fa4344381&amp;Itemid=650&amp;lang=en" TargetMode="External"/><Relationship Id="rId56" Type="http://schemas.openxmlformats.org/officeDocument/2006/relationships/hyperlink" Target="http://masaratiraq.org/wp-content/uploads/2015/09/AT-CROSSROADS.pdf" TargetMode="External"/><Relationship Id="rId64" Type="http://schemas.openxmlformats.org/officeDocument/2006/relationships/hyperlink" Target="http://masaratiraq.org/wp-content/uploads/2015/09/AT-CROSSROADS.pdf" TargetMode="External"/><Relationship Id="rId69" Type="http://schemas.openxmlformats.org/officeDocument/2006/relationships/hyperlink" Target="http://masaratiraq.org/wp-content/uploads/2015/09/AT-CROSSROADS.pdf" TargetMode="External"/><Relationship Id="rId77" Type="http://schemas.openxmlformats.org/officeDocument/2006/relationships/hyperlink" Target="http://masaratiraq.org/wp-content/uploads/2015/09/AT-CROSSROADS.pdf" TargetMode="External"/><Relationship Id="rId8" Type="http://schemas.openxmlformats.org/officeDocument/2006/relationships/hyperlink" Target="http://gulf2000.columbia.edu/images/maps/Baghdad_Ethnic_2015_lg.png" TargetMode="External"/><Relationship Id="rId51" Type="http://schemas.openxmlformats.org/officeDocument/2006/relationships/hyperlink" Target="http://minorityrights.org/wp-content/uploads/2016/06/MRG_CFRep_Iraq_Jun16_4.pdf" TargetMode="External"/><Relationship Id="rId72" Type="http://schemas.openxmlformats.org/officeDocument/2006/relationships/hyperlink" Target="http://www.state.gov/j/drl/rls/irf/2014/nea/238456.htm" TargetMode="External"/><Relationship Id="rId80" Type="http://schemas.openxmlformats.org/officeDocument/2006/relationships/hyperlink" Target="http://www.uscirf.gov/sites/default/files/USCIRF%202016%20Annual%20Report.pdf" TargetMode="External"/><Relationship Id="rId85" Type="http://schemas.openxmlformats.org/officeDocument/2006/relationships/hyperlink" Target="https://www.nyidanmark.dk/NR/rdonlyres/4B4E8C12-84B7-4ACB-8553-5E0218C5689A/0/FactfindingreportKurdistanRegionofIraq11042016.pdf" TargetMode="External"/><Relationship Id="rId3" Type="http://schemas.openxmlformats.org/officeDocument/2006/relationships/hyperlink" Target="http://www.state.gov/j/drl/rls/irf/2014/nea/238456.htm" TargetMode="External"/><Relationship Id="rId12" Type="http://schemas.openxmlformats.org/officeDocument/2006/relationships/hyperlink" Target="http://minorityrights.org/wp-content/uploads/2015/03/MRG_Rep_Iraq_ONLINE.pdf" TargetMode="External"/><Relationship Id="rId17" Type="http://schemas.openxmlformats.org/officeDocument/2006/relationships/hyperlink" Target="http://minorityrights.org/minorities/sabian-mandaeans/" TargetMode="External"/><Relationship Id="rId25" Type="http://schemas.openxmlformats.org/officeDocument/2006/relationships/hyperlink" Target="http://www.iraqicivilsociety.org/wp-content/uploads/2015/08/A-Reading-for-the-Law-of-Protecting-Components-in-Kurdistan-english.pdf" TargetMode="External"/><Relationship Id="rId33" Type="http://schemas.openxmlformats.org/officeDocument/2006/relationships/hyperlink" Target="http://www.state.gov/j/drl/rls/irf/2014/nea/238456.htm" TargetMode="External"/><Relationship Id="rId38" Type="http://schemas.openxmlformats.org/officeDocument/2006/relationships/hyperlink" Target="http://masaratiraq.org/wp-content/uploads/2015/09/AT-CROSSROADS.pdf" TargetMode="External"/><Relationship Id="rId46" Type="http://schemas.openxmlformats.org/officeDocument/2006/relationships/hyperlink" Target="http://www.refworld.org/docid/544e4b3c4.html" TargetMode="External"/><Relationship Id="rId59" Type="http://schemas.openxmlformats.org/officeDocument/2006/relationships/hyperlink" Target="http://masaratiraq.org/wp-content/uploads/2015/09/AT-CROSSROADS.pdf" TargetMode="External"/><Relationship Id="rId67" Type="http://schemas.openxmlformats.org/officeDocument/2006/relationships/hyperlink" Target="http://www.state.gov/j/drl/rls/irf/2014/nea/238456.htm" TargetMode="External"/><Relationship Id="rId20" Type="http://schemas.openxmlformats.org/officeDocument/2006/relationships/hyperlink" Target="http://www.state.gov/j/drl/rls/irf/2014/nea/238456.htm" TargetMode="External"/><Relationship Id="rId41" Type="http://schemas.openxmlformats.org/officeDocument/2006/relationships/hyperlink" Target="http://www.state.gov/j/drl/rls/irf/2014/nea/238456.htm" TargetMode="External"/><Relationship Id="rId54" Type="http://schemas.openxmlformats.org/officeDocument/2006/relationships/hyperlink" Target="http://minorityrights.org/wp-content/uploads/2016/06/MRG_CFRep_Iraq_Jun16_4.pdf" TargetMode="External"/><Relationship Id="rId62" Type="http://schemas.openxmlformats.org/officeDocument/2006/relationships/hyperlink" Target="http://masaratiraq.org/wp-content/uploads/2015/09/AT-CROSSROADS.pdf" TargetMode="External"/><Relationship Id="rId70" Type="http://schemas.openxmlformats.org/officeDocument/2006/relationships/hyperlink" Target="http://masaratiraq.org/wp-content/uploads/2015/09/AT-CROSSROADS.pdf" TargetMode="External"/><Relationship Id="rId75" Type="http://schemas.openxmlformats.org/officeDocument/2006/relationships/hyperlink" Target="http://www.uscirf.gov/sites/default/files/USCIRF%202016%20Annual%20Report.pdf" TargetMode="External"/><Relationship Id="rId83" Type="http://schemas.openxmlformats.org/officeDocument/2006/relationships/hyperlink" Target="http://masaratiraq.org/wp-content/uploads/2015/09/AT-CROSSROADS.pdf" TargetMode="External"/><Relationship Id="rId1" Type="http://schemas.openxmlformats.org/officeDocument/2006/relationships/hyperlink" Target="http://www.state.gov/j/drl/rls/irf/2014/nea/238456.htm" TargetMode="External"/><Relationship Id="rId6" Type="http://schemas.openxmlformats.org/officeDocument/2006/relationships/hyperlink" Target="http://www.state.gov/j/drl/rls/irf/2014/nea/238456.htm" TargetMode="External"/><Relationship Id="rId15" Type="http://schemas.openxmlformats.org/officeDocument/2006/relationships/hyperlink" Target="http://www.state.gov/j/drl/rls/irf/2014/nea/238456.htm" TargetMode="External"/><Relationship Id="rId23" Type="http://schemas.openxmlformats.org/officeDocument/2006/relationships/hyperlink" Target="http://www.state.gov/j/drl/rls/irf/2014/nea/238456.htm" TargetMode="External"/><Relationship Id="rId28" Type="http://schemas.openxmlformats.org/officeDocument/2006/relationships/hyperlink" Target="http://www.state.gov/j/drl/rls/irf/2014/nea/238456.htm" TargetMode="External"/><Relationship Id="rId36" Type="http://schemas.openxmlformats.org/officeDocument/2006/relationships/hyperlink" Target="http://www.uniraq.org/index.php?option=com_k2&amp;view=item&amp;task=download&amp;id=1660_f694b996c122ba6ea212cd3fa4344381&amp;Itemid=650&amp;lang=en" TargetMode="External"/><Relationship Id="rId49" Type="http://schemas.openxmlformats.org/officeDocument/2006/relationships/hyperlink" Target="http://minorityrights.org/minorities/sabian-mandaeans/" TargetMode="External"/><Relationship Id="rId57" Type="http://schemas.openxmlformats.org/officeDocument/2006/relationships/hyperlink" Target="http://www.uscirf.gov/sites/default/files/USCIRF%202016%20Annual%20Report.pdf" TargetMode="External"/><Relationship Id="rId10" Type="http://schemas.openxmlformats.org/officeDocument/2006/relationships/hyperlink" Target="http://www.state.gov/j/drl/rls/irf/2014/nea/238456.htm" TargetMode="External"/><Relationship Id="rId31" Type="http://schemas.openxmlformats.org/officeDocument/2006/relationships/hyperlink" Target="http://lawandhumanrights.org/documents/MinorityHB_EN.pdf" TargetMode="External"/><Relationship Id="rId44" Type="http://schemas.openxmlformats.org/officeDocument/2006/relationships/hyperlink" Target="http://minorityrights.org/wp-content/uploads/2015/03/MRG_Rep_Iraq_ONLINE.pdf" TargetMode="External"/><Relationship Id="rId52" Type="http://schemas.openxmlformats.org/officeDocument/2006/relationships/hyperlink" Target="http://www.state.gov/j/drl/rls/irf/2014/nea/238456.htm" TargetMode="External"/><Relationship Id="rId60" Type="http://schemas.openxmlformats.org/officeDocument/2006/relationships/hyperlink" Target="http://masaratiraq.org/wp-content/uploads/2015/09/AT-CROSSROADS.pdf" TargetMode="External"/><Relationship Id="rId65" Type="http://schemas.openxmlformats.org/officeDocument/2006/relationships/hyperlink" Target="http://masaratiraq.org/wp-content/uploads/2015/09/AT-CROSSROADS.pdf" TargetMode="External"/><Relationship Id="rId73" Type="http://schemas.openxmlformats.org/officeDocument/2006/relationships/hyperlink" Target="http://masaratiraq.org/wp-content/uploads/2015/09/AT-CROSSROADS.pdf" TargetMode="External"/><Relationship Id="rId78" Type="http://schemas.openxmlformats.org/officeDocument/2006/relationships/hyperlink" Target="http://www.internal-displacement.org/middle-east-and-north-africa/iraq/2015/iraq-idps-caught-between-a-rock-and-a-hard-place-as-displacement-crisis-deepens" TargetMode="External"/><Relationship Id="rId81" Type="http://schemas.openxmlformats.org/officeDocument/2006/relationships/hyperlink" Target="http://dfr.gov.krd/a/d.aspx?l=12&amp;a=4554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34ce4787-90fb-4999-a291-ca9299122cd3">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2.xml><?xml version="1.0" encoding="utf-8"?>
<?mso-contentType ?>
<SharedContentType xmlns="Microsoft.SharePoint.Taxonomy.ContentTypeSync" SourceId="47c09a6c-e0e3-4477-ae9b-2effd2a8cb0c" ContentTypeId="0x01010013C1D610CEDDE9499BC03C1C1CDDDA230601" PreviousValue="true"/>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2017-08-12T12:15:19+00:00</_dlc_ExpireDate>
    <_dlc_DocId xmlns="6118b057-8ff5-44e4-b1de-321b26ad5719">HOPROCBF-12-2648</_dlc_DocId>
    <_dlc_DocIdUrl xmlns="6118b057-8ff5-44e4-b1de-321b26ad5719">
      <Url>https://teams.ho.cedrm.fgs-cloud.com/sites/PROCBF/CPIPROC/_layouts/DocIdRedir.aspx?ID=HOPROCBF-12-2648</Url>
      <Description>HOPROCBF-12-2648</Description>
    </_dlc_DocIdUrl>
    <_dlc_Exempt xmlns="http://schemas.microsoft.com/sharepoint/v3">false</_dlc_Exempt>
    <_dlc_DocIdPersistId xmlns="6118b057-8ff5-44e4-b1de-321b26ad5719">false</_dlc_DocIdPersistId>
  </documentManagement>
</p:properties>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2" ma:contentTypeDescription="Process Support Document" ma:contentTypeScope="" ma:versionID="e3d57bc6a4b2ce24c0c68691a76e633d">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3793e2189b80a21af697d8aafbaa7a64"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empt" minOccurs="0"/>
                <xsd:element ref="ns2:_dlc_ExpireDateSaved" minOccurs="0"/>
                <xsd:element ref="ns2: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4" nillable="true" ma:displayName="Exempt from Policy" ma:hidden="true" ma:internalName="_dlc_Exempt" ma:readOnly="true">
      <xsd:simpleType>
        <xsd:restriction base="dms:Unknown"/>
      </xsd:simpleType>
    </xsd:element>
    <xsd:element name="_dlc_ExpireDateSaved" ma:index="35" nillable="true" ma:displayName="Original Expiration Date" ma:hidden="true" ma:internalName="_dlc_ExpireDateSaved" ma:readOnly="true">
      <xsd:simpleType>
        <xsd:restriction base="dms:DateTime"/>
      </xsd:simpleType>
    </xsd:element>
    <xsd:element name="_dlc_ExpireDate" ma:index="36"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BBC</b:Tag>
    <b:SourceType>DocumentFromInternetSite</b:SourceType>
    <b:Guid>{180A79FC-AC62-4176-B632-E37BE301657C}</b:Guid>
    <b:Author>
      <b:Author>
        <b:Corporate>Author</b:Corporate>
      </b:Author>
    </b:Author>
    <b:YearAccessed>2015</b:YearAccessed>
    <b:MonthAccessed>mmmm</b:MonthAccessed>
    <b:DayAccessed>dd</b:DayAccessed>
    <b:URL>URL</b:URL>
    <b:InternetSiteTitle>Name of Website</b:InternetSiteTitle>
    <b:Year>2015</b:Year>
    <b:Month>Month</b:Month>
    <b:Day>Day</b:Day>
    <b:RefOrder>2</b:RefOrder>
  </b:Source>
  <b:Source>
    <b:Tag>Amn15</b:Tag>
    <b:SourceType>DocumentFromInternetSite</b:SourceType>
    <b:Guid>{544D5D3E-CC6C-4AD7-A7C9-CBC7AD657B7A}</b:Guid>
    <b:Author>
      <b:Author>
        <b:Corporate>Amnesty International</b:Corporate>
      </b:Author>
    </b:Author>
    <b:Year>2015</b:Year>
    <b:Month>month</b:Month>
    <b:Day>day</b:Day>
    <b:YearAccessed>ya</b:YearAccessed>
    <b:MonthAccessed>ma</b:MonthAccessed>
    <b:DayAccessed>da</b:DayAccessed>
    <b:URL>www.amnesty.org</b:URL>
    <b:RefOrder>1</b:RefOrder>
  </b:Source>
</b:Sources>
</file>

<file path=customXml/itemProps1.xml><?xml version="1.0" encoding="utf-8"?>
<ds:datastoreItem xmlns:ds="http://schemas.openxmlformats.org/officeDocument/2006/customXml" ds:itemID="{3DDA9F23-21F5-41FC-80FE-4004B66B41CF}">
  <ds:schemaRefs>
    <ds:schemaRef ds:uri="office.server.policy"/>
  </ds:schemaRefs>
</ds:datastoreItem>
</file>

<file path=customXml/itemProps2.xml><?xml version="1.0" encoding="utf-8"?>
<ds:datastoreItem xmlns:ds="http://schemas.openxmlformats.org/officeDocument/2006/customXml" ds:itemID="{27D61205-C0D3-44AD-9285-F340D569BDD0}">
  <ds:schemaRefs>
    <ds:schemaRef ds:uri="Microsoft.SharePoint.Taxonomy.ContentTypeSync"/>
  </ds:schemaRefs>
</ds:datastoreItem>
</file>

<file path=customXml/itemProps3.xml><?xml version="1.0" encoding="utf-8"?>
<ds:datastoreItem xmlns:ds="http://schemas.openxmlformats.org/officeDocument/2006/customXml" ds:itemID="{0CF985BA-9836-4116-A7E2-7DF6F04FC94A}">
  <ds:schemaRefs>
    <ds:schemaRef ds:uri="http://schemas.microsoft.com/sharepoint/events"/>
  </ds:schemaRefs>
</ds:datastoreItem>
</file>

<file path=customXml/itemProps4.xml><?xml version="1.0" encoding="utf-8"?>
<ds:datastoreItem xmlns:ds="http://schemas.openxmlformats.org/officeDocument/2006/customXml" ds:itemID="{14F78B95-C94A-4535-9205-C50D231A263C}">
  <ds:schemaRefs>
    <ds:schemaRef ds:uri="http://schemas.microsoft.com/sharepoint/v3/contenttype/forms"/>
  </ds:schemaRefs>
</ds:datastoreItem>
</file>

<file path=customXml/itemProps5.xml><?xml version="1.0" encoding="utf-8"?>
<ds:datastoreItem xmlns:ds="http://schemas.openxmlformats.org/officeDocument/2006/customXml" ds:itemID="{F117CAA7-1DD8-4E74-9039-90C8DDB681A3}">
  <ds:schemaRefs>
    <ds:schemaRef ds:uri="http://purl.org/dc/elements/1.1/"/>
    <ds:schemaRef ds:uri="http://schemas.microsoft.com/office/2006/metadata/properties"/>
    <ds:schemaRef ds:uri="6118b057-8ff5-44e4-b1de-321b26ad5719"/>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A90EA95D-C6A5-4DF0-8C48-5B72BBAD6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927D085-72F4-4082-BFDD-529EBB705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73AB046D</Template>
  <TotalTime>4</TotalTime>
  <Pages>31</Pages>
  <Words>9975</Words>
  <Characters>56864</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CIG Template</vt:lpstr>
    </vt:vector>
  </TitlesOfParts>
  <Company>Home Office</Company>
  <LinksUpToDate>false</LinksUpToDate>
  <CharactersWithSpaces>66706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CIG Template</dc:title>
  <dc:creator>Country Policy &amp; Information Team</dc:creator>
  <cp:lastModifiedBy>Hicks Christopher</cp:lastModifiedBy>
  <cp:revision>4</cp:revision>
  <dcterms:created xsi:type="dcterms:W3CDTF">2016-08-17T14:54:00Z</dcterms:created>
  <dcterms:modified xsi:type="dcterms:W3CDTF">2019-10-08T08:50:00Z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489c0100-3920-4b0e-9308-a18f0ee6d006</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Business_x0020_Function_x0020_Level_x0020_3">
    <vt:lpwstr/>
  </property>
  <property fmtid="{D5CDD505-2E9C-101B-9397-08002B2CF9AE}" pid="13" name="dlc_EmailMailbox">
    <vt:lpwstr/>
  </property>
  <property fmtid="{D5CDD505-2E9C-101B-9397-08002B2CF9AE}" pid="14" name="dlc_EmailBCC">
    <vt:lpwstr/>
  </property>
  <property fmtid="{D5CDD505-2E9C-101B-9397-08002B2CF9AE}" pid="15" name="xd_Signature">
    <vt:bool>false</vt:bool>
  </property>
  <property fmtid="{D5CDD505-2E9C-101B-9397-08002B2CF9AE}" pid="16" name="ol_Department">
    <vt:lpwstr/>
  </property>
  <property fmtid="{D5CDD505-2E9C-101B-9397-08002B2CF9AE}" pid="17" name="WorkState">
    <vt:lpwstr/>
  </property>
  <property fmtid="{D5CDD505-2E9C-101B-9397-08002B2CF9AE}" pid="18" name="WorkCountry">
    <vt:lpwstr/>
  </property>
  <property fmtid="{D5CDD505-2E9C-101B-9397-08002B2CF9AE}" pid="19" name="xd_ProgID">
    <vt:lpwstr/>
  </property>
  <property fmtid="{D5CDD505-2E9C-101B-9397-08002B2CF9AE}" pid="20" name="dlc_EmailCC">
    <vt:lpwstr/>
  </property>
  <property fmtid="{D5CDD505-2E9C-101B-9397-08002B2CF9AE}" pid="21" name="dlc_EmailSubject">
    <vt:lpwstr/>
  </property>
  <property fmtid="{D5CDD505-2E9C-101B-9397-08002B2CF9AE}" pid="22" name="Location">
    <vt:lpwstr/>
  </property>
  <property fmtid="{D5CDD505-2E9C-101B-9397-08002B2CF9AE}" pid="23" name="_SourceUrl">
    <vt:lpwstr/>
  </property>
  <property fmtid="{D5CDD505-2E9C-101B-9397-08002B2CF9AE}" pid="24" name="Folder Description">
    <vt:lpwstr/>
  </property>
  <property fmtid="{D5CDD505-2E9C-101B-9397-08002B2CF9AE}" pid="25" name="dlc_EmailTo">
    <vt:lpwstr/>
  </property>
  <property fmtid="{D5CDD505-2E9C-101B-9397-08002B2CF9AE}" pid="26" name="WorkAddress">
    <vt:lpwstr/>
  </property>
  <property fmtid="{D5CDD505-2E9C-101B-9397-08002B2CF9AE}" pid="27" name="WorkCity">
    <vt:lpwstr/>
  </property>
  <property fmtid="{D5CDD505-2E9C-101B-9397-08002B2CF9AE}" pid="28" name="cx_originalversion">
    <vt:lpwstr>0.2</vt:lpwstr>
  </property>
  <property fmtid="{D5CDD505-2E9C-101B-9397-08002B2CF9AE}" pid="29" name="TemplateUrl">
    <vt:lpwstr/>
  </property>
  <property fmtid="{D5CDD505-2E9C-101B-9397-08002B2CF9AE}" pid="30" name="WorkZip">
    <vt:lpwstr/>
  </property>
  <property fmtid="{D5CDD505-2E9C-101B-9397-08002B2CF9AE}" pid="31" name="IconOverlay">
    <vt:lpwstr/>
  </property>
  <property fmtid="{D5CDD505-2E9C-101B-9397-08002B2CF9AE}" pid="32" name="FileReference">
    <vt:lpwstr/>
  </property>
  <property fmtid="{D5CDD505-2E9C-101B-9397-08002B2CF9AE}" pid="33" name="FileDescription">
    <vt:lpwstr/>
  </property>
  <property fmtid="{D5CDD505-2E9C-101B-9397-08002B2CF9AE}" pid="34" name="dlc_EmailFrom">
    <vt:lpwstr/>
  </property>
  <property fmtid="{D5CDD505-2E9C-101B-9397-08002B2CF9AE}" pid="35" name="Office">
    <vt:lpwstr/>
  </property>
  <property fmtid="{D5CDD505-2E9C-101B-9397-08002B2CF9AE}" pid="36" name="URL">
    <vt:lpwstr/>
  </property>
  <property fmtid="{D5CDD505-2E9C-101B-9397-08002B2CF9AE}" pid="37" name="CX_RelocationTimestamp">
    <vt:lpwstr>2016-05-19T11:01:58Z</vt:lpwstr>
  </property>
  <property fmtid="{D5CDD505-2E9C-101B-9397-08002B2CF9AE}" pid="38" name="CX_RelocationUser">
    <vt:lpwstr>Bill Lacy</vt:lpwstr>
  </property>
  <property fmtid="{D5CDD505-2E9C-101B-9397-08002B2CF9AE}" pid="39" name="CX_RelocationOperation">
    <vt:lpwstr>Copy</vt:lpwstr>
  </property>
  <property fmtid="{D5CDD505-2E9C-101B-9397-08002B2CF9AE}" pid="40" name="Business Function Level 3">
    <vt:lpwstr/>
  </property>
</Properties>
</file>