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12F" w:rsidRDefault="0054112F" w:rsidP="0054112F">
      <w:pPr>
        <w:widowControl w:val="0"/>
        <w:spacing w:line="276" w:lineRule="auto"/>
        <w:ind w:left="1560"/>
        <w:contextualSpacing/>
        <w:jc w:val="center"/>
        <w:rPr>
          <w:rFonts w:asciiTheme="majorHAnsi" w:hAnsiTheme="majorHAnsi"/>
          <w:b/>
          <w:sz w:val="22"/>
          <w:szCs w:val="22"/>
          <w:lang w:val="en-GB"/>
        </w:rPr>
      </w:pPr>
      <w:bookmarkStart w:id="0" w:name="_GoBack"/>
      <w:bookmarkEnd w:id="0"/>
    </w:p>
    <w:p w:rsidR="0054112F" w:rsidRDefault="0054112F" w:rsidP="0054112F">
      <w:pPr>
        <w:widowControl w:val="0"/>
        <w:spacing w:line="276" w:lineRule="auto"/>
        <w:ind w:left="1560"/>
        <w:contextualSpacing/>
        <w:jc w:val="center"/>
        <w:rPr>
          <w:rFonts w:asciiTheme="majorHAnsi" w:hAnsiTheme="majorHAnsi"/>
          <w:b/>
          <w:sz w:val="22"/>
          <w:szCs w:val="22"/>
          <w:lang w:val="en-GB"/>
        </w:rPr>
      </w:pPr>
    </w:p>
    <w:p w:rsidR="0054112F" w:rsidRDefault="0054112F" w:rsidP="0054112F">
      <w:pPr>
        <w:widowControl w:val="0"/>
        <w:spacing w:line="276" w:lineRule="auto"/>
        <w:ind w:left="1560"/>
        <w:contextualSpacing/>
        <w:jc w:val="center"/>
        <w:rPr>
          <w:rFonts w:asciiTheme="majorHAnsi" w:hAnsiTheme="majorHAnsi"/>
          <w:b/>
          <w:sz w:val="22"/>
          <w:szCs w:val="22"/>
          <w:lang w:val="en-GB"/>
        </w:rPr>
      </w:pPr>
    </w:p>
    <w:p w:rsidR="0054112F" w:rsidRDefault="0054112F" w:rsidP="0054112F">
      <w:pPr>
        <w:widowControl w:val="0"/>
        <w:spacing w:line="276" w:lineRule="auto"/>
        <w:ind w:left="1560"/>
        <w:contextualSpacing/>
        <w:jc w:val="center"/>
        <w:rPr>
          <w:rFonts w:asciiTheme="majorHAnsi" w:hAnsiTheme="majorHAnsi"/>
          <w:b/>
          <w:sz w:val="22"/>
          <w:szCs w:val="22"/>
          <w:lang w:val="en-GB"/>
        </w:rPr>
      </w:pPr>
    </w:p>
    <w:p w:rsidR="0054112F" w:rsidRDefault="0054112F" w:rsidP="0054112F">
      <w:pPr>
        <w:widowControl w:val="0"/>
        <w:spacing w:line="276" w:lineRule="auto"/>
        <w:ind w:left="1560"/>
        <w:contextualSpacing/>
        <w:jc w:val="center"/>
        <w:rPr>
          <w:rFonts w:asciiTheme="majorHAnsi" w:hAnsiTheme="majorHAnsi"/>
          <w:b/>
          <w:sz w:val="22"/>
          <w:szCs w:val="22"/>
          <w:lang w:val="en-GB"/>
        </w:rPr>
      </w:pPr>
    </w:p>
    <w:p w:rsidR="0054112F" w:rsidRDefault="0054112F" w:rsidP="0054112F">
      <w:pPr>
        <w:widowControl w:val="0"/>
        <w:spacing w:line="276" w:lineRule="auto"/>
        <w:ind w:left="1560"/>
        <w:contextualSpacing/>
        <w:jc w:val="center"/>
        <w:rPr>
          <w:rFonts w:asciiTheme="majorHAnsi" w:hAnsiTheme="majorHAnsi"/>
          <w:b/>
          <w:sz w:val="22"/>
          <w:szCs w:val="22"/>
          <w:lang w:val="en-GB"/>
        </w:rPr>
      </w:pPr>
    </w:p>
    <w:p w:rsidR="001A761A" w:rsidRDefault="001A761A" w:rsidP="0054112F">
      <w:pPr>
        <w:widowControl w:val="0"/>
        <w:spacing w:line="276" w:lineRule="auto"/>
        <w:ind w:left="1560"/>
        <w:contextualSpacing/>
        <w:jc w:val="center"/>
        <w:rPr>
          <w:rFonts w:asciiTheme="majorHAnsi" w:hAnsiTheme="majorHAnsi"/>
          <w:b/>
          <w:sz w:val="22"/>
          <w:szCs w:val="22"/>
          <w:lang w:val="en-GB"/>
        </w:rPr>
      </w:pPr>
    </w:p>
    <w:p w:rsidR="001A761A" w:rsidRDefault="001A761A" w:rsidP="0054112F">
      <w:pPr>
        <w:widowControl w:val="0"/>
        <w:spacing w:line="276" w:lineRule="auto"/>
        <w:ind w:left="1560"/>
        <w:contextualSpacing/>
        <w:jc w:val="center"/>
        <w:rPr>
          <w:rFonts w:asciiTheme="majorHAnsi" w:hAnsiTheme="majorHAnsi"/>
          <w:b/>
          <w:sz w:val="22"/>
          <w:szCs w:val="22"/>
          <w:lang w:val="en-GB"/>
        </w:rPr>
      </w:pPr>
    </w:p>
    <w:p w:rsidR="001A761A" w:rsidRDefault="001A761A" w:rsidP="0054112F">
      <w:pPr>
        <w:widowControl w:val="0"/>
        <w:spacing w:line="276" w:lineRule="auto"/>
        <w:ind w:left="1560"/>
        <w:contextualSpacing/>
        <w:jc w:val="center"/>
        <w:rPr>
          <w:rFonts w:asciiTheme="majorHAnsi" w:hAnsiTheme="majorHAnsi"/>
          <w:b/>
          <w:sz w:val="22"/>
          <w:szCs w:val="22"/>
          <w:lang w:val="en-GB"/>
        </w:rPr>
      </w:pPr>
    </w:p>
    <w:p w:rsidR="001A761A" w:rsidRDefault="001A761A" w:rsidP="0054112F">
      <w:pPr>
        <w:widowControl w:val="0"/>
        <w:spacing w:line="276" w:lineRule="auto"/>
        <w:ind w:left="1560"/>
        <w:contextualSpacing/>
        <w:jc w:val="center"/>
        <w:rPr>
          <w:rFonts w:asciiTheme="majorHAnsi" w:hAnsiTheme="majorHAnsi"/>
          <w:b/>
          <w:sz w:val="22"/>
          <w:szCs w:val="22"/>
          <w:lang w:val="en-GB"/>
        </w:rPr>
      </w:pPr>
    </w:p>
    <w:p w:rsidR="0054112F" w:rsidRPr="00EB594F" w:rsidRDefault="0054112F" w:rsidP="0054112F">
      <w:pPr>
        <w:widowControl w:val="0"/>
        <w:spacing w:line="276" w:lineRule="auto"/>
        <w:ind w:left="1560"/>
        <w:contextualSpacing/>
        <w:jc w:val="center"/>
        <w:rPr>
          <w:rFonts w:asciiTheme="majorHAnsi" w:hAnsiTheme="majorHAnsi"/>
          <w:b/>
          <w:sz w:val="22"/>
          <w:szCs w:val="22"/>
          <w:lang w:val="en-GB"/>
        </w:rPr>
      </w:pPr>
      <w:r w:rsidRPr="00EB594F">
        <w:rPr>
          <w:rFonts w:asciiTheme="majorHAnsi" w:hAnsiTheme="majorHAnsi"/>
          <w:b/>
          <w:sz w:val="22"/>
          <w:szCs w:val="22"/>
          <w:lang w:val="en-GB"/>
        </w:rPr>
        <w:t>The Equal Rights Trust</w:t>
      </w:r>
    </w:p>
    <w:p w:rsidR="0054112F" w:rsidRPr="00EB594F" w:rsidRDefault="0054112F" w:rsidP="0054112F">
      <w:pPr>
        <w:widowControl w:val="0"/>
        <w:spacing w:line="276" w:lineRule="auto"/>
        <w:ind w:left="1560"/>
        <w:contextualSpacing/>
        <w:jc w:val="center"/>
        <w:rPr>
          <w:rFonts w:asciiTheme="majorHAnsi" w:hAnsiTheme="majorHAnsi"/>
          <w:sz w:val="22"/>
          <w:szCs w:val="22"/>
          <w:lang w:val="en-GB"/>
        </w:rPr>
      </w:pPr>
    </w:p>
    <w:p w:rsidR="0054112F" w:rsidRPr="00EB594F" w:rsidRDefault="0054112F" w:rsidP="0054112F">
      <w:pPr>
        <w:widowControl w:val="0"/>
        <w:spacing w:line="276" w:lineRule="auto"/>
        <w:ind w:left="1560"/>
        <w:contextualSpacing/>
        <w:jc w:val="center"/>
        <w:rPr>
          <w:rFonts w:asciiTheme="majorHAnsi" w:hAnsiTheme="majorHAnsi"/>
          <w:sz w:val="22"/>
          <w:szCs w:val="22"/>
          <w:lang w:val="en-GB"/>
        </w:rPr>
      </w:pPr>
      <w:r>
        <w:rPr>
          <w:rFonts w:asciiTheme="majorHAnsi" w:hAnsiTheme="majorHAnsi"/>
          <w:sz w:val="22"/>
          <w:szCs w:val="22"/>
          <w:lang w:val="en-GB"/>
        </w:rPr>
        <w:t>Alternative</w:t>
      </w:r>
      <w:r w:rsidRPr="00EB594F">
        <w:rPr>
          <w:rFonts w:asciiTheme="majorHAnsi" w:hAnsiTheme="majorHAnsi"/>
          <w:sz w:val="22"/>
          <w:szCs w:val="22"/>
          <w:lang w:val="en-GB"/>
        </w:rPr>
        <w:t xml:space="preserve"> report submitted to the </w:t>
      </w:r>
      <w:r>
        <w:rPr>
          <w:rFonts w:asciiTheme="majorHAnsi" w:hAnsiTheme="majorHAnsi"/>
          <w:sz w:val="22"/>
          <w:szCs w:val="22"/>
          <w:lang w:val="en-GB"/>
        </w:rPr>
        <w:t>84</w:t>
      </w:r>
      <w:r w:rsidRPr="00EB594F">
        <w:rPr>
          <w:rFonts w:asciiTheme="majorHAnsi" w:hAnsiTheme="majorHAnsi"/>
          <w:sz w:val="22"/>
          <w:szCs w:val="22"/>
          <w:vertAlign w:val="superscript"/>
          <w:lang w:val="en-GB"/>
        </w:rPr>
        <w:t>th</w:t>
      </w:r>
      <w:r w:rsidRPr="00EB594F">
        <w:rPr>
          <w:rFonts w:asciiTheme="majorHAnsi" w:hAnsiTheme="majorHAnsi"/>
          <w:sz w:val="22"/>
          <w:szCs w:val="22"/>
          <w:lang w:val="en-GB"/>
        </w:rPr>
        <w:t xml:space="preserve"> session of the Committee on the Elimination of </w:t>
      </w:r>
      <w:r>
        <w:rPr>
          <w:rFonts w:asciiTheme="majorHAnsi" w:hAnsiTheme="majorHAnsi"/>
          <w:sz w:val="22"/>
          <w:szCs w:val="22"/>
          <w:lang w:val="en-GB"/>
        </w:rPr>
        <w:t>Racial Discrimination</w:t>
      </w:r>
      <w:r w:rsidRPr="00EB594F">
        <w:rPr>
          <w:rFonts w:asciiTheme="majorHAnsi" w:hAnsiTheme="majorHAnsi"/>
          <w:sz w:val="22"/>
          <w:szCs w:val="22"/>
          <w:lang w:val="en-GB"/>
        </w:rPr>
        <w:t xml:space="preserve"> in relation to the combined </w:t>
      </w:r>
      <w:r>
        <w:rPr>
          <w:rFonts w:asciiTheme="majorHAnsi" w:hAnsiTheme="majorHAnsi"/>
          <w:sz w:val="22"/>
          <w:szCs w:val="22"/>
          <w:lang w:val="en-GB"/>
        </w:rPr>
        <w:t>sixth</w:t>
      </w:r>
      <w:r w:rsidRPr="00EB594F">
        <w:rPr>
          <w:rFonts w:asciiTheme="majorHAnsi" w:hAnsiTheme="majorHAnsi"/>
          <w:sz w:val="22"/>
          <w:szCs w:val="22"/>
          <w:lang w:val="en-GB"/>
        </w:rPr>
        <w:t xml:space="preserve"> and </w:t>
      </w:r>
      <w:r>
        <w:rPr>
          <w:rFonts w:asciiTheme="majorHAnsi" w:hAnsiTheme="majorHAnsi"/>
          <w:sz w:val="22"/>
          <w:szCs w:val="22"/>
          <w:lang w:val="en-GB"/>
        </w:rPr>
        <w:t>seventh</w:t>
      </w:r>
      <w:r w:rsidRPr="00EB594F">
        <w:rPr>
          <w:rFonts w:asciiTheme="majorHAnsi" w:hAnsiTheme="majorHAnsi"/>
          <w:sz w:val="22"/>
          <w:szCs w:val="22"/>
          <w:lang w:val="en-GB"/>
        </w:rPr>
        <w:t xml:space="preserve"> periodic reports submitted by:</w:t>
      </w:r>
    </w:p>
    <w:p w:rsidR="0054112F" w:rsidRDefault="0054112F" w:rsidP="0054112F">
      <w:pPr>
        <w:widowControl w:val="0"/>
        <w:spacing w:line="276" w:lineRule="auto"/>
        <w:ind w:left="1560"/>
        <w:contextualSpacing/>
        <w:jc w:val="center"/>
        <w:rPr>
          <w:rFonts w:asciiTheme="majorHAnsi" w:hAnsiTheme="majorHAnsi"/>
          <w:sz w:val="22"/>
          <w:szCs w:val="22"/>
          <w:lang w:val="en-GB"/>
        </w:rPr>
      </w:pPr>
    </w:p>
    <w:p w:rsidR="001A761A" w:rsidRPr="00EB594F" w:rsidRDefault="001A761A" w:rsidP="0054112F">
      <w:pPr>
        <w:widowControl w:val="0"/>
        <w:spacing w:line="276" w:lineRule="auto"/>
        <w:ind w:left="1560"/>
        <w:contextualSpacing/>
        <w:jc w:val="center"/>
        <w:rPr>
          <w:rFonts w:asciiTheme="majorHAnsi" w:hAnsiTheme="majorHAnsi"/>
          <w:sz w:val="22"/>
          <w:szCs w:val="22"/>
          <w:lang w:val="en-GB"/>
        </w:rPr>
      </w:pPr>
    </w:p>
    <w:p w:rsidR="0054112F" w:rsidRPr="00EB594F" w:rsidRDefault="0054112F" w:rsidP="0054112F">
      <w:pPr>
        <w:widowControl w:val="0"/>
        <w:spacing w:line="276" w:lineRule="auto"/>
        <w:ind w:left="1560"/>
        <w:contextualSpacing/>
        <w:jc w:val="center"/>
        <w:rPr>
          <w:rFonts w:asciiTheme="majorHAnsi" w:hAnsiTheme="majorHAnsi"/>
          <w:b/>
          <w:sz w:val="22"/>
          <w:szCs w:val="22"/>
          <w:lang w:val="en-GB"/>
        </w:rPr>
      </w:pPr>
      <w:r>
        <w:rPr>
          <w:rFonts w:asciiTheme="majorHAnsi" w:hAnsiTheme="majorHAnsi"/>
          <w:b/>
          <w:sz w:val="22"/>
          <w:szCs w:val="22"/>
          <w:lang w:val="en-GB"/>
        </w:rPr>
        <w:t>Kazakhstan</w:t>
      </w:r>
    </w:p>
    <w:p w:rsidR="0054112F" w:rsidRPr="00EB594F" w:rsidRDefault="0054112F" w:rsidP="0054112F">
      <w:pPr>
        <w:widowControl w:val="0"/>
        <w:spacing w:line="276" w:lineRule="auto"/>
        <w:ind w:left="1985" w:hanging="567"/>
        <w:contextualSpacing/>
        <w:jc w:val="center"/>
        <w:rPr>
          <w:rFonts w:asciiTheme="majorHAnsi" w:hAnsiTheme="majorHAnsi"/>
          <w:sz w:val="22"/>
          <w:szCs w:val="22"/>
          <w:lang w:val="en-GB"/>
        </w:rPr>
      </w:pPr>
    </w:p>
    <w:p w:rsidR="0054112F" w:rsidRPr="00EB594F" w:rsidRDefault="0054112F" w:rsidP="0054112F">
      <w:pPr>
        <w:widowControl w:val="0"/>
        <w:spacing w:line="276" w:lineRule="auto"/>
        <w:ind w:left="1985" w:hanging="567"/>
        <w:contextualSpacing/>
        <w:jc w:val="right"/>
        <w:rPr>
          <w:rFonts w:asciiTheme="majorHAnsi" w:hAnsiTheme="majorHAnsi"/>
          <w:sz w:val="22"/>
          <w:szCs w:val="22"/>
          <w:lang w:val="en-GB"/>
        </w:rPr>
      </w:pPr>
      <w:r>
        <w:rPr>
          <w:rFonts w:asciiTheme="majorHAnsi" w:hAnsiTheme="majorHAnsi"/>
          <w:i/>
          <w:sz w:val="22"/>
          <w:szCs w:val="22"/>
          <w:lang w:val="en-GB"/>
        </w:rPr>
        <w:t>January 2014</w:t>
      </w:r>
    </w:p>
    <w:p w:rsidR="0054112F" w:rsidRPr="00EB594F" w:rsidRDefault="0054112F" w:rsidP="0054112F">
      <w:pPr>
        <w:widowControl w:val="0"/>
        <w:spacing w:line="276" w:lineRule="auto"/>
        <w:ind w:left="2127" w:hanging="567"/>
        <w:contextualSpacing/>
        <w:jc w:val="both"/>
        <w:rPr>
          <w:rFonts w:asciiTheme="majorHAnsi" w:hAnsiTheme="majorHAnsi"/>
          <w:b/>
          <w:sz w:val="22"/>
          <w:szCs w:val="22"/>
          <w:lang w:val="en-GB"/>
        </w:rPr>
      </w:pPr>
      <w:r w:rsidRPr="00EB594F">
        <w:rPr>
          <w:rFonts w:asciiTheme="majorHAnsi" w:hAnsiTheme="majorHAnsi"/>
          <w:b/>
          <w:sz w:val="22"/>
          <w:szCs w:val="22"/>
          <w:lang w:val="en-GB"/>
        </w:rPr>
        <w:t>Statement of Interest</w:t>
      </w:r>
    </w:p>
    <w:p w:rsidR="0054112F" w:rsidRPr="00EB594F" w:rsidRDefault="0054112F" w:rsidP="0054112F">
      <w:pPr>
        <w:widowControl w:val="0"/>
        <w:spacing w:line="276" w:lineRule="auto"/>
        <w:ind w:left="2127" w:hanging="567"/>
        <w:contextualSpacing/>
        <w:jc w:val="both"/>
        <w:rPr>
          <w:rFonts w:asciiTheme="majorHAnsi" w:hAnsiTheme="majorHAnsi"/>
          <w:sz w:val="22"/>
          <w:szCs w:val="22"/>
          <w:lang w:val="en-GB"/>
        </w:rPr>
      </w:pPr>
    </w:p>
    <w:p w:rsidR="0054112F" w:rsidRPr="00EB594F" w:rsidRDefault="0054112F" w:rsidP="0054112F">
      <w:pPr>
        <w:pStyle w:val="Listenabsatz"/>
        <w:widowControl w:val="0"/>
        <w:numPr>
          <w:ilvl w:val="0"/>
          <w:numId w:val="1"/>
        </w:numPr>
        <w:spacing w:line="276" w:lineRule="auto"/>
        <w:ind w:left="2127" w:hanging="567"/>
        <w:contextualSpacing/>
        <w:jc w:val="both"/>
        <w:rPr>
          <w:rFonts w:asciiTheme="majorHAnsi" w:hAnsiTheme="majorHAnsi"/>
          <w:sz w:val="22"/>
          <w:szCs w:val="22"/>
          <w:lang w:val="en-GB"/>
        </w:rPr>
      </w:pPr>
      <w:r w:rsidRPr="00EB594F">
        <w:rPr>
          <w:rFonts w:asciiTheme="majorHAnsi" w:hAnsiTheme="majorHAnsi"/>
          <w:sz w:val="22"/>
          <w:szCs w:val="22"/>
          <w:lang w:val="en-GB"/>
        </w:rPr>
        <w:t xml:space="preserve">The Equal Rights Trust (ERT) submits this </w:t>
      </w:r>
      <w:r>
        <w:rPr>
          <w:rFonts w:asciiTheme="majorHAnsi" w:hAnsiTheme="majorHAnsi"/>
          <w:sz w:val="22"/>
          <w:szCs w:val="22"/>
          <w:lang w:val="en-GB"/>
        </w:rPr>
        <w:t>alternative</w:t>
      </w:r>
      <w:r w:rsidRPr="00EB594F">
        <w:rPr>
          <w:rFonts w:asciiTheme="majorHAnsi" w:hAnsiTheme="majorHAnsi"/>
          <w:sz w:val="22"/>
          <w:szCs w:val="22"/>
          <w:lang w:val="en-GB"/>
        </w:rPr>
        <w:t xml:space="preserve"> report to the Committee on the Elimination of </w:t>
      </w:r>
      <w:r>
        <w:rPr>
          <w:rFonts w:asciiTheme="majorHAnsi" w:hAnsiTheme="majorHAnsi"/>
          <w:sz w:val="22"/>
          <w:szCs w:val="22"/>
          <w:lang w:val="en-GB"/>
        </w:rPr>
        <w:t>Racial Discrimination</w:t>
      </w:r>
      <w:r w:rsidRPr="00EB594F">
        <w:rPr>
          <w:rFonts w:asciiTheme="majorHAnsi" w:hAnsiTheme="majorHAnsi"/>
          <w:sz w:val="22"/>
          <w:szCs w:val="22"/>
          <w:lang w:val="en-GB"/>
        </w:rPr>
        <w:t xml:space="preserve"> (the Committee) commenting on the combined </w:t>
      </w:r>
      <w:r>
        <w:rPr>
          <w:rFonts w:asciiTheme="majorHAnsi" w:hAnsiTheme="majorHAnsi"/>
          <w:sz w:val="22"/>
          <w:szCs w:val="22"/>
          <w:lang w:val="en-GB"/>
        </w:rPr>
        <w:t>sixth and seventh</w:t>
      </w:r>
      <w:r w:rsidRPr="00EB594F">
        <w:rPr>
          <w:rFonts w:asciiTheme="majorHAnsi" w:hAnsiTheme="majorHAnsi"/>
          <w:sz w:val="22"/>
          <w:szCs w:val="22"/>
          <w:lang w:val="en-GB"/>
        </w:rPr>
        <w:t xml:space="preserve"> periodic reports by </w:t>
      </w:r>
      <w:r>
        <w:rPr>
          <w:rFonts w:asciiTheme="majorHAnsi" w:hAnsiTheme="majorHAnsi"/>
          <w:sz w:val="22"/>
          <w:szCs w:val="22"/>
          <w:lang w:val="en-GB"/>
        </w:rPr>
        <w:t>Kazakhstan</w:t>
      </w:r>
      <w:r w:rsidRPr="00EB594F">
        <w:rPr>
          <w:rFonts w:asciiTheme="majorHAnsi" w:hAnsiTheme="majorHAnsi"/>
          <w:sz w:val="22"/>
          <w:szCs w:val="22"/>
          <w:lang w:val="en-GB"/>
        </w:rPr>
        <w:t>.</w:t>
      </w:r>
    </w:p>
    <w:p w:rsidR="0054112F" w:rsidRPr="00EB594F" w:rsidRDefault="0054112F" w:rsidP="0054112F">
      <w:pPr>
        <w:pStyle w:val="Listenabsatz"/>
        <w:widowControl w:val="0"/>
        <w:spacing w:line="276" w:lineRule="auto"/>
        <w:ind w:left="2127" w:hanging="567"/>
        <w:jc w:val="both"/>
        <w:rPr>
          <w:rFonts w:asciiTheme="majorHAnsi" w:hAnsiTheme="majorHAnsi"/>
          <w:sz w:val="22"/>
          <w:szCs w:val="22"/>
          <w:lang w:val="en-GB"/>
        </w:rPr>
      </w:pPr>
    </w:p>
    <w:p w:rsidR="0054112F" w:rsidRPr="00EB594F" w:rsidRDefault="0054112F" w:rsidP="0054112F">
      <w:pPr>
        <w:pStyle w:val="Listenabsatz"/>
        <w:widowControl w:val="0"/>
        <w:numPr>
          <w:ilvl w:val="0"/>
          <w:numId w:val="1"/>
        </w:numPr>
        <w:spacing w:line="276" w:lineRule="auto"/>
        <w:ind w:left="2127" w:hanging="567"/>
        <w:contextualSpacing/>
        <w:jc w:val="both"/>
        <w:rPr>
          <w:rFonts w:asciiTheme="majorHAnsi" w:hAnsiTheme="majorHAnsi"/>
          <w:sz w:val="22"/>
          <w:szCs w:val="22"/>
          <w:lang w:val="en-GB"/>
        </w:rPr>
      </w:pPr>
      <w:r w:rsidRPr="00EB594F">
        <w:rPr>
          <w:rFonts w:asciiTheme="majorHAnsi" w:hAnsiTheme="majorHAnsi"/>
          <w:sz w:val="22"/>
          <w:szCs w:val="22"/>
          <w:lang w:val="en-GB"/>
        </w:rPr>
        <w:t>ERT is an independent international organisation whose purpose is to combat discrimination and promote equality as a fundamental human right and a basic principle of social justice. Established as an advocacy organisation, resource centre and think tank, it focuses on the complex relationship between different types of discrimination and inequality, developing strategies for translating the principles of equality into practice.</w:t>
      </w:r>
    </w:p>
    <w:p w:rsidR="0054112F" w:rsidRPr="00EB594F" w:rsidRDefault="0054112F" w:rsidP="0054112F">
      <w:pPr>
        <w:pStyle w:val="Listenabsatz"/>
        <w:widowControl w:val="0"/>
        <w:spacing w:line="276" w:lineRule="auto"/>
        <w:ind w:left="2127" w:hanging="567"/>
        <w:jc w:val="both"/>
        <w:rPr>
          <w:rFonts w:asciiTheme="majorHAnsi" w:hAnsiTheme="majorHAnsi"/>
          <w:sz w:val="22"/>
          <w:szCs w:val="22"/>
          <w:lang w:val="en-GB"/>
        </w:rPr>
      </w:pPr>
    </w:p>
    <w:p w:rsidR="00710BFA" w:rsidRDefault="0054112F" w:rsidP="0054112F">
      <w:pPr>
        <w:pStyle w:val="Listenabsatz"/>
        <w:widowControl w:val="0"/>
        <w:numPr>
          <w:ilvl w:val="0"/>
          <w:numId w:val="1"/>
        </w:numPr>
        <w:spacing w:line="276" w:lineRule="auto"/>
        <w:ind w:left="2127" w:hanging="567"/>
        <w:contextualSpacing/>
        <w:jc w:val="both"/>
        <w:rPr>
          <w:rFonts w:asciiTheme="majorHAnsi" w:hAnsiTheme="majorHAnsi"/>
          <w:sz w:val="22"/>
          <w:szCs w:val="22"/>
          <w:lang w:val="en-GB"/>
        </w:rPr>
      </w:pPr>
      <w:r w:rsidRPr="00EB594F">
        <w:rPr>
          <w:rFonts w:asciiTheme="majorHAnsi" w:hAnsiTheme="majorHAnsi"/>
          <w:sz w:val="22"/>
          <w:szCs w:val="22"/>
          <w:lang w:val="en-GB"/>
        </w:rPr>
        <w:t xml:space="preserve">ERT has been actively involved in the promotion of improved protection from discrimination in </w:t>
      </w:r>
      <w:r>
        <w:rPr>
          <w:rFonts w:asciiTheme="majorHAnsi" w:hAnsiTheme="majorHAnsi"/>
          <w:sz w:val="22"/>
          <w:szCs w:val="22"/>
          <w:lang w:val="en-GB"/>
        </w:rPr>
        <w:t>Kazakhstan</w:t>
      </w:r>
      <w:r w:rsidRPr="00EB594F">
        <w:rPr>
          <w:rFonts w:asciiTheme="majorHAnsi" w:hAnsiTheme="majorHAnsi"/>
          <w:sz w:val="22"/>
          <w:szCs w:val="22"/>
          <w:lang w:val="en-GB"/>
        </w:rPr>
        <w:t xml:space="preserve"> since 201</w:t>
      </w:r>
      <w:r>
        <w:rPr>
          <w:rFonts w:asciiTheme="majorHAnsi" w:hAnsiTheme="majorHAnsi"/>
          <w:sz w:val="22"/>
          <w:szCs w:val="22"/>
          <w:lang w:val="en-GB"/>
        </w:rPr>
        <w:t>2, working</w:t>
      </w:r>
      <w:r w:rsidRPr="00EB594F">
        <w:rPr>
          <w:rFonts w:asciiTheme="majorHAnsi" w:hAnsiTheme="majorHAnsi"/>
          <w:sz w:val="22"/>
          <w:szCs w:val="22"/>
          <w:lang w:val="en-GB"/>
        </w:rPr>
        <w:t xml:space="preserve"> in partnership with </w:t>
      </w:r>
      <w:r w:rsidRPr="00002BF2">
        <w:rPr>
          <w:rFonts w:asciiTheme="majorHAnsi" w:hAnsiTheme="majorHAnsi"/>
          <w:sz w:val="22"/>
          <w:szCs w:val="22"/>
          <w:lang w:val="en-GB"/>
        </w:rPr>
        <w:t>Kazakhstan International Bureau for Human Rights and the Rule of Law (KIBHR)</w:t>
      </w:r>
      <w:r w:rsidRPr="00EB594F">
        <w:rPr>
          <w:rFonts w:asciiTheme="majorHAnsi" w:hAnsiTheme="majorHAnsi"/>
          <w:sz w:val="22"/>
          <w:szCs w:val="22"/>
          <w:lang w:val="en-GB"/>
        </w:rPr>
        <w:t xml:space="preserve">. </w:t>
      </w:r>
      <w:r w:rsidRPr="0054112F">
        <w:rPr>
          <w:rFonts w:asciiTheme="majorHAnsi" w:hAnsiTheme="majorHAnsi"/>
          <w:sz w:val="22"/>
          <w:szCs w:val="22"/>
          <w:lang w:val="en-GB"/>
        </w:rPr>
        <w:t>In the course of this work, ERT has been undertaking research on patterns of discrimination and inequality in Kazakhstan and on the legal and policy framework in place to prevent discrimination and promote equality.</w:t>
      </w:r>
    </w:p>
    <w:p w:rsidR="009A4110" w:rsidRDefault="009A4110" w:rsidP="009A4110">
      <w:pPr>
        <w:pStyle w:val="Listenabsatz"/>
        <w:widowControl w:val="0"/>
        <w:spacing w:line="276" w:lineRule="auto"/>
        <w:ind w:left="2127"/>
        <w:contextualSpacing/>
        <w:jc w:val="both"/>
        <w:rPr>
          <w:rFonts w:asciiTheme="majorHAnsi" w:hAnsiTheme="majorHAnsi"/>
          <w:sz w:val="22"/>
          <w:szCs w:val="22"/>
          <w:lang w:val="en-GB"/>
        </w:rPr>
      </w:pPr>
    </w:p>
    <w:p w:rsidR="009A4110" w:rsidRPr="0054112F" w:rsidRDefault="009A4110" w:rsidP="0054112F">
      <w:pPr>
        <w:pStyle w:val="Listenabsatz"/>
        <w:widowControl w:val="0"/>
        <w:numPr>
          <w:ilvl w:val="0"/>
          <w:numId w:val="1"/>
        </w:numPr>
        <w:spacing w:line="276" w:lineRule="auto"/>
        <w:ind w:left="2127" w:hanging="567"/>
        <w:contextualSpacing/>
        <w:jc w:val="both"/>
        <w:rPr>
          <w:rFonts w:asciiTheme="majorHAnsi" w:hAnsiTheme="majorHAnsi"/>
          <w:sz w:val="22"/>
          <w:szCs w:val="22"/>
          <w:lang w:val="en-GB"/>
        </w:rPr>
      </w:pPr>
      <w:r>
        <w:rPr>
          <w:rFonts w:asciiTheme="majorHAnsi" w:hAnsiTheme="majorHAnsi"/>
          <w:sz w:val="22"/>
          <w:szCs w:val="22"/>
          <w:lang w:val="en-GB"/>
        </w:rPr>
        <w:t xml:space="preserve">In December 2013, ERT </w:t>
      </w:r>
      <w:r w:rsidR="001A761A">
        <w:rPr>
          <w:rFonts w:asciiTheme="majorHAnsi" w:hAnsiTheme="majorHAnsi"/>
          <w:sz w:val="22"/>
          <w:szCs w:val="22"/>
          <w:lang w:val="en-GB"/>
        </w:rPr>
        <w:t xml:space="preserve">travelled to Kazakhstan and together with </w:t>
      </w:r>
      <w:r>
        <w:rPr>
          <w:rFonts w:asciiTheme="majorHAnsi" w:hAnsiTheme="majorHAnsi"/>
          <w:sz w:val="22"/>
          <w:szCs w:val="22"/>
          <w:lang w:val="en-GB"/>
        </w:rPr>
        <w:t xml:space="preserve">KIBHR </w:t>
      </w:r>
      <w:r w:rsidR="001A761A">
        <w:rPr>
          <w:rFonts w:asciiTheme="majorHAnsi" w:hAnsiTheme="majorHAnsi"/>
          <w:sz w:val="22"/>
          <w:szCs w:val="22"/>
          <w:lang w:val="en-GB"/>
        </w:rPr>
        <w:t xml:space="preserve">met with a number of representatives of civil society organisations, as well as victims of racial and religious discrimination, and collected </w:t>
      </w:r>
      <w:r>
        <w:rPr>
          <w:rFonts w:asciiTheme="majorHAnsi" w:hAnsiTheme="majorHAnsi"/>
          <w:sz w:val="22"/>
          <w:szCs w:val="22"/>
          <w:lang w:val="en-GB"/>
        </w:rPr>
        <w:t>testimon</w:t>
      </w:r>
      <w:r w:rsidR="001A761A">
        <w:rPr>
          <w:rFonts w:asciiTheme="majorHAnsi" w:hAnsiTheme="majorHAnsi"/>
          <w:sz w:val="22"/>
          <w:szCs w:val="22"/>
          <w:lang w:val="en-GB"/>
        </w:rPr>
        <w:t>y</w:t>
      </w:r>
      <w:r>
        <w:rPr>
          <w:rFonts w:asciiTheme="majorHAnsi" w:hAnsiTheme="majorHAnsi"/>
          <w:sz w:val="22"/>
          <w:szCs w:val="22"/>
          <w:lang w:val="en-GB"/>
        </w:rPr>
        <w:t xml:space="preserve"> </w:t>
      </w:r>
      <w:r w:rsidR="001A761A">
        <w:rPr>
          <w:rFonts w:asciiTheme="majorHAnsi" w:hAnsiTheme="majorHAnsi"/>
          <w:sz w:val="22"/>
          <w:szCs w:val="22"/>
          <w:lang w:val="en-GB"/>
        </w:rPr>
        <w:t xml:space="preserve">on </w:t>
      </w:r>
      <w:r>
        <w:rPr>
          <w:rFonts w:asciiTheme="majorHAnsi" w:hAnsiTheme="majorHAnsi"/>
          <w:sz w:val="22"/>
          <w:szCs w:val="22"/>
          <w:lang w:val="en-GB"/>
        </w:rPr>
        <w:t>their experience</w:t>
      </w:r>
      <w:r w:rsidR="001A761A">
        <w:rPr>
          <w:rFonts w:asciiTheme="majorHAnsi" w:hAnsiTheme="majorHAnsi"/>
          <w:sz w:val="22"/>
          <w:szCs w:val="22"/>
          <w:lang w:val="en-GB"/>
        </w:rPr>
        <w:t>, some of which is included below.</w:t>
      </w:r>
    </w:p>
    <w:p w:rsidR="0054112F" w:rsidRDefault="0054112F" w:rsidP="0054112F">
      <w:pPr>
        <w:pStyle w:val="Listenabsatz"/>
        <w:widowControl w:val="0"/>
        <w:spacing w:line="276" w:lineRule="auto"/>
        <w:ind w:left="0"/>
        <w:contextualSpacing/>
        <w:jc w:val="both"/>
        <w:rPr>
          <w:rFonts w:asciiTheme="majorHAnsi" w:hAnsiTheme="majorHAnsi"/>
          <w:sz w:val="22"/>
          <w:szCs w:val="22"/>
          <w:lang w:val="en-GB"/>
        </w:rPr>
      </w:pPr>
    </w:p>
    <w:p w:rsidR="0054112F" w:rsidRDefault="0054112F" w:rsidP="0054112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E413C2">
        <w:rPr>
          <w:rFonts w:asciiTheme="majorHAnsi" w:hAnsiTheme="majorHAnsi"/>
          <w:sz w:val="22"/>
          <w:szCs w:val="22"/>
          <w:lang w:val="en-GB"/>
        </w:rPr>
        <w:t>This submission focuses on the extent to which Kazakhstan has met its obligations to respect, protect and fulfil the right of all persons to non-discrimination on grounds of race.</w:t>
      </w:r>
    </w:p>
    <w:p w:rsidR="0054112F" w:rsidRPr="00E413C2" w:rsidRDefault="0054112F" w:rsidP="0054112F">
      <w:pPr>
        <w:widowControl w:val="0"/>
        <w:spacing w:line="276" w:lineRule="auto"/>
        <w:jc w:val="both"/>
        <w:rPr>
          <w:rFonts w:asciiTheme="majorHAnsi" w:hAnsiTheme="majorHAnsi"/>
          <w:sz w:val="22"/>
          <w:szCs w:val="22"/>
          <w:lang w:val="en-GB"/>
        </w:rPr>
      </w:pPr>
    </w:p>
    <w:p w:rsidR="0054112F" w:rsidRDefault="0054112F" w:rsidP="0054112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002BF2">
        <w:rPr>
          <w:rFonts w:asciiTheme="majorHAnsi" w:hAnsiTheme="majorHAnsi"/>
          <w:sz w:val="22"/>
          <w:szCs w:val="22"/>
          <w:lang w:val="en-GB"/>
        </w:rPr>
        <w:t>The submission also relies upon the Declaration of Principles on Equality (the Declaration),</w:t>
      </w:r>
      <w:r w:rsidRPr="00EB594F">
        <w:rPr>
          <w:rStyle w:val="Funotenzeichen"/>
          <w:rFonts w:asciiTheme="majorHAnsi" w:hAnsiTheme="majorHAnsi"/>
          <w:sz w:val="22"/>
          <w:szCs w:val="22"/>
          <w:lang w:val="en-GB"/>
        </w:rPr>
        <w:footnoteReference w:id="1"/>
      </w:r>
      <w:r w:rsidRPr="00002BF2">
        <w:rPr>
          <w:rFonts w:asciiTheme="majorHAnsi" w:hAnsiTheme="majorHAnsi"/>
          <w:sz w:val="22"/>
          <w:szCs w:val="22"/>
          <w:lang w:val="en-GB"/>
        </w:rPr>
        <w:t xml:space="preserve"> a document of international best practice on equality. The Declaration was drafted and adopted in 2008 by 128 prominent human rights and equality advocates and experts, and has been described as “the current international understanding of Principles on Equality”.</w:t>
      </w:r>
      <w:r w:rsidRPr="00EB594F">
        <w:rPr>
          <w:rStyle w:val="Funotenzeichen"/>
          <w:rFonts w:asciiTheme="majorHAnsi" w:hAnsiTheme="majorHAnsi"/>
          <w:sz w:val="22"/>
          <w:szCs w:val="22"/>
          <w:lang w:val="en-GB"/>
        </w:rPr>
        <w:footnoteReference w:id="2"/>
      </w:r>
      <w:r w:rsidRPr="00002BF2">
        <w:rPr>
          <w:rFonts w:asciiTheme="majorHAnsi" w:hAnsiTheme="majorHAnsi"/>
          <w:sz w:val="22"/>
          <w:szCs w:val="22"/>
          <w:lang w:val="en-GB"/>
        </w:rPr>
        <w:t xml:space="preserve"> It has also been endorsed by the Parliamentary Assembly of the Council of Europe.</w:t>
      </w:r>
      <w:r w:rsidRPr="00EB594F">
        <w:rPr>
          <w:rStyle w:val="Funotenzeichen"/>
          <w:rFonts w:asciiTheme="majorHAnsi" w:hAnsiTheme="majorHAnsi"/>
          <w:sz w:val="22"/>
          <w:szCs w:val="22"/>
          <w:lang w:val="en-GB"/>
        </w:rPr>
        <w:footnoteReference w:id="3"/>
      </w:r>
    </w:p>
    <w:p w:rsidR="00C45FD8" w:rsidRDefault="00C45FD8" w:rsidP="00C45FD8">
      <w:pPr>
        <w:widowControl w:val="0"/>
        <w:spacing w:line="276" w:lineRule="auto"/>
        <w:contextualSpacing/>
        <w:jc w:val="both"/>
        <w:rPr>
          <w:rFonts w:asciiTheme="majorHAnsi" w:hAnsiTheme="majorHAnsi"/>
          <w:sz w:val="22"/>
          <w:szCs w:val="22"/>
          <w:lang w:val="en-GB"/>
        </w:rPr>
      </w:pPr>
    </w:p>
    <w:p w:rsidR="00C45FD8" w:rsidRPr="007C1CD2" w:rsidRDefault="00C45FD8" w:rsidP="00C45FD8">
      <w:pPr>
        <w:widowControl w:val="0"/>
        <w:spacing w:line="276" w:lineRule="auto"/>
        <w:jc w:val="both"/>
        <w:rPr>
          <w:rFonts w:asciiTheme="majorHAnsi" w:hAnsiTheme="majorHAnsi"/>
          <w:b/>
          <w:sz w:val="22"/>
          <w:szCs w:val="22"/>
          <w:lang w:val="en-GB"/>
        </w:rPr>
      </w:pPr>
      <w:r w:rsidRPr="007C1CD2">
        <w:rPr>
          <w:rFonts w:asciiTheme="majorHAnsi" w:hAnsiTheme="majorHAnsi"/>
          <w:b/>
          <w:sz w:val="22"/>
          <w:szCs w:val="22"/>
          <w:lang w:val="en-GB"/>
        </w:rPr>
        <w:t>Comprehensive Anti-Discrimination Legislation (Articles 1(1) and 4(a) and (b))</w:t>
      </w:r>
    </w:p>
    <w:p w:rsidR="00C45FD8" w:rsidRDefault="00C45FD8" w:rsidP="00C45FD8">
      <w:pPr>
        <w:widowControl w:val="0"/>
        <w:spacing w:line="276" w:lineRule="auto"/>
        <w:jc w:val="both"/>
        <w:rPr>
          <w:rFonts w:asciiTheme="majorHAnsi" w:hAnsiTheme="majorHAnsi"/>
          <w:sz w:val="22"/>
          <w:szCs w:val="22"/>
          <w:lang w:val="en-GB"/>
        </w:rPr>
      </w:pPr>
    </w:p>
    <w:p w:rsidR="00C45FD8" w:rsidRPr="00281F80"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281F80">
        <w:rPr>
          <w:rFonts w:asciiTheme="majorHAnsi" w:hAnsiTheme="majorHAnsi"/>
          <w:sz w:val="22"/>
          <w:szCs w:val="22"/>
          <w:lang w:val="en-GB"/>
        </w:rPr>
        <w:t>ERT notes that in its last review of Kazakhstan, the Committee</w:t>
      </w:r>
      <w:r>
        <w:rPr>
          <w:rFonts w:asciiTheme="majorHAnsi" w:hAnsiTheme="majorHAnsi"/>
          <w:sz w:val="22"/>
          <w:szCs w:val="22"/>
          <w:lang w:val="en-GB"/>
        </w:rPr>
        <w:t xml:space="preserve"> has</w:t>
      </w:r>
      <w:r w:rsidRPr="00281F80">
        <w:rPr>
          <w:rFonts w:asciiTheme="majorHAnsi" w:hAnsiTheme="majorHAnsi"/>
          <w:sz w:val="22"/>
          <w:szCs w:val="22"/>
          <w:lang w:val="en-GB"/>
        </w:rPr>
        <w:t xml:space="preserve"> recommended that </w:t>
      </w:r>
      <w:r>
        <w:rPr>
          <w:rFonts w:asciiTheme="majorHAnsi" w:hAnsiTheme="majorHAnsi"/>
          <w:sz w:val="22"/>
          <w:szCs w:val="22"/>
          <w:lang w:val="en-GB"/>
        </w:rPr>
        <w:t>the state party</w:t>
      </w:r>
      <w:r w:rsidRPr="00281F80">
        <w:rPr>
          <w:rFonts w:asciiTheme="majorHAnsi" w:hAnsiTheme="majorHAnsi"/>
          <w:sz w:val="22"/>
          <w:szCs w:val="22"/>
          <w:lang w:val="en-GB"/>
        </w:rPr>
        <w:t xml:space="preserve"> “continue its efforts by adopting a comprehensive anti-discrimination law that includes a definition of direct and indirect discrimination, as stipulated in article 1, paragraph 1, of the Convention”.</w:t>
      </w:r>
      <w:r w:rsidRPr="00281F80">
        <w:rPr>
          <w:rStyle w:val="Funotenzeichen"/>
          <w:rFonts w:asciiTheme="majorHAnsi" w:hAnsiTheme="majorHAnsi"/>
          <w:sz w:val="22"/>
          <w:szCs w:val="22"/>
          <w:lang w:val="en-GB"/>
        </w:rPr>
        <w:footnoteReference w:id="4"/>
      </w:r>
      <w:r>
        <w:rPr>
          <w:rFonts w:asciiTheme="majorHAnsi" w:hAnsiTheme="majorHAnsi"/>
          <w:sz w:val="22"/>
          <w:szCs w:val="22"/>
          <w:lang w:val="en-GB"/>
        </w:rPr>
        <w:t xml:space="preserve"> </w:t>
      </w:r>
      <w:r w:rsidRPr="00281F80">
        <w:rPr>
          <w:rFonts w:asciiTheme="majorHAnsi" w:hAnsiTheme="majorHAnsi"/>
          <w:sz w:val="22"/>
          <w:szCs w:val="22"/>
          <w:lang w:val="en-GB"/>
        </w:rPr>
        <w:t>ERT also notes the “List of themes in relation to the combined sixth and seventh periodic reports of Kazakhstan” which includes, at paragraph 1(1), “Definition of racial discrimination, in accordance with article 1 of the Convention”.</w:t>
      </w:r>
      <w:r>
        <w:rPr>
          <w:rStyle w:val="Funotenzeichen"/>
          <w:rFonts w:asciiTheme="majorHAnsi" w:hAnsiTheme="majorHAnsi"/>
          <w:sz w:val="22"/>
          <w:szCs w:val="22"/>
          <w:lang w:val="en-GB"/>
        </w:rPr>
        <w:footnoteReference w:id="5"/>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Pr="00281F80" w:rsidRDefault="00C45FD8" w:rsidP="00C45FD8">
      <w:pPr>
        <w:pStyle w:val="Listenabsatz"/>
        <w:widowControl w:val="0"/>
        <w:numPr>
          <w:ilvl w:val="0"/>
          <w:numId w:val="1"/>
        </w:numPr>
        <w:spacing w:line="276" w:lineRule="auto"/>
        <w:ind w:left="567" w:hanging="567"/>
        <w:contextualSpacing/>
        <w:jc w:val="both"/>
        <w:rPr>
          <w:rFonts w:asciiTheme="majorHAnsi" w:hAnsiTheme="majorHAnsi"/>
          <w:color w:val="000000"/>
        </w:rPr>
      </w:pPr>
      <w:r w:rsidRPr="00281F80">
        <w:rPr>
          <w:rFonts w:asciiTheme="majorHAnsi" w:hAnsiTheme="majorHAnsi"/>
          <w:sz w:val="22"/>
          <w:szCs w:val="22"/>
          <w:lang w:val="en-GB"/>
        </w:rPr>
        <w:t>As part of its work in Kazakhstan, ERT, with its partner KIBHR, has undertaken research on the legal and policy framework in place to prevent discrimination and promote equality.</w:t>
      </w:r>
      <w:r>
        <w:rPr>
          <w:rFonts w:asciiTheme="majorHAnsi" w:hAnsiTheme="majorHAnsi"/>
          <w:sz w:val="22"/>
          <w:szCs w:val="22"/>
          <w:lang w:val="en-GB"/>
        </w:rPr>
        <w:t xml:space="preserve"> This</w:t>
      </w:r>
      <w:r w:rsidRPr="00281F80">
        <w:rPr>
          <w:rFonts w:asciiTheme="majorHAnsi" w:hAnsiTheme="majorHAnsi"/>
          <w:sz w:val="22"/>
          <w:szCs w:val="22"/>
          <w:lang w:val="en-GB"/>
        </w:rPr>
        <w:t xml:space="preserve"> research has shown that Kazakhstan still has no comprehensive anti-discrimination legislation which includes a definition of direct and indirect discrimination. Instead, Kazakhstan has a patchwork of provisions spread across various pieces of legislation which provide limited protection from racial discrimination and which can be summarised as follows.</w:t>
      </w:r>
    </w:p>
    <w:p w:rsidR="00C45FD8" w:rsidRPr="00F10FCF"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T</w:t>
      </w:r>
      <w:r w:rsidRPr="00F10FCF">
        <w:rPr>
          <w:rFonts w:asciiTheme="majorHAnsi" w:hAnsiTheme="majorHAnsi"/>
          <w:sz w:val="22"/>
          <w:szCs w:val="22"/>
          <w:lang w:val="en-GB"/>
        </w:rPr>
        <w:t xml:space="preserve">he </w:t>
      </w:r>
      <w:r>
        <w:rPr>
          <w:rFonts w:asciiTheme="majorHAnsi" w:hAnsiTheme="majorHAnsi"/>
          <w:b/>
          <w:sz w:val="22"/>
          <w:szCs w:val="22"/>
          <w:u w:val="single"/>
          <w:lang w:val="en-GB"/>
        </w:rPr>
        <w:t>C</w:t>
      </w:r>
      <w:r w:rsidRPr="00F10FCF">
        <w:rPr>
          <w:rFonts w:asciiTheme="majorHAnsi" w:hAnsiTheme="majorHAnsi"/>
          <w:b/>
          <w:sz w:val="22"/>
          <w:szCs w:val="22"/>
          <w:u w:val="single"/>
          <w:lang w:val="en-GB"/>
        </w:rPr>
        <w:t>onstitution of Kazakhstan</w:t>
      </w:r>
      <w:r>
        <w:rPr>
          <w:rFonts w:asciiTheme="majorHAnsi" w:hAnsiTheme="majorHAnsi"/>
          <w:sz w:val="22"/>
          <w:szCs w:val="22"/>
          <w:lang w:val="en-GB"/>
        </w:rPr>
        <w:t xml:space="preserve"> </w:t>
      </w:r>
      <w:r w:rsidRPr="00F10FCF">
        <w:rPr>
          <w:rFonts w:asciiTheme="majorHAnsi" w:hAnsiTheme="majorHAnsi"/>
          <w:sz w:val="22"/>
          <w:szCs w:val="22"/>
          <w:lang w:val="en-GB"/>
        </w:rPr>
        <w:t>contain</w:t>
      </w:r>
      <w:r>
        <w:rPr>
          <w:rFonts w:asciiTheme="majorHAnsi" w:hAnsiTheme="majorHAnsi"/>
          <w:sz w:val="22"/>
          <w:szCs w:val="22"/>
          <w:lang w:val="en-GB"/>
        </w:rPr>
        <w:t>s</w:t>
      </w:r>
      <w:r w:rsidRPr="00F10FCF">
        <w:rPr>
          <w:rFonts w:asciiTheme="majorHAnsi" w:hAnsiTheme="majorHAnsi"/>
          <w:sz w:val="22"/>
          <w:szCs w:val="22"/>
          <w:lang w:val="en-GB"/>
        </w:rPr>
        <w:t xml:space="preserve"> a prohi</w:t>
      </w:r>
      <w:r>
        <w:rPr>
          <w:rFonts w:asciiTheme="majorHAnsi" w:hAnsiTheme="majorHAnsi"/>
          <w:sz w:val="22"/>
          <w:szCs w:val="22"/>
          <w:lang w:val="en-GB"/>
        </w:rPr>
        <w:t>bition of racial discrimination in Article 14. Article 14(1) provides that “</w:t>
      </w:r>
      <w:r w:rsidRPr="006E0DE3">
        <w:rPr>
          <w:rFonts w:asciiTheme="majorHAnsi" w:hAnsiTheme="majorHAnsi"/>
          <w:sz w:val="22"/>
          <w:szCs w:val="22"/>
          <w:lang w:val="en-GB"/>
        </w:rPr>
        <w:t>All are equal before the law and courts</w:t>
      </w:r>
      <w:r>
        <w:rPr>
          <w:rFonts w:asciiTheme="majorHAnsi" w:hAnsiTheme="majorHAnsi"/>
          <w:sz w:val="22"/>
          <w:szCs w:val="22"/>
          <w:lang w:val="en-GB"/>
        </w:rPr>
        <w:t>”. Article 14(2) provides that “</w:t>
      </w:r>
      <w:r w:rsidRPr="006E0DE3">
        <w:rPr>
          <w:rFonts w:asciiTheme="majorHAnsi" w:hAnsiTheme="majorHAnsi"/>
          <w:sz w:val="22"/>
          <w:szCs w:val="22"/>
          <w:lang w:val="en-GB"/>
        </w:rPr>
        <w:t xml:space="preserve">No one may be subjected to any discrimination for reasons of </w:t>
      </w:r>
      <w:r w:rsidRPr="006E0DE3">
        <w:rPr>
          <w:rFonts w:asciiTheme="majorHAnsi" w:hAnsiTheme="majorHAnsi"/>
          <w:b/>
          <w:sz w:val="22"/>
          <w:szCs w:val="22"/>
          <w:lang w:val="en-GB"/>
        </w:rPr>
        <w:t>origin</w:t>
      </w:r>
      <w:r w:rsidRPr="006E0DE3">
        <w:rPr>
          <w:rFonts w:asciiTheme="majorHAnsi" w:hAnsiTheme="majorHAnsi"/>
          <w:sz w:val="22"/>
          <w:szCs w:val="22"/>
          <w:lang w:val="en-GB"/>
        </w:rPr>
        <w:t xml:space="preserve">, social status, occupation, property status, gender, </w:t>
      </w:r>
      <w:r w:rsidRPr="006E0DE3">
        <w:rPr>
          <w:rFonts w:asciiTheme="majorHAnsi" w:hAnsiTheme="majorHAnsi"/>
          <w:b/>
          <w:sz w:val="22"/>
          <w:szCs w:val="22"/>
          <w:lang w:val="en-GB"/>
        </w:rPr>
        <w:t>race</w:t>
      </w:r>
      <w:r w:rsidRPr="006E0DE3">
        <w:rPr>
          <w:rFonts w:asciiTheme="majorHAnsi" w:hAnsiTheme="majorHAnsi"/>
          <w:sz w:val="22"/>
          <w:szCs w:val="22"/>
          <w:lang w:val="en-GB"/>
        </w:rPr>
        <w:t xml:space="preserve">, </w:t>
      </w:r>
      <w:r w:rsidRPr="006E0DE3">
        <w:rPr>
          <w:rFonts w:asciiTheme="majorHAnsi" w:hAnsiTheme="majorHAnsi"/>
          <w:b/>
          <w:sz w:val="22"/>
          <w:szCs w:val="22"/>
          <w:lang w:val="en-GB"/>
        </w:rPr>
        <w:t>ethnic affiliation</w:t>
      </w:r>
      <w:r w:rsidRPr="006E0DE3">
        <w:rPr>
          <w:rFonts w:asciiTheme="majorHAnsi" w:hAnsiTheme="majorHAnsi"/>
          <w:sz w:val="22"/>
          <w:szCs w:val="22"/>
          <w:lang w:val="en-GB"/>
        </w:rPr>
        <w:t xml:space="preserve">, </w:t>
      </w:r>
      <w:r w:rsidRPr="006E0DE3">
        <w:rPr>
          <w:rFonts w:asciiTheme="majorHAnsi" w:hAnsiTheme="majorHAnsi"/>
          <w:b/>
          <w:sz w:val="22"/>
          <w:szCs w:val="22"/>
          <w:lang w:val="en-GB"/>
        </w:rPr>
        <w:t>language</w:t>
      </w:r>
      <w:r w:rsidRPr="006E0DE3">
        <w:rPr>
          <w:rFonts w:asciiTheme="majorHAnsi" w:hAnsiTheme="majorHAnsi"/>
          <w:sz w:val="22"/>
          <w:szCs w:val="22"/>
          <w:lang w:val="en-GB"/>
        </w:rPr>
        <w:t xml:space="preserve">, religious affiliation, opinions, </w:t>
      </w:r>
      <w:proofErr w:type="gramStart"/>
      <w:r w:rsidRPr="006E0DE3">
        <w:rPr>
          <w:rFonts w:asciiTheme="majorHAnsi" w:hAnsiTheme="majorHAnsi"/>
          <w:sz w:val="22"/>
          <w:szCs w:val="22"/>
          <w:lang w:val="en-GB"/>
        </w:rPr>
        <w:t>place</w:t>
      </w:r>
      <w:proofErr w:type="gramEnd"/>
      <w:r w:rsidRPr="006E0DE3">
        <w:rPr>
          <w:rFonts w:asciiTheme="majorHAnsi" w:hAnsiTheme="majorHAnsi"/>
          <w:sz w:val="22"/>
          <w:szCs w:val="22"/>
          <w:lang w:val="en-GB"/>
        </w:rPr>
        <w:t xml:space="preserve"> of residence or for any other circumstance.</w:t>
      </w:r>
      <w:r>
        <w:rPr>
          <w:rFonts w:asciiTheme="majorHAnsi" w:hAnsiTheme="majorHAnsi"/>
          <w:sz w:val="22"/>
          <w:szCs w:val="22"/>
          <w:lang w:val="en-GB"/>
        </w:rPr>
        <w:t>” (emphasis added)</w:t>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Pr="008E6A91"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8E6A91">
        <w:rPr>
          <w:rFonts w:asciiTheme="majorHAnsi" w:hAnsiTheme="majorHAnsi"/>
          <w:sz w:val="22"/>
          <w:szCs w:val="22"/>
          <w:lang w:val="en-GB"/>
        </w:rPr>
        <w:t xml:space="preserve">The </w:t>
      </w:r>
      <w:r w:rsidRPr="008E6A91">
        <w:rPr>
          <w:rFonts w:asciiTheme="majorHAnsi" w:hAnsiTheme="majorHAnsi"/>
          <w:b/>
          <w:sz w:val="22"/>
          <w:szCs w:val="22"/>
          <w:u w:val="single"/>
          <w:lang w:val="en-GB"/>
        </w:rPr>
        <w:t>Administrative Offences Code</w:t>
      </w:r>
      <w:r w:rsidRPr="008E6A91">
        <w:rPr>
          <w:rFonts w:asciiTheme="majorHAnsi" w:hAnsiTheme="majorHAnsi"/>
          <w:sz w:val="22"/>
          <w:szCs w:val="22"/>
          <w:lang w:val="en-GB"/>
        </w:rPr>
        <w:t xml:space="preserve"> offers some degree of protection where discrimination on grounds of languages takes place, providing, at Article 82 (restriction of the rights of individuals in choosing language) that “restriction of the rights of individuals in choosing the language, discrimination owing to the language characteristics entails a fine (...)”.</w:t>
      </w:r>
      <w:r w:rsidRPr="003E3798">
        <w:rPr>
          <w:rStyle w:val="Funotenzeichen"/>
          <w:rFonts w:asciiTheme="majorHAnsi" w:hAnsiTheme="majorHAnsi"/>
          <w:sz w:val="22"/>
          <w:szCs w:val="22"/>
          <w:lang w:val="en-GB"/>
        </w:rPr>
        <w:footnoteReference w:id="6"/>
      </w:r>
      <w:r>
        <w:rPr>
          <w:rFonts w:asciiTheme="majorHAnsi" w:hAnsiTheme="majorHAnsi"/>
          <w:sz w:val="22"/>
          <w:szCs w:val="22"/>
          <w:lang w:val="en-GB"/>
        </w:rPr>
        <w:t xml:space="preserve"> </w:t>
      </w:r>
      <w:r w:rsidRPr="008E6A91">
        <w:rPr>
          <w:rFonts w:asciiTheme="majorHAnsi" w:hAnsiTheme="majorHAnsi"/>
          <w:sz w:val="22"/>
          <w:szCs w:val="22"/>
          <w:lang w:val="en-GB"/>
        </w:rPr>
        <w:t xml:space="preserve">The </w:t>
      </w:r>
      <w:r w:rsidRPr="008E6A91">
        <w:rPr>
          <w:rFonts w:asciiTheme="majorHAnsi" w:hAnsiTheme="majorHAnsi"/>
          <w:b/>
          <w:sz w:val="22"/>
          <w:szCs w:val="22"/>
          <w:u w:val="single"/>
          <w:lang w:val="en-GB"/>
        </w:rPr>
        <w:t>Criminal Procedure Code</w:t>
      </w:r>
      <w:r w:rsidRPr="008E6A91">
        <w:rPr>
          <w:rFonts w:asciiTheme="majorHAnsi" w:hAnsiTheme="majorHAnsi"/>
          <w:b/>
          <w:sz w:val="22"/>
          <w:szCs w:val="22"/>
          <w:lang w:val="en-GB"/>
        </w:rPr>
        <w:t xml:space="preserve"> </w:t>
      </w:r>
      <w:r w:rsidRPr="008E6A91">
        <w:rPr>
          <w:rFonts w:asciiTheme="majorHAnsi" w:hAnsiTheme="majorHAnsi"/>
          <w:sz w:val="22"/>
          <w:szCs w:val="22"/>
          <w:lang w:val="en-GB"/>
        </w:rPr>
        <w:t>provides, at Article 21(2) (administration of justice on the principles of equality before law and court) that “[d]</w:t>
      </w:r>
      <w:proofErr w:type="spellStart"/>
      <w:r w:rsidRPr="008E6A91">
        <w:rPr>
          <w:rFonts w:asciiTheme="majorHAnsi" w:hAnsiTheme="majorHAnsi"/>
          <w:sz w:val="22"/>
          <w:szCs w:val="22"/>
          <w:lang w:val="en-GB"/>
        </w:rPr>
        <w:t>uring</w:t>
      </w:r>
      <w:proofErr w:type="spellEnd"/>
      <w:r w:rsidRPr="008E6A91">
        <w:rPr>
          <w:rFonts w:asciiTheme="majorHAnsi" w:hAnsiTheme="majorHAnsi"/>
          <w:sz w:val="22"/>
          <w:szCs w:val="22"/>
          <w:lang w:val="en-GB"/>
        </w:rPr>
        <w:t xml:space="preserve"> criminal proceedings no one may be subjected to any discrimination due to his </w:t>
      </w:r>
      <w:r w:rsidRPr="008E6A91">
        <w:rPr>
          <w:rFonts w:asciiTheme="majorHAnsi" w:hAnsiTheme="majorHAnsi"/>
          <w:b/>
          <w:sz w:val="22"/>
          <w:szCs w:val="22"/>
          <w:lang w:val="en-GB"/>
        </w:rPr>
        <w:t>origin</w:t>
      </w:r>
      <w:r w:rsidRPr="008E6A91">
        <w:rPr>
          <w:rFonts w:asciiTheme="majorHAnsi" w:hAnsiTheme="majorHAnsi"/>
          <w:sz w:val="22"/>
          <w:szCs w:val="22"/>
          <w:lang w:val="en-GB"/>
        </w:rPr>
        <w:t xml:space="preserve">, social, occupational and property status, sex, </w:t>
      </w:r>
      <w:r w:rsidRPr="008E6A91">
        <w:rPr>
          <w:rFonts w:asciiTheme="majorHAnsi" w:hAnsiTheme="majorHAnsi"/>
          <w:b/>
          <w:sz w:val="22"/>
          <w:szCs w:val="22"/>
          <w:lang w:val="en-GB"/>
        </w:rPr>
        <w:t>race</w:t>
      </w:r>
      <w:r w:rsidRPr="008E6A91">
        <w:rPr>
          <w:rFonts w:asciiTheme="majorHAnsi" w:hAnsiTheme="majorHAnsi"/>
          <w:sz w:val="22"/>
          <w:szCs w:val="22"/>
          <w:lang w:val="en-GB"/>
        </w:rPr>
        <w:t xml:space="preserve">, </w:t>
      </w:r>
      <w:r w:rsidRPr="008E6A91">
        <w:rPr>
          <w:rFonts w:asciiTheme="majorHAnsi" w:hAnsiTheme="majorHAnsi"/>
          <w:b/>
          <w:sz w:val="22"/>
          <w:szCs w:val="22"/>
          <w:lang w:val="en-GB"/>
        </w:rPr>
        <w:t>nationality</w:t>
      </w:r>
      <w:r w:rsidRPr="008E6A91">
        <w:rPr>
          <w:rFonts w:asciiTheme="majorHAnsi" w:hAnsiTheme="majorHAnsi"/>
          <w:sz w:val="22"/>
          <w:szCs w:val="22"/>
          <w:lang w:val="en-GB"/>
        </w:rPr>
        <w:t xml:space="preserve">, </w:t>
      </w:r>
      <w:r w:rsidRPr="008E6A91">
        <w:rPr>
          <w:rFonts w:asciiTheme="majorHAnsi" w:hAnsiTheme="majorHAnsi"/>
          <w:b/>
          <w:sz w:val="22"/>
          <w:szCs w:val="22"/>
          <w:lang w:val="en-GB"/>
        </w:rPr>
        <w:t>language</w:t>
      </w:r>
      <w:r w:rsidRPr="008E6A91">
        <w:rPr>
          <w:rFonts w:asciiTheme="majorHAnsi" w:hAnsiTheme="majorHAnsi"/>
          <w:sz w:val="22"/>
          <w:szCs w:val="22"/>
          <w:lang w:val="en-GB"/>
        </w:rPr>
        <w:t>, religious attitude, beliefs, place of residence or due to any other circumstances” (emphasis added).</w:t>
      </w:r>
      <w:r>
        <w:rPr>
          <w:rStyle w:val="Funotenzeichen"/>
          <w:rFonts w:asciiTheme="majorHAnsi" w:hAnsiTheme="majorHAnsi"/>
          <w:sz w:val="22"/>
          <w:szCs w:val="22"/>
          <w:lang w:val="en-GB"/>
        </w:rPr>
        <w:footnoteReference w:id="7"/>
      </w:r>
      <w:r w:rsidRPr="008E6A91">
        <w:rPr>
          <w:rFonts w:asciiTheme="majorHAnsi" w:hAnsiTheme="majorHAnsi"/>
          <w:sz w:val="22"/>
          <w:szCs w:val="22"/>
          <w:lang w:val="en-GB"/>
        </w:rPr>
        <w:t xml:space="preserve">  Similarly, Article 13(2) of the </w:t>
      </w:r>
      <w:r w:rsidRPr="008E6A91">
        <w:rPr>
          <w:rFonts w:asciiTheme="majorHAnsi" w:hAnsiTheme="majorHAnsi"/>
          <w:b/>
          <w:sz w:val="22"/>
          <w:szCs w:val="22"/>
          <w:u w:val="single"/>
          <w:lang w:val="en-GB"/>
        </w:rPr>
        <w:t>Civil Procedure Code</w:t>
      </w:r>
      <w:r w:rsidRPr="008E6A91">
        <w:rPr>
          <w:rFonts w:asciiTheme="majorHAnsi" w:hAnsiTheme="majorHAnsi"/>
          <w:sz w:val="22"/>
          <w:szCs w:val="22"/>
          <w:lang w:val="en-GB"/>
        </w:rPr>
        <w:t xml:space="preserve"> (equality of everyone before law and court) provides that “[i]n the course of civil proceedings none of (...) the citizens may be given preference and none of them may be discriminated on the basis of their </w:t>
      </w:r>
      <w:r w:rsidRPr="008E6A91">
        <w:rPr>
          <w:rFonts w:asciiTheme="majorHAnsi" w:hAnsiTheme="majorHAnsi"/>
          <w:b/>
          <w:sz w:val="22"/>
          <w:szCs w:val="22"/>
          <w:lang w:val="en-GB"/>
        </w:rPr>
        <w:t>origin</w:t>
      </w:r>
      <w:r w:rsidRPr="008E6A91">
        <w:rPr>
          <w:rFonts w:asciiTheme="majorHAnsi" w:hAnsiTheme="majorHAnsi"/>
          <w:sz w:val="22"/>
          <w:szCs w:val="22"/>
          <w:lang w:val="en-GB"/>
        </w:rPr>
        <w:t xml:space="preserve">, official capacity, property status, sex, </w:t>
      </w:r>
      <w:r w:rsidRPr="008E6A91">
        <w:rPr>
          <w:rFonts w:asciiTheme="majorHAnsi" w:hAnsiTheme="majorHAnsi"/>
          <w:b/>
          <w:sz w:val="22"/>
          <w:szCs w:val="22"/>
          <w:lang w:val="en-GB"/>
        </w:rPr>
        <w:t>race</w:t>
      </w:r>
      <w:r w:rsidRPr="008E6A91">
        <w:rPr>
          <w:rFonts w:asciiTheme="majorHAnsi" w:hAnsiTheme="majorHAnsi"/>
          <w:sz w:val="22"/>
          <w:szCs w:val="22"/>
          <w:lang w:val="en-GB"/>
        </w:rPr>
        <w:t xml:space="preserve">, </w:t>
      </w:r>
      <w:r w:rsidRPr="008E6A91">
        <w:rPr>
          <w:rFonts w:asciiTheme="majorHAnsi" w:hAnsiTheme="majorHAnsi"/>
          <w:b/>
          <w:sz w:val="22"/>
          <w:szCs w:val="22"/>
          <w:lang w:val="en-GB"/>
        </w:rPr>
        <w:t>nationality</w:t>
      </w:r>
      <w:r w:rsidRPr="008E6A91">
        <w:rPr>
          <w:rFonts w:asciiTheme="majorHAnsi" w:hAnsiTheme="majorHAnsi"/>
          <w:sz w:val="22"/>
          <w:szCs w:val="22"/>
          <w:lang w:val="en-GB"/>
        </w:rPr>
        <w:t xml:space="preserve">, </w:t>
      </w:r>
      <w:r w:rsidRPr="008E6A91">
        <w:rPr>
          <w:rFonts w:asciiTheme="majorHAnsi" w:hAnsiTheme="majorHAnsi"/>
          <w:b/>
          <w:sz w:val="22"/>
          <w:szCs w:val="22"/>
          <w:lang w:val="en-GB"/>
        </w:rPr>
        <w:t>language</w:t>
      </w:r>
      <w:r w:rsidRPr="008E6A91">
        <w:rPr>
          <w:rFonts w:asciiTheme="majorHAnsi" w:hAnsiTheme="majorHAnsi"/>
          <w:sz w:val="22"/>
          <w:szCs w:val="22"/>
          <w:lang w:val="en-GB"/>
        </w:rPr>
        <w:t>, religion, beliefs, place of residence or on any other circumstances (...)” (emphasis added).</w:t>
      </w:r>
      <w:r>
        <w:rPr>
          <w:rStyle w:val="Funotenzeichen"/>
          <w:rFonts w:asciiTheme="majorHAnsi" w:hAnsiTheme="majorHAnsi"/>
          <w:sz w:val="22"/>
          <w:szCs w:val="22"/>
          <w:lang w:val="en-GB"/>
        </w:rPr>
        <w:footnoteReference w:id="8"/>
      </w:r>
      <w:r w:rsidRPr="008E6A91">
        <w:rPr>
          <w:rFonts w:asciiTheme="majorHAnsi" w:hAnsiTheme="majorHAnsi"/>
          <w:sz w:val="22"/>
          <w:szCs w:val="22"/>
          <w:lang w:val="en-GB"/>
        </w:rPr>
        <w:t xml:space="preserve"> </w:t>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Pr="008E6A91"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8E6A91">
        <w:rPr>
          <w:rFonts w:asciiTheme="majorHAnsi" w:hAnsiTheme="majorHAnsi"/>
          <w:sz w:val="22"/>
          <w:szCs w:val="22"/>
          <w:lang w:val="en-GB"/>
        </w:rPr>
        <w:t xml:space="preserve">Article 4(3) of the </w:t>
      </w:r>
      <w:r w:rsidRPr="008E6A91">
        <w:rPr>
          <w:rFonts w:asciiTheme="majorHAnsi" w:hAnsiTheme="majorHAnsi"/>
          <w:b/>
          <w:sz w:val="22"/>
          <w:szCs w:val="22"/>
          <w:u w:val="single"/>
          <w:lang w:val="en-GB"/>
        </w:rPr>
        <w:t>Labour Code</w:t>
      </w:r>
      <w:r w:rsidRPr="008E6A91">
        <w:rPr>
          <w:rFonts w:asciiTheme="majorHAnsi" w:hAnsiTheme="majorHAnsi"/>
          <w:sz w:val="22"/>
          <w:szCs w:val="22"/>
          <w:lang w:val="en-GB"/>
        </w:rPr>
        <w:t xml:space="preserve"> lists the “prohibition of discrimination” as a principle of labour legislation and Article 6 states that “[e]</w:t>
      </w:r>
      <w:proofErr w:type="spellStart"/>
      <w:r w:rsidRPr="008E6A91">
        <w:rPr>
          <w:rFonts w:asciiTheme="majorHAnsi" w:hAnsiTheme="majorHAnsi"/>
          <w:sz w:val="22"/>
          <w:szCs w:val="22"/>
          <w:lang w:val="en-GB"/>
        </w:rPr>
        <w:t>veryone</w:t>
      </w:r>
      <w:proofErr w:type="spellEnd"/>
      <w:r w:rsidRPr="008E6A91">
        <w:rPr>
          <w:rFonts w:asciiTheme="majorHAnsi" w:hAnsiTheme="majorHAnsi"/>
          <w:sz w:val="22"/>
          <w:szCs w:val="22"/>
          <w:lang w:val="en-GB"/>
        </w:rPr>
        <w:t xml:space="preserve"> shall have the right freely to choose labour or agree to work without any discrimination or compulsion to do so, the right to apply labour abilities, choose a profession and type of activity”.</w:t>
      </w:r>
      <w:r>
        <w:rPr>
          <w:rStyle w:val="Funotenzeichen"/>
          <w:rFonts w:asciiTheme="majorHAnsi" w:hAnsiTheme="majorHAnsi"/>
          <w:sz w:val="22"/>
          <w:szCs w:val="22"/>
          <w:lang w:val="en-GB"/>
        </w:rPr>
        <w:footnoteReference w:id="9"/>
      </w:r>
      <w:r w:rsidRPr="008E6A91">
        <w:rPr>
          <w:rFonts w:asciiTheme="majorHAnsi" w:hAnsiTheme="majorHAnsi"/>
          <w:sz w:val="22"/>
          <w:szCs w:val="22"/>
          <w:lang w:val="en-GB"/>
        </w:rPr>
        <w:t xml:space="preserve"> Article 7 of the Code provides for the right to non-discrimination in greater detail. Article 7(1) </w:t>
      </w:r>
      <w:proofErr w:type="gramStart"/>
      <w:r w:rsidRPr="008E6A91">
        <w:rPr>
          <w:rFonts w:asciiTheme="majorHAnsi" w:hAnsiTheme="majorHAnsi"/>
          <w:sz w:val="22"/>
          <w:szCs w:val="22"/>
          <w:lang w:val="en-GB"/>
        </w:rPr>
        <w:t>states</w:t>
      </w:r>
      <w:proofErr w:type="gramEnd"/>
      <w:r w:rsidRPr="008E6A91">
        <w:rPr>
          <w:rFonts w:asciiTheme="majorHAnsi" w:hAnsiTheme="majorHAnsi"/>
          <w:sz w:val="22"/>
          <w:szCs w:val="22"/>
          <w:lang w:val="en-GB"/>
        </w:rPr>
        <w:t xml:space="preserve"> that “[e]</w:t>
      </w:r>
      <w:proofErr w:type="spellStart"/>
      <w:r w:rsidRPr="008E6A91">
        <w:rPr>
          <w:rFonts w:asciiTheme="majorHAnsi" w:hAnsiTheme="majorHAnsi"/>
          <w:sz w:val="22"/>
          <w:szCs w:val="22"/>
          <w:lang w:val="en-GB"/>
        </w:rPr>
        <w:t>veryone</w:t>
      </w:r>
      <w:proofErr w:type="spellEnd"/>
      <w:r w:rsidRPr="008E6A91">
        <w:rPr>
          <w:rFonts w:asciiTheme="majorHAnsi" w:hAnsiTheme="majorHAnsi"/>
          <w:sz w:val="22"/>
          <w:szCs w:val="22"/>
          <w:lang w:val="en-GB"/>
        </w:rPr>
        <w:t xml:space="preserve"> shall have equal opportunities to exercise their rights and freedoms in the sphere of labour”. Article 7(2) provides that “[n]o-one may be subjected to any discrimination in exercising their labour rights depending on sex, age, physical disabilities, </w:t>
      </w:r>
      <w:r w:rsidRPr="008E6A91">
        <w:rPr>
          <w:rFonts w:asciiTheme="majorHAnsi" w:hAnsiTheme="majorHAnsi"/>
          <w:b/>
          <w:sz w:val="22"/>
          <w:szCs w:val="22"/>
          <w:lang w:val="en-GB"/>
        </w:rPr>
        <w:t>race</w:t>
      </w:r>
      <w:r w:rsidRPr="008E6A91">
        <w:rPr>
          <w:rFonts w:asciiTheme="majorHAnsi" w:hAnsiTheme="majorHAnsi"/>
          <w:sz w:val="22"/>
          <w:szCs w:val="22"/>
          <w:lang w:val="en-GB"/>
        </w:rPr>
        <w:t xml:space="preserve">, </w:t>
      </w:r>
      <w:r w:rsidRPr="008E6A91">
        <w:rPr>
          <w:rFonts w:asciiTheme="majorHAnsi" w:hAnsiTheme="majorHAnsi"/>
          <w:b/>
          <w:sz w:val="22"/>
          <w:szCs w:val="22"/>
          <w:lang w:val="en-GB"/>
        </w:rPr>
        <w:t>nationality</w:t>
      </w:r>
      <w:r w:rsidRPr="008E6A91">
        <w:rPr>
          <w:rFonts w:asciiTheme="majorHAnsi" w:hAnsiTheme="majorHAnsi"/>
          <w:sz w:val="22"/>
          <w:szCs w:val="22"/>
          <w:lang w:val="en-GB"/>
        </w:rPr>
        <w:t xml:space="preserve">, </w:t>
      </w:r>
      <w:r w:rsidRPr="008E6A91">
        <w:rPr>
          <w:rFonts w:asciiTheme="majorHAnsi" w:hAnsiTheme="majorHAnsi"/>
          <w:b/>
          <w:sz w:val="22"/>
          <w:szCs w:val="22"/>
          <w:lang w:val="en-GB"/>
        </w:rPr>
        <w:t>language</w:t>
      </w:r>
      <w:r w:rsidRPr="008E6A91">
        <w:rPr>
          <w:rFonts w:asciiTheme="majorHAnsi" w:hAnsiTheme="majorHAnsi"/>
          <w:sz w:val="22"/>
          <w:szCs w:val="22"/>
          <w:lang w:val="en-GB"/>
        </w:rPr>
        <w:t xml:space="preserve">, material, social or official position, place of residence, attitude to religion, political convictions, </w:t>
      </w:r>
      <w:r w:rsidRPr="008E6A91">
        <w:rPr>
          <w:rFonts w:asciiTheme="majorHAnsi" w:hAnsiTheme="majorHAnsi"/>
          <w:b/>
          <w:sz w:val="22"/>
          <w:szCs w:val="22"/>
          <w:lang w:val="en-GB"/>
        </w:rPr>
        <w:t>tribe or social stratum</w:t>
      </w:r>
      <w:r w:rsidRPr="008E6A91">
        <w:rPr>
          <w:rFonts w:asciiTheme="majorHAnsi" w:hAnsiTheme="majorHAnsi"/>
          <w:sz w:val="22"/>
          <w:szCs w:val="22"/>
          <w:lang w:val="en-GB"/>
        </w:rPr>
        <w:t xml:space="preserve"> or membership of public  associations” (emphasis added). Article 7(3) provides for an exception to the right to non-discrimination, namely that discrimination does not include “differences, exceptions, preferences and restrictions determined by requirements inherent in the nature of the work or dictated by the state’s concern for people in need of increased social and legal protection”. In practice, this provision can be read as excluding genuine occupational requirements and positive action measures from the scope of Article 7. Persons subject to discrimination are able to enter a lawsuit under Article 7(4).</w:t>
      </w:r>
      <w:r>
        <w:rPr>
          <w:rFonts w:asciiTheme="majorHAnsi" w:hAnsiTheme="majorHAnsi"/>
          <w:sz w:val="22"/>
          <w:szCs w:val="22"/>
          <w:lang w:val="en-GB"/>
        </w:rPr>
        <w:t xml:space="preserve"> </w:t>
      </w:r>
      <w:r w:rsidRPr="008E6A91">
        <w:rPr>
          <w:rFonts w:asciiTheme="majorHAnsi" w:hAnsiTheme="majorHAnsi"/>
          <w:sz w:val="22"/>
          <w:szCs w:val="22"/>
          <w:lang w:val="en-GB"/>
        </w:rPr>
        <w:t xml:space="preserve">Article 22 </w:t>
      </w:r>
      <w:r>
        <w:rPr>
          <w:rFonts w:asciiTheme="majorHAnsi" w:hAnsiTheme="majorHAnsi"/>
          <w:sz w:val="22"/>
          <w:szCs w:val="22"/>
          <w:lang w:val="en-GB"/>
        </w:rPr>
        <w:t xml:space="preserve">of the Labour Code </w:t>
      </w:r>
      <w:r w:rsidRPr="008E6A91">
        <w:rPr>
          <w:rFonts w:asciiTheme="majorHAnsi" w:hAnsiTheme="majorHAnsi"/>
          <w:sz w:val="22"/>
          <w:szCs w:val="22"/>
          <w:lang w:val="en-GB"/>
        </w:rPr>
        <w:t>sets out the rights of employees and includes, at Article 22(1</w:t>
      </w:r>
      <w:proofErr w:type="gramStart"/>
      <w:r w:rsidRPr="008E6A91">
        <w:rPr>
          <w:rFonts w:asciiTheme="majorHAnsi" w:hAnsiTheme="majorHAnsi"/>
          <w:sz w:val="22"/>
          <w:szCs w:val="22"/>
          <w:lang w:val="en-GB"/>
        </w:rPr>
        <w:t>)(</w:t>
      </w:r>
      <w:proofErr w:type="gramEnd"/>
      <w:r w:rsidRPr="008E6A91">
        <w:rPr>
          <w:rFonts w:asciiTheme="majorHAnsi" w:hAnsiTheme="majorHAnsi"/>
          <w:sz w:val="22"/>
          <w:szCs w:val="22"/>
          <w:lang w:val="en-GB"/>
        </w:rPr>
        <w:t>5), “equal payment for equal labour without any discrimination”. Article 145 sets out the state’s guarantee of a job, specifically providing at Article 145(1) “protection against any forms of discrimination and provision of equal opportunities to gain a profession and a job”.</w:t>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Generic non-discrimination provisions are also found in other pieces of legislation such as </w:t>
      </w:r>
      <w:r>
        <w:rPr>
          <w:rFonts w:asciiTheme="majorHAnsi" w:hAnsiTheme="majorHAnsi"/>
          <w:sz w:val="22"/>
          <w:szCs w:val="22"/>
          <w:lang w:val="en-GB"/>
        </w:rPr>
        <w:lastRenderedPageBreak/>
        <w:t xml:space="preserve">the </w:t>
      </w:r>
      <w:r w:rsidRPr="00B52199">
        <w:rPr>
          <w:rFonts w:asciiTheme="majorHAnsi" w:hAnsiTheme="majorHAnsi"/>
          <w:b/>
          <w:sz w:val="22"/>
          <w:szCs w:val="22"/>
          <w:u w:val="single"/>
          <w:lang w:val="en-GB"/>
        </w:rPr>
        <w:t>Code on Peoples’ Health and Healthcare System</w:t>
      </w:r>
      <w:r>
        <w:rPr>
          <w:rStyle w:val="Funotenzeichen"/>
          <w:rFonts w:asciiTheme="majorHAnsi" w:hAnsiTheme="majorHAnsi"/>
          <w:sz w:val="22"/>
          <w:szCs w:val="22"/>
          <w:lang w:val="en-GB"/>
        </w:rPr>
        <w:footnoteReference w:id="10"/>
      </w:r>
      <w:r>
        <w:rPr>
          <w:rFonts w:asciiTheme="majorHAnsi" w:hAnsiTheme="majorHAnsi"/>
          <w:sz w:val="22"/>
          <w:szCs w:val="22"/>
          <w:lang w:val="en-GB"/>
        </w:rPr>
        <w:t xml:space="preserve"> (Article 91(1)(2)) and the </w:t>
      </w:r>
      <w:r w:rsidRPr="00B52199">
        <w:rPr>
          <w:rFonts w:asciiTheme="majorHAnsi" w:hAnsiTheme="majorHAnsi"/>
          <w:b/>
          <w:sz w:val="22"/>
          <w:szCs w:val="22"/>
          <w:u w:val="single"/>
          <w:lang w:val="en-GB"/>
        </w:rPr>
        <w:t>Law on the Rights of the Child</w:t>
      </w:r>
      <w:r>
        <w:rPr>
          <w:rStyle w:val="Funotenzeichen"/>
          <w:rFonts w:asciiTheme="majorHAnsi" w:hAnsiTheme="majorHAnsi"/>
          <w:sz w:val="22"/>
          <w:szCs w:val="22"/>
          <w:lang w:val="en-GB"/>
        </w:rPr>
        <w:footnoteReference w:id="11"/>
      </w:r>
      <w:r>
        <w:rPr>
          <w:rFonts w:asciiTheme="majorHAnsi" w:hAnsiTheme="majorHAnsi"/>
          <w:sz w:val="22"/>
          <w:szCs w:val="22"/>
          <w:lang w:val="en-GB"/>
        </w:rPr>
        <w:t xml:space="preserve"> (Article 6(1)(1)).</w:t>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D57DC3">
        <w:rPr>
          <w:rFonts w:asciiTheme="majorHAnsi" w:hAnsiTheme="majorHAnsi"/>
          <w:sz w:val="22"/>
          <w:szCs w:val="22"/>
          <w:lang w:val="en-GB"/>
        </w:rPr>
        <w:t>None of these provisions contains a definition of discrimination, let alone definitions of direct and indirect discrimination. The scope of the prohibition of racial discrimination is severely limited</w:t>
      </w:r>
      <w:r>
        <w:rPr>
          <w:rFonts w:asciiTheme="majorHAnsi" w:hAnsiTheme="majorHAnsi"/>
          <w:sz w:val="22"/>
          <w:szCs w:val="22"/>
          <w:lang w:val="en-GB"/>
        </w:rPr>
        <w:t>, with</w:t>
      </w:r>
      <w:r w:rsidRPr="00D57DC3">
        <w:rPr>
          <w:rFonts w:asciiTheme="majorHAnsi" w:hAnsiTheme="majorHAnsi"/>
          <w:sz w:val="22"/>
          <w:szCs w:val="22"/>
          <w:lang w:val="en-GB"/>
        </w:rPr>
        <w:t xml:space="preserve"> only employment legislation</w:t>
      </w:r>
      <w:r>
        <w:rPr>
          <w:rFonts w:asciiTheme="majorHAnsi" w:hAnsiTheme="majorHAnsi"/>
          <w:sz w:val="22"/>
          <w:szCs w:val="22"/>
          <w:lang w:val="en-GB"/>
        </w:rPr>
        <w:t xml:space="preserve"> and the criminal and civil procedure codes</w:t>
      </w:r>
      <w:r w:rsidRPr="00D57DC3">
        <w:rPr>
          <w:rFonts w:asciiTheme="majorHAnsi" w:hAnsiTheme="majorHAnsi"/>
          <w:sz w:val="22"/>
          <w:szCs w:val="22"/>
          <w:lang w:val="en-GB"/>
        </w:rPr>
        <w:t xml:space="preserve"> containing any notable</w:t>
      </w:r>
      <w:r>
        <w:rPr>
          <w:rFonts w:asciiTheme="majorHAnsi" w:hAnsiTheme="majorHAnsi"/>
          <w:sz w:val="22"/>
          <w:szCs w:val="22"/>
          <w:lang w:val="en-GB"/>
        </w:rPr>
        <w:t xml:space="preserve"> prohibition of discrimination.</w:t>
      </w:r>
    </w:p>
    <w:p w:rsidR="00C45FD8" w:rsidRDefault="00C45FD8" w:rsidP="00C45FD8">
      <w:pPr>
        <w:pStyle w:val="Listenabsatz"/>
        <w:widowControl w:val="0"/>
        <w:spacing w:line="276" w:lineRule="auto"/>
        <w:ind w:left="567"/>
        <w:jc w:val="both"/>
        <w:rPr>
          <w:rFonts w:asciiTheme="majorHAnsi" w:hAnsiTheme="majorHAnsi"/>
          <w:sz w:val="22"/>
          <w:szCs w:val="22"/>
          <w:lang w:val="en-GB"/>
        </w:rPr>
      </w:pPr>
    </w:p>
    <w:p w:rsidR="00C45FD8" w:rsidRPr="00D57DC3"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D57DC3">
        <w:rPr>
          <w:rFonts w:asciiTheme="majorHAnsi" w:hAnsiTheme="majorHAnsi"/>
          <w:sz w:val="22"/>
          <w:szCs w:val="22"/>
          <w:lang w:val="en-GB"/>
        </w:rPr>
        <w:t xml:space="preserve">ERT’s </w:t>
      </w:r>
      <w:r>
        <w:rPr>
          <w:rFonts w:asciiTheme="majorHAnsi" w:hAnsiTheme="majorHAnsi"/>
          <w:sz w:val="22"/>
          <w:szCs w:val="22"/>
          <w:lang w:val="en-GB"/>
        </w:rPr>
        <w:t>view</w:t>
      </w:r>
      <w:r w:rsidRPr="00D57DC3">
        <w:rPr>
          <w:rFonts w:asciiTheme="majorHAnsi" w:hAnsiTheme="majorHAnsi"/>
          <w:sz w:val="22"/>
          <w:szCs w:val="22"/>
          <w:lang w:val="en-GB"/>
        </w:rPr>
        <w:t xml:space="preserve"> is that the level of protection falls far short of that which is required under Article 2(d) of the Convention, namely the prohibition of racial discrimination which, under Article 1(1), includes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w:t>
      </w:r>
      <w:r>
        <w:rPr>
          <w:rFonts w:asciiTheme="majorHAnsi" w:hAnsiTheme="majorHAnsi"/>
          <w:sz w:val="22"/>
          <w:szCs w:val="22"/>
          <w:lang w:val="en-GB"/>
        </w:rPr>
        <w:t>ny other field of public life”.</w:t>
      </w:r>
    </w:p>
    <w:p w:rsidR="00C45FD8" w:rsidRDefault="00C45FD8" w:rsidP="00C45FD8">
      <w:pPr>
        <w:widowControl w:val="0"/>
        <w:spacing w:line="276" w:lineRule="auto"/>
        <w:jc w:val="both"/>
        <w:rPr>
          <w:rFonts w:asciiTheme="majorHAnsi" w:hAnsiTheme="majorHAnsi"/>
          <w:sz w:val="22"/>
          <w:szCs w:val="22"/>
          <w:lang w:val="en-GB"/>
        </w:rPr>
      </w:pPr>
    </w:p>
    <w:p w:rsidR="00C45FD8" w:rsidRDefault="00C45FD8" w:rsidP="00C45FD8">
      <w:pPr>
        <w:widowControl w:val="0"/>
        <w:pBdr>
          <w:top w:val="single" w:sz="18" w:space="1" w:color="auto"/>
          <w:left w:val="single" w:sz="18" w:space="4" w:color="auto"/>
          <w:bottom w:val="single" w:sz="18" w:space="1" w:color="auto"/>
          <w:right w:val="single" w:sz="18" w:space="4" w:color="auto"/>
        </w:pBdr>
        <w:shd w:val="clear" w:color="auto" w:fill="00B5CC"/>
        <w:spacing w:line="276" w:lineRule="auto"/>
        <w:jc w:val="both"/>
        <w:rPr>
          <w:rFonts w:asciiTheme="majorHAnsi" w:hAnsiTheme="majorHAnsi"/>
          <w:sz w:val="22"/>
          <w:szCs w:val="22"/>
          <w:lang w:val="en-GB"/>
        </w:rPr>
      </w:pPr>
      <w:r w:rsidRPr="00E413C2">
        <w:rPr>
          <w:rFonts w:asciiTheme="majorHAnsi" w:hAnsiTheme="majorHAnsi"/>
          <w:sz w:val="22"/>
          <w:szCs w:val="22"/>
          <w:lang w:val="en-GB"/>
        </w:rPr>
        <w:t xml:space="preserve">ERT </w:t>
      </w:r>
      <w:r>
        <w:rPr>
          <w:rFonts w:asciiTheme="majorHAnsi" w:hAnsiTheme="majorHAnsi"/>
          <w:sz w:val="22"/>
          <w:szCs w:val="22"/>
          <w:lang w:val="en-GB"/>
        </w:rPr>
        <w:t>urges the Committee to recommend that Kazakhstan adopts comprehensive equality legislation which prohibits all forms of discrimination, including direct and indirect discrimination, in all areas of public life, with provisions that ensure effective access to justice and appropriate remedies.</w:t>
      </w:r>
    </w:p>
    <w:p w:rsidR="00C45FD8" w:rsidRDefault="00C45FD8" w:rsidP="00C45FD8">
      <w:pPr>
        <w:widowControl w:val="0"/>
        <w:spacing w:line="276" w:lineRule="auto"/>
        <w:contextualSpacing/>
        <w:jc w:val="both"/>
        <w:rPr>
          <w:rFonts w:asciiTheme="majorHAnsi" w:hAnsiTheme="majorHAnsi"/>
          <w:sz w:val="22"/>
          <w:szCs w:val="22"/>
          <w:lang w:val="en-GB"/>
        </w:rPr>
      </w:pPr>
    </w:p>
    <w:p w:rsidR="0054112F" w:rsidRPr="00031AD3" w:rsidRDefault="0054112F" w:rsidP="0054112F">
      <w:pPr>
        <w:widowControl w:val="0"/>
        <w:spacing w:line="276" w:lineRule="auto"/>
        <w:jc w:val="both"/>
        <w:rPr>
          <w:rFonts w:asciiTheme="majorHAnsi" w:hAnsiTheme="majorHAnsi"/>
          <w:b/>
          <w:sz w:val="22"/>
          <w:szCs w:val="22"/>
          <w:lang w:val="en-GB"/>
        </w:rPr>
      </w:pPr>
      <w:r w:rsidRPr="00031AD3">
        <w:rPr>
          <w:rFonts w:asciiTheme="majorHAnsi" w:hAnsiTheme="majorHAnsi"/>
          <w:b/>
          <w:sz w:val="22"/>
          <w:szCs w:val="22"/>
          <w:lang w:val="en-GB"/>
        </w:rPr>
        <w:t>Representation in Political Life</w:t>
      </w:r>
      <w:r>
        <w:rPr>
          <w:rFonts w:asciiTheme="majorHAnsi" w:hAnsiTheme="majorHAnsi"/>
          <w:b/>
          <w:sz w:val="22"/>
          <w:szCs w:val="22"/>
          <w:lang w:val="en-GB"/>
        </w:rPr>
        <w:t xml:space="preserve"> (Articles 1(4), 2(2) and 5(c))</w:t>
      </w:r>
    </w:p>
    <w:p w:rsidR="0054112F" w:rsidRDefault="0054112F" w:rsidP="0054112F">
      <w:pPr>
        <w:widowControl w:val="0"/>
        <w:spacing w:line="276" w:lineRule="auto"/>
        <w:jc w:val="both"/>
        <w:rPr>
          <w:rFonts w:asciiTheme="majorHAnsi" w:hAnsiTheme="majorHAnsi"/>
          <w:sz w:val="22"/>
          <w:szCs w:val="22"/>
          <w:lang w:val="en-GB"/>
        </w:rPr>
      </w:pPr>
    </w:p>
    <w:p w:rsidR="0054112F" w:rsidRPr="00D54197" w:rsidRDefault="0054112F" w:rsidP="0054112F">
      <w:pPr>
        <w:pStyle w:val="Listenabsatz"/>
        <w:widowControl w:val="0"/>
        <w:numPr>
          <w:ilvl w:val="0"/>
          <w:numId w:val="1"/>
        </w:numPr>
        <w:spacing w:line="276" w:lineRule="auto"/>
        <w:ind w:left="567" w:hanging="567"/>
        <w:contextualSpacing/>
        <w:jc w:val="both"/>
        <w:rPr>
          <w:rFonts w:asciiTheme="majorHAnsi" w:hAnsiTheme="majorHAnsi"/>
          <w:b/>
          <w:sz w:val="22"/>
          <w:szCs w:val="22"/>
          <w:lang w:val="en-GB"/>
        </w:rPr>
      </w:pPr>
      <w:r>
        <w:rPr>
          <w:rFonts w:asciiTheme="majorHAnsi" w:hAnsiTheme="majorHAnsi"/>
          <w:sz w:val="22"/>
          <w:szCs w:val="22"/>
          <w:lang w:val="en-GB"/>
        </w:rPr>
        <w:t xml:space="preserve">ERT notes that </w:t>
      </w:r>
      <w:r w:rsidRPr="00D54197">
        <w:rPr>
          <w:rFonts w:asciiTheme="majorHAnsi" w:hAnsiTheme="majorHAnsi"/>
          <w:sz w:val="22"/>
          <w:szCs w:val="22"/>
          <w:lang w:val="en-GB"/>
        </w:rPr>
        <w:t>at its last review of Kazakhstan, the Committee expressed its concern at “the limited participation of minorities in political life and decision-making at both national and regional levels” and its recommendation that the country “take further measures, including special measures, aimed at ensuring a fair and adequate participation of all members of minority groups in political life”.</w:t>
      </w:r>
      <w:r w:rsidRPr="00D54197">
        <w:rPr>
          <w:rStyle w:val="Funotenzeichen"/>
          <w:rFonts w:asciiTheme="majorHAnsi" w:hAnsiTheme="majorHAnsi"/>
          <w:sz w:val="22"/>
          <w:szCs w:val="22"/>
          <w:lang w:val="en-GB"/>
        </w:rPr>
        <w:footnoteReference w:id="12"/>
      </w:r>
    </w:p>
    <w:p w:rsidR="0054112F" w:rsidRPr="00D54197" w:rsidRDefault="0054112F" w:rsidP="0054112F">
      <w:pPr>
        <w:pStyle w:val="Listenabsatz"/>
        <w:widowControl w:val="0"/>
        <w:spacing w:line="276" w:lineRule="auto"/>
        <w:ind w:left="567"/>
        <w:jc w:val="both"/>
        <w:rPr>
          <w:rFonts w:asciiTheme="majorHAnsi" w:hAnsiTheme="majorHAnsi"/>
          <w:b/>
          <w:sz w:val="22"/>
          <w:szCs w:val="22"/>
          <w:lang w:val="en-GB"/>
        </w:rPr>
      </w:pPr>
    </w:p>
    <w:p w:rsidR="0054112F" w:rsidRPr="00D54197" w:rsidRDefault="0054112F" w:rsidP="0054112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D54197">
        <w:rPr>
          <w:rFonts w:asciiTheme="majorHAnsi" w:hAnsiTheme="majorHAnsi"/>
          <w:sz w:val="22"/>
          <w:szCs w:val="22"/>
          <w:lang w:val="en-GB"/>
        </w:rPr>
        <w:t xml:space="preserve">ERT is therefore concerned by recent electoral data which indicate that </w:t>
      </w:r>
      <w:r>
        <w:rPr>
          <w:rFonts w:asciiTheme="majorHAnsi" w:hAnsiTheme="majorHAnsi"/>
          <w:sz w:val="22"/>
          <w:szCs w:val="22"/>
          <w:lang w:val="en-GB"/>
        </w:rPr>
        <w:t>non-</w:t>
      </w:r>
      <w:r w:rsidRPr="00D54197">
        <w:rPr>
          <w:rFonts w:asciiTheme="majorHAnsi" w:hAnsiTheme="majorHAnsi"/>
          <w:sz w:val="22"/>
          <w:szCs w:val="22"/>
          <w:lang w:val="en-GB"/>
        </w:rPr>
        <w:t>Kazakh</w:t>
      </w:r>
      <w:r>
        <w:rPr>
          <w:rFonts w:asciiTheme="majorHAnsi" w:hAnsiTheme="majorHAnsi"/>
          <w:sz w:val="22"/>
          <w:szCs w:val="22"/>
          <w:lang w:val="en-GB"/>
        </w:rPr>
        <w:t xml:space="preserve"> ethnic groups</w:t>
      </w:r>
      <w:r w:rsidRPr="00D54197">
        <w:rPr>
          <w:rFonts w:asciiTheme="majorHAnsi" w:hAnsiTheme="majorHAnsi"/>
          <w:sz w:val="22"/>
          <w:szCs w:val="22"/>
          <w:lang w:val="en-GB"/>
        </w:rPr>
        <w:t>, despite</w:t>
      </w:r>
      <w:r>
        <w:rPr>
          <w:rFonts w:asciiTheme="majorHAnsi" w:hAnsiTheme="majorHAnsi"/>
          <w:sz w:val="22"/>
          <w:szCs w:val="22"/>
          <w:lang w:val="en-GB"/>
        </w:rPr>
        <w:t xml:space="preserve"> representing </w:t>
      </w:r>
      <w:r w:rsidRPr="00D54197">
        <w:rPr>
          <w:rFonts w:asciiTheme="majorHAnsi" w:hAnsiTheme="majorHAnsi"/>
          <w:sz w:val="22"/>
          <w:szCs w:val="22"/>
          <w:lang w:val="en-GB"/>
        </w:rPr>
        <w:t>a significant proportion of the population of Kazakhstan, remain under-represented in political life.</w:t>
      </w:r>
    </w:p>
    <w:p w:rsidR="0054112F" w:rsidRDefault="0054112F" w:rsidP="0054112F">
      <w:pPr>
        <w:pStyle w:val="Listenabsatz"/>
        <w:widowControl w:val="0"/>
        <w:spacing w:line="276" w:lineRule="auto"/>
        <w:ind w:left="567"/>
        <w:jc w:val="both"/>
        <w:rPr>
          <w:rFonts w:asciiTheme="majorHAnsi" w:hAnsiTheme="majorHAnsi"/>
          <w:sz w:val="22"/>
          <w:szCs w:val="22"/>
          <w:lang w:val="en-GB"/>
        </w:rPr>
      </w:pPr>
    </w:p>
    <w:p w:rsidR="0054112F" w:rsidRDefault="0054112F" w:rsidP="0054112F">
      <w:pPr>
        <w:pStyle w:val="Listenabsatz"/>
        <w:widowControl w:val="0"/>
        <w:spacing w:line="276" w:lineRule="auto"/>
        <w:ind w:left="567"/>
        <w:jc w:val="both"/>
        <w:rPr>
          <w:rFonts w:asciiTheme="majorHAnsi" w:hAnsiTheme="majorHAnsi"/>
          <w:sz w:val="22"/>
          <w:szCs w:val="22"/>
          <w:lang w:val="en-GB"/>
        </w:rPr>
      </w:pPr>
      <w:r w:rsidRPr="00D84B9F">
        <w:rPr>
          <w:rFonts w:asciiTheme="majorHAnsi" w:hAnsiTheme="majorHAnsi"/>
          <w:b/>
          <w:sz w:val="22"/>
          <w:szCs w:val="22"/>
          <w:lang w:val="en-GB"/>
        </w:rPr>
        <w:t>Almaty</w:t>
      </w:r>
      <w:r>
        <w:rPr>
          <w:rFonts w:asciiTheme="majorHAnsi" w:hAnsiTheme="majorHAnsi"/>
          <w:sz w:val="22"/>
          <w:szCs w:val="22"/>
          <w:lang w:val="en-GB"/>
        </w:rPr>
        <w:t xml:space="preserve">: According to the 2009 census, Kazakhs make up approximately 51.06% of the population of Kazakhstan’s largest city, Almaty, and non-Kazakhs approximately 48.94%. Despite this, representation of non-Kazaks in political life in Almaty is very low. Executive power in the city is vested in the mayor, his deputies and the heads of the </w:t>
      </w:r>
      <w:proofErr w:type="spellStart"/>
      <w:r>
        <w:rPr>
          <w:rFonts w:asciiTheme="majorHAnsi" w:hAnsiTheme="majorHAnsi"/>
          <w:sz w:val="22"/>
          <w:szCs w:val="22"/>
          <w:lang w:val="en-GB"/>
        </w:rPr>
        <w:t>sectoral</w:t>
      </w:r>
      <w:proofErr w:type="spellEnd"/>
      <w:r>
        <w:rPr>
          <w:rFonts w:asciiTheme="majorHAnsi" w:hAnsiTheme="majorHAnsi"/>
          <w:sz w:val="22"/>
          <w:szCs w:val="22"/>
          <w:lang w:val="en-GB"/>
        </w:rPr>
        <w:t xml:space="preserve"> departments. In total, of these 26 officials, only 2 (less than 8%) have non-Kazakh names. Of the seven administrative districts in Almaty, six are headed by Kazakhs. Of the 21 deputy heads of districts, only 2 are non-Kazakh.</w:t>
      </w:r>
    </w:p>
    <w:p w:rsidR="0054112F" w:rsidRDefault="0054112F" w:rsidP="0054112F">
      <w:pPr>
        <w:pStyle w:val="Listenabsatz"/>
        <w:widowControl w:val="0"/>
        <w:spacing w:line="276" w:lineRule="auto"/>
        <w:ind w:left="567"/>
        <w:jc w:val="both"/>
        <w:rPr>
          <w:rFonts w:asciiTheme="majorHAnsi" w:hAnsiTheme="majorHAnsi"/>
          <w:sz w:val="22"/>
          <w:szCs w:val="22"/>
          <w:lang w:val="en-GB"/>
        </w:rPr>
      </w:pPr>
    </w:p>
    <w:p w:rsidR="0054112F" w:rsidRDefault="0054112F" w:rsidP="0054112F">
      <w:pPr>
        <w:pStyle w:val="Listenabsatz"/>
        <w:widowControl w:val="0"/>
        <w:spacing w:line="276" w:lineRule="auto"/>
        <w:ind w:left="567"/>
        <w:jc w:val="both"/>
        <w:rPr>
          <w:rFonts w:asciiTheme="majorHAnsi" w:hAnsiTheme="majorHAnsi"/>
          <w:sz w:val="22"/>
          <w:szCs w:val="22"/>
          <w:lang w:val="en-GB"/>
        </w:rPr>
      </w:pPr>
      <w:r w:rsidRPr="00D84B9F">
        <w:rPr>
          <w:rFonts w:asciiTheme="majorHAnsi" w:hAnsiTheme="majorHAnsi"/>
          <w:b/>
          <w:sz w:val="22"/>
          <w:szCs w:val="22"/>
          <w:lang w:val="en-GB"/>
        </w:rPr>
        <w:t>North Kazakhstan</w:t>
      </w:r>
      <w:r>
        <w:rPr>
          <w:rFonts w:asciiTheme="majorHAnsi" w:hAnsiTheme="majorHAnsi"/>
          <w:sz w:val="22"/>
          <w:szCs w:val="22"/>
          <w:lang w:val="en-GB"/>
        </w:rPr>
        <w:t xml:space="preserve">: The situation is similar in North Kazakhstan province, where Kazakhs are in fact a minority, making up approximately 33.30% of the population. The majority ethnic group are Russians who make up 50.43% of the population, with the remaining 16.27% made up of other ethnic groups. However, the mayor of the province as well as three out of the four deputies in the region are Kazakh, as are 12 out of the 14 mayors of the districts and city of </w:t>
      </w:r>
      <w:r w:rsidRPr="00D84B9F">
        <w:rPr>
          <w:rFonts w:asciiTheme="majorHAnsi" w:hAnsiTheme="majorHAnsi"/>
          <w:sz w:val="22"/>
          <w:szCs w:val="22"/>
          <w:lang w:val="en-GB"/>
        </w:rPr>
        <w:t>Petropavlovsk</w:t>
      </w:r>
      <w:r>
        <w:rPr>
          <w:rFonts w:asciiTheme="majorHAnsi" w:hAnsiTheme="majorHAnsi"/>
          <w:sz w:val="22"/>
          <w:szCs w:val="22"/>
          <w:lang w:val="en-GB"/>
        </w:rPr>
        <w:t>, and 35 out of the 40 deputies in the district and city. In half of the districts, the mayor and the deputies are all Kazakh with no other ethnic groups represented. In total, despite making up only 33.30% of the population, Kazakhs occupy 86.2% of key political positions.</w:t>
      </w:r>
    </w:p>
    <w:p w:rsidR="0054112F" w:rsidRDefault="0054112F" w:rsidP="0054112F">
      <w:pPr>
        <w:pStyle w:val="Listenabsatz"/>
        <w:widowControl w:val="0"/>
        <w:spacing w:line="276" w:lineRule="auto"/>
        <w:ind w:left="567"/>
        <w:jc w:val="both"/>
        <w:rPr>
          <w:rFonts w:asciiTheme="majorHAnsi" w:hAnsiTheme="majorHAnsi"/>
          <w:sz w:val="22"/>
          <w:szCs w:val="22"/>
          <w:lang w:val="en-GB"/>
        </w:rPr>
      </w:pPr>
    </w:p>
    <w:p w:rsidR="0054112F" w:rsidRDefault="0054112F" w:rsidP="0054112F">
      <w:pPr>
        <w:pStyle w:val="Listenabsatz"/>
        <w:widowControl w:val="0"/>
        <w:spacing w:line="276" w:lineRule="auto"/>
        <w:ind w:left="567"/>
        <w:jc w:val="both"/>
        <w:rPr>
          <w:rFonts w:asciiTheme="majorHAnsi" w:hAnsiTheme="majorHAnsi"/>
          <w:sz w:val="22"/>
          <w:szCs w:val="22"/>
          <w:lang w:val="en-GB"/>
        </w:rPr>
      </w:pPr>
      <w:r w:rsidRPr="007638F4">
        <w:rPr>
          <w:rFonts w:asciiTheme="majorHAnsi" w:hAnsiTheme="majorHAnsi"/>
          <w:b/>
          <w:sz w:val="22"/>
          <w:szCs w:val="22"/>
          <w:lang w:val="en-GB"/>
        </w:rPr>
        <w:t>National</w:t>
      </w:r>
      <w:r>
        <w:rPr>
          <w:rFonts w:asciiTheme="majorHAnsi" w:hAnsiTheme="majorHAnsi"/>
          <w:sz w:val="22"/>
          <w:szCs w:val="22"/>
          <w:lang w:val="en-GB"/>
        </w:rPr>
        <w:t xml:space="preserve">: At the national level, Kazakhstan introduced electoral reforms in 2007 which increased the size of the lower house of Parliament (the </w:t>
      </w:r>
      <w:proofErr w:type="spellStart"/>
      <w:r w:rsidR="00631B3B">
        <w:rPr>
          <w:rFonts w:asciiTheme="majorHAnsi" w:hAnsiTheme="majorHAnsi"/>
          <w:i/>
          <w:sz w:val="22"/>
          <w:szCs w:val="22"/>
          <w:lang w:val="en-GB"/>
        </w:rPr>
        <w:t>Maji</w:t>
      </w:r>
      <w:r w:rsidRPr="007638F4">
        <w:rPr>
          <w:rFonts w:asciiTheme="majorHAnsi" w:hAnsiTheme="majorHAnsi"/>
          <w:i/>
          <w:sz w:val="22"/>
          <w:szCs w:val="22"/>
          <w:lang w:val="en-GB"/>
        </w:rPr>
        <w:t>lis</w:t>
      </w:r>
      <w:proofErr w:type="spellEnd"/>
      <w:r>
        <w:rPr>
          <w:rFonts w:asciiTheme="majorHAnsi" w:hAnsiTheme="majorHAnsi"/>
          <w:sz w:val="22"/>
          <w:szCs w:val="22"/>
          <w:lang w:val="en-GB"/>
        </w:rPr>
        <w:t xml:space="preserve">) from 77 to 107 members, made up of 98 members elected directly by the people and 9 representatives of the </w:t>
      </w:r>
      <w:r w:rsidRPr="007638F4">
        <w:rPr>
          <w:rFonts w:asciiTheme="majorHAnsi" w:hAnsiTheme="majorHAnsi"/>
          <w:sz w:val="22"/>
          <w:szCs w:val="22"/>
          <w:lang w:val="en-GB"/>
        </w:rPr>
        <w:t>Assembly of the People of Kazakhstan</w:t>
      </w:r>
      <w:r>
        <w:rPr>
          <w:rFonts w:asciiTheme="majorHAnsi" w:hAnsiTheme="majorHAnsi"/>
          <w:sz w:val="22"/>
          <w:szCs w:val="22"/>
          <w:lang w:val="en-GB"/>
        </w:rPr>
        <w:t>. The Assembly of the People of Kazakhstan itself comprises representatives</w:t>
      </w:r>
      <w:r w:rsidRPr="007638F4">
        <w:rPr>
          <w:rFonts w:asciiTheme="majorHAnsi" w:hAnsiTheme="majorHAnsi"/>
          <w:sz w:val="22"/>
          <w:szCs w:val="22"/>
          <w:lang w:val="en-GB"/>
        </w:rPr>
        <w:t xml:space="preserve"> </w:t>
      </w:r>
      <w:r>
        <w:rPr>
          <w:rFonts w:asciiTheme="majorHAnsi" w:hAnsiTheme="majorHAnsi"/>
          <w:sz w:val="22"/>
          <w:szCs w:val="22"/>
          <w:lang w:val="en-GB"/>
        </w:rPr>
        <w:t xml:space="preserve">of </w:t>
      </w:r>
      <w:r w:rsidRPr="007638F4">
        <w:rPr>
          <w:rFonts w:asciiTheme="majorHAnsi" w:hAnsiTheme="majorHAnsi"/>
          <w:sz w:val="22"/>
          <w:szCs w:val="22"/>
          <w:lang w:val="en-GB"/>
        </w:rPr>
        <w:t xml:space="preserve">the Regional Assemblies </w:t>
      </w:r>
      <w:r>
        <w:rPr>
          <w:rFonts w:asciiTheme="majorHAnsi" w:hAnsiTheme="majorHAnsi"/>
          <w:sz w:val="22"/>
          <w:szCs w:val="22"/>
          <w:lang w:val="en-GB"/>
        </w:rPr>
        <w:t>and is tasked with representing</w:t>
      </w:r>
      <w:r w:rsidRPr="007638F4">
        <w:rPr>
          <w:rFonts w:asciiTheme="majorHAnsi" w:hAnsiTheme="majorHAnsi"/>
          <w:sz w:val="22"/>
          <w:szCs w:val="22"/>
          <w:lang w:val="en-GB"/>
        </w:rPr>
        <w:t xml:space="preserve"> </w:t>
      </w:r>
      <w:r>
        <w:rPr>
          <w:rFonts w:asciiTheme="majorHAnsi" w:hAnsiTheme="majorHAnsi"/>
          <w:sz w:val="22"/>
          <w:szCs w:val="22"/>
          <w:lang w:val="en-GB"/>
        </w:rPr>
        <w:t>t</w:t>
      </w:r>
      <w:r w:rsidRPr="007638F4">
        <w:rPr>
          <w:rFonts w:asciiTheme="majorHAnsi" w:hAnsiTheme="majorHAnsi"/>
          <w:sz w:val="22"/>
          <w:szCs w:val="22"/>
          <w:lang w:val="en-GB"/>
        </w:rPr>
        <w:t xml:space="preserve">he various ethnic groups </w:t>
      </w:r>
      <w:r>
        <w:rPr>
          <w:rFonts w:asciiTheme="majorHAnsi" w:hAnsiTheme="majorHAnsi"/>
          <w:sz w:val="22"/>
          <w:szCs w:val="22"/>
          <w:lang w:val="en-GB"/>
        </w:rPr>
        <w:t xml:space="preserve">in Kazakhstan. Information on the ethnic make-up of the deputies of the </w:t>
      </w:r>
      <w:proofErr w:type="spellStart"/>
      <w:r w:rsidR="00631B3B" w:rsidRPr="00631B3B">
        <w:rPr>
          <w:rFonts w:asciiTheme="majorHAnsi" w:hAnsiTheme="majorHAnsi"/>
          <w:i/>
          <w:sz w:val="22"/>
          <w:szCs w:val="22"/>
          <w:lang w:val="en-GB"/>
        </w:rPr>
        <w:t>Maj</w:t>
      </w:r>
      <w:r w:rsidR="00631B3B">
        <w:rPr>
          <w:rFonts w:asciiTheme="majorHAnsi" w:hAnsiTheme="majorHAnsi"/>
          <w:i/>
          <w:sz w:val="22"/>
          <w:szCs w:val="22"/>
          <w:lang w:val="en-GB"/>
        </w:rPr>
        <w:t>i</w:t>
      </w:r>
      <w:r w:rsidRPr="00631B3B">
        <w:rPr>
          <w:rFonts w:asciiTheme="majorHAnsi" w:hAnsiTheme="majorHAnsi"/>
          <w:i/>
          <w:sz w:val="22"/>
          <w:szCs w:val="22"/>
          <w:lang w:val="en-GB"/>
        </w:rPr>
        <w:t>lis</w:t>
      </w:r>
      <w:proofErr w:type="spellEnd"/>
      <w:r>
        <w:rPr>
          <w:rFonts w:asciiTheme="majorHAnsi" w:hAnsiTheme="majorHAnsi"/>
          <w:sz w:val="22"/>
          <w:szCs w:val="22"/>
          <w:lang w:val="en-GB"/>
        </w:rPr>
        <w:t xml:space="preserve"> following the 2012 legislative election is not available, but the results of the 2007 legislative election demonstrate the disproportionality between the deputies and the population as a whole.</w:t>
      </w:r>
      <w:r>
        <w:rPr>
          <w:rStyle w:val="Funotenzeichen"/>
          <w:rFonts w:asciiTheme="majorHAnsi" w:hAnsiTheme="majorHAnsi"/>
          <w:sz w:val="22"/>
          <w:szCs w:val="22"/>
          <w:lang w:val="en-GB"/>
        </w:rPr>
        <w:footnoteReference w:id="13"/>
      </w:r>
      <w:r>
        <w:rPr>
          <w:rFonts w:asciiTheme="majorHAnsi" w:hAnsiTheme="majorHAnsi"/>
          <w:sz w:val="22"/>
          <w:szCs w:val="22"/>
          <w:lang w:val="en-GB"/>
        </w:rPr>
        <w:t xml:space="preserve"> </w:t>
      </w:r>
    </w:p>
    <w:p w:rsidR="0054112F" w:rsidRDefault="0054112F" w:rsidP="0054112F">
      <w:pPr>
        <w:widowControl w:val="0"/>
        <w:spacing w:line="276" w:lineRule="auto"/>
        <w:jc w:val="both"/>
        <w:rPr>
          <w:rFonts w:asciiTheme="majorHAnsi" w:hAnsiTheme="majorHAns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035"/>
        <w:gridCol w:w="2357"/>
        <w:gridCol w:w="1957"/>
        <w:gridCol w:w="1726"/>
      </w:tblGrid>
      <w:tr w:rsidR="0054112F" w:rsidTr="0054112F">
        <w:tc>
          <w:tcPr>
            <w:tcW w:w="1168" w:type="dxa"/>
          </w:tcPr>
          <w:p w:rsidR="0054112F" w:rsidRPr="0054112F" w:rsidRDefault="0054112F" w:rsidP="0054112F">
            <w:pPr>
              <w:widowControl w:val="0"/>
              <w:spacing w:line="276" w:lineRule="auto"/>
              <w:jc w:val="both"/>
              <w:rPr>
                <w:rFonts w:asciiTheme="majorHAnsi" w:hAnsiTheme="majorHAnsi"/>
                <w:lang w:val="en-GB"/>
              </w:rPr>
            </w:pPr>
          </w:p>
        </w:tc>
        <w:tc>
          <w:tcPr>
            <w:tcW w:w="2035"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Directly elected</w:t>
            </w:r>
          </w:p>
        </w:tc>
        <w:tc>
          <w:tcPr>
            <w:tcW w:w="2357"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Representatives of the Assembly of the People of Kazakhstan</w:t>
            </w:r>
          </w:p>
        </w:tc>
        <w:tc>
          <w:tcPr>
            <w:tcW w:w="1957"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Total</w:t>
            </w:r>
          </w:p>
        </w:tc>
        <w:tc>
          <w:tcPr>
            <w:tcW w:w="1726"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Population as a whole</w:t>
            </w:r>
            <w:r w:rsidRPr="0054112F">
              <w:rPr>
                <w:rStyle w:val="Funotenzeichen"/>
                <w:rFonts w:asciiTheme="majorHAnsi" w:hAnsiTheme="majorHAnsi"/>
                <w:b/>
                <w:lang w:val="en-GB"/>
              </w:rPr>
              <w:footnoteReference w:id="14"/>
            </w:r>
          </w:p>
        </w:tc>
      </w:tr>
      <w:tr w:rsidR="0054112F" w:rsidTr="0054112F">
        <w:tc>
          <w:tcPr>
            <w:tcW w:w="1168" w:type="dxa"/>
          </w:tcPr>
          <w:p w:rsidR="0054112F" w:rsidRPr="0054112F" w:rsidRDefault="0054112F" w:rsidP="0054112F">
            <w:pPr>
              <w:widowControl w:val="0"/>
              <w:spacing w:line="276" w:lineRule="auto"/>
              <w:jc w:val="both"/>
              <w:rPr>
                <w:rFonts w:asciiTheme="majorHAnsi" w:hAnsiTheme="majorHAnsi"/>
                <w:lang w:val="en-GB"/>
              </w:rPr>
            </w:pPr>
            <w:r w:rsidRPr="0054112F">
              <w:rPr>
                <w:rFonts w:asciiTheme="majorHAnsi" w:hAnsiTheme="majorHAnsi"/>
                <w:lang w:val="en-GB"/>
              </w:rPr>
              <w:t>Kazakhs</w:t>
            </w:r>
          </w:p>
        </w:tc>
        <w:tc>
          <w:tcPr>
            <w:tcW w:w="2035"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81 (83%)</w:t>
            </w:r>
          </w:p>
        </w:tc>
        <w:tc>
          <w:tcPr>
            <w:tcW w:w="23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 (11%)</w:t>
            </w:r>
          </w:p>
        </w:tc>
        <w:tc>
          <w:tcPr>
            <w:tcW w:w="19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82 (77%)</w:t>
            </w:r>
          </w:p>
        </w:tc>
        <w:tc>
          <w:tcPr>
            <w:tcW w:w="1726" w:type="dxa"/>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63.1%</w:t>
            </w:r>
          </w:p>
        </w:tc>
      </w:tr>
      <w:tr w:rsidR="0054112F" w:rsidTr="0054112F">
        <w:tc>
          <w:tcPr>
            <w:tcW w:w="1168" w:type="dxa"/>
          </w:tcPr>
          <w:p w:rsidR="0054112F" w:rsidRPr="0054112F" w:rsidRDefault="0054112F" w:rsidP="0054112F">
            <w:pPr>
              <w:widowControl w:val="0"/>
              <w:spacing w:line="276" w:lineRule="auto"/>
              <w:jc w:val="both"/>
              <w:rPr>
                <w:rFonts w:asciiTheme="majorHAnsi" w:hAnsiTheme="majorHAnsi"/>
                <w:lang w:val="en-GB"/>
              </w:rPr>
            </w:pPr>
            <w:r w:rsidRPr="0054112F">
              <w:rPr>
                <w:rFonts w:asciiTheme="majorHAnsi" w:hAnsiTheme="majorHAnsi"/>
                <w:lang w:val="en-GB"/>
              </w:rPr>
              <w:t>Russians</w:t>
            </w:r>
          </w:p>
        </w:tc>
        <w:tc>
          <w:tcPr>
            <w:tcW w:w="2035"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16 (16%)</w:t>
            </w:r>
          </w:p>
        </w:tc>
        <w:tc>
          <w:tcPr>
            <w:tcW w:w="23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 (11%)</w:t>
            </w:r>
          </w:p>
        </w:tc>
        <w:tc>
          <w:tcPr>
            <w:tcW w:w="19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17 (16%)</w:t>
            </w:r>
          </w:p>
        </w:tc>
        <w:tc>
          <w:tcPr>
            <w:tcW w:w="1726" w:type="dxa"/>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23.6%</w:t>
            </w:r>
          </w:p>
        </w:tc>
      </w:tr>
      <w:tr w:rsidR="0054112F" w:rsidTr="0054112F">
        <w:tc>
          <w:tcPr>
            <w:tcW w:w="1168" w:type="dxa"/>
          </w:tcPr>
          <w:p w:rsidR="0054112F" w:rsidRPr="0054112F" w:rsidRDefault="0054112F" w:rsidP="0054112F">
            <w:pPr>
              <w:widowControl w:val="0"/>
              <w:spacing w:line="276" w:lineRule="auto"/>
              <w:jc w:val="both"/>
              <w:rPr>
                <w:rFonts w:asciiTheme="majorHAnsi" w:hAnsiTheme="majorHAnsi"/>
                <w:lang w:val="en-GB"/>
              </w:rPr>
            </w:pPr>
            <w:r w:rsidRPr="0054112F">
              <w:rPr>
                <w:rFonts w:asciiTheme="majorHAnsi" w:hAnsiTheme="majorHAnsi"/>
                <w:lang w:val="en-GB"/>
              </w:rPr>
              <w:t>Others</w:t>
            </w:r>
          </w:p>
        </w:tc>
        <w:tc>
          <w:tcPr>
            <w:tcW w:w="2035"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 (1%)</w:t>
            </w:r>
          </w:p>
        </w:tc>
        <w:tc>
          <w:tcPr>
            <w:tcW w:w="23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7 (78%)</w:t>
            </w:r>
          </w:p>
        </w:tc>
        <w:tc>
          <w:tcPr>
            <w:tcW w:w="1957" w:type="dxa"/>
            <w:vAlign w:val="center"/>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8 (7%)</w:t>
            </w:r>
          </w:p>
        </w:tc>
        <w:tc>
          <w:tcPr>
            <w:tcW w:w="1726" w:type="dxa"/>
          </w:tcPr>
          <w:p w:rsidR="0054112F" w:rsidRPr="0054112F" w:rsidRDefault="0054112F" w:rsidP="0054112F">
            <w:pPr>
              <w:widowControl w:val="0"/>
              <w:spacing w:line="276" w:lineRule="auto"/>
              <w:jc w:val="center"/>
              <w:rPr>
                <w:rFonts w:asciiTheme="majorHAnsi" w:hAnsiTheme="majorHAnsi"/>
                <w:lang w:val="en-GB"/>
              </w:rPr>
            </w:pPr>
            <w:r w:rsidRPr="0054112F">
              <w:rPr>
                <w:rFonts w:asciiTheme="majorHAnsi" w:hAnsiTheme="majorHAnsi"/>
                <w:lang w:val="en-GB"/>
              </w:rPr>
              <w:t>13.3%</w:t>
            </w:r>
          </w:p>
        </w:tc>
      </w:tr>
      <w:tr w:rsidR="0054112F" w:rsidTr="0054112F">
        <w:tc>
          <w:tcPr>
            <w:tcW w:w="1168" w:type="dxa"/>
          </w:tcPr>
          <w:p w:rsidR="0054112F" w:rsidRPr="0054112F" w:rsidRDefault="0054112F" w:rsidP="0054112F">
            <w:pPr>
              <w:widowControl w:val="0"/>
              <w:spacing w:line="276" w:lineRule="auto"/>
              <w:jc w:val="both"/>
              <w:rPr>
                <w:rFonts w:asciiTheme="majorHAnsi" w:hAnsiTheme="majorHAnsi"/>
                <w:b/>
                <w:lang w:val="en-GB"/>
              </w:rPr>
            </w:pPr>
            <w:r w:rsidRPr="0054112F">
              <w:rPr>
                <w:rFonts w:asciiTheme="majorHAnsi" w:hAnsiTheme="majorHAnsi"/>
                <w:b/>
                <w:lang w:val="en-GB"/>
              </w:rPr>
              <w:t>Total</w:t>
            </w:r>
          </w:p>
        </w:tc>
        <w:tc>
          <w:tcPr>
            <w:tcW w:w="2035"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98</w:t>
            </w:r>
          </w:p>
        </w:tc>
        <w:tc>
          <w:tcPr>
            <w:tcW w:w="2357"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9</w:t>
            </w:r>
          </w:p>
        </w:tc>
        <w:tc>
          <w:tcPr>
            <w:tcW w:w="1957" w:type="dxa"/>
            <w:vAlign w:val="center"/>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107</w:t>
            </w:r>
          </w:p>
        </w:tc>
        <w:tc>
          <w:tcPr>
            <w:tcW w:w="1726" w:type="dxa"/>
          </w:tcPr>
          <w:p w:rsidR="0054112F" w:rsidRPr="0054112F" w:rsidRDefault="0054112F" w:rsidP="0054112F">
            <w:pPr>
              <w:widowControl w:val="0"/>
              <w:spacing w:line="276" w:lineRule="auto"/>
              <w:jc w:val="center"/>
              <w:rPr>
                <w:rFonts w:asciiTheme="majorHAnsi" w:hAnsiTheme="majorHAnsi"/>
                <w:b/>
                <w:lang w:val="en-GB"/>
              </w:rPr>
            </w:pPr>
            <w:r w:rsidRPr="0054112F">
              <w:rPr>
                <w:rFonts w:asciiTheme="majorHAnsi" w:hAnsiTheme="majorHAnsi"/>
                <w:b/>
                <w:lang w:val="en-GB"/>
              </w:rPr>
              <w:t>100%</w:t>
            </w:r>
          </w:p>
        </w:tc>
      </w:tr>
    </w:tbl>
    <w:p w:rsidR="0054112F" w:rsidRDefault="0054112F" w:rsidP="0054112F">
      <w:pPr>
        <w:widowControl w:val="0"/>
        <w:spacing w:line="276" w:lineRule="auto"/>
        <w:jc w:val="both"/>
        <w:rPr>
          <w:rFonts w:asciiTheme="majorHAnsi" w:hAnsiTheme="majorHAnsi"/>
          <w:b/>
          <w:sz w:val="22"/>
          <w:szCs w:val="22"/>
          <w:lang w:val="en-GB"/>
        </w:rPr>
      </w:pPr>
    </w:p>
    <w:p w:rsidR="0054112F" w:rsidRPr="00E413C2" w:rsidRDefault="0054112F" w:rsidP="0054112F">
      <w:pPr>
        <w:widowControl w:val="0"/>
        <w:pBdr>
          <w:top w:val="single" w:sz="18" w:space="1" w:color="auto"/>
          <w:left w:val="single" w:sz="18" w:space="4" w:color="auto"/>
          <w:bottom w:val="single" w:sz="18" w:space="1" w:color="auto"/>
          <w:right w:val="single" w:sz="18" w:space="4" w:color="auto"/>
        </w:pBdr>
        <w:shd w:val="clear" w:color="auto" w:fill="00B5CC"/>
        <w:spacing w:line="276" w:lineRule="auto"/>
        <w:jc w:val="both"/>
        <w:rPr>
          <w:rFonts w:asciiTheme="majorHAnsi" w:hAnsiTheme="majorHAnsi"/>
          <w:sz w:val="22"/>
          <w:szCs w:val="22"/>
          <w:lang w:val="en-GB"/>
        </w:rPr>
      </w:pPr>
      <w:r w:rsidRPr="00E413C2">
        <w:rPr>
          <w:rFonts w:asciiTheme="majorHAnsi" w:hAnsiTheme="majorHAnsi"/>
          <w:sz w:val="22"/>
          <w:szCs w:val="22"/>
          <w:lang w:val="en-GB"/>
        </w:rPr>
        <w:t xml:space="preserve">ERT </w:t>
      </w:r>
      <w:r>
        <w:rPr>
          <w:rFonts w:asciiTheme="majorHAnsi" w:hAnsiTheme="majorHAnsi"/>
          <w:sz w:val="22"/>
          <w:szCs w:val="22"/>
          <w:lang w:val="en-GB"/>
        </w:rPr>
        <w:t>urges the Committee to recommend that Kazakhstan takes urgent steps to ensure that racial and ethnic minorities are represented fairly and adequately in political life, if necessary, through the adoption of specific positive action measures.</w:t>
      </w:r>
    </w:p>
    <w:p w:rsidR="00C45FD8" w:rsidRDefault="00C45FD8" w:rsidP="0054112F">
      <w:pPr>
        <w:widowControl w:val="0"/>
        <w:spacing w:line="276" w:lineRule="auto"/>
        <w:jc w:val="both"/>
        <w:rPr>
          <w:rFonts w:asciiTheme="majorHAnsi" w:hAnsiTheme="majorHAnsi"/>
          <w:b/>
          <w:sz w:val="22"/>
          <w:szCs w:val="22"/>
          <w:lang w:val="en-GB"/>
        </w:rPr>
      </w:pPr>
    </w:p>
    <w:p w:rsidR="006E0DE3" w:rsidRPr="007C1CD2" w:rsidRDefault="006E0DE3" w:rsidP="006E0DE3">
      <w:pPr>
        <w:widowControl w:val="0"/>
        <w:spacing w:line="276" w:lineRule="auto"/>
        <w:jc w:val="both"/>
        <w:rPr>
          <w:rFonts w:asciiTheme="majorHAnsi" w:hAnsiTheme="majorHAnsi"/>
          <w:b/>
          <w:sz w:val="22"/>
          <w:szCs w:val="22"/>
          <w:lang w:val="en-GB"/>
        </w:rPr>
      </w:pPr>
      <w:r>
        <w:rPr>
          <w:rFonts w:asciiTheme="majorHAnsi" w:hAnsiTheme="majorHAnsi"/>
          <w:b/>
          <w:sz w:val="22"/>
          <w:szCs w:val="22"/>
          <w:lang w:val="en-GB"/>
        </w:rPr>
        <w:t>Situation of Minority Communities</w:t>
      </w:r>
      <w:r w:rsidR="009A4110">
        <w:rPr>
          <w:rFonts w:asciiTheme="majorHAnsi" w:hAnsiTheme="majorHAnsi"/>
          <w:b/>
          <w:sz w:val="22"/>
          <w:szCs w:val="22"/>
          <w:lang w:val="en-GB"/>
        </w:rPr>
        <w:t xml:space="preserve"> (Articles 2, 5, 6 and 7)</w:t>
      </w:r>
    </w:p>
    <w:p w:rsidR="006E0DE3" w:rsidRDefault="006E0DE3" w:rsidP="006E0DE3">
      <w:pPr>
        <w:widowControl w:val="0"/>
        <w:spacing w:line="276" w:lineRule="auto"/>
        <w:jc w:val="both"/>
        <w:rPr>
          <w:rFonts w:asciiTheme="majorHAnsi" w:hAnsiTheme="majorHAnsi"/>
          <w:sz w:val="22"/>
          <w:szCs w:val="22"/>
          <w:lang w:val="en-GB"/>
        </w:rPr>
      </w:pPr>
    </w:p>
    <w:p w:rsidR="006E0DE3" w:rsidRDefault="006E0DE3" w:rsidP="006E0DE3">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In its “L</w:t>
      </w:r>
      <w:r w:rsidRPr="006E0DE3">
        <w:rPr>
          <w:rFonts w:asciiTheme="majorHAnsi" w:hAnsiTheme="majorHAnsi"/>
          <w:sz w:val="22"/>
          <w:szCs w:val="22"/>
          <w:lang w:val="en-GB"/>
        </w:rPr>
        <w:t>ist of themes in relation to the combined sixth and seventh periodic reports of Kazakhstan</w:t>
      </w:r>
      <w:r>
        <w:rPr>
          <w:rFonts w:asciiTheme="majorHAnsi" w:hAnsiTheme="majorHAnsi"/>
          <w:sz w:val="22"/>
          <w:szCs w:val="22"/>
          <w:lang w:val="en-GB"/>
        </w:rPr>
        <w:t xml:space="preserve">”, the Committee asked for an update of progress on improved participation of members of minorities in the government and in the houses of Parliament, as well as in </w:t>
      </w:r>
      <w:r>
        <w:rPr>
          <w:rFonts w:asciiTheme="majorHAnsi" w:hAnsiTheme="majorHAnsi"/>
          <w:sz w:val="22"/>
          <w:szCs w:val="22"/>
          <w:lang w:val="en-GB"/>
        </w:rPr>
        <w:lastRenderedPageBreak/>
        <w:t>the conduct of decision-making at the regional level and with regard to equal access to public services.</w:t>
      </w:r>
      <w:r>
        <w:rPr>
          <w:rStyle w:val="Funotenzeichen"/>
          <w:rFonts w:asciiTheme="majorHAnsi" w:hAnsiTheme="majorHAnsi"/>
          <w:sz w:val="22"/>
          <w:szCs w:val="22"/>
          <w:lang w:val="en-GB"/>
        </w:rPr>
        <w:footnoteReference w:id="15"/>
      </w:r>
    </w:p>
    <w:p w:rsidR="006E0DE3" w:rsidRDefault="006E0DE3" w:rsidP="006E0DE3">
      <w:pPr>
        <w:pStyle w:val="Listenabsatz"/>
        <w:widowControl w:val="0"/>
        <w:spacing w:line="276" w:lineRule="auto"/>
        <w:ind w:left="567"/>
        <w:contextualSpacing/>
        <w:jc w:val="both"/>
        <w:rPr>
          <w:rFonts w:asciiTheme="majorHAnsi" w:hAnsiTheme="majorHAnsi"/>
          <w:sz w:val="22"/>
          <w:szCs w:val="22"/>
          <w:lang w:val="en-GB"/>
        </w:rPr>
      </w:pPr>
    </w:p>
    <w:p w:rsidR="006E0DE3" w:rsidRDefault="00C8086C" w:rsidP="009A4110">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In addition to the statistics contained within paragraph 16 above, </w:t>
      </w:r>
      <w:r w:rsidR="00631B3B">
        <w:rPr>
          <w:rFonts w:asciiTheme="majorHAnsi" w:hAnsiTheme="majorHAnsi"/>
          <w:sz w:val="22"/>
          <w:szCs w:val="22"/>
          <w:lang w:val="en-GB"/>
        </w:rPr>
        <w:t xml:space="preserve">ERT research has revealed a high degree of dissatisfaction among ethnic minorities with </w:t>
      </w:r>
      <w:r w:rsidR="009A4110">
        <w:rPr>
          <w:rFonts w:asciiTheme="majorHAnsi" w:hAnsiTheme="majorHAnsi"/>
          <w:sz w:val="22"/>
          <w:szCs w:val="22"/>
          <w:lang w:val="en-GB"/>
        </w:rPr>
        <w:t>regards to the</w:t>
      </w:r>
      <w:r w:rsidR="002E4EDE">
        <w:rPr>
          <w:rFonts w:asciiTheme="majorHAnsi" w:hAnsiTheme="majorHAnsi"/>
          <w:sz w:val="22"/>
          <w:szCs w:val="22"/>
          <w:lang w:val="en-GB"/>
        </w:rPr>
        <w:t>ir</w:t>
      </w:r>
      <w:r w:rsidR="009A4110">
        <w:rPr>
          <w:rFonts w:asciiTheme="majorHAnsi" w:hAnsiTheme="majorHAnsi"/>
          <w:sz w:val="22"/>
          <w:szCs w:val="22"/>
          <w:lang w:val="en-GB"/>
        </w:rPr>
        <w:t xml:space="preserve"> political representation </w:t>
      </w:r>
      <w:r w:rsidR="002E4EDE">
        <w:rPr>
          <w:rFonts w:asciiTheme="majorHAnsi" w:hAnsiTheme="majorHAnsi"/>
          <w:sz w:val="22"/>
          <w:szCs w:val="22"/>
          <w:lang w:val="en-GB"/>
        </w:rPr>
        <w:t xml:space="preserve">and most respondents’ perception was that representation </w:t>
      </w:r>
      <w:r w:rsidR="009A4110">
        <w:rPr>
          <w:rFonts w:asciiTheme="majorHAnsi" w:hAnsiTheme="majorHAnsi"/>
          <w:sz w:val="22"/>
          <w:szCs w:val="22"/>
          <w:lang w:val="en-GB"/>
        </w:rPr>
        <w:t xml:space="preserve">has worsened over the last five years. They described the individual appointments of some non-Kazakhs as tokenism. </w:t>
      </w:r>
      <w:r w:rsidR="002E4EDE">
        <w:rPr>
          <w:rFonts w:asciiTheme="majorHAnsi" w:hAnsiTheme="majorHAnsi"/>
          <w:sz w:val="22"/>
          <w:szCs w:val="22"/>
          <w:lang w:val="en-GB"/>
        </w:rPr>
        <w:t>Furthermore, ERT considers t</w:t>
      </w:r>
      <w:r w:rsidR="009A4110">
        <w:rPr>
          <w:rFonts w:asciiTheme="majorHAnsi" w:hAnsiTheme="majorHAnsi"/>
          <w:sz w:val="22"/>
          <w:szCs w:val="22"/>
          <w:lang w:val="en-GB"/>
        </w:rPr>
        <w:t xml:space="preserve">he requirement of </w:t>
      </w:r>
      <w:r w:rsidR="009A4110" w:rsidRPr="002E4EDE">
        <w:rPr>
          <w:rFonts w:asciiTheme="majorHAnsi" w:hAnsiTheme="majorHAnsi"/>
          <w:b/>
          <w:sz w:val="22"/>
          <w:szCs w:val="22"/>
          <w:lang w:val="en-GB"/>
        </w:rPr>
        <w:t xml:space="preserve">fluency in Kazakh </w:t>
      </w:r>
      <w:r w:rsidR="002E4EDE" w:rsidRPr="002E4EDE">
        <w:rPr>
          <w:rFonts w:asciiTheme="majorHAnsi" w:hAnsiTheme="majorHAnsi"/>
          <w:b/>
          <w:sz w:val="22"/>
          <w:szCs w:val="22"/>
          <w:lang w:val="en-GB"/>
        </w:rPr>
        <w:t>language</w:t>
      </w:r>
      <w:r w:rsidR="002E4EDE">
        <w:rPr>
          <w:rFonts w:asciiTheme="majorHAnsi" w:hAnsiTheme="majorHAnsi"/>
          <w:sz w:val="22"/>
          <w:szCs w:val="22"/>
          <w:lang w:val="en-GB"/>
        </w:rPr>
        <w:t xml:space="preserve"> </w:t>
      </w:r>
      <w:r w:rsidR="009A4110">
        <w:rPr>
          <w:rFonts w:asciiTheme="majorHAnsi" w:hAnsiTheme="majorHAnsi"/>
          <w:sz w:val="22"/>
          <w:szCs w:val="22"/>
          <w:lang w:val="en-GB"/>
        </w:rPr>
        <w:t xml:space="preserve">in order to hold any public sector job, including public office, </w:t>
      </w:r>
      <w:r w:rsidR="002E4EDE">
        <w:rPr>
          <w:rFonts w:asciiTheme="majorHAnsi" w:hAnsiTheme="majorHAnsi"/>
          <w:sz w:val="22"/>
          <w:szCs w:val="22"/>
          <w:lang w:val="en-GB"/>
        </w:rPr>
        <w:t xml:space="preserve">as </w:t>
      </w:r>
      <w:r w:rsidR="009A4110">
        <w:rPr>
          <w:rFonts w:asciiTheme="majorHAnsi" w:hAnsiTheme="majorHAnsi"/>
          <w:sz w:val="22"/>
          <w:szCs w:val="22"/>
          <w:lang w:val="en-GB"/>
        </w:rPr>
        <w:t>amount</w:t>
      </w:r>
      <w:r w:rsidR="002E4EDE">
        <w:rPr>
          <w:rFonts w:asciiTheme="majorHAnsi" w:hAnsiTheme="majorHAnsi"/>
          <w:sz w:val="22"/>
          <w:szCs w:val="22"/>
          <w:lang w:val="en-GB"/>
        </w:rPr>
        <w:t>ing</w:t>
      </w:r>
      <w:r w:rsidR="009A4110">
        <w:rPr>
          <w:rFonts w:asciiTheme="majorHAnsi" w:hAnsiTheme="majorHAnsi"/>
          <w:sz w:val="22"/>
          <w:szCs w:val="22"/>
          <w:lang w:val="en-GB"/>
        </w:rPr>
        <w:t xml:space="preserve"> to indirect ethnic discrimination.</w:t>
      </w:r>
      <w:r>
        <w:rPr>
          <w:rFonts w:asciiTheme="majorHAnsi" w:hAnsiTheme="majorHAnsi"/>
          <w:sz w:val="22"/>
          <w:szCs w:val="22"/>
          <w:lang w:val="en-GB"/>
        </w:rPr>
        <w:t xml:space="preserve"> </w:t>
      </w:r>
      <w:r w:rsidRPr="00C45FD8">
        <w:rPr>
          <w:rFonts w:asciiTheme="majorHAnsi" w:hAnsiTheme="majorHAnsi"/>
          <w:sz w:val="22"/>
          <w:szCs w:val="22"/>
          <w:lang w:val="en-GB"/>
        </w:rPr>
        <w:t>One respondent described the circumstances in which his nephew was forced out of the police as he was an ethnic Russian.</w:t>
      </w:r>
    </w:p>
    <w:p w:rsidR="009A4110" w:rsidRDefault="009A4110" w:rsidP="009A4110">
      <w:pPr>
        <w:pStyle w:val="Listenabsatz"/>
        <w:widowControl w:val="0"/>
        <w:spacing w:line="276" w:lineRule="auto"/>
        <w:ind w:left="567"/>
        <w:contextualSpacing/>
        <w:jc w:val="both"/>
        <w:rPr>
          <w:rFonts w:asciiTheme="majorHAnsi" w:hAnsiTheme="majorHAnsi"/>
          <w:sz w:val="22"/>
          <w:szCs w:val="22"/>
          <w:lang w:val="en-GB"/>
        </w:rPr>
      </w:pPr>
    </w:p>
    <w:p w:rsidR="00762F9F" w:rsidRPr="00810B48" w:rsidRDefault="00762F9F" w:rsidP="00810B4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810B48">
        <w:rPr>
          <w:rFonts w:asciiTheme="majorHAnsi" w:hAnsiTheme="majorHAnsi"/>
          <w:sz w:val="22"/>
          <w:szCs w:val="22"/>
          <w:lang w:val="en-GB"/>
        </w:rPr>
        <w:t>The Committee asked for an update on the registration procedures for religious organisations.</w:t>
      </w:r>
      <w:r>
        <w:rPr>
          <w:rStyle w:val="Funotenzeichen"/>
          <w:rFonts w:asciiTheme="majorHAnsi" w:hAnsiTheme="majorHAnsi"/>
          <w:sz w:val="22"/>
          <w:szCs w:val="22"/>
          <w:lang w:val="en-GB"/>
        </w:rPr>
        <w:footnoteReference w:id="16"/>
      </w:r>
      <w:r w:rsidRPr="00810B48">
        <w:rPr>
          <w:rFonts w:asciiTheme="majorHAnsi" w:hAnsiTheme="majorHAnsi"/>
          <w:sz w:val="22"/>
          <w:szCs w:val="22"/>
          <w:lang w:val="en-GB"/>
        </w:rPr>
        <w:t xml:space="preserve"> </w:t>
      </w:r>
      <w:r w:rsidR="003D5280" w:rsidRPr="003D5280">
        <w:rPr>
          <w:rFonts w:ascii="Cambria" w:hAnsi="Cambria"/>
          <w:sz w:val="22"/>
          <w:szCs w:val="22"/>
          <w:lang w:val="en-GB"/>
        </w:rPr>
        <w:t xml:space="preserve">The Law on Religious Activity and Religious Associations gives preference in the preamble to the </w:t>
      </w:r>
      <w:proofErr w:type="spellStart"/>
      <w:r w:rsidR="003D5280" w:rsidRPr="003D5280">
        <w:rPr>
          <w:rFonts w:ascii="Cambria" w:hAnsi="Cambria"/>
          <w:sz w:val="22"/>
          <w:szCs w:val="22"/>
          <w:lang w:val="en-GB"/>
        </w:rPr>
        <w:t>Hanafiyah</w:t>
      </w:r>
      <w:proofErr w:type="spellEnd"/>
      <w:r w:rsidR="003D5280" w:rsidRPr="003D5280">
        <w:rPr>
          <w:rFonts w:ascii="Cambria" w:hAnsi="Cambria"/>
          <w:sz w:val="22"/>
          <w:szCs w:val="22"/>
          <w:lang w:val="en-GB"/>
        </w:rPr>
        <w:t xml:space="preserve"> school of Islam and orthodox Christianity.</w:t>
      </w:r>
      <w:r w:rsidR="003D5280" w:rsidRPr="003D5280">
        <w:rPr>
          <w:rStyle w:val="Funotenzeichen"/>
          <w:rFonts w:ascii="Cambria" w:hAnsi="Cambria"/>
          <w:sz w:val="22"/>
          <w:szCs w:val="22"/>
          <w:lang w:val="en-GB"/>
        </w:rPr>
        <w:footnoteReference w:id="17"/>
      </w:r>
      <w:r w:rsidR="003D5280" w:rsidRPr="003D5280">
        <w:rPr>
          <w:rFonts w:ascii="Cambria" w:hAnsi="Cambria"/>
          <w:sz w:val="22"/>
          <w:szCs w:val="22"/>
          <w:lang w:val="en-GB"/>
        </w:rPr>
        <w:t xml:space="preserve"> </w:t>
      </w:r>
      <w:r w:rsidRPr="00810B48">
        <w:rPr>
          <w:rFonts w:asciiTheme="majorHAnsi" w:hAnsiTheme="majorHAnsi"/>
          <w:sz w:val="22"/>
          <w:szCs w:val="22"/>
          <w:lang w:val="en-GB"/>
        </w:rPr>
        <w:t xml:space="preserve">ERT has documented the case of refusal to re-register the </w:t>
      </w:r>
      <w:proofErr w:type="spellStart"/>
      <w:r w:rsidRPr="00810B48">
        <w:rPr>
          <w:rFonts w:asciiTheme="majorHAnsi" w:hAnsiTheme="majorHAnsi"/>
          <w:sz w:val="22"/>
          <w:szCs w:val="22"/>
          <w:lang w:val="en-GB"/>
        </w:rPr>
        <w:t>Ahmaddiya</w:t>
      </w:r>
      <w:proofErr w:type="spellEnd"/>
      <w:r w:rsidRPr="00810B48">
        <w:rPr>
          <w:rFonts w:asciiTheme="majorHAnsi" w:hAnsiTheme="majorHAnsi"/>
          <w:sz w:val="22"/>
          <w:szCs w:val="22"/>
          <w:lang w:val="en-GB"/>
        </w:rPr>
        <w:t xml:space="preserve"> Muslim community in Almaty on the basis of an </w:t>
      </w:r>
      <w:r w:rsidR="002E4EDE">
        <w:rPr>
          <w:rFonts w:asciiTheme="majorHAnsi" w:hAnsiTheme="majorHAnsi"/>
          <w:sz w:val="22"/>
          <w:szCs w:val="22"/>
          <w:lang w:val="en-GB"/>
        </w:rPr>
        <w:t xml:space="preserve">expert </w:t>
      </w:r>
      <w:r w:rsidRPr="00810B48">
        <w:rPr>
          <w:rFonts w:asciiTheme="majorHAnsi" w:hAnsiTheme="majorHAnsi"/>
          <w:sz w:val="22"/>
          <w:szCs w:val="22"/>
          <w:lang w:val="en-GB"/>
        </w:rPr>
        <w:t xml:space="preserve">analysis </w:t>
      </w:r>
      <w:r w:rsidR="002E4EDE">
        <w:rPr>
          <w:rFonts w:asciiTheme="majorHAnsi" w:hAnsiTheme="majorHAnsi"/>
          <w:sz w:val="22"/>
          <w:szCs w:val="22"/>
          <w:lang w:val="en-GB"/>
        </w:rPr>
        <w:t xml:space="preserve">by a special governmental body </w:t>
      </w:r>
      <w:r w:rsidRPr="00810B48">
        <w:rPr>
          <w:rFonts w:asciiTheme="majorHAnsi" w:hAnsiTheme="majorHAnsi"/>
          <w:sz w:val="22"/>
          <w:szCs w:val="22"/>
          <w:lang w:val="en-GB"/>
        </w:rPr>
        <w:t>of the content of the</w:t>
      </w:r>
      <w:r w:rsidR="002E4EDE">
        <w:rPr>
          <w:rFonts w:asciiTheme="majorHAnsi" w:hAnsiTheme="majorHAnsi"/>
          <w:sz w:val="22"/>
          <w:szCs w:val="22"/>
          <w:lang w:val="en-GB"/>
        </w:rPr>
        <w:t>ir</w:t>
      </w:r>
      <w:r w:rsidRPr="00810B48">
        <w:rPr>
          <w:rFonts w:asciiTheme="majorHAnsi" w:hAnsiTheme="majorHAnsi"/>
          <w:sz w:val="22"/>
          <w:szCs w:val="22"/>
          <w:lang w:val="en-GB"/>
        </w:rPr>
        <w:t xml:space="preserve"> religion. </w:t>
      </w:r>
      <w:r w:rsidR="002E4EDE">
        <w:rPr>
          <w:rFonts w:asciiTheme="majorHAnsi" w:hAnsiTheme="majorHAnsi"/>
          <w:sz w:val="22"/>
          <w:szCs w:val="22"/>
          <w:lang w:val="en-GB"/>
        </w:rPr>
        <w:t xml:space="preserve">ERT has also been made aware of cases of </w:t>
      </w:r>
      <w:r w:rsidRPr="00810B48">
        <w:rPr>
          <w:rFonts w:asciiTheme="majorHAnsi" w:hAnsiTheme="majorHAnsi"/>
          <w:sz w:val="22"/>
          <w:szCs w:val="22"/>
          <w:lang w:val="en-GB"/>
        </w:rPr>
        <w:t xml:space="preserve">ethno-religious discrimination against </w:t>
      </w:r>
      <w:proofErr w:type="spellStart"/>
      <w:r w:rsidRPr="00810B48">
        <w:rPr>
          <w:rFonts w:asciiTheme="majorHAnsi" w:hAnsiTheme="majorHAnsi"/>
          <w:sz w:val="22"/>
          <w:szCs w:val="22"/>
          <w:lang w:val="en-GB"/>
        </w:rPr>
        <w:t>Tataro-Bashkyr</w:t>
      </w:r>
      <w:proofErr w:type="spellEnd"/>
      <w:r w:rsidRPr="00810B48">
        <w:rPr>
          <w:rFonts w:asciiTheme="majorHAnsi" w:hAnsiTheme="majorHAnsi"/>
          <w:sz w:val="22"/>
          <w:szCs w:val="22"/>
          <w:lang w:val="en-GB"/>
        </w:rPr>
        <w:t xml:space="preserve">, Azerbaijani and </w:t>
      </w:r>
      <w:proofErr w:type="spellStart"/>
      <w:r w:rsidRPr="00810B48">
        <w:rPr>
          <w:rFonts w:asciiTheme="majorHAnsi" w:hAnsiTheme="majorHAnsi"/>
          <w:sz w:val="22"/>
          <w:szCs w:val="22"/>
          <w:lang w:val="en-GB"/>
        </w:rPr>
        <w:t>Uigur</w:t>
      </w:r>
      <w:proofErr w:type="spellEnd"/>
      <w:r w:rsidRPr="00810B48">
        <w:rPr>
          <w:rFonts w:asciiTheme="majorHAnsi" w:hAnsiTheme="majorHAnsi"/>
          <w:sz w:val="22"/>
          <w:szCs w:val="22"/>
          <w:lang w:val="en-GB"/>
        </w:rPr>
        <w:t xml:space="preserve"> Muslims. </w:t>
      </w:r>
      <w:r w:rsidR="00810B48">
        <w:rPr>
          <w:rFonts w:asciiTheme="majorHAnsi" w:hAnsiTheme="majorHAnsi"/>
          <w:sz w:val="22"/>
          <w:szCs w:val="22"/>
          <w:lang w:val="en-GB"/>
        </w:rPr>
        <w:t xml:space="preserve">Smaller religious communities </w:t>
      </w:r>
      <w:r w:rsidR="003D5280">
        <w:rPr>
          <w:rFonts w:asciiTheme="majorHAnsi" w:hAnsiTheme="majorHAnsi"/>
          <w:sz w:val="22"/>
          <w:szCs w:val="22"/>
          <w:lang w:val="en-GB"/>
        </w:rPr>
        <w:t>have complained that they were</w:t>
      </w:r>
      <w:r w:rsidR="00810B48">
        <w:rPr>
          <w:rFonts w:asciiTheme="majorHAnsi" w:hAnsiTheme="majorHAnsi"/>
          <w:sz w:val="22"/>
          <w:szCs w:val="22"/>
          <w:lang w:val="en-GB"/>
        </w:rPr>
        <w:t xml:space="preserve"> unable to register as a religious association due to the requirement in Article 12(2) that at least fifty Kazakh nationals be members of the community within a particular city or oblast.</w:t>
      </w:r>
    </w:p>
    <w:p w:rsidR="00762F9F" w:rsidRPr="00762F9F" w:rsidRDefault="00762F9F" w:rsidP="00810B48">
      <w:pPr>
        <w:pStyle w:val="Listenabsatz"/>
        <w:widowControl w:val="0"/>
        <w:spacing w:line="276" w:lineRule="auto"/>
        <w:ind w:left="0"/>
        <w:contextualSpacing/>
        <w:jc w:val="both"/>
        <w:rPr>
          <w:rFonts w:asciiTheme="majorHAnsi" w:hAnsiTheme="majorHAnsi"/>
          <w:sz w:val="22"/>
          <w:szCs w:val="22"/>
          <w:lang w:val="en-GB"/>
        </w:rPr>
      </w:pPr>
      <w:r w:rsidRPr="00762F9F">
        <w:rPr>
          <w:rFonts w:asciiTheme="majorHAnsi" w:hAnsiTheme="majorHAnsi"/>
          <w:sz w:val="22"/>
          <w:szCs w:val="22"/>
          <w:lang w:val="en-GB"/>
        </w:rPr>
        <w:t xml:space="preserve"> </w:t>
      </w:r>
    </w:p>
    <w:p w:rsidR="00762F9F" w:rsidRDefault="003D5280" w:rsidP="00762F9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ERT has encountered allegations by some of its respondents that </w:t>
      </w:r>
      <w:r w:rsidR="00762F9F" w:rsidRPr="00762F9F">
        <w:rPr>
          <w:rFonts w:asciiTheme="majorHAnsi" w:hAnsiTheme="majorHAnsi"/>
          <w:sz w:val="22"/>
          <w:szCs w:val="22"/>
          <w:lang w:val="en-GB"/>
        </w:rPr>
        <w:t xml:space="preserve">a number of </w:t>
      </w:r>
      <w:r w:rsidR="00810B48" w:rsidRPr="00810B48">
        <w:rPr>
          <w:rFonts w:asciiTheme="majorHAnsi" w:hAnsiTheme="majorHAnsi"/>
          <w:sz w:val="22"/>
          <w:szCs w:val="22"/>
          <w:lang w:val="en-GB"/>
        </w:rPr>
        <w:t>government organi</w:t>
      </w:r>
      <w:r w:rsidR="00810B48">
        <w:rPr>
          <w:rFonts w:asciiTheme="majorHAnsi" w:hAnsiTheme="majorHAnsi"/>
          <w:sz w:val="22"/>
          <w:szCs w:val="22"/>
          <w:lang w:val="en-GB"/>
        </w:rPr>
        <w:t>s</w:t>
      </w:r>
      <w:r w:rsidR="00810B48" w:rsidRPr="00810B48">
        <w:rPr>
          <w:rFonts w:asciiTheme="majorHAnsi" w:hAnsiTheme="majorHAnsi"/>
          <w:sz w:val="22"/>
          <w:szCs w:val="22"/>
          <w:lang w:val="en-GB"/>
        </w:rPr>
        <w:t>ed non-governmental organi</w:t>
      </w:r>
      <w:r w:rsidR="00810B48">
        <w:rPr>
          <w:rFonts w:asciiTheme="majorHAnsi" w:hAnsiTheme="majorHAnsi"/>
          <w:sz w:val="22"/>
          <w:szCs w:val="22"/>
          <w:lang w:val="en-GB"/>
        </w:rPr>
        <w:t>s</w:t>
      </w:r>
      <w:r w:rsidR="00810B48" w:rsidRPr="00810B48">
        <w:rPr>
          <w:rFonts w:asciiTheme="majorHAnsi" w:hAnsiTheme="majorHAnsi"/>
          <w:sz w:val="22"/>
          <w:szCs w:val="22"/>
          <w:lang w:val="en-GB"/>
        </w:rPr>
        <w:t>ation</w:t>
      </w:r>
      <w:r>
        <w:rPr>
          <w:rFonts w:asciiTheme="majorHAnsi" w:hAnsiTheme="majorHAnsi"/>
          <w:sz w:val="22"/>
          <w:szCs w:val="22"/>
          <w:lang w:val="en-GB"/>
        </w:rPr>
        <w:t>s</w:t>
      </w:r>
      <w:r w:rsidR="00810B48" w:rsidRPr="00810B48">
        <w:rPr>
          <w:rFonts w:asciiTheme="majorHAnsi" w:hAnsiTheme="majorHAnsi"/>
          <w:sz w:val="22"/>
          <w:szCs w:val="22"/>
          <w:lang w:val="en-GB"/>
        </w:rPr>
        <w:t xml:space="preserve"> </w:t>
      </w:r>
      <w:r>
        <w:rPr>
          <w:rFonts w:asciiTheme="majorHAnsi" w:hAnsiTheme="majorHAnsi"/>
          <w:sz w:val="22"/>
          <w:szCs w:val="22"/>
          <w:lang w:val="en-GB"/>
        </w:rPr>
        <w:t xml:space="preserve">(GONGOs) </w:t>
      </w:r>
      <w:r w:rsidR="00762F9F" w:rsidRPr="00762F9F">
        <w:rPr>
          <w:rFonts w:asciiTheme="majorHAnsi" w:hAnsiTheme="majorHAnsi"/>
          <w:sz w:val="22"/>
          <w:szCs w:val="22"/>
          <w:lang w:val="en-GB"/>
        </w:rPr>
        <w:t>with support from the authorities have made it their mission to spread false information about religious “sects”</w:t>
      </w:r>
      <w:r>
        <w:rPr>
          <w:rFonts w:asciiTheme="majorHAnsi" w:hAnsiTheme="majorHAnsi"/>
          <w:sz w:val="22"/>
          <w:szCs w:val="22"/>
          <w:lang w:val="en-GB"/>
        </w:rPr>
        <w:t xml:space="preserve"> and inflame public opinion against their activities</w:t>
      </w:r>
      <w:r w:rsidR="00762F9F" w:rsidRPr="00762F9F">
        <w:rPr>
          <w:rFonts w:asciiTheme="majorHAnsi" w:hAnsiTheme="majorHAnsi"/>
          <w:sz w:val="22"/>
          <w:szCs w:val="22"/>
          <w:lang w:val="en-GB"/>
        </w:rPr>
        <w:t>.</w:t>
      </w:r>
      <w:r>
        <w:rPr>
          <w:rFonts w:asciiTheme="majorHAnsi" w:hAnsiTheme="majorHAnsi"/>
          <w:sz w:val="22"/>
          <w:szCs w:val="22"/>
          <w:lang w:val="en-GB"/>
        </w:rPr>
        <w:t xml:space="preserve"> For example, there have been slanderous statements that religious “sects” incite young and unstable persons to committing suicide.</w:t>
      </w:r>
    </w:p>
    <w:p w:rsidR="00810B48" w:rsidRDefault="00810B48" w:rsidP="00810B48">
      <w:pPr>
        <w:pStyle w:val="Listenabsatz"/>
        <w:widowControl w:val="0"/>
        <w:spacing w:line="276" w:lineRule="auto"/>
        <w:ind w:left="0"/>
        <w:contextualSpacing/>
        <w:jc w:val="both"/>
        <w:rPr>
          <w:rFonts w:asciiTheme="majorHAnsi" w:hAnsiTheme="majorHAnsi"/>
          <w:sz w:val="22"/>
          <w:szCs w:val="22"/>
          <w:lang w:val="en-GB"/>
        </w:rPr>
      </w:pPr>
    </w:p>
    <w:p w:rsidR="00C45FD8" w:rsidRPr="000C383B" w:rsidRDefault="00C45FD8" w:rsidP="00C45FD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0C383B">
        <w:rPr>
          <w:rFonts w:asciiTheme="majorHAnsi" w:hAnsiTheme="majorHAnsi"/>
          <w:sz w:val="22"/>
          <w:szCs w:val="22"/>
          <w:lang w:val="en-GB"/>
        </w:rPr>
        <w:t>The Committee also asked for information on the impact of the measures to ensure the use of minority languages, in particular in regions with compact minority communities, including bilingual geographic designations and public signs.</w:t>
      </w:r>
      <w:r w:rsidRPr="000C383B">
        <w:rPr>
          <w:rStyle w:val="Funotenzeichen"/>
          <w:rFonts w:asciiTheme="majorHAnsi" w:hAnsiTheme="majorHAnsi"/>
          <w:sz w:val="22"/>
          <w:szCs w:val="22"/>
          <w:lang w:val="en-GB"/>
        </w:rPr>
        <w:footnoteReference w:id="18"/>
      </w:r>
      <w:r w:rsidRPr="000C383B">
        <w:rPr>
          <w:rFonts w:asciiTheme="majorHAnsi" w:hAnsiTheme="majorHAnsi"/>
          <w:sz w:val="22"/>
          <w:szCs w:val="22"/>
          <w:lang w:val="en-GB"/>
        </w:rPr>
        <w:t xml:space="preserve"> </w:t>
      </w:r>
      <w:r>
        <w:rPr>
          <w:rFonts w:asciiTheme="majorHAnsi" w:hAnsiTheme="majorHAnsi"/>
          <w:sz w:val="22"/>
          <w:szCs w:val="22"/>
          <w:lang w:val="en-GB"/>
        </w:rPr>
        <w:t xml:space="preserve">Respondents </w:t>
      </w:r>
      <w:r w:rsidRPr="000C383B">
        <w:rPr>
          <w:rFonts w:asciiTheme="majorHAnsi" w:hAnsiTheme="majorHAnsi"/>
          <w:sz w:val="22"/>
          <w:szCs w:val="22"/>
          <w:lang w:val="en-GB"/>
        </w:rPr>
        <w:t>stated that in Pavlodar, where 40% of all inhabitants are Russian, all signage is only in Kazakh; this is also true in Petropavlovsk where the majority are ethnic Russians.</w:t>
      </w:r>
    </w:p>
    <w:p w:rsidR="00E864F5" w:rsidRDefault="00E864F5" w:rsidP="00E864F5">
      <w:pPr>
        <w:pStyle w:val="Listenabsatz"/>
        <w:widowControl w:val="0"/>
        <w:spacing w:line="276" w:lineRule="auto"/>
        <w:ind w:left="0"/>
        <w:contextualSpacing/>
        <w:jc w:val="both"/>
        <w:rPr>
          <w:rFonts w:asciiTheme="majorHAnsi" w:hAnsiTheme="majorHAnsi"/>
          <w:sz w:val="22"/>
          <w:szCs w:val="22"/>
          <w:lang w:val="en-GB"/>
        </w:rPr>
      </w:pPr>
    </w:p>
    <w:p w:rsidR="00C8086C" w:rsidRDefault="00C8086C" w:rsidP="00E864F5">
      <w:pPr>
        <w:pStyle w:val="Listenabsatz"/>
        <w:widowControl w:val="0"/>
        <w:spacing w:line="276" w:lineRule="auto"/>
        <w:ind w:left="0"/>
        <w:contextualSpacing/>
        <w:jc w:val="both"/>
        <w:rPr>
          <w:rFonts w:asciiTheme="majorHAnsi" w:hAnsiTheme="majorHAnsi"/>
          <w:sz w:val="22"/>
          <w:szCs w:val="22"/>
          <w:lang w:val="en-GB"/>
        </w:rPr>
      </w:pPr>
    </w:p>
    <w:p w:rsidR="00E864F5" w:rsidRDefault="00E864F5" w:rsidP="00E864F5">
      <w:pPr>
        <w:widowControl w:val="0"/>
        <w:pBdr>
          <w:top w:val="single" w:sz="18" w:space="1" w:color="auto"/>
          <w:left w:val="single" w:sz="18" w:space="4" w:color="auto"/>
          <w:bottom w:val="single" w:sz="18" w:space="1" w:color="auto"/>
          <w:right w:val="single" w:sz="18" w:space="4" w:color="auto"/>
        </w:pBdr>
        <w:shd w:val="clear" w:color="auto" w:fill="00B5CC"/>
        <w:spacing w:line="276" w:lineRule="auto"/>
        <w:jc w:val="both"/>
        <w:rPr>
          <w:rFonts w:asciiTheme="majorHAnsi" w:hAnsiTheme="majorHAnsi"/>
          <w:sz w:val="22"/>
          <w:szCs w:val="22"/>
          <w:lang w:val="en-GB"/>
        </w:rPr>
      </w:pPr>
      <w:r w:rsidRPr="00E413C2">
        <w:rPr>
          <w:rFonts w:asciiTheme="majorHAnsi" w:hAnsiTheme="majorHAnsi"/>
          <w:sz w:val="22"/>
          <w:szCs w:val="22"/>
          <w:lang w:val="en-GB"/>
        </w:rPr>
        <w:t xml:space="preserve">ERT </w:t>
      </w:r>
      <w:r>
        <w:rPr>
          <w:rFonts w:asciiTheme="majorHAnsi" w:hAnsiTheme="majorHAnsi"/>
          <w:sz w:val="22"/>
          <w:szCs w:val="22"/>
          <w:lang w:val="en-GB"/>
        </w:rPr>
        <w:t>urges the Committee to recommend that Kazakhstan takes urgent steps to ensure that all racial and ethnic minorities are able to particulate fairly in political life, decision-making and in access to public services. In particular, ERT urges the Committee to recommend that Kazakhstan:</w:t>
      </w:r>
    </w:p>
    <w:p w:rsidR="00C8086C" w:rsidRPr="000C383B" w:rsidRDefault="00C8086C" w:rsidP="00C8086C">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proofErr w:type="gramStart"/>
      <w:r w:rsidRPr="000C383B">
        <w:rPr>
          <w:rFonts w:asciiTheme="majorHAnsi" w:hAnsiTheme="majorHAnsi"/>
          <w:sz w:val="22"/>
          <w:szCs w:val="22"/>
          <w:lang w:val="en-GB"/>
        </w:rPr>
        <w:lastRenderedPageBreak/>
        <w:t>review</w:t>
      </w:r>
      <w:proofErr w:type="gramEnd"/>
      <w:r w:rsidRPr="000C383B">
        <w:rPr>
          <w:rFonts w:asciiTheme="majorHAnsi" w:hAnsiTheme="majorHAnsi"/>
          <w:sz w:val="22"/>
          <w:szCs w:val="22"/>
          <w:lang w:val="en-GB"/>
        </w:rPr>
        <w:t xml:space="preserve"> the occupational requirements for public sector jobs and ensure that fluency in Kazakh language is only required where it</w:t>
      </w:r>
      <w:r>
        <w:rPr>
          <w:rFonts w:asciiTheme="majorHAnsi" w:hAnsiTheme="majorHAnsi"/>
          <w:sz w:val="22"/>
          <w:szCs w:val="22"/>
          <w:lang w:val="en-GB"/>
        </w:rPr>
        <w:t xml:space="preserve"> is </w:t>
      </w:r>
      <w:r w:rsidRPr="000C383B">
        <w:rPr>
          <w:rFonts w:asciiTheme="majorHAnsi" w:hAnsiTheme="majorHAnsi"/>
          <w:sz w:val="22"/>
          <w:szCs w:val="22"/>
          <w:lang w:val="en-GB"/>
        </w:rPr>
        <w:t xml:space="preserve">an essential and genuine </w:t>
      </w:r>
      <w:r>
        <w:rPr>
          <w:rFonts w:asciiTheme="majorHAnsi" w:hAnsiTheme="majorHAnsi"/>
          <w:sz w:val="22"/>
          <w:szCs w:val="22"/>
          <w:lang w:val="en-GB"/>
        </w:rPr>
        <w:t>occupational requirement.</w:t>
      </w:r>
    </w:p>
    <w:p w:rsidR="00E864F5" w:rsidRDefault="00E864F5"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sidRPr="00E864F5">
        <w:rPr>
          <w:rFonts w:asciiTheme="majorHAnsi" w:hAnsiTheme="majorHAnsi"/>
          <w:sz w:val="22"/>
          <w:szCs w:val="22"/>
          <w:lang w:val="en-GB"/>
        </w:rPr>
        <w:t xml:space="preserve">review the Law on Religious Activity and Religious Associations to ensure that smaller religious communities </w:t>
      </w:r>
      <w:r w:rsidR="003D5280">
        <w:rPr>
          <w:rFonts w:asciiTheme="majorHAnsi" w:hAnsiTheme="majorHAnsi"/>
          <w:sz w:val="22"/>
          <w:szCs w:val="22"/>
          <w:lang w:val="en-GB"/>
        </w:rPr>
        <w:t xml:space="preserve">– including those of ethnic minorities -- </w:t>
      </w:r>
      <w:r w:rsidRPr="00E864F5">
        <w:rPr>
          <w:rFonts w:asciiTheme="majorHAnsi" w:hAnsiTheme="majorHAnsi"/>
          <w:sz w:val="22"/>
          <w:szCs w:val="22"/>
          <w:lang w:val="en-GB"/>
        </w:rPr>
        <w:t xml:space="preserve">are able to register their religious association; </w:t>
      </w:r>
    </w:p>
    <w:p w:rsidR="00E864F5" w:rsidRDefault="00E864F5"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sidRPr="00E864F5">
        <w:rPr>
          <w:rFonts w:asciiTheme="majorHAnsi" w:hAnsiTheme="majorHAnsi"/>
          <w:sz w:val="22"/>
          <w:szCs w:val="22"/>
          <w:lang w:val="en-GB"/>
        </w:rPr>
        <w:t>review use of Article 164 of the Criminal Code to ensure that it is not used in a discriminat</w:t>
      </w:r>
      <w:r w:rsidR="003D5280">
        <w:rPr>
          <w:rFonts w:asciiTheme="majorHAnsi" w:hAnsiTheme="majorHAnsi"/>
          <w:sz w:val="22"/>
          <w:szCs w:val="22"/>
          <w:lang w:val="en-GB"/>
        </w:rPr>
        <w:t>ive</w:t>
      </w:r>
      <w:r w:rsidRPr="00E864F5">
        <w:rPr>
          <w:rFonts w:asciiTheme="majorHAnsi" w:hAnsiTheme="majorHAnsi"/>
          <w:sz w:val="22"/>
          <w:szCs w:val="22"/>
          <w:lang w:val="en-GB"/>
        </w:rPr>
        <w:t xml:space="preserve"> manner against particular religious individuals or for ulterior purposes; </w:t>
      </w:r>
      <w:r>
        <w:rPr>
          <w:rFonts w:asciiTheme="majorHAnsi" w:hAnsiTheme="majorHAnsi"/>
          <w:sz w:val="22"/>
          <w:szCs w:val="22"/>
          <w:lang w:val="en-GB"/>
        </w:rPr>
        <w:t>and</w:t>
      </w:r>
    </w:p>
    <w:p w:rsidR="00C45FD8" w:rsidRPr="000C383B" w:rsidRDefault="00C45FD8" w:rsidP="00C45FD8">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proofErr w:type="gramStart"/>
      <w:r w:rsidRPr="000C383B">
        <w:rPr>
          <w:rFonts w:asciiTheme="majorHAnsi" w:hAnsiTheme="majorHAnsi"/>
          <w:sz w:val="22"/>
          <w:szCs w:val="22"/>
          <w:lang w:val="en-GB"/>
        </w:rPr>
        <w:t>take</w:t>
      </w:r>
      <w:proofErr w:type="gramEnd"/>
      <w:r w:rsidRPr="000C383B">
        <w:rPr>
          <w:rFonts w:asciiTheme="majorHAnsi" w:hAnsiTheme="majorHAnsi"/>
          <w:sz w:val="22"/>
          <w:szCs w:val="22"/>
          <w:lang w:val="en-GB"/>
        </w:rPr>
        <w:t xml:space="preserve"> the necessary steps to ensure that signage and other publicised information is provided in languages other than Kazakh where there are significant non-Kazakh groups.</w:t>
      </w:r>
    </w:p>
    <w:p w:rsidR="00E864F5" w:rsidRDefault="00E864F5" w:rsidP="00E864F5">
      <w:pPr>
        <w:pStyle w:val="Listenabsatz"/>
        <w:widowControl w:val="0"/>
        <w:spacing w:line="276" w:lineRule="auto"/>
        <w:ind w:left="0"/>
        <w:contextualSpacing/>
        <w:jc w:val="both"/>
        <w:rPr>
          <w:rFonts w:asciiTheme="majorHAnsi" w:hAnsiTheme="majorHAnsi"/>
          <w:sz w:val="22"/>
          <w:szCs w:val="22"/>
          <w:lang w:val="en-GB"/>
        </w:rPr>
      </w:pPr>
    </w:p>
    <w:p w:rsidR="00810B48" w:rsidRPr="00810B48" w:rsidRDefault="00810B48" w:rsidP="00810B48">
      <w:pPr>
        <w:widowControl w:val="0"/>
        <w:spacing w:line="276" w:lineRule="auto"/>
        <w:jc w:val="both"/>
        <w:rPr>
          <w:rFonts w:asciiTheme="majorHAnsi" w:hAnsiTheme="majorHAnsi"/>
          <w:b/>
          <w:sz w:val="22"/>
          <w:szCs w:val="22"/>
          <w:lang w:val="en-GB"/>
        </w:rPr>
      </w:pPr>
      <w:r>
        <w:rPr>
          <w:rFonts w:asciiTheme="majorHAnsi" w:hAnsiTheme="majorHAnsi"/>
          <w:b/>
          <w:sz w:val="22"/>
          <w:szCs w:val="22"/>
          <w:lang w:val="en-GB"/>
        </w:rPr>
        <w:t>Access to J</w:t>
      </w:r>
      <w:r w:rsidRPr="00810B48">
        <w:rPr>
          <w:rFonts w:asciiTheme="majorHAnsi" w:hAnsiTheme="majorHAnsi"/>
          <w:b/>
          <w:sz w:val="22"/>
          <w:szCs w:val="22"/>
          <w:lang w:val="en-GB"/>
        </w:rPr>
        <w:t xml:space="preserve">ustice, </w:t>
      </w:r>
      <w:r>
        <w:rPr>
          <w:rFonts w:asciiTheme="majorHAnsi" w:hAnsiTheme="majorHAnsi"/>
          <w:b/>
          <w:sz w:val="22"/>
          <w:szCs w:val="22"/>
          <w:lang w:val="en-GB"/>
        </w:rPr>
        <w:t>D</w:t>
      </w:r>
      <w:r w:rsidRPr="00810B48">
        <w:rPr>
          <w:rFonts w:asciiTheme="majorHAnsi" w:hAnsiTheme="majorHAnsi"/>
          <w:b/>
          <w:sz w:val="22"/>
          <w:szCs w:val="22"/>
          <w:lang w:val="en-GB"/>
        </w:rPr>
        <w:t xml:space="preserve">iscrimination against </w:t>
      </w:r>
      <w:r>
        <w:rPr>
          <w:rFonts w:asciiTheme="majorHAnsi" w:hAnsiTheme="majorHAnsi"/>
          <w:b/>
          <w:sz w:val="22"/>
          <w:szCs w:val="22"/>
          <w:lang w:val="en-GB"/>
        </w:rPr>
        <w:t>N</w:t>
      </w:r>
      <w:r w:rsidRPr="00810B48">
        <w:rPr>
          <w:rFonts w:asciiTheme="majorHAnsi" w:hAnsiTheme="majorHAnsi"/>
          <w:b/>
          <w:sz w:val="22"/>
          <w:szCs w:val="22"/>
          <w:lang w:val="en-GB"/>
        </w:rPr>
        <w:t>on-</w:t>
      </w:r>
      <w:r>
        <w:rPr>
          <w:rFonts w:asciiTheme="majorHAnsi" w:hAnsiTheme="majorHAnsi"/>
          <w:b/>
          <w:sz w:val="22"/>
          <w:szCs w:val="22"/>
          <w:lang w:val="en-GB"/>
        </w:rPr>
        <w:t>C</w:t>
      </w:r>
      <w:r w:rsidRPr="00810B48">
        <w:rPr>
          <w:rFonts w:asciiTheme="majorHAnsi" w:hAnsiTheme="majorHAnsi"/>
          <w:b/>
          <w:sz w:val="22"/>
          <w:szCs w:val="22"/>
          <w:lang w:val="en-GB"/>
        </w:rPr>
        <w:t xml:space="preserve">itizens, including </w:t>
      </w:r>
      <w:r>
        <w:rPr>
          <w:rFonts w:asciiTheme="majorHAnsi" w:hAnsiTheme="majorHAnsi"/>
          <w:b/>
          <w:sz w:val="22"/>
          <w:szCs w:val="22"/>
          <w:lang w:val="en-GB"/>
        </w:rPr>
        <w:t>Migrants, R</w:t>
      </w:r>
      <w:r w:rsidRPr="00810B48">
        <w:rPr>
          <w:rFonts w:asciiTheme="majorHAnsi" w:hAnsiTheme="majorHAnsi"/>
          <w:b/>
          <w:sz w:val="22"/>
          <w:szCs w:val="22"/>
          <w:lang w:val="en-GB"/>
        </w:rPr>
        <w:t xml:space="preserve">efugees and </w:t>
      </w:r>
      <w:r>
        <w:rPr>
          <w:rFonts w:asciiTheme="majorHAnsi" w:hAnsiTheme="majorHAnsi"/>
          <w:b/>
          <w:sz w:val="22"/>
          <w:szCs w:val="22"/>
          <w:lang w:val="en-GB"/>
        </w:rPr>
        <w:t>A</w:t>
      </w:r>
      <w:r w:rsidRPr="00810B48">
        <w:rPr>
          <w:rFonts w:asciiTheme="majorHAnsi" w:hAnsiTheme="majorHAnsi"/>
          <w:b/>
          <w:sz w:val="22"/>
          <w:szCs w:val="22"/>
          <w:lang w:val="en-GB"/>
        </w:rPr>
        <w:t xml:space="preserve">sylum </w:t>
      </w:r>
      <w:r>
        <w:rPr>
          <w:rFonts w:asciiTheme="majorHAnsi" w:hAnsiTheme="majorHAnsi"/>
          <w:b/>
          <w:sz w:val="22"/>
          <w:szCs w:val="22"/>
          <w:lang w:val="en-GB"/>
        </w:rPr>
        <w:t>S</w:t>
      </w:r>
      <w:r w:rsidRPr="00810B48">
        <w:rPr>
          <w:rFonts w:asciiTheme="majorHAnsi" w:hAnsiTheme="majorHAnsi"/>
          <w:b/>
          <w:sz w:val="22"/>
          <w:szCs w:val="22"/>
          <w:lang w:val="en-GB"/>
        </w:rPr>
        <w:t>eekers (</w:t>
      </w:r>
      <w:r>
        <w:rPr>
          <w:rFonts w:asciiTheme="majorHAnsi" w:hAnsiTheme="majorHAnsi"/>
          <w:b/>
          <w:sz w:val="22"/>
          <w:szCs w:val="22"/>
          <w:lang w:val="en-GB"/>
        </w:rPr>
        <w:t>Articles</w:t>
      </w:r>
      <w:r w:rsidRPr="00810B48">
        <w:rPr>
          <w:rFonts w:asciiTheme="majorHAnsi" w:hAnsiTheme="majorHAnsi"/>
          <w:b/>
          <w:sz w:val="22"/>
          <w:szCs w:val="22"/>
          <w:lang w:val="en-GB"/>
        </w:rPr>
        <w:t xml:space="preserve"> 5, 6 and 7)</w:t>
      </w:r>
    </w:p>
    <w:p w:rsidR="00810B48" w:rsidRDefault="00810B48" w:rsidP="00810B48">
      <w:pPr>
        <w:pStyle w:val="Listenabsatz"/>
        <w:widowControl w:val="0"/>
        <w:spacing w:line="276" w:lineRule="auto"/>
        <w:ind w:left="0"/>
        <w:contextualSpacing/>
        <w:jc w:val="both"/>
        <w:rPr>
          <w:rFonts w:asciiTheme="majorHAnsi" w:hAnsiTheme="majorHAnsi"/>
          <w:sz w:val="22"/>
          <w:szCs w:val="22"/>
          <w:lang w:val="en-GB"/>
        </w:rPr>
      </w:pPr>
    </w:p>
    <w:p w:rsidR="00761FB1" w:rsidRPr="00761FB1" w:rsidRDefault="00761FB1" w:rsidP="00761FB1">
      <w:pPr>
        <w:pStyle w:val="Listenabsatz"/>
        <w:widowControl w:val="0"/>
        <w:spacing w:line="276" w:lineRule="auto"/>
        <w:ind w:left="567"/>
        <w:contextualSpacing/>
        <w:jc w:val="both"/>
        <w:rPr>
          <w:rFonts w:ascii="Cambria" w:hAnsi="Cambria"/>
          <w:b/>
          <w:sz w:val="22"/>
          <w:szCs w:val="22"/>
          <w:u w:val="single"/>
          <w:lang w:val="en-GB"/>
        </w:rPr>
      </w:pPr>
      <w:r w:rsidRPr="00761FB1">
        <w:rPr>
          <w:rFonts w:ascii="Cambria" w:hAnsi="Cambria"/>
          <w:b/>
          <w:sz w:val="22"/>
          <w:szCs w:val="22"/>
          <w:u w:val="single"/>
          <w:lang w:val="en-GB"/>
        </w:rPr>
        <w:t>Effective Remedy for Victims of Racial Discrimination</w:t>
      </w:r>
    </w:p>
    <w:p w:rsidR="00761FB1" w:rsidRPr="00761FB1" w:rsidRDefault="00761FB1" w:rsidP="00761FB1">
      <w:pPr>
        <w:pStyle w:val="Listenabsatz"/>
        <w:widowControl w:val="0"/>
        <w:spacing w:line="276" w:lineRule="auto"/>
        <w:ind w:left="567"/>
        <w:contextualSpacing/>
        <w:jc w:val="both"/>
        <w:rPr>
          <w:rFonts w:ascii="Cambria" w:hAnsi="Cambria"/>
          <w:sz w:val="22"/>
          <w:szCs w:val="22"/>
          <w:lang w:val="en-GB"/>
        </w:rPr>
      </w:pPr>
      <w:r w:rsidRPr="00761FB1">
        <w:rPr>
          <w:rFonts w:ascii="Cambria" w:hAnsi="Cambria"/>
          <w:sz w:val="22"/>
          <w:szCs w:val="22"/>
          <w:lang w:val="en-GB"/>
        </w:rPr>
        <w:t xml:space="preserve"> </w:t>
      </w:r>
    </w:p>
    <w:p w:rsidR="00761FB1" w:rsidRPr="00761FB1" w:rsidRDefault="00761FB1" w:rsidP="00761FB1">
      <w:pPr>
        <w:pStyle w:val="Listenabsatz"/>
        <w:widowControl w:val="0"/>
        <w:numPr>
          <w:ilvl w:val="0"/>
          <w:numId w:val="1"/>
        </w:numPr>
        <w:spacing w:line="276" w:lineRule="auto"/>
        <w:ind w:left="567" w:hanging="567"/>
        <w:contextualSpacing/>
        <w:jc w:val="both"/>
        <w:rPr>
          <w:rFonts w:ascii="Cambria" w:hAnsi="Cambria"/>
          <w:sz w:val="22"/>
          <w:szCs w:val="22"/>
          <w:lang w:val="en-GB"/>
        </w:rPr>
      </w:pPr>
      <w:r w:rsidRPr="00761FB1">
        <w:rPr>
          <w:rFonts w:ascii="Cambria" w:hAnsi="Cambria"/>
          <w:sz w:val="22"/>
          <w:szCs w:val="22"/>
          <w:lang w:val="en-GB"/>
        </w:rPr>
        <w:t>The Committee highlighted the low number of complaints and absence of civil and administrative proceedings and judgments in relation to acts of racial discrimination.</w:t>
      </w:r>
      <w:r w:rsidRPr="00761FB1">
        <w:rPr>
          <w:rStyle w:val="Funotenzeichen"/>
          <w:rFonts w:ascii="Cambria" w:hAnsi="Cambria"/>
          <w:sz w:val="22"/>
          <w:szCs w:val="22"/>
          <w:lang w:val="en-GB"/>
        </w:rPr>
        <w:footnoteReference w:id="19"/>
      </w:r>
      <w:r w:rsidRPr="00761FB1">
        <w:rPr>
          <w:rFonts w:ascii="Cambria" w:hAnsi="Cambria"/>
          <w:sz w:val="22"/>
          <w:szCs w:val="22"/>
          <w:lang w:val="en-GB"/>
        </w:rPr>
        <w:t xml:space="preserve"> This raises serious concerns as to whether racial and ethnic groups have effective access to justice. Indeed, ERT’s research has not identified any cases in which victims of racial discrimination have brought lawsuits. </w:t>
      </w:r>
      <w:r w:rsidRPr="00761FB1">
        <w:rPr>
          <w:rFonts w:ascii="Cambria" w:hAnsi="Cambria" w:cs="Arial"/>
          <w:sz w:val="22"/>
          <w:szCs w:val="22"/>
          <w:lang w:val="en-GB"/>
        </w:rPr>
        <w:t>ERT believes that this reflects a lack of awareness of the possible avenues for bringing complaints of racial discrimination amongst racial and ethnic minorities, and lawyers, a lack of clarity in existing legislation as to how to bring complaints, and weaknesses in legislation in its ability to provide appropriate and effective remedies for individuals who have suffered racial discrimination.</w:t>
      </w:r>
    </w:p>
    <w:p w:rsidR="00761FB1" w:rsidRPr="00761FB1" w:rsidRDefault="00761FB1" w:rsidP="00761FB1">
      <w:pPr>
        <w:pStyle w:val="Listenabsatz"/>
        <w:widowControl w:val="0"/>
        <w:spacing w:line="276" w:lineRule="auto"/>
        <w:ind w:left="567"/>
        <w:contextualSpacing/>
        <w:jc w:val="both"/>
        <w:rPr>
          <w:rFonts w:ascii="Cambria" w:hAnsi="Cambria"/>
          <w:sz w:val="22"/>
          <w:szCs w:val="22"/>
          <w:lang w:val="en-GB"/>
        </w:rPr>
      </w:pPr>
    </w:p>
    <w:p w:rsidR="00761FB1" w:rsidRPr="00761FB1" w:rsidRDefault="00761FB1" w:rsidP="00761FB1">
      <w:pPr>
        <w:pStyle w:val="Listenabsatz"/>
        <w:widowControl w:val="0"/>
        <w:numPr>
          <w:ilvl w:val="0"/>
          <w:numId w:val="1"/>
        </w:numPr>
        <w:spacing w:line="276" w:lineRule="auto"/>
        <w:ind w:left="567" w:hanging="567"/>
        <w:contextualSpacing/>
        <w:jc w:val="both"/>
        <w:rPr>
          <w:rFonts w:ascii="Cambria" w:hAnsi="Cambria"/>
          <w:sz w:val="22"/>
          <w:szCs w:val="22"/>
          <w:lang w:val="en-GB"/>
        </w:rPr>
      </w:pPr>
      <w:r w:rsidRPr="00761FB1">
        <w:rPr>
          <w:rFonts w:ascii="Cambria" w:hAnsi="Cambria" w:cs="Arial"/>
          <w:sz w:val="22"/>
          <w:szCs w:val="22"/>
          <w:lang w:val="en-GB"/>
        </w:rPr>
        <w:t>This amounts to a failure on behalf of Kazakhstan to comply with its obligation under Article 6 to assure to everyone within their jurisdiction effective protection and remedies, through the competent national tribunals and other State institutions, against any acts of racial discrimination which violate his human rights and fundamental freedoms contrary to this Convention, as well as the right to seek from such tribunals just and adequate reparation or satisfaction for any damage suffered as a result of such discrimination.</w:t>
      </w:r>
    </w:p>
    <w:p w:rsidR="00761FB1" w:rsidRDefault="00761FB1" w:rsidP="00810B48">
      <w:pPr>
        <w:pStyle w:val="Listenabsatz"/>
        <w:widowControl w:val="0"/>
        <w:spacing w:line="276" w:lineRule="auto"/>
        <w:ind w:left="0"/>
        <w:contextualSpacing/>
        <w:jc w:val="both"/>
        <w:rPr>
          <w:rFonts w:asciiTheme="majorHAnsi" w:hAnsiTheme="majorHAnsi"/>
          <w:sz w:val="22"/>
          <w:szCs w:val="22"/>
          <w:lang w:val="en-GB"/>
        </w:rPr>
      </w:pPr>
    </w:p>
    <w:p w:rsidR="00761FB1" w:rsidRDefault="00761FB1" w:rsidP="00761FB1">
      <w:pPr>
        <w:pStyle w:val="Listenabsatz"/>
        <w:widowControl w:val="0"/>
        <w:spacing w:line="276" w:lineRule="auto"/>
        <w:ind w:left="0" w:firstLine="567"/>
        <w:contextualSpacing/>
        <w:jc w:val="both"/>
        <w:rPr>
          <w:rFonts w:asciiTheme="majorHAnsi" w:hAnsiTheme="majorHAnsi"/>
          <w:b/>
          <w:sz w:val="22"/>
          <w:szCs w:val="22"/>
          <w:u w:val="single"/>
          <w:lang w:val="en-GB"/>
        </w:rPr>
      </w:pPr>
      <w:r w:rsidRPr="00761FB1">
        <w:rPr>
          <w:rFonts w:asciiTheme="majorHAnsi" w:hAnsiTheme="majorHAnsi"/>
          <w:b/>
          <w:sz w:val="22"/>
          <w:szCs w:val="22"/>
          <w:u w:val="single"/>
          <w:lang w:val="en-GB"/>
        </w:rPr>
        <w:t>Non-citizens</w:t>
      </w:r>
    </w:p>
    <w:p w:rsidR="00761FB1" w:rsidRPr="00761FB1" w:rsidRDefault="00761FB1" w:rsidP="00761FB1">
      <w:pPr>
        <w:pStyle w:val="Listenabsatz"/>
        <w:widowControl w:val="0"/>
        <w:spacing w:line="276" w:lineRule="auto"/>
        <w:ind w:left="0" w:firstLine="567"/>
        <w:contextualSpacing/>
        <w:jc w:val="both"/>
        <w:rPr>
          <w:rFonts w:asciiTheme="majorHAnsi" w:hAnsiTheme="majorHAnsi"/>
          <w:b/>
          <w:sz w:val="22"/>
          <w:szCs w:val="22"/>
          <w:u w:val="single"/>
          <w:lang w:val="en-GB"/>
        </w:rPr>
      </w:pPr>
    </w:p>
    <w:p w:rsidR="006A3DCF" w:rsidRDefault="006A3DCF" w:rsidP="006A3DC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6A3DCF">
        <w:rPr>
          <w:rFonts w:asciiTheme="majorHAnsi" w:hAnsiTheme="majorHAnsi"/>
          <w:sz w:val="22"/>
          <w:szCs w:val="22"/>
          <w:lang w:val="en-GB"/>
        </w:rPr>
        <w:t xml:space="preserve">In this section, ERT bears in mind the Committee’s statement in its General Recommendation No. 30 that </w:t>
      </w:r>
      <w:r>
        <w:rPr>
          <w:rFonts w:asciiTheme="majorHAnsi" w:hAnsiTheme="majorHAnsi"/>
          <w:sz w:val="22"/>
          <w:szCs w:val="22"/>
          <w:lang w:val="en-GB"/>
        </w:rPr>
        <w:t>w</w:t>
      </w:r>
      <w:r w:rsidRPr="006A3DCF">
        <w:rPr>
          <w:rFonts w:asciiTheme="majorHAnsi" w:hAnsiTheme="majorHAnsi"/>
          <w:sz w:val="22"/>
          <w:szCs w:val="22"/>
          <w:lang w:val="en-GB"/>
        </w:rPr>
        <w:t>hile states are permitted to distinguish between citizens and non-citizens in some specific circumstances, this is to be seen as an exception to the princip</w:t>
      </w:r>
      <w:r>
        <w:rPr>
          <w:rFonts w:asciiTheme="majorHAnsi" w:hAnsiTheme="majorHAnsi"/>
          <w:sz w:val="22"/>
          <w:szCs w:val="22"/>
          <w:lang w:val="en-GB"/>
        </w:rPr>
        <w:t>le of equality and, consequently,</w:t>
      </w:r>
      <w:r w:rsidRPr="006A3DCF">
        <w:rPr>
          <w:rFonts w:asciiTheme="majorHAnsi" w:hAnsiTheme="majorHAnsi"/>
          <w:sz w:val="22"/>
          <w:szCs w:val="22"/>
          <w:lang w:val="en-GB"/>
        </w:rPr>
        <w:t xml:space="preserve"> “must be construed so as to avoid undermining the basic prohibition of discrimination”</w:t>
      </w:r>
      <w:r>
        <w:rPr>
          <w:rFonts w:asciiTheme="majorHAnsi" w:hAnsiTheme="majorHAnsi"/>
          <w:sz w:val="22"/>
          <w:szCs w:val="22"/>
          <w:lang w:val="en-GB"/>
        </w:rPr>
        <w:t>.</w:t>
      </w:r>
      <w:r>
        <w:rPr>
          <w:rStyle w:val="Funotenzeichen"/>
          <w:rFonts w:asciiTheme="majorHAnsi" w:hAnsiTheme="majorHAnsi"/>
          <w:sz w:val="22"/>
          <w:szCs w:val="22"/>
          <w:lang w:val="en-GB"/>
        </w:rPr>
        <w:footnoteReference w:id="20"/>
      </w:r>
    </w:p>
    <w:p w:rsidR="00761FB1" w:rsidRPr="00761FB1" w:rsidRDefault="00761FB1" w:rsidP="00761FB1">
      <w:pPr>
        <w:pStyle w:val="Listenabsatz"/>
        <w:widowControl w:val="0"/>
        <w:spacing w:line="276" w:lineRule="auto"/>
        <w:ind w:left="0"/>
        <w:contextualSpacing/>
        <w:jc w:val="both"/>
        <w:rPr>
          <w:rFonts w:ascii="Cambria" w:hAnsi="Cambria"/>
          <w:sz w:val="22"/>
          <w:szCs w:val="22"/>
          <w:lang w:val="en-GB"/>
        </w:rPr>
      </w:pPr>
    </w:p>
    <w:p w:rsidR="00761FB1" w:rsidRPr="00761FB1" w:rsidRDefault="00761FB1" w:rsidP="00761FB1">
      <w:pPr>
        <w:pStyle w:val="Listenabsatz"/>
        <w:widowControl w:val="0"/>
        <w:numPr>
          <w:ilvl w:val="0"/>
          <w:numId w:val="1"/>
        </w:numPr>
        <w:spacing w:line="276" w:lineRule="auto"/>
        <w:ind w:left="567" w:hanging="567"/>
        <w:contextualSpacing/>
        <w:jc w:val="both"/>
        <w:rPr>
          <w:rFonts w:ascii="Cambria" w:hAnsi="Cambria"/>
          <w:sz w:val="22"/>
          <w:szCs w:val="22"/>
          <w:lang w:val="en-GB"/>
        </w:rPr>
      </w:pPr>
      <w:r w:rsidRPr="00761FB1">
        <w:rPr>
          <w:rFonts w:ascii="Cambria" w:hAnsi="Cambria"/>
          <w:sz w:val="22"/>
          <w:szCs w:val="22"/>
          <w:lang w:val="en-GB"/>
        </w:rPr>
        <w:t xml:space="preserve">With regards to migrant workers, respondents </w:t>
      </w:r>
      <w:r>
        <w:rPr>
          <w:rFonts w:ascii="Cambria" w:hAnsi="Cambria"/>
          <w:sz w:val="22"/>
          <w:szCs w:val="22"/>
          <w:lang w:val="en-GB"/>
        </w:rPr>
        <w:t>told ERT</w:t>
      </w:r>
      <w:r w:rsidRPr="00761FB1">
        <w:rPr>
          <w:rFonts w:ascii="Cambria" w:hAnsi="Cambria"/>
          <w:sz w:val="22"/>
          <w:szCs w:val="22"/>
          <w:lang w:val="en-GB"/>
        </w:rPr>
        <w:t xml:space="preserve"> that while there are no statistics </w:t>
      </w:r>
      <w:r w:rsidRPr="00761FB1">
        <w:rPr>
          <w:rFonts w:ascii="Cambria" w:hAnsi="Cambria"/>
          <w:sz w:val="22"/>
          <w:szCs w:val="22"/>
          <w:lang w:val="en-GB"/>
        </w:rPr>
        <w:lastRenderedPageBreak/>
        <w:t xml:space="preserve">on irregular migrants, they number in the hundreds of thousands; they are mostly from Uzbekistan and Tajikistan; their children are </w:t>
      </w:r>
      <w:r>
        <w:rPr>
          <w:rFonts w:ascii="Cambria" w:hAnsi="Cambria"/>
          <w:sz w:val="22"/>
          <w:szCs w:val="22"/>
          <w:lang w:val="en-GB"/>
        </w:rPr>
        <w:t xml:space="preserve">often </w:t>
      </w:r>
      <w:r w:rsidRPr="00761FB1">
        <w:rPr>
          <w:rFonts w:ascii="Cambria" w:hAnsi="Cambria"/>
          <w:sz w:val="22"/>
          <w:szCs w:val="22"/>
          <w:lang w:val="en-GB"/>
        </w:rPr>
        <w:t>denied schooling and they can get only emergency medical treatment.</w:t>
      </w:r>
    </w:p>
    <w:p w:rsidR="006A3DCF" w:rsidRDefault="006A3DCF" w:rsidP="006A3DCF">
      <w:pPr>
        <w:pStyle w:val="Listenabsatz"/>
        <w:widowControl w:val="0"/>
        <w:spacing w:line="276" w:lineRule="auto"/>
        <w:ind w:left="0"/>
        <w:contextualSpacing/>
        <w:jc w:val="both"/>
        <w:rPr>
          <w:rFonts w:asciiTheme="majorHAnsi" w:hAnsiTheme="majorHAnsi"/>
          <w:sz w:val="22"/>
          <w:szCs w:val="22"/>
          <w:lang w:val="en-GB"/>
        </w:rPr>
      </w:pPr>
    </w:p>
    <w:p w:rsidR="00810B48" w:rsidRDefault="00810B48" w:rsidP="00810B48">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810B48">
        <w:rPr>
          <w:rFonts w:asciiTheme="majorHAnsi" w:hAnsiTheme="majorHAnsi"/>
          <w:sz w:val="22"/>
          <w:szCs w:val="22"/>
          <w:lang w:val="en-GB"/>
        </w:rPr>
        <w:t xml:space="preserve">The Committee asked for </w:t>
      </w:r>
      <w:r>
        <w:rPr>
          <w:rFonts w:asciiTheme="majorHAnsi" w:hAnsiTheme="majorHAnsi"/>
          <w:sz w:val="22"/>
          <w:szCs w:val="22"/>
          <w:lang w:val="en-GB"/>
        </w:rPr>
        <w:t>i</w:t>
      </w:r>
      <w:r w:rsidRPr="00810B48">
        <w:rPr>
          <w:rFonts w:asciiTheme="majorHAnsi" w:hAnsiTheme="majorHAnsi"/>
          <w:sz w:val="22"/>
          <w:szCs w:val="22"/>
          <w:lang w:val="en-GB"/>
        </w:rPr>
        <w:t>nformation about the restrictions to the rights of non-citizens legally present in the country.</w:t>
      </w:r>
      <w:r>
        <w:rPr>
          <w:rStyle w:val="Funotenzeichen"/>
          <w:rFonts w:asciiTheme="majorHAnsi" w:hAnsiTheme="majorHAnsi"/>
          <w:sz w:val="22"/>
          <w:szCs w:val="22"/>
          <w:lang w:val="en-GB"/>
        </w:rPr>
        <w:footnoteReference w:id="21"/>
      </w:r>
    </w:p>
    <w:p w:rsidR="00810B48" w:rsidRDefault="00810B48" w:rsidP="00810B48">
      <w:pPr>
        <w:pStyle w:val="Listenabsatz"/>
        <w:widowControl w:val="0"/>
        <w:spacing w:line="276" w:lineRule="auto"/>
        <w:ind w:left="567"/>
        <w:contextualSpacing/>
        <w:jc w:val="both"/>
        <w:rPr>
          <w:rFonts w:asciiTheme="majorHAnsi" w:hAnsiTheme="majorHAnsi"/>
          <w:sz w:val="22"/>
          <w:szCs w:val="22"/>
          <w:lang w:val="en-GB"/>
        </w:rPr>
      </w:pPr>
    </w:p>
    <w:p w:rsidR="00D32DF5" w:rsidRPr="006A3DCF" w:rsidRDefault="00810B48" w:rsidP="00E1174E">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6A3DCF">
        <w:rPr>
          <w:rFonts w:asciiTheme="majorHAnsi" w:hAnsiTheme="majorHAnsi"/>
          <w:sz w:val="22"/>
          <w:szCs w:val="22"/>
          <w:lang w:val="en-GB"/>
        </w:rPr>
        <w:t xml:space="preserve">Representatives of the Afghan community </w:t>
      </w:r>
      <w:r w:rsidR="00123C82">
        <w:rPr>
          <w:rFonts w:asciiTheme="majorHAnsi" w:hAnsiTheme="majorHAnsi"/>
          <w:sz w:val="22"/>
          <w:szCs w:val="22"/>
          <w:lang w:val="en-GB"/>
        </w:rPr>
        <w:t>interviewed by ERT</w:t>
      </w:r>
      <w:r w:rsidRPr="006A3DCF">
        <w:rPr>
          <w:rFonts w:asciiTheme="majorHAnsi" w:hAnsiTheme="majorHAnsi"/>
          <w:sz w:val="22"/>
          <w:szCs w:val="22"/>
          <w:lang w:val="en-GB"/>
        </w:rPr>
        <w:t xml:space="preserve"> complained of a number of discriminatory practices. </w:t>
      </w:r>
      <w:r w:rsidR="00123C82">
        <w:rPr>
          <w:rFonts w:asciiTheme="majorHAnsi" w:hAnsiTheme="majorHAnsi"/>
          <w:sz w:val="22"/>
          <w:szCs w:val="22"/>
          <w:lang w:val="en-GB"/>
        </w:rPr>
        <w:t>According to the leaders of the community, t</w:t>
      </w:r>
      <w:r w:rsidRPr="006A3DCF">
        <w:rPr>
          <w:rFonts w:asciiTheme="majorHAnsi" w:hAnsiTheme="majorHAnsi"/>
          <w:sz w:val="22"/>
          <w:szCs w:val="22"/>
          <w:lang w:val="en-GB"/>
        </w:rPr>
        <w:t>here are approximately 2,300 Afghans in Kazakhs</w:t>
      </w:r>
      <w:r w:rsidR="00203A07" w:rsidRPr="006A3DCF">
        <w:rPr>
          <w:rFonts w:asciiTheme="majorHAnsi" w:hAnsiTheme="majorHAnsi"/>
          <w:sz w:val="22"/>
          <w:szCs w:val="22"/>
          <w:lang w:val="en-GB"/>
        </w:rPr>
        <w:t>t</w:t>
      </w:r>
      <w:r w:rsidRPr="006A3DCF">
        <w:rPr>
          <w:rFonts w:asciiTheme="majorHAnsi" w:hAnsiTheme="majorHAnsi"/>
          <w:sz w:val="22"/>
          <w:szCs w:val="22"/>
          <w:lang w:val="en-GB"/>
        </w:rPr>
        <w:t>an, including 615 recognised refugees, 6</w:t>
      </w:r>
      <w:r w:rsidR="00123C82">
        <w:rPr>
          <w:rFonts w:asciiTheme="majorHAnsi" w:hAnsiTheme="majorHAnsi"/>
          <w:sz w:val="22"/>
          <w:szCs w:val="22"/>
          <w:lang w:val="en-GB"/>
        </w:rPr>
        <w:t>15</w:t>
      </w:r>
      <w:r w:rsidRPr="006A3DCF">
        <w:rPr>
          <w:rFonts w:asciiTheme="majorHAnsi" w:hAnsiTheme="majorHAnsi"/>
          <w:sz w:val="22"/>
          <w:szCs w:val="22"/>
          <w:lang w:val="en-GB"/>
        </w:rPr>
        <w:t xml:space="preserve"> students, 120 Kazakh citizens, 150 stateless persons, 350 Afghanistan citizens with residence permits in </w:t>
      </w:r>
      <w:r w:rsidR="00E1174E" w:rsidRPr="006A3DCF">
        <w:rPr>
          <w:rFonts w:asciiTheme="majorHAnsi" w:hAnsiTheme="majorHAnsi"/>
          <w:sz w:val="22"/>
          <w:szCs w:val="22"/>
          <w:lang w:val="en-GB"/>
        </w:rPr>
        <w:t>Kazakhstan</w:t>
      </w:r>
      <w:r w:rsidRPr="006A3DCF">
        <w:rPr>
          <w:rFonts w:asciiTheme="majorHAnsi" w:hAnsiTheme="majorHAnsi"/>
          <w:sz w:val="22"/>
          <w:szCs w:val="22"/>
          <w:lang w:val="en-GB"/>
        </w:rPr>
        <w:t xml:space="preserve">, and 200 irregular (undocumented) migrants. The stateless </w:t>
      </w:r>
      <w:r w:rsidR="00E1174E" w:rsidRPr="006A3DCF">
        <w:rPr>
          <w:rFonts w:asciiTheme="majorHAnsi" w:hAnsiTheme="majorHAnsi"/>
          <w:sz w:val="22"/>
          <w:szCs w:val="22"/>
          <w:lang w:val="en-GB"/>
        </w:rPr>
        <w:t>individuals</w:t>
      </w:r>
      <w:r w:rsidRPr="006A3DCF">
        <w:rPr>
          <w:rFonts w:asciiTheme="majorHAnsi" w:hAnsiTheme="majorHAnsi"/>
          <w:sz w:val="22"/>
          <w:szCs w:val="22"/>
          <w:lang w:val="en-GB"/>
        </w:rPr>
        <w:t xml:space="preserve"> arrived as refugees, but have become stateless as a result of renouncing their Afghanistan citizenship in the hope to obtain </w:t>
      </w:r>
      <w:r w:rsidR="00E1174E" w:rsidRPr="006A3DCF">
        <w:rPr>
          <w:rFonts w:asciiTheme="majorHAnsi" w:hAnsiTheme="majorHAnsi"/>
          <w:sz w:val="22"/>
          <w:szCs w:val="22"/>
          <w:lang w:val="en-GB"/>
        </w:rPr>
        <w:t>Kazakh citizenship; Kazakhstan</w:t>
      </w:r>
      <w:r w:rsidRPr="006A3DCF">
        <w:rPr>
          <w:rFonts w:asciiTheme="majorHAnsi" w:hAnsiTheme="majorHAnsi"/>
          <w:sz w:val="22"/>
          <w:szCs w:val="22"/>
          <w:lang w:val="en-GB"/>
        </w:rPr>
        <w:t xml:space="preserve"> does not permit </w:t>
      </w:r>
      <w:r w:rsidR="00E1174E" w:rsidRPr="006A3DCF">
        <w:rPr>
          <w:rFonts w:asciiTheme="majorHAnsi" w:hAnsiTheme="majorHAnsi"/>
          <w:sz w:val="22"/>
          <w:szCs w:val="22"/>
          <w:lang w:val="en-GB"/>
        </w:rPr>
        <w:t>dual nationality</w:t>
      </w:r>
      <w:r w:rsidRPr="006A3DCF">
        <w:rPr>
          <w:rFonts w:asciiTheme="majorHAnsi" w:hAnsiTheme="majorHAnsi"/>
          <w:sz w:val="22"/>
          <w:szCs w:val="22"/>
          <w:lang w:val="en-GB"/>
        </w:rPr>
        <w:t xml:space="preserve">. </w:t>
      </w:r>
      <w:r w:rsidR="00D32DF5" w:rsidRPr="006A3DCF">
        <w:rPr>
          <w:rFonts w:asciiTheme="majorHAnsi" w:hAnsiTheme="majorHAnsi"/>
          <w:sz w:val="22"/>
          <w:szCs w:val="22"/>
          <w:lang w:val="en-GB"/>
        </w:rPr>
        <w:t>There are</w:t>
      </w:r>
      <w:r w:rsidR="006A3DCF" w:rsidRPr="006A3DCF">
        <w:rPr>
          <w:rFonts w:asciiTheme="majorHAnsi" w:hAnsiTheme="majorHAnsi"/>
          <w:sz w:val="22"/>
          <w:szCs w:val="22"/>
          <w:lang w:val="en-GB"/>
        </w:rPr>
        <w:t xml:space="preserve"> particular </w:t>
      </w:r>
      <w:r w:rsidR="00D32DF5" w:rsidRPr="006A3DCF">
        <w:rPr>
          <w:rFonts w:asciiTheme="majorHAnsi" w:hAnsiTheme="majorHAnsi"/>
          <w:sz w:val="22"/>
          <w:szCs w:val="22"/>
          <w:lang w:val="en-GB"/>
        </w:rPr>
        <w:t xml:space="preserve">protections under international law for persons who renounce their nationality in order to ensure that they are not rendered stateless contained within the Convention on the Reduction of Statelessness (1961). </w:t>
      </w:r>
      <w:r w:rsidR="006A3DCF" w:rsidRPr="006A3DCF">
        <w:rPr>
          <w:rFonts w:asciiTheme="majorHAnsi" w:hAnsiTheme="majorHAnsi"/>
          <w:sz w:val="22"/>
          <w:szCs w:val="22"/>
          <w:lang w:val="en-GB"/>
        </w:rPr>
        <w:t>These build upon Article 5(d</w:t>
      </w:r>
      <w:proofErr w:type="gramStart"/>
      <w:r w:rsidR="006A3DCF" w:rsidRPr="006A3DCF">
        <w:rPr>
          <w:rFonts w:asciiTheme="majorHAnsi" w:hAnsiTheme="majorHAnsi"/>
          <w:sz w:val="22"/>
          <w:szCs w:val="22"/>
          <w:lang w:val="en-GB"/>
        </w:rPr>
        <w:t>)(</w:t>
      </w:r>
      <w:proofErr w:type="gramEnd"/>
      <w:r w:rsidR="006A3DCF" w:rsidRPr="006A3DCF">
        <w:rPr>
          <w:rFonts w:asciiTheme="majorHAnsi" w:hAnsiTheme="majorHAnsi"/>
          <w:sz w:val="22"/>
          <w:szCs w:val="22"/>
          <w:lang w:val="en-GB"/>
        </w:rPr>
        <w:t xml:space="preserve">iii) of </w:t>
      </w:r>
      <w:r w:rsidR="006A3DCF">
        <w:rPr>
          <w:rFonts w:asciiTheme="majorHAnsi" w:hAnsiTheme="majorHAnsi"/>
          <w:sz w:val="22"/>
          <w:szCs w:val="22"/>
          <w:lang w:val="en-GB"/>
        </w:rPr>
        <w:t>the Convention</w:t>
      </w:r>
      <w:r w:rsidR="006A3DCF" w:rsidRPr="006A3DCF">
        <w:rPr>
          <w:rFonts w:asciiTheme="majorHAnsi" w:hAnsiTheme="majorHAnsi"/>
          <w:sz w:val="22"/>
          <w:szCs w:val="22"/>
          <w:lang w:val="en-GB"/>
        </w:rPr>
        <w:t xml:space="preserve"> which guarantees “the right of everyone, without distinction as to race, colour, or national or ethnic origin, to equality before the law, notably in the enjoyment of (...) the right to nationality”. </w:t>
      </w:r>
      <w:r w:rsidR="00D32DF5" w:rsidRPr="006A3DCF">
        <w:rPr>
          <w:rFonts w:asciiTheme="majorHAnsi" w:hAnsiTheme="majorHAnsi"/>
          <w:sz w:val="22"/>
          <w:szCs w:val="22"/>
          <w:lang w:val="en-GB"/>
        </w:rPr>
        <w:t xml:space="preserve">Kazakhstan has neither signed nor ratified the </w:t>
      </w:r>
      <w:r w:rsidR="006A3DCF" w:rsidRPr="006A3DCF">
        <w:rPr>
          <w:rFonts w:asciiTheme="majorHAnsi" w:hAnsiTheme="majorHAnsi"/>
          <w:sz w:val="22"/>
          <w:szCs w:val="22"/>
          <w:lang w:val="en-GB"/>
        </w:rPr>
        <w:t xml:space="preserve">Convention on the Reduction of Statelessness </w:t>
      </w:r>
      <w:r w:rsidR="00D32DF5" w:rsidRPr="006A3DCF">
        <w:rPr>
          <w:rFonts w:asciiTheme="majorHAnsi" w:hAnsiTheme="majorHAnsi"/>
          <w:sz w:val="22"/>
          <w:szCs w:val="22"/>
          <w:lang w:val="en-GB"/>
        </w:rPr>
        <w:t xml:space="preserve">and therefore </w:t>
      </w:r>
      <w:r w:rsidR="00E864F5" w:rsidRPr="006A3DCF">
        <w:rPr>
          <w:rFonts w:asciiTheme="majorHAnsi" w:hAnsiTheme="majorHAnsi"/>
          <w:sz w:val="22"/>
          <w:szCs w:val="22"/>
          <w:lang w:val="en-GB"/>
        </w:rPr>
        <w:t xml:space="preserve">these </w:t>
      </w:r>
      <w:r w:rsidR="006A3DCF">
        <w:rPr>
          <w:rFonts w:asciiTheme="majorHAnsi" w:hAnsiTheme="majorHAnsi"/>
          <w:sz w:val="22"/>
          <w:szCs w:val="22"/>
          <w:lang w:val="en-GB"/>
        </w:rPr>
        <w:t xml:space="preserve">particular </w:t>
      </w:r>
      <w:r w:rsidR="00E864F5" w:rsidRPr="006A3DCF">
        <w:rPr>
          <w:rFonts w:asciiTheme="majorHAnsi" w:hAnsiTheme="majorHAnsi"/>
          <w:sz w:val="22"/>
          <w:szCs w:val="22"/>
          <w:lang w:val="en-GB"/>
        </w:rPr>
        <w:t>protections are not provided to stateless persons in Kazakhstan either through international or national law.</w:t>
      </w:r>
    </w:p>
    <w:p w:rsidR="00D32DF5" w:rsidRDefault="00D32DF5" w:rsidP="00D32DF5">
      <w:pPr>
        <w:pStyle w:val="Listenabsatz"/>
        <w:widowControl w:val="0"/>
        <w:spacing w:line="276" w:lineRule="auto"/>
        <w:ind w:left="567"/>
        <w:contextualSpacing/>
        <w:jc w:val="both"/>
        <w:rPr>
          <w:rFonts w:asciiTheme="majorHAnsi" w:hAnsiTheme="majorHAnsi"/>
          <w:sz w:val="22"/>
          <w:szCs w:val="22"/>
          <w:lang w:val="en-GB"/>
        </w:rPr>
      </w:pPr>
    </w:p>
    <w:p w:rsidR="00810B48" w:rsidRDefault="00123C82" w:rsidP="00E1174E">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According to Afghan sources, t</w:t>
      </w:r>
      <w:r w:rsidR="00810B48" w:rsidRPr="00810B48">
        <w:rPr>
          <w:rFonts w:asciiTheme="majorHAnsi" w:hAnsiTheme="majorHAnsi"/>
          <w:sz w:val="22"/>
          <w:szCs w:val="22"/>
          <w:lang w:val="en-GB"/>
        </w:rPr>
        <w:t>he waiting time to obta</w:t>
      </w:r>
      <w:r w:rsidR="00E1174E">
        <w:rPr>
          <w:rFonts w:asciiTheme="majorHAnsi" w:hAnsiTheme="majorHAnsi"/>
          <w:sz w:val="22"/>
          <w:szCs w:val="22"/>
          <w:lang w:val="en-GB"/>
        </w:rPr>
        <w:t>in a residence permit is about five</w:t>
      </w:r>
      <w:r w:rsidR="00810B48" w:rsidRPr="00810B48">
        <w:rPr>
          <w:rFonts w:asciiTheme="majorHAnsi" w:hAnsiTheme="majorHAnsi"/>
          <w:sz w:val="22"/>
          <w:szCs w:val="22"/>
          <w:lang w:val="en-GB"/>
        </w:rPr>
        <w:t xml:space="preserve"> yea</w:t>
      </w:r>
      <w:r w:rsidR="006A3DCF">
        <w:rPr>
          <w:rFonts w:asciiTheme="majorHAnsi" w:hAnsiTheme="majorHAnsi"/>
          <w:sz w:val="22"/>
          <w:szCs w:val="22"/>
          <w:lang w:val="en-GB"/>
        </w:rPr>
        <w:t xml:space="preserve">rs. In order to transfer from refugee status to </w:t>
      </w:r>
      <w:r w:rsidR="00810B48" w:rsidRPr="00810B48">
        <w:rPr>
          <w:rFonts w:asciiTheme="majorHAnsi" w:hAnsiTheme="majorHAnsi"/>
          <w:sz w:val="22"/>
          <w:szCs w:val="22"/>
          <w:lang w:val="en-GB"/>
        </w:rPr>
        <w:t xml:space="preserve">resident status, the authorities require a number of documents, including a clean criminal record, a letter from Afghanistan that it does not object to the applicant receiving a residence in </w:t>
      </w:r>
      <w:r w:rsidR="00E1174E">
        <w:rPr>
          <w:rFonts w:asciiTheme="majorHAnsi" w:hAnsiTheme="majorHAnsi"/>
          <w:sz w:val="22"/>
          <w:szCs w:val="22"/>
          <w:lang w:val="en-GB"/>
        </w:rPr>
        <w:t>Kazakhstan</w:t>
      </w:r>
      <w:r w:rsidR="00810B48" w:rsidRPr="00810B48">
        <w:rPr>
          <w:rFonts w:asciiTheme="majorHAnsi" w:hAnsiTheme="majorHAnsi"/>
          <w:sz w:val="22"/>
          <w:szCs w:val="22"/>
          <w:lang w:val="en-GB"/>
        </w:rPr>
        <w:t xml:space="preserve">, $13,000 in a bank account, a medical record, </w:t>
      </w:r>
      <w:r w:rsidR="00E1174E">
        <w:rPr>
          <w:rFonts w:asciiTheme="majorHAnsi" w:hAnsiTheme="majorHAnsi"/>
          <w:sz w:val="22"/>
          <w:szCs w:val="22"/>
          <w:lang w:val="en-GB"/>
        </w:rPr>
        <w:t xml:space="preserve">an </w:t>
      </w:r>
      <w:r w:rsidR="00810B48" w:rsidRPr="00810B48">
        <w:rPr>
          <w:rFonts w:asciiTheme="majorHAnsi" w:hAnsiTheme="majorHAnsi"/>
          <w:sz w:val="22"/>
          <w:szCs w:val="22"/>
          <w:lang w:val="en-GB"/>
        </w:rPr>
        <w:t xml:space="preserve">autobiography, a letter from an employer, etc. Stateless persons are issued with a special ID, which is valid for travel inside </w:t>
      </w:r>
      <w:r w:rsidR="00E1174E">
        <w:rPr>
          <w:rFonts w:asciiTheme="majorHAnsi" w:hAnsiTheme="majorHAnsi"/>
          <w:sz w:val="22"/>
          <w:szCs w:val="22"/>
          <w:lang w:val="en-GB"/>
        </w:rPr>
        <w:t>Kazakhstan</w:t>
      </w:r>
      <w:r w:rsidR="00810B48" w:rsidRPr="00810B48">
        <w:rPr>
          <w:rFonts w:asciiTheme="majorHAnsi" w:hAnsiTheme="majorHAnsi"/>
          <w:sz w:val="22"/>
          <w:szCs w:val="22"/>
          <w:lang w:val="en-GB"/>
        </w:rPr>
        <w:t xml:space="preserve"> and recognised by some states as a doc</w:t>
      </w:r>
      <w:r w:rsidR="00E1174E">
        <w:rPr>
          <w:rFonts w:asciiTheme="majorHAnsi" w:hAnsiTheme="majorHAnsi"/>
          <w:sz w:val="22"/>
          <w:szCs w:val="22"/>
          <w:lang w:val="en-GB"/>
        </w:rPr>
        <w:t>ument</w:t>
      </w:r>
      <w:r w:rsidR="00810B48" w:rsidRPr="00810B48">
        <w:rPr>
          <w:rFonts w:asciiTheme="majorHAnsi" w:hAnsiTheme="majorHAnsi"/>
          <w:sz w:val="22"/>
          <w:szCs w:val="22"/>
          <w:lang w:val="en-GB"/>
        </w:rPr>
        <w:t xml:space="preserve"> for </w:t>
      </w:r>
      <w:r w:rsidR="00E1174E">
        <w:rPr>
          <w:rFonts w:asciiTheme="majorHAnsi" w:hAnsiTheme="majorHAnsi"/>
          <w:sz w:val="22"/>
          <w:szCs w:val="22"/>
          <w:lang w:val="en-GB"/>
        </w:rPr>
        <w:t>international travel</w:t>
      </w:r>
      <w:r>
        <w:rPr>
          <w:rFonts w:asciiTheme="majorHAnsi" w:hAnsiTheme="majorHAnsi"/>
          <w:sz w:val="22"/>
          <w:szCs w:val="22"/>
          <w:lang w:val="en-GB"/>
        </w:rPr>
        <w:t>.</w:t>
      </w:r>
      <w:r w:rsidR="00810B48" w:rsidRPr="00E1174E">
        <w:rPr>
          <w:rFonts w:asciiTheme="majorHAnsi" w:hAnsiTheme="majorHAnsi"/>
          <w:sz w:val="22"/>
          <w:szCs w:val="22"/>
          <w:lang w:val="en-GB"/>
        </w:rPr>
        <w:t xml:space="preserve"> The irregular immigrants are recent arrivals and their status is explained by the </w:t>
      </w:r>
      <w:r w:rsidR="00E1174E">
        <w:rPr>
          <w:rFonts w:asciiTheme="majorHAnsi" w:hAnsiTheme="majorHAnsi"/>
          <w:sz w:val="22"/>
          <w:szCs w:val="22"/>
          <w:lang w:val="en-GB"/>
        </w:rPr>
        <w:t>fact</w:t>
      </w:r>
      <w:r w:rsidR="00810B48" w:rsidRPr="00E1174E">
        <w:rPr>
          <w:rFonts w:asciiTheme="majorHAnsi" w:hAnsiTheme="majorHAnsi"/>
          <w:sz w:val="22"/>
          <w:szCs w:val="22"/>
          <w:lang w:val="en-GB"/>
        </w:rPr>
        <w:t xml:space="preserve"> that in </w:t>
      </w:r>
      <w:r w:rsidR="00E1174E">
        <w:rPr>
          <w:rFonts w:asciiTheme="majorHAnsi" w:hAnsiTheme="majorHAnsi"/>
          <w:sz w:val="22"/>
          <w:szCs w:val="22"/>
          <w:lang w:val="en-GB"/>
        </w:rPr>
        <w:t>recent</w:t>
      </w:r>
      <w:r w:rsidR="00810B48" w:rsidRPr="00E1174E">
        <w:rPr>
          <w:rFonts w:asciiTheme="majorHAnsi" w:hAnsiTheme="majorHAnsi"/>
          <w:sz w:val="22"/>
          <w:szCs w:val="22"/>
          <w:lang w:val="en-GB"/>
        </w:rPr>
        <w:t xml:space="preserve"> years</w:t>
      </w:r>
      <w:r w:rsidR="00E1174E">
        <w:rPr>
          <w:rFonts w:asciiTheme="majorHAnsi" w:hAnsiTheme="majorHAnsi"/>
          <w:sz w:val="22"/>
          <w:szCs w:val="22"/>
          <w:lang w:val="en-GB"/>
        </w:rPr>
        <w:t>,</w:t>
      </w:r>
      <w:r w:rsidR="00810B48" w:rsidRPr="00E1174E">
        <w:rPr>
          <w:rFonts w:asciiTheme="majorHAnsi" w:hAnsiTheme="majorHAnsi"/>
          <w:sz w:val="22"/>
          <w:szCs w:val="22"/>
          <w:lang w:val="en-GB"/>
        </w:rPr>
        <w:t xml:space="preserve"> </w:t>
      </w:r>
      <w:r w:rsidR="00E1174E">
        <w:rPr>
          <w:rFonts w:asciiTheme="majorHAnsi" w:hAnsiTheme="majorHAnsi"/>
          <w:sz w:val="22"/>
          <w:szCs w:val="22"/>
          <w:lang w:val="en-GB"/>
        </w:rPr>
        <w:t xml:space="preserve">Kazakhstan </w:t>
      </w:r>
      <w:r w:rsidR="00810B48" w:rsidRPr="00E1174E">
        <w:rPr>
          <w:rFonts w:asciiTheme="majorHAnsi" w:hAnsiTheme="majorHAnsi"/>
          <w:sz w:val="22"/>
          <w:szCs w:val="22"/>
          <w:lang w:val="en-GB"/>
        </w:rPr>
        <w:t>no longer recognises Afghans as refugees, as the sit</w:t>
      </w:r>
      <w:r w:rsidR="00E1174E">
        <w:rPr>
          <w:rFonts w:asciiTheme="majorHAnsi" w:hAnsiTheme="majorHAnsi"/>
          <w:sz w:val="22"/>
          <w:szCs w:val="22"/>
          <w:lang w:val="en-GB"/>
        </w:rPr>
        <w:t>uation</w:t>
      </w:r>
      <w:r w:rsidR="00810B48" w:rsidRPr="00E1174E">
        <w:rPr>
          <w:rFonts w:asciiTheme="majorHAnsi" w:hAnsiTheme="majorHAnsi"/>
          <w:sz w:val="22"/>
          <w:szCs w:val="22"/>
          <w:lang w:val="en-GB"/>
        </w:rPr>
        <w:t xml:space="preserve"> in </w:t>
      </w:r>
      <w:r w:rsidR="00E1174E">
        <w:rPr>
          <w:rFonts w:asciiTheme="majorHAnsi" w:hAnsiTheme="majorHAnsi"/>
          <w:sz w:val="22"/>
          <w:szCs w:val="22"/>
          <w:lang w:val="en-GB"/>
        </w:rPr>
        <w:t>Afghanistan</w:t>
      </w:r>
      <w:r w:rsidR="00810B48" w:rsidRPr="00E1174E">
        <w:rPr>
          <w:rFonts w:asciiTheme="majorHAnsi" w:hAnsiTheme="majorHAnsi"/>
          <w:sz w:val="22"/>
          <w:szCs w:val="22"/>
          <w:lang w:val="en-GB"/>
        </w:rPr>
        <w:t xml:space="preserve"> has allegedly improved.</w:t>
      </w:r>
    </w:p>
    <w:p w:rsidR="00761FB1" w:rsidRDefault="00761FB1" w:rsidP="00761FB1">
      <w:pPr>
        <w:pStyle w:val="Listenabsatz"/>
        <w:rPr>
          <w:rFonts w:asciiTheme="majorHAnsi" w:hAnsiTheme="majorHAnsi"/>
          <w:sz w:val="22"/>
          <w:szCs w:val="22"/>
          <w:lang w:val="en-GB"/>
        </w:rPr>
      </w:pPr>
    </w:p>
    <w:p w:rsidR="009A0952" w:rsidRDefault="009A0952" w:rsidP="009A0952">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The Committee </w:t>
      </w:r>
      <w:r w:rsidR="00123C82">
        <w:rPr>
          <w:rFonts w:asciiTheme="majorHAnsi" w:hAnsiTheme="majorHAnsi"/>
          <w:sz w:val="22"/>
          <w:szCs w:val="22"/>
          <w:lang w:val="en-GB"/>
        </w:rPr>
        <w:t>has</w:t>
      </w:r>
      <w:r>
        <w:rPr>
          <w:rFonts w:asciiTheme="majorHAnsi" w:hAnsiTheme="majorHAnsi"/>
          <w:sz w:val="22"/>
          <w:szCs w:val="22"/>
          <w:lang w:val="en-GB"/>
        </w:rPr>
        <w:t xml:space="preserve"> highlighted the issue of a</w:t>
      </w:r>
      <w:r w:rsidRPr="009A0952">
        <w:rPr>
          <w:rFonts w:asciiTheme="majorHAnsi" w:hAnsiTheme="majorHAnsi"/>
          <w:sz w:val="22"/>
          <w:szCs w:val="22"/>
          <w:lang w:val="en-GB"/>
        </w:rPr>
        <w:t>ccess of members of ethnic minorities and migrants to work and the system of quotas for recruiting foreign workers under the Population Migration Act of 2011</w:t>
      </w:r>
      <w:r>
        <w:rPr>
          <w:rFonts w:asciiTheme="majorHAnsi" w:hAnsiTheme="majorHAnsi"/>
          <w:sz w:val="22"/>
          <w:szCs w:val="22"/>
          <w:lang w:val="en-GB"/>
        </w:rPr>
        <w:t>.</w:t>
      </w:r>
      <w:r w:rsidR="004751D6">
        <w:rPr>
          <w:rStyle w:val="Funotenzeichen"/>
          <w:rFonts w:asciiTheme="majorHAnsi" w:hAnsiTheme="majorHAnsi"/>
          <w:sz w:val="22"/>
          <w:szCs w:val="22"/>
          <w:lang w:val="en-GB"/>
        </w:rPr>
        <w:footnoteReference w:id="22"/>
      </w:r>
    </w:p>
    <w:p w:rsidR="009A0952" w:rsidRDefault="009A0952" w:rsidP="009A0952">
      <w:pPr>
        <w:pStyle w:val="Listenabsatz"/>
        <w:widowControl w:val="0"/>
        <w:spacing w:line="276" w:lineRule="auto"/>
        <w:ind w:left="0"/>
        <w:contextualSpacing/>
        <w:jc w:val="both"/>
        <w:rPr>
          <w:rFonts w:asciiTheme="majorHAnsi" w:hAnsiTheme="majorHAnsi"/>
          <w:sz w:val="22"/>
          <w:szCs w:val="22"/>
          <w:lang w:val="en-GB"/>
        </w:rPr>
      </w:pPr>
    </w:p>
    <w:p w:rsidR="009A0952" w:rsidRPr="00761FB1" w:rsidRDefault="009A0952" w:rsidP="00761FB1">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9A0952">
        <w:rPr>
          <w:rFonts w:asciiTheme="majorHAnsi" w:hAnsiTheme="majorHAnsi"/>
          <w:sz w:val="22"/>
          <w:szCs w:val="22"/>
          <w:lang w:val="en-GB"/>
        </w:rPr>
        <w:t xml:space="preserve">In 2012 an amendment to the law created an additional barrier to access to work: only citizens of </w:t>
      </w:r>
      <w:r w:rsidR="004751D6">
        <w:rPr>
          <w:rFonts w:asciiTheme="majorHAnsi" w:hAnsiTheme="majorHAnsi"/>
          <w:sz w:val="22"/>
          <w:szCs w:val="22"/>
          <w:lang w:val="en-GB"/>
        </w:rPr>
        <w:t>Kazakhstan</w:t>
      </w:r>
      <w:r w:rsidR="00761FB1">
        <w:rPr>
          <w:rFonts w:asciiTheme="majorHAnsi" w:hAnsiTheme="majorHAnsi"/>
          <w:sz w:val="22"/>
          <w:szCs w:val="22"/>
          <w:lang w:val="en-GB"/>
        </w:rPr>
        <w:t xml:space="preserve"> (and according to some sources, of some other countries –</w:t>
      </w:r>
      <w:r w:rsidR="004751D6" w:rsidRPr="00761FB1">
        <w:rPr>
          <w:rFonts w:asciiTheme="majorHAnsi" w:hAnsiTheme="majorHAnsi"/>
          <w:sz w:val="22"/>
          <w:szCs w:val="22"/>
          <w:lang w:val="en-GB"/>
        </w:rPr>
        <w:t>Kyrgyzstan</w:t>
      </w:r>
      <w:r w:rsidRPr="00761FB1">
        <w:rPr>
          <w:rFonts w:asciiTheme="majorHAnsi" w:hAnsiTheme="majorHAnsi"/>
          <w:sz w:val="22"/>
          <w:szCs w:val="22"/>
          <w:lang w:val="en-GB"/>
        </w:rPr>
        <w:t xml:space="preserve"> and Russia</w:t>
      </w:r>
      <w:r w:rsidR="00761FB1">
        <w:rPr>
          <w:rFonts w:asciiTheme="majorHAnsi" w:hAnsiTheme="majorHAnsi"/>
          <w:sz w:val="22"/>
          <w:szCs w:val="22"/>
          <w:lang w:val="en-GB"/>
        </w:rPr>
        <w:t>)</w:t>
      </w:r>
      <w:r w:rsidRPr="00761FB1">
        <w:rPr>
          <w:rFonts w:asciiTheme="majorHAnsi" w:hAnsiTheme="majorHAnsi"/>
          <w:sz w:val="22"/>
          <w:szCs w:val="22"/>
          <w:lang w:val="en-GB"/>
        </w:rPr>
        <w:t xml:space="preserve"> are </w:t>
      </w:r>
      <w:r w:rsidR="00761FB1">
        <w:rPr>
          <w:rFonts w:asciiTheme="majorHAnsi" w:hAnsiTheme="majorHAnsi"/>
          <w:sz w:val="22"/>
          <w:szCs w:val="22"/>
          <w:lang w:val="en-GB"/>
        </w:rPr>
        <w:t xml:space="preserve">allegedly </w:t>
      </w:r>
      <w:r w:rsidRPr="00761FB1">
        <w:rPr>
          <w:rFonts w:asciiTheme="majorHAnsi" w:hAnsiTheme="majorHAnsi"/>
          <w:sz w:val="22"/>
          <w:szCs w:val="22"/>
          <w:lang w:val="en-GB"/>
        </w:rPr>
        <w:t xml:space="preserve">allowed to register as </w:t>
      </w:r>
      <w:r w:rsidR="004751D6" w:rsidRPr="00761FB1">
        <w:rPr>
          <w:rFonts w:asciiTheme="majorHAnsi" w:hAnsiTheme="majorHAnsi"/>
          <w:sz w:val="22"/>
          <w:szCs w:val="22"/>
          <w:lang w:val="en-GB"/>
        </w:rPr>
        <w:t xml:space="preserve">a sole trader. </w:t>
      </w:r>
      <w:r w:rsidRPr="00761FB1">
        <w:rPr>
          <w:rFonts w:asciiTheme="majorHAnsi" w:hAnsiTheme="majorHAnsi"/>
          <w:sz w:val="22"/>
          <w:szCs w:val="22"/>
          <w:lang w:val="en-GB"/>
        </w:rPr>
        <w:t xml:space="preserve">Many immigrants, notably Afghans, work as </w:t>
      </w:r>
      <w:r w:rsidR="00761FB1">
        <w:rPr>
          <w:rFonts w:asciiTheme="majorHAnsi" w:hAnsiTheme="majorHAnsi"/>
          <w:sz w:val="22"/>
          <w:szCs w:val="22"/>
          <w:lang w:val="en-GB"/>
        </w:rPr>
        <w:t xml:space="preserve">sole </w:t>
      </w:r>
      <w:r w:rsidRPr="00761FB1">
        <w:rPr>
          <w:rFonts w:asciiTheme="majorHAnsi" w:hAnsiTheme="majorHAnsi"/>
          <w:sz w:val="22"/>
          <w:szCs w:val="22"/>
          <w:lang w:val="en-GB"/>
        </w:rPr>
        <w:t xml:space="preserve">traders on the markets and were severely affected. They are permitted to register a limited liability company, but for this </w:t>
      </w:r>
      <w:r w:rsidR="004751D6" w:rsidRPr="00761FB1">
        <w:rPr>
          <w:rFonts w:asciiTheme="majorHAnsi" w:hAnsiTheme="majorHAnsi"/>
          <w:sz w:val="22"/>
          <w:szCs w:val="22"/>
          <w:lang w:val="en-GB"/>
        </w:rPr>
        <w:t>they</w:t>
      </w:r>
      <w:r w:rsidRPr="00761FB1">
        <w:rPr>
          <w:rFonts w:asciiTheme="majorHAnsi" w:hAnsiTheme="majorHAnsi"/>
          <w:sz w:val="22"/>
          <w:szCs w:val="22"/>
          <w:lang w:val="en-GB"/>
        </w:rPr>
        <w:t xml:space="preserve"> need </w:t>
      </w:r>
      <w:r w:rsidRPr="00761FB1">
        <w:rPr>
          <w:rFonts w:asciiTheme="majorHAnsi" w:hAnsiTheme="majorHAnsi"/>
          <w:sz w:val="22"/>
          <w:szCs w:val="22"/>
          <w:lang w:val="en-GB"/>
        </w:rPr>
        <w:lastRenderedPageBreak/>
        <w:t>a registered office (</w:t>
      </w:r>
      <w:r w:rsidR="004751D6" w:rsidRPr="00761FB1">
        <w:rPr>
          <w:rFonts w:asciiTheme="majorHAnsi" w:hAnsiTheme="majorHAnsi"/>
          <w:sz w:val="22"/>
          <w:szCs w:val="22"/>
          <w:lang w:val="en-GB"/>
        </w:rPr>
        <w:t xml:space="preserve">where the </w:t>
      </w:r>
      <w:r w:rsidRPr="00761FB1">
        <w:rPr>
          <w:rFonts w:asciiTheme="majorHAnsi" w:hAnsiTheme="majorHAnsi"/>
          <w:sz w:val="22"/>
          <w:szCs w:val="22"/>
          <w:lang w:val="en-GB"/>
        </w:rPr>
        <w:t xml:space="preserve">average rent </w:t>
      </w:r>
      <w:r w:rsidR="004751D6" w:rsidRPr="00761FB1">
        <w:rPr>
          <w:rFonts w:asciiTheme="majorHAnsi" w:hAnsiTheme="majorHAnsi"/>
          <w:sz w:val="22"/>
          <w:szCs w:val="22"/>
          <w:lang w:val="en-GB"/>
        </w:rPr>
        <w:t xml:space="preserve">is approximately </w:t>
      </w:r>
      <w:r w:rsidRPr="00761FB1">
        <w:rPr>
          <w:rFonts w:asciiTheme="majorHAnsi" w:hAnsiTheme="majorHAnsi"/>
          <w:sz w:val="22"/>
          <w:szCs w:val="22"/>
          <w:lang w:val="en-GB"/>
        </w:rPr>
        <w:t>$500</w:t>
      </w:r>
      <w:r w:rsidR="004751D6" w:rsidRPr="00761FB1">
        <w:rPr>
          <w:rFonts w:asciiTheme="majorHAnsi" w:hAnsiTheme="majorHAnsi"/>
          <w:sz w:val="22"/>
          <w:szCs w:val="22"/>
          <w:lang w:val="en-GB"/>
        </w:rPr>
        <w:t xml:space="preserve"> per </w:t>
      </w:r>
      <w:r w:rsidRPr="00761FB1">
        <w:rPr>
          <w:rFonts w:asciiTheme="majorHAnsi" w:hAnsiTheme="majorHAnsi"/>
          <w:sz w:val="22"/>
          <w:szCs w:val="22"/>
          <w:lang w:val="en-GB"/>
        </w:rPr>
        <w:t>mo</w:t>
      </w:r>
      <w:r w:rsidR="004751D6" w:rsidRPr="00761FB1">
        <w:rPr>
          <w:rFonts w:asciiTheme="majorHAnsi" w:hAnsiTheme="majorHAnsi"/>
          <w:sz w:val="22"/>
          <w:szCs w:val="22"/>
          <w:lang w:val="en-GB"/>
        </w:rPr>
        <w:t xml:space="preserve">nth), </w:t>
      </w:r>
      <w:r w:rsidR="00761FB1">
        <w:rPr>
          <w:rFonts w:asciiTheme="majorHAnsi" w:hAnsiTheme="majorHAnsi"/>
          <w:sz w:val="22"/>
          <w:szCs w:val="22"/>
          <w:lang w:val="en-GB"/>
        </w:rPr>
        <w:t xml:space="preserve">and </w:t>
      </w:r>
      <w:r w:rsidR="004751D6" w:rsidRPr="00761FB1">
        <w:rPr>
          <w:rFonts w:asciiTheme="majorHAnsi" w:hAnsiTheme="majorHAnsi"/>
          <w:sz w:val="22"/>
          <w:szCs w:val="22"/>
          <w:lang w:val="en-GB"/>
        </w:rPr>
        <w:t xml:space="preserve">an accountant, </w:t>
      </w:r>
      <w:r w:rsidR="00761FB1">
        <w:rPr>
          <w:rFonts w:asciiTheme="majorHAnsi" w:hAnsiTheme="majorHAnsi"/>
          <w:sz w:val="22"/>
          <w:szCs w:val="22"/>
          <w:lang w:val="en-GB"/>
        </w:rPr>
        <w:t>among other requirements</w:t>
      </w:r>
      <w:r w:rsidR="004751D6" w:rsidRPr="00761FB1">
        <w:rPr>
          <w:rFonts w:asciiTheme="majorHAnsi" w:hAnsiTheme="majorHAnsi"/>
          <w:sz w:val="22"/>
          <w:szCs w:val="22"/>
          <w:lang w:val="en-GB"/>
        </w:rPr>
        <w:t xml:space="preserve">. </w:t>
      </w:r>
      <w:r w:rsidR="00761FB1">
        <w:rPr>
          <w:rFonts w:asciiTheme="majorHAnsi" w:hAnsiTheme="majorHAnsi"/>
          <w:sz w:val="22"/>
          <w:szCs w:val="22"/>
          <w:lang w:val="en-GB"/>
        </w:rPr>
        <w:t>ERT was told that s</w:t>
      </w:r>
      <w:r w:rsidR="004751D6" w:rsidRPr="00761FB1">
        <w:rPr>
          <w:rFonts w:asciiTheme="majorHAnsi" w:hAnsiTheme="majorHAnsi"/>
          <w:sz w:val="22"/>
          <w:szCs w:val="22"/>
          <w:lang w:val="en-GB"/>
        </w:rPr>
        <w:t>uch requirements are extremely</w:t>
      </w:r>
      <w:r w:rsidRPr="00761FB1">
        <w:rPr>
          <w:rFonts w:asciiTheme="majorHAnsi" w:hAnsiTheme="majorHAnsi"/>
          <w:sz w:val="22"/>
          <w:szCs w:val="22"/>
          <w:lang w:val="en-GB"/>
        </w:rPr>
        <w:t xml:space="preserve"> difficult for the predominantly poor immigrants. Sometimes, they </w:t>
      </w:r>
      <w:r w:rsidR="00761FB1">
        <w:rPr>
          <w:rFonts w:asciiTheme="majorHAnsi" w:hAnsiTheme="majorHAnsi"/>
          <w:sz w:val="22"/>
          <w:szCs w:val="22"/>
          <w:lang w:val="en-GB"/>
        </w:rPr>
        <w:t>were</w:t>
      </w:r>
      <w:r w:rsidRPr="00761FB1">
        <w:rPr>
          <w:rFonts w:asciiTheme="majorHAnsi" w:hAnsiTheme="majorHAnsi"/>
          <w:sz w:val="22"/>
          <w:szCs w:val="22"/>
          <w:lang w:val="en-GB"/>
        </w:rPr>
        <w:t xml:space="preserve"> able to register LLC in the name of a </w:t>
      </w:r>
      <w:r w:rsidR="004751D6" w:rsidRPr="00761FB1">
        <w:rPr>
          <w:rFonts w:asciiTheme="majorHAnsi" w:hAnsiTheme="majorHAnsi"/>
          <w:sz w:val="22"/>
          <w:szCs w:val="22"/>
          <w:lang w:val="en-GB"/>
        </w:rPr>
        <w:t>Kazakh</w:t>
      </w:r>
      <w:r w:rsidRPr="00761FB1">
        <w:rPr>
          <w:rFonts w:asciiTheme="majorHAnsi" w:hAnsiTheme="majorHAnsi"/>
          <w:sz w:val="22"/>
          <w:szCs w:val="22"/>
          <w:lang w:val="en-GB"/>
        </w:rPr>
        <w:t xml:space="preserve"> citizen, for a </w:t>
      </w:r>
      <w:r w:rsidR="00761FB1">
        <w:rPr>
          <w:rFonts w:asciiTheme="majorHAnsi" w:hAnsiTheme="majorHAnsi"/>
          <w:sz w:val="22"/>
          <w:szCs w:val="22"/>
          <w:lang w:val="en-GB"/>
        </w:rPr>
        <w:t>certain (informal) payment</w:t>
      </w:r>
      <w:r w:rsidRPr="00761FB1">
        <w:rPr>
          <w:rFonts w:asciiTheme="majorHAnsi" w:hAnsiTheme="majorHAnsi"/>
          <w:sz w:val="22"/>
          <w:szCs w:val="22"/>
          <w:lang w:val="en-GB"/>
        </w:rPr>
        <w:t xml:space="preserve">. </w:t>
      </w:r>
      <w:r w:rsidR="004751D6" w:rsidRPr="00761FB1">
        <w:rPr>
          <w:rFonts w:asciiTheme="majorHAnsi" w:hAnsiTheme="majorHAnsi"/>
          <w:sz w:val="22"/>
          <w:szCs w:val="22"/>
          <w:lang w:val="en-GB"/>
        </w:rPr>
        <w:t>Further</w:t>
      </w:r>
      <w:r w:rsidRPr="00761FB1">
        <w:rPr>
          <w:rFonts w:asciiTheme="majorHAnsi" w:hAnsiTheme="majorHAnsi"/>
          <w:sz w:val="22"/>
          <w:szCs w:val="22"/>
          <w:lang w:val="en-GB"/>
        </w:rPr>
        <w:t xml:space="preserve">, </w:t>
      </w:r>
      <w:r w:rsidR="00761FB1">
        <w:rPr>
          <w:rFonts w:asciiTheme="majorHAnsi" w:hAnsiTheme="majorHAnsi"/>
          <w:sz w:val="22"/>
          <w:szCs w:val="22"/>
          <w:lang w:val="en-GB"/>
        </w:rPr>
        <w:t xml:space="preserve">ERT was told that in </w:t>
      </w:r>
      <w:r w:rsidRPr="00761FB1">
        <w:rPr>
          <w:rFonts w:asciiTheme="majorHAnsi" w:hAnsiTheme="majorHAnsi"/>
          <w:sz w:val="22"/>
          <w:szCs w:val="22"/>
          <w:lang w:val="en-GB"/>
        </w:rPr>
        <w:t xml:space="preserve">order to still sell in the market without </w:t>
      </w:r>
      <w:r w:rsidR="004751D6" w:rsidRPr="00761FB1">
        <w:rPr>
          <w:rFonts w:asciiTheme="majorHAnsi" w:hAnsiTheme="majorHAnsi"/>
          <w:sz w:val="22"/>
          <w:szCs w:val="22"/>
          <w:lang w:val="en-GB"/>
        </w:rPr>
        <w:t>sole trader</w:t>
      </w:r>
      <w:r w:rsidRPr="00761FB1">
        <w:rPr>
          <w:rFonts w:asciiTheme="majorHAnsi" w:hAnsiTheme="majorHAnsi"/>
          <w:sz w:val="22"/>
          <w:szCs w:val="22"/>
          <w:lang w:val="en-GB"/>
        </w:rPr>
        <w:t xml:space="preserve"> status, </w:t>
      </w:r>
      <w:r w:rsidR="00761FB1">
        <w:rPr>
          <w:rFonts w:asciiTheme="majorHAnsi" w:hAnsiTheme="majorHAnsi"/>
          <w:sz w:val="22"/>
          <w:szCs w:val="22"/>
          <w:lang w:val="en-GB"/>
        </w:rPr>
        <w:t xml:space="preserve">some immigrants have been </w:t>
      </w:r>
      <w:r w:rsidRPr="00761FB1">
        <w:rPr>
          <w:rFonts w:asciiTheme="majorHAnsi" w:hAnsiTheme="majorHAnsi"/>
          <w:sz w:val="22"/>
          <w:szCs w:val="22"/>
          <w:lang w:val="en-GB"/>
        </w:rPr>
        <w:t>forced to give bribes to the police.</w:t>
      </w:r>
    </w:p>
    <w:p w:rsidR="004751D6" w:rsidRDefault="004751D6" w:rsidP="004751D6">
      <w:pPr>
        <w:pStyle w:val="Listenabsatz"/>
        <w:widowControl w:val="0"/>
        <w:spacing w:line="276" w:lineRule="auto"/>
        <w:ind w:left="0"/>
        <w:contextualSpacing/>
        <w:jc w:val="both"/>
        <w:rPr>
          <w:rFonts w:asciiTheme="majorHAnsi" w:hAnsiTheme="majorHAnsi"/>
          <w:sz w:val="22"/>
          <w:szCs w:val="22"/>
          <w:lang w:val="en-GB"/>
        </w:rPr>
      </w:pPr>
    </w:p>
    <w:p w:rsidR="004751D6" w:rsidRDefault="004751D6" w:rsidP="004751D6">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The Committee also asked for information on the s</w:t>
      </w:r>
      <w:r w:rsidRPr="004751D6">
        <w:rPr>
          <w:rFonts w:asciiTheme="majorHAnsi" w:hAnsiTheme="majorHAnsi"/>
          <w:sz w:val="22"/>
          <w:szCs w:val="22"/>
          <w:lang w:val="en-GB"/>
        </w:rPr>
        <w:t>teps taken to ensure access, without any discrimination, to asylum application procedures and evaluation of the obstacles to the integration policy under the Refugees Act of 2009</w:t>
      </w:r>
      <w:r>
        <w:rPr>
          <w:rFonts w:asciiTheme="majorHAnsi" w:hAnsiTheme="majorHAnsi"/>
          <w:sz w:val="22"/>
          <w:szCs w:val="22"/>
          <w:lang w:val="en-GB"/>
        </w:rPr>
        <w:t>.</w:t>
      </w:r>
      <w:r>
        <w:rPr>
          <w:rStyle w:val="Funotenzeichen"/>
          <w:rFonts w:asciiTheme="majorHAnsi" w:hAnsiTheme="majorHAnsi"/>
          <w:sz w:val="22"/>
          <w:szCs w:val="22"/>
          <w:lang w:val="en-GB"/>
        </w:rPr>
        <w:footnoteReference w:id="23"/>
      </w:r>
    </w:p>
    <w:p w:rsidR="004751D6" w:rsidRDefault="004751D6" w:rsidP="004751D6">
      <w:pPr>
        <w:pStyle w:val="Listenabsatz"/>
        <w:widowControl w:val="0"/>
        <w:spacing w:line="276" w:lineRule="auto"/>
        <w:ind w:left="567"/>
        <w:contextualSpacing/>
        <w:jc w:val="both"/>
        <w:rPr>
          <w:rFonts w:asciiTheme="majorHAnsi" w:hAnsiTheme="majorHAnsi"/>
          <w:sz w:val="22"/>
          <w:szCs w:val="22"/>
          <w:lang w:val="en-GB"/>
        </w:rPr>
      </w:pPr>
    </w:p>
    <w:p w:rsidR="009A4110" w:rsidRDefault="00662672" w:rsidP="006A3DC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ERT has received complaints </w:t>
      </w:r>
      <w:r w:rsidR="006A3DCF">
        <w:rPr>
          <w:rFonts w:asciiTheme="majorHAnsi" w:hAnsiTheme="majorHAnsi"/>
          <w:sz w:val="22"/>
          <w:szCs w:val="22"/>
          <w:lang w:val="en-GB"/>
        </w:rPr>
        <w:t xml:space="preserve">about the requirement in the Refugees Act of 2009 (which entered into force in 2010) that a refugee obtain a travel document in order to be able to move to other localities within Kazakhstan </w:t>
      </w:r>
      <w:r>
        <w:rPr>
          <w:rFonts w:asciiTheme="majorHAnsi" w:hAnsiTheme="majorHAnsi"/>
          <w:sz w:val="22"/>
          <w:szCs w:val="22"/>
          <w:lang w:val="en-GB"/>
        </w:rPr>
        <w:t xml:space="preserve">and stay in another locality </w:t>
      </w:r>
      <w:r w:rsidR="006A3DCF">
        <w:rPr>
          <w:rFonts w:asciiTheme="majorHAnsi" w:hAnsiTheme="majorHAnsi"/>
          <w:sz w:val="22"/>
          <w:szCs w:val="22"/>
          <w:lang w:val="en-GB"/>
        </w:rPr>
        <w:t xml:space="preserve">for three or more days. </w:t>
      </w:r>
      <w:r w:rsidR="006A3DCF" w:rsidRPr="004751D6">
        <w:rPr>
          <w:rFonts w:asciiTheme="majorHAnsi" w:hAnsiTheme="majorHAnsi" w:cs="Arial"/>
          <w:sz w:val="22"/>
          <w:szCs w:val="22"/>
          <w:lang w:val="en-GB"/>
        </w:rPr>
        <w:t xml:space="preserve">This </w:t>
      </w:r>
      <w:r w:rsidR="006A3DCF">
        <w:rPr>
          <w:rFonts w:asciiTheme="majorHAnsi" w:hAnsiTheme="majorHAnsi" w:cs="Arial"/>
          <w:sz w:val="22"/>
          <w:szCs w:val="22"/>
          <w:lang w:val="en-GB"/>
        </w:rPr>
        <w:t>raises serious concerns about the right to move freely within the borders of the State, particularly since, a</w:t>
      </w:r>
      <w:r w:rsidR="006A3DCF">
        <w:rPr>
          <w:rFonts w:asciiTheme="majorHAnsi" w:hAnsiTheme="majorHAnsi"/>
          <w:sz w:val="22"/>
          <w:szCs w:val="22"/>
          <w:lang w:val="en-GB"/>
        </w:rPr>
        <w:t>s of December 2013, the authorities had still not yet started issuing such travel documents, and</w:t>
      </w:r>
      <w:r w:rsidR="004751D6" w:rsidRPr="004751D6">
        <w:rPr>
          <w:rFonts w:asciiTheme="majorHAnsi" w:hAnsiTheme="majorHAnsi"/>
          <w:sz w:val="22"/>
          <w:szCs w:val="22"/>
          <w:lang w:val="en-GB"/>
        </w:rPr>
        <w:t xml:space="preserve"> have replied to enquiries that they </w:t>
      </w:r>
      <w:r>
        <w:rPr>
          <w:rFonts w:asciiTheme="majorHAnsi" w:hAnsiTheme="majorHAnsi"/>
          <w:sz w:val="22"/>
          <w:szCs w:val="22"/>
          <w:lang w:val="en-GB"/>
        </w:rPr>
        <w:t>were</w:t>
      </w:r>
      <w:r w:rsidR="004751D6" w:rsidRPr="004751D6">
        <w:rPr>
          <w:rFonts w:asciiTheme="majorHAnsi" w:hAnsiTheme="majorHAnsi"/>
          <w:sz w:val="22"/>
          <w:szCs w:val="22"/>
          <w:lang w:val="en-GB"/>
        </w:rPr>
        <w:t xml:space="preserve"> s</w:t>
      </w:r>
      <w:r w:rsidR="004751D6">
        <w:rPr>
          <w:rFonts w:asciiTheme="majorHAnsi" w:hAnsiTheme="majorHAnsi"/>
          <w:sz w:val="22"/>
          <w:szCs w:val="22"/>
          <w:lang w:val="en-GB"/>
        </w:rPr>
        <w:t>till working on the new scheme.</w:t>
      </w:r>
    </w:p>
    <w:p w:rsidR="004751D6" w:rsidRDefault="004751D6" w:rsidP="004751D6">
      <w:pPr>
        <w:pStyle w:val="Listenabsatz"/>
        <w:widowControl w:val="0"/>
        <w:spacing w:line="276" w:lineRule="auto"/>
        <w:ind w:left="567"/>
        <w:contextualSpacing/>
        <w:jc w:val="both"/>
        <w:rPr>
          <w:rFonts w:asciiTheme="majorHAnsi" w:hAnsiTheme="majorHAnsi"/>
          <w:sz w:val="22"/>
          <w:szCs w:val="22"/>
          <w:lang w:val="en-GB"/>
        </w:rPr>
      </w:pPr>
    </w:p>
    <w:p w:rsidR="004751D6" w:rsidRPr="006A3DCF" w:rsidRDefault="004751D6" w:rsidP="004751D6">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6A3DCF">
        <w:rPr>
          <w:rFonts w:asciiTheme="majorHAnsi" w:hAnsiTheme="majorHAnsi" w:cs="Arial"/>
          <w:sz w:val="22"/>
          <w:szCs w:val="22"/>
          <w:lang w:val="en-GB"/>
        </w:rPr>
        <w:t>Th</w:t>
      </w:r>
      <w:r w:rsidR="00662672">
        <w:rPr>
          <w:rFonts w:asciiTheme="majorHAnsi" w:hAnsiTheme="majorHAnsi" w:cs="Arial"/>
          <w:sz w:val="22"/>
          <w:szCs w:val="22"/>
          <w:lang w:val="en-GB"/>
        </w:rPr>
        <w:t xml:space="preserve">e above </w:t>
      </w:r>
      <w:r w:rsidRPr="006A3DCF">
        <w:rPr>
          <w:rFonts w:asciiTheme="majorHAnsi" w:hAnsiTheme="majorHAnsi" w:cs="Arial"/>
          <w:sz w:val="22"/>
          <w:szCs w:val="22"/>
          <w:lang w:val="en-GB"/>
        </w:rPr>
        <w:t>amounts to a failure on behalf of Kazakhstan to comply with its obligation under Article 5(d</w:t>
      </w:r>
      <w:proofErr w:type="gramStart"/>
      <w:r w:rsidRPr="006A3DCF">
        <w:rPr>
          <w:rFonts w:asciiTheme="majorHAnsi" w:hAnsiTheme="majorHAnsi" w:cs="Arial"/>
          <w:sz w:val="22"/>
          <w:szCs w:val="22"/>
          <w:lang w:val="en-GB"/>
        </w:rPr>
        <w:t>)(</w:t>
      </w:r>
      <w:proofErr w:type="gramEnd"/>
      <w:r w:rsidRPr="006A3DCF">
        <w:rPr>
          <w:rFonts w:asciiTheme="majorHAnsi" w:hAnsiTheme="majorHAnsi" w:cs="Arial"/>
          <w:sz w:val="22"/>
          <w:szCs w:val="22"/>
          <w:lang w:val="en-GB"/>
        </w:rPr>
        <w:t>i) to</w:t>
      </w:r>
      <w:r w:rsidRPr="004751D6">
        <w:t xml:space="preserve"> </w:t>
      </w:r>
      <w:r w:rsidRPr="006A3DCF">
        <w:rPr>
          <w:rFonts w:asciiTheme="majorHAnsi" w:hAnsiTheme="majorHAnsi" w:cs="Arial"/>
          <w:sz w:val="22"/>
          <w:szCs w:val="22"/>
          <w:lang w:val="en-GB"/>
        </w:rPr>
        <w:t>guarantee the right of everyone, without distinction as to race, colour, or national or ethnic origin, to equality before the law, notably in the enjoyment of the right to freedom of movement and residence within the border of the State.</w:t>
      </w:r>
    </w:p>
    <w:p w:rsidR="004751D6" w:rsidRPr="004751D6" w:rsidRDefault="004751D6" w:rsidP="004751D6">
      <w:pPr>
        <w:pStyle w:val="Listenabsatz"/>
        <w:widowControl w:val="0"/>
        <w:spacing w:line="276" w:lineRule="auto"/>
        <w:ind w:left="567"/>
        <w:contextualSpacing/>
        <w:jc w:val="both"/>
        <w:rPr>
          <w:rFonts w:asciiTheme="majorHAnsi" w:hAnsiTheme="majorHAnsi"/>
          <w:sz w:val="22"/>
          <w:szCs w:val="22"/>
          <w:lang w:val="en-GB"/>
        </w:rPr>
      </w:pPr>
    </w:p>
    <w:p w:rsidR="009555CF" w:rsidRPr="009555CF" w:rsidRDefault="004751D6" w:rsidP="009555C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The Committee also asked for information on a</w:t>
      </w:r>
      <w:r w:rsidRPr="004751D6">
        <w:rPr>
          <w:rFonts w:asciiTheme="majorHAnsi" w:hAnsiTheme="majorHAnsi"/>
          <w:sz w:val="22"/>
          <w:szCs w:val="22"/>
          <w:lang w:val="en-GB"/>
        </w:rPr>
        <w:t>dministrative detention of asylum seekers and irregular immigrants, including length and conditions of detention and access to legal safeguards</w:t>
      </w:r>
      <w:r>
        <w:rPr>
          <w:rFonts w:asciiTheme="majorHAnsi" w:hAnsiTheme="majorHAnsi"/>
          <w:sz w:val="22"/>
          <w:szCs w:val="22"/>
          <w:lang w:val="en-GB"/>
        </w:rPr>
        <w:t>.</w:t>
      </w:r>
      <w:r>
        <w:rPr>
          <w:rStyle w:val="Funotenzeichen"/>
          <w:rFonts w:asciiTheme="majorHAnsi" w:hAnsiTheme="majorHAnsi"/>
          <w:sz w:val="22"/>
          <w:szCs w:val="22"/>
          <w:lang w:val="en-GB"/>
        </w:rPr>
        <w:footnoteReference w:id="24"/>
      </w:r>
    </w:p>
    <w:p w:rsidR="004751D6" w:rsidRDefault="004751D6" w:rsidP="004751D6">
      <w:pPr>
        <w:pStyle w:val="Listenabsatz"/>
        <w:widowControl w:val="0"/>
        <w:spacing w:line="276" w:lineRule="auto"/>
        <w:ind w:left="567"/>
        <w:contextualSpacing/>
        <w:jc w:val="both"/>
        <w:rPr>
          <w:rFonts w:asciiTheme="majorHAnsi" w:hAnsiTheme="majorHAnsi"/>
          <w:sz w:val="22"/>
          <w:szCs w:val="22"/>
          <w:lang w:val="en-GB"/>
        </w:rPr>
      </w:pPr>
    </w:p>
    <w:p w:rsidR="004751D6" w:rsidRDefault="004751D6" w:rsidP="004751D6">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According to </w:t>
      </w:r>
      <w:r w:rsidR="00662672">
        <w:rPr>
          <w:rFonts w:asciiTheme="majorHAnsi" w:hAnsiTheme="majorHAnsi"/>
          <w:sz w:val="22"/>
          <w:szCs w:val="22"/>
          <w:lang w:val="en-GB"/>
        </w:rPr>
        <w:t>persons interviewed by ERT,</w:t>
      </w:r>
      <w:r>
        <w:rPr>
          <w:rFonts w:asciiTheme="majorHAnsi" w:hAnsiTheme="majorHAnsi"/>
          <w:sz w:val="22"/>
          <w:szCs w:val="22"/>
          <w:lang w:val="en-GB"/>
        </w:rPr>
        <w:t xml:space="preserve"> i</w:t>
      </w:r>
      <w:r w:rsidRPr="004751D6">
        <w:rPr>
          <w:rFonts w:asciiTheme="majorHAnsi" w:hAnsiTheme="majorHAnsi"/>
          <w:sz w:val="22"/>
          <w:szCs w:val="22"/>
          <w:lang w:val="en-GB"/>
        </w:rPr>
        <w:t xml:space="preserve">mmigration detention is widely used. </w:t>
      </w:r>
      <w:r w:rsidR="00662672">
        <w:rPr>
          <w:rFonts w:asciiTheme="majorHAnsi" w:hAnsiTheme="majorHAnsi"/>
          <w:sz w:val="22"/>
          <w:szCs w:val="22"/>
          <w:lang w:val="en-GB"/>
        </w:rPr>
        <w:t>Physical c</w:t>
      </w:r>
      <w:r w:rsidRPr="004751D6">
        <w:rPr>
          <w:rFonts w:asciiTheme="majorHAnsi" w:hAnsiTheme="majorHAnsi"/>
          <w:sz w:val="22"/>
          <w:szCs w:val="22"/>
          <w:lang w:val="en-GB"/>
        </w:rPr>
        <w:t xml:space="preserve">onditions are very </w:t>
      </w:r>
      <w:r>
        <w:rPr>
          <w:rFonts w:asciiTheme="majorHAnsi" w:hAnsiTheme="majorHAnsi"/>
          <w:sz w:val="22"/>
          <w:szCs w:val="22"/>
          <w:lang w:val="en-GB"/>
        </w:rPr>
        <w:t>poor: d</w:t>
      </w:r>
      <w:r w:rsidRPr="004751D6">
        <w:rPr>
          <w:rFonts w:asciiTheme="majorHAnsi" w:hAnsiTheme="majorHAnsi"/>
          <w:sz w:val="22"/>
          <w:szCs w:val="22"/>
          <w:lang w:val="en-GB"/>
        </w:rPr>
        <w:t xml:space="preserve">etainees are left to sleep on a concrete floor; </w:t>
      </w:r>
      <w:r>
        <w:rPr>
          <w:rFonts w:asciiTheme="majorHAnsi" w:hAnsiTheme="majorHAnsi"/>
          <w:sz w:val="22"/>
          <w:szCs w:val="22"/>
          <w:lang w:val="en-GB"/>
        </w:rPr>
        <w:t xml:space="preserve">there is </w:t>
      </w:r>
      <w:r w:rsidRPr="004751D6">
        <w:rPr>
          <w:rFonts w:asciiTheme="majorHAnsi" w:hAnsiTheme="majorHAnsi"/>
          <w:sz w:val="22"/>
          <w:szCs w:val="22"/>
          <w:lang w:val="en-GB"/>
        </w:rPr>
        <w:t xml:space="preserve">poor hygiene; </w:t>
      </w:r>
      <w:r>
        <w:rPr>
          <w:rFonts w:asciiTheme="majorHAnsi" w:hAnsiTheme="majorHAnsi"/>
          <w:sz w:val="22"/>
          <w:szCs w:val="22"/>
          <w:lang w:val="en-GB"/>
        </w:rPr>
        <w:t>detainees are not permitted to</w:t>
      </w:r>
      <w:r w:rsidRPr="004751D6">
        <w:rPr>
          <w:rFonts w:asciiTheme="majorHAnsi" w:hAnsiTheme="majorHAnsi"/>
          <w:sz w:val="22"/>
          <w:szCs w:val="22"/>
          <w:lang w:val="en-GB"/>
        </w:rPr>
        <w:t xml:space="preserve"> walk</w:t>
      </w:r>
      <w:r>
        <w:rPr>
          <w:rFonts w:asciiTheme="majorHAnsi" w:hAnsiTheme="majorHAnsi"/>
          <w:sz w:val="22"/>
          <w:szCs w:val="22"/>
          <w:lang w:val="en-GB"/>
        </w:rPr>
        <w:t xml:space="preserve"> </w:t>
      </w:r>
      <w:r w:rsidRPr="004751D6">
        <w:rPr>
          <w:rFonts w:asciiTheme="majorHAnsi" w:hAnsiTheme="majorHAnsi"/>
          <w:sz w:val="22"/>
          <w:szCs w:val="22"/>
          <w:lang w:val="en-GB"/>
        </w:rPr>
        <w:t xml:space="preserve">outside. </w:t>
      </w:r>
      <w:r w:rsidR="00662672">
        <w:rPr>
          <w:rFonts w:asciiTheme="majorHAnsi" w:hAnsiTheme="majorHAnsi"/>
          <w:sz w:val="22"/>
          <w:szCs w:val="22"/>
          <w:lang w:val="en-GB"/>
        </w:rPr>
        <w:t xml:space="preserve">It has been alleged also </w:t>
      </w:r>
      <w:r w:rsidRPr="004751D6">
        <w:rPr>
          <w:rFonts w:asciiTheme="majorHAnsi" w:hAnsiTheme="majorHAnsi"/>
          <w:sz w:val="22"/>
          <w:szCs w:val="22"/>
          <w:lang w:val="en-GB"/>
        </w:rPr>
        <w:t xml:space="preserve">that there is a </w:t>
      </w:r>
      <w:r>
        <w:rPr>
          <w:rFonts w:asciiTheme="majorHAnsi" w:hAnsiTheme="majorHAnsi"/>
          <w:sz w:val="22"/>
          <w:szCs w:val="22"/>
          <w:lang w:val="en-GB"/>
        </w:rPr>
        <w:t>particular</w:t>
      </w:r>
      <w:r w:rsidRPr="004751D6">
        <w:rPr>
          <w:rFonts w:asciiTheme="majorHAnsi" w:hAnsiTheme="majorHAnsi"/>
          <w:sz w:val="22"/>
          <w:szCs w:val="22"/>
          <w:lang w:val="en-GB"/>
        </w:rPr>
        <w:t xml:space="preserve"> and much </w:t>
      </w:r>
      <w:r>
        <w:rPr>
          <w:rFonts w:asciiTheme="majorHAnsi" w:hAnsiTheme="majorHAnsi"/>
          <w:sz w:val="22"/>
          <w:szCs w:val="22"/>
          <w:lang w:val="en-GB"/>
        </w:rPr>
        <w:t>harsher</w:t>
      </w:r>
      <w:r w:rsidRPr="004751D6">
        <w:rPr>
          <w:rFonts w:asciiTheme="majorHAnsi" w:hAnsiTheme="majorHAnsi"/>
          <w:sz w:val="22"/>
          <w:szCs w:val="22"/>
          <w:lang w:val="en-GB"/>
        </w:rPr>
        <w:t xml:space="preserve"> internal procedure for immigratio</w:t>
      </w:r>
      <w:r>
        <w:rPr>
          <w:rFonts w:asciiTheme="majorHAnsi" w:hAnsiTheme="majorHAnsi"/>
          <w:sz w:val="22"/>
          <w:szCs w:val="22"/>
          <w:lang w:val="en-GB"/>
        </w:rPr>
        <w:t>n detention of ethnic Chechens.</w:t>
      </w:r>
    </w:p>
    <w:p w:rsidR="009555CF" w:rsidRDefault="009555CF" w:rsidP="009555CF">
      <w:pPr>
        <w:pStyle w:val="Listenabsatz"/>
        <w:widowControl w:val="0"/>
        <w:spacing w:line="276" w:lineRule="auto"/>
        <w:ind w:left="567"/>
        <w:contextualSpacing/>
        <w:jc w:val="both"/>
        <w:rPr>
          <w:rFonts w:asciiTheme="majorHAnsi" w:hAnsiTheme="majorHAnsi"/>
          <w:sz w:val="22"/>
          <w:szCs w:val="22"/>
          <w:lang w:val="en-GB"/>
        </w:rPr>
      </w:pPr>
    </w:p>
    <w:p w:rsidR="009555CF" w:rsidRPr="009555CF" w:rsidRDefault="009555CF" w:rsidP="009555CF">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sidRPr="009555CF">
        <w:rPr>
          <w:rFonts w:asciiTheme="majorHAnsi" w:hAnsiTheme="majorHAnsi"/>
          <w:sz w:val="22"/>
          <w:szCs w:val="22"/>
          <w:lang w:val="en-GB"/>
        </w:rPr>
        <w:t>In July 2012, ERT published “Guidelines to Protect Stateless Persons from Arbitrary Detention”.</w:t>
      </w:r>
      <w:r>
        <w:rPr>
          <w:rStyle w:val="Funotenzeichen"/>
          <w:rFonts w:asciiTheme="majorHAnsi" w:hAnsiTheme="majorHAnsi"/>
          <w:sz w:val="22"/>
          <w:szCs w:val="22"/>
          <w:lang w:val="en-GB"/>
        </w:rPr>
        <w:footnoteReference w:id="25"/>
      </w:r>
      <w:r w:rsidRPr="009555CF">
        <w:rPr>
          <w:rFonts w:asciiTheme="majorHAnsi" w:hAnsiTheme="majorHAnsi"/>
          <w:sz w:val="22"/>
          <w:szCs w:val="22"/>
          <w:lang w:val="en-GB"/>
        </w:rPr>
        <w:t xml:space="preserve"> Drawing on an analysis of international standards, the Guidelines state that detention would be arbitrary unless it is: (i) provided for by national law; (ii) carried out in pursuit of a legitimate objective;</w:t>
      </w:r>
      <w:r>
        <w:rPr>
          <w:rFonts w:asciiTheme="majorHAnsi" w:hAnsiTheme="majorHAnsi"/>
          <w:sz w:val="22"/>
          <w:szCs w:val="22"/>
          <w:lang w:val="en-GB"/>
        </w:rPr>
        <w:t xml:space="preserve"> (iii) non-discriminatory; </w:t>
      </w:r>
      <w:proofErr w:type="gramStart"/>
      <w:r>
        <w:rPr>
          <w:rFonts w:asciiTheme="majorHAnsi" w:hAnsiTheme="majorHAnsi"/>
          <w:sz w:val="22"/>
          <w:szCs w:val="22"/>
          <w:lang w:val="en-GB"/>
        </w:rPr>
        <w:t xml:space="preserve">(iv) </w:t>
      </w:r>
      <w:r w:rsidRPr="009555CF">
        <w:rPr>
          <w:rFonts w:asciiTheme="majorHAnsi" w:hAnsiTheme="majorHAnsi"/>
          <w:sz w:val="22"/>
          <w:szCs w:val="22"/>
          <w:lang w:val="en-GB"/>
        </w:rPr>
        <w:t>necessary</w:t>
      </w:r>
      <w:proofErr w:type="gramEnd"/>
      <w:r w:rsidRPr="009555CF">
        <w:rPr>
          <w:rFonts w:asciiTheme="majorHAnsi" w:hAnsiTheme="majorHAnsi"/>
          <w:sz w:val="22"/>
          <w:szCs w:val="22"/>
          <w:lang w:val="en-GB"/>
        </w:rPr>
        <w:t>;</w:t>
      </w:r>
      <w:r>
        <w:rPr>
          <w:rFonts w:asciiTheme="majorHAnsi" w:hAnsiTheme="majorHAnsi"/>
          <w:sz w:val="22"/>
          <w:szCs w:val="22"/>
          <w:lang w:val="en-GB"/>
        </w:rPr>
        <w:t xml:space="preserve"> </w:t>
      </w:r>
      <w:r w:rsidRPr="009555CF">
        <w:rPr>
          <w:rFonts w:asciiTheme="majorHAnsi" w:hAnsiTheme="majorHAnsi"/>
          <w:sz w:val="22"/>
          <w:szCs w:val="22"/>
          <w:lang w:val="en-GB"/>
        </w:rPr>
        <w:t>(v)</w:t>
      </w:r>
      <w:r>
        <w:rPr>
          <w:rFonts w:asciiTheme="majorHAnsi" w:hAnsiTheme="majorHAnsi"/>
          <w:sz w:val="22"/>
          <w:szCs w:val="22"/>
          <w:lang w:val="en-GB"/>
        </w:rPr>
        <w:t xml:space="preserve"> </w:t>
      </w:r>
      <w:r w:rsidRPr="009555CF">
        <w:rPr>
          <w:rFonts w:asciiTheme="majorHAnsi" w:hAnsiTheme="majorHAnsi"/>
          <w:sz w:val="22"/>
          <w:szCs w:val="22"/>
          <w:lang w:val="en-GB"/>
        </w:rPr>
        <w:t>proportionate and reasonable; and</w:t>
      </w:r>
      <w:r>
        <w:rPr>
          <w:rFonts w:asciiTheme="majorHAnsi" w:hAnsiTheme="majorHAnsi"/>
          <w:sz w:val="22"/>
          <w:szCs w:val="22"/>
          <w:lang w:val="en-GB"/>
        </w:rPr>
        <w:t xml:space="preserve"> </w:t>
      </w:r>
      <w:r w:rsidRPr="009555CF">
        <w:rPr>
          <w:rFonts w:asciiTheme="majorHAnsi" w:hAnsiTheme="majorHAnsi"/>
          <w:sz w:val="22"/>
          <w:szCs w:val="22"/>
          <w:lang w:val="en-GB"/>
        </w:rPr>
        <w:t>(vi) carried out in accordance with the procedural and substantive saf</w:t>
      </w:r>
      <w:r>
        <w:rPr>
          <w:rFonts w:asciiTheme="majorHAnsi" w:hAnsiTheme="majorHAnsi"/>
          <w:sz w:val="22"/>
          <w:szCs w:val="22"/>
          <w:lang w:val="en-GB"/>
        </w:rPr>
        <w:t>eguards of international law.</w:t>
      </w:r>
    </w:p>
    <w:p w:rsidR="004751D6" w:rsidRDefault="004751D6" w:rsidP="006A3DCF">
      <w:pPr>
        <w:pStyle w:val="Listenabsatz"/>
        <w:widowControl w:val="0"/>
        <w:spacing w:line="276" w:lineRule="auto"/>
        <w:ind w:left="0"/>
        <w:contextualSpacing/>
        <w:jc w:val="both"/>
        <w:rPr>
          <w:rFonts w:asciiTheme="majorHAnsi" w:hAnsiTheme="majorHAnsi"/>
          <w:sz w:val="22"/>
          <w:szCs w:val="22"/>
          <w:lang w:val="en-GB"/>
        </w:rPr>
      </w:pPr>
    </w:p>
    <w:p w:rsidR="006A3DCF" w:rsidRDefault="006A3DCF" w:rsidP="006A3DCF">
      <w:pPr>
        <w:widowControl w:val="0"/>
        <w:pBdr>
          <w:top w:val="single" w:sz="18" w:space="1" w:color="auto"/>
          <w:left w:val="single" w:sz="18" w:space="4" w:color="auto"/>
          <w:bottom w:val="single" w:sz="18" w:space="1" w:color="auto"/>
          <w:right w:val="single" w:sz="18" w:space="4" w:color="auto"/>
        </w:pBdr>
        <w:shd w:val="clear" w:color="auto" w:fill="00B5CC"/>
        <w:spacing w:line="276" w:lineRule="auto"/>
        <w:jc w:val="both"/>
        <w:rPr>
          <w:rFonts w:asciiTheme="majorHAnsi" w:hAnsiTheme="majorHAnsi"/>
          <w:sz w:val="22"/>
          <w:szCs w:val="22"/>
          <w:lang w:val="en-GB"/>
        </w:rPr>
      </w:pPr>
      <w:r w:rsidRPr="00E413C2">
        <w:rPr>
          <w:rFonts w:asciiTheme="majorHAnsi" w:hAnsiTheme="majorHAnsi"/>
          <w:sz w:val="22"/>
          <w:szCs w:val="22"/>
          <w:lang w:val="en-GB"/>
        </w:rPr>
        <w:lastRenderedPageBreak/>
        <w:t xml:space="preserve">ERT </w:t>
      </w:r>
      <w:r>
        <w:rPr>
          <w:rFonts w:asciiTheme="majorHAnsi" w:hAnsiTheme="majorHAnsi"/>
          <w:sz w:val="22"/>
          <w:szCs w:val="22"/>
          <w:lang w:val="en-GB"/>
        </w:rPr>
        <w:t>urges the Committee to recommend that Kazakhstan:</w:t>
      </w:r>
    </w:p>
    <w:p w:rsidR="006A3DCF" w:rsidRDefault="006A3D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 xml:space="preserve">ratifies the Convention on the Reduction of Statelessness (1961) as a matter of priority; </w:t>
      </w:r>
    </w:p>
    <w:p w:rsidR="006A3DCF" w:rsidRDefault="006A3D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 xml:space="preserve">reviews the requirements in order to move from </w:t>
      </w:r>
      <w:r w:rsidRPr="006A3DCF">
        <w:rPr>
          <w:rFonts w:asciiTheme="majorHAnsi" w:hAnsiTheme="majorHAnsi"/>
          <w:sz w:val="22"/>
          <w:szCs w:val="22"/>
          <w:lang w:val="en-GB"/>
        </w:rPr>
        <w:t>refugee status to resident status</w:t>
      </w:r>
      <w:r>
        <w:rPr>
          <w:rFonts w:asciiTheme="majorHAnsi" w:hAnsiTheme="majorHAnsi"/>
          <w:sz w:val="22"/>
          <w:szCs w:val="22"/>
          <w:lang w:val="en-GB"/>
        </w:rPr>
        <w:t xml:space="preserve"> to ensure that they are not unduly prohibitive, particularly in terms of the costs involved;</w:t>
      </w:r>
    </w:p>
    <w:p w:rsidR="006A3DCF" w:rsidRDefault="009555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sidRPr="009555CF">
        <w:rPr>
          <w:rFonts w:asciiTheme="majorHAnsi" w:hAnsiTheme="majorHAnsi"/>
          <w:sz w:val="22"/>
          <w:szCs w:val="22"/>
          <w:lang w:val="en-GB"/>
        </w:rPr>
        <w:t xml:space="preserve">in addition to </w:t>
      </w:r>
      <w:r>
        <w:rPr>
          <w:rFonts w:asciiTheme="majorHAnsi" w:hAnsiTheme="majorHAnsi"/>
          <w:sz w:val="22"/>
          <w:szCs w:val="22"/>
          <w:lang w:val="en-GB"/>
        </w:rPr>
        <w:t>comprehensive equality legislation</w:t>
      </w:r>
      <w:r w:rsidRPr="009555CF">
        <w:rPr>
          <w:rFonts w:asciiTheme="majorHAnsi" w:hAnsiTheme="majorHAnsi"/>
          <w:sz w:val="22"/>
          <w:szCs w:val="22"/>
          <w:lang w:val="en-GB"/>
        </w:rPr>
        <w:t xml:space="preserve"> as outlined above, raise awareness of </w:t>
      </w:r>
      <w:r>
        <w:rPr>
          <w:rFonts w:asciiTheme="majorHAnsi" w:hAnsiTheme="majorHAnsi"/>
          <w:sz w:val="22"/>
          <w:szCs w:val="22"/>
          <w:lang w:val="en-GB"/>
        </w:rPr>
        <w:t>legal protections for ethnic and racial groups amongst those groups as well as lawyers and the judiciary;</w:t>
      </w:r>
    </w:p>
    <w:p w:rsidR="009555CF" w:rsidRDefault="009555CF" w:rsidP="009555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 xml:space="preserve">review the </w:t>
      </w:r>
      <w:r w:rsidRPr="009555CF">
        <w:rPr>
          <w:rFonts w:asciiTheme="majorHAnsi" w:hAnsiTheme="majorHAnsi"/>
          <w:sz w:val="22"/>
          <w:szCs w:val="22"/>
          <w:lang w:val="en-GB"/>
        </w:rPr>
        <w:t>Population Migration Act of 2011</w:t>
      </w:r>
      <w:r>
        <w:rPr>
          <w:rFonts w:asciiTheme="majorHAnsi" w:hAnsiTheme="majorHAnsi"/>
          <w:sz w:val="22"/>
          <w:szCs w:val="22"/>
          <w:lang w:val="en-GB"/>
        </w:rPr>
        <w:t xml:space="preserve"> to ensure that the requirements to become a sole trader are not unduly prohibitive</w:t>
      </w:r>
      <w:r w:rsidR="00662672">
        <w:rPr>
          <w:rFonts w:asciiTheme="majorHAnsi" w:hAnsiTheme="majorHAnsi"/>
          <w:sz w:val="22"/>
          <w:szCs w:val="22"/>
          <w:lang w:val="en-GB"/>
        </w:rPr>
        <w:t xml:space="preserve"> and do not discriminate on the basis of race;</w:t>
      </w:r>
    </w:p>
    <w:p w:rsidR="009555CF" w:rsidRDefault="009555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take urgent steps to ensure that irregular migrants enjoy equal access to essential public services such as education and healthcare;</w:t>
      </w:r>
    </w:p>
    <w:p w:rsidR="009555CF" w:rsidRDefault="009555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 xml:space="preserve">review the </w:t>
      </w:r>
      <w:r w:rsidRPr="009555CF">
        <w:rPr>
          <w:rFonts w:asciiTheme="majorHAnsi" w:hAnsiTheme="majorHAnsi"/>
          <w:sz w:val="22"/>
          <w:szCs w:val="22"/>
          <w:lang w:val="en-GB"/>
        </w:rPr>
        <w:t>Refugees Act of 2009</w:t>
      </w:r>
      <w:r>
        <w:rPr>
          <w:rFonts w:asciiTheme="majorHAnsi" w:hAnsiTheme="majorHAnsi"/>
          <w:sz w:val="22"/>
          <w:szCs w:val="22"/>
          <w:lang w:val="en-GB"/>
        </w:rPr>
        <w:t xml:space="preserve"> and, in particular, the requirement that refugees obtain travel documents in order to move to other parts of Kazakhstan for more than three days, to ensure that it does not restrict the rights of refugees to move freely within the borders of Kazakhstan;</w:t>
      </w:r>
    </w:p>
    <w:p w:rsidR="009555CF" w:rsidRDefault="009555CF" w:rsidP="006A3DCF">
      <w:pPr>
        <w:widowControl w:val="0"/>
        <w:numPr>
          <w:ilvl w:val="0"/>
          <w:numId w:val="5"/>
        </w:numPr>
        <w:pBdr>
          <w:top w:val="single" w:sz="18" w:space="1" w:color="auto"/>
          <w:left w:val="single" w:sz="18" w:space="4" w:color="auto"/>
          <w:bottom w:val="single" w:sz="18" w:space="1" w:color="auto"/>
          <w:right w:val="single" w:sz="18" w:space="4" w:color="auto"/>
        </w:pBdr>
        <w:shd w:val="clear" w:color="auto" w:fill="00B5CC"/>
        <w:spacing w:line="276" w:lineRule="auto"/>
        <w:ind w:left="0" w:firstLine="0"/>
        <w:jc w:val="both"/>
        <w:rPr>
          <w:rFonts w:asciiTheme="majorHAnsi" w:hAnsiTheme="majorHAnsi"/>
          <w:sz w:val="22"/>
          <w:szCs w:val="22"/>
          <w:lang w:val="en-GB"/>
        </w:rPr>
      </w:pPr>
      <w:r>
        <w:rPr>
          <w:rFonts w:asciiTheme="majorHAnsi" w:hAnsiTheme="majorHAnsi"/>
          <w:sz w:val="22"/>
          <w:szCs w:val="22"/>
          <w:lang w:val="en-GB"/>
        </w:rPr>
        <w:t xml:space="preserve">review the </w:t>
      </w:r>
      <w:r w:rsidRPr="009555CF">
        <w:rPr>
          <w:rFonts w:asciiTheme="majorHAnsi" w:hAnsiTheme="majorHAnsi"/>
          <w:sz w:val="22"/>
          <w:szCs w:val="22"/>
          <w:lang w:val="en-GB"/>
        </w:rPr>
        <w:t>administrative detention of asylum seekers and irregular immigrants</w:t>
      </w:r>
      <w:r>
        <w:rPr>
          <w:rFonts w:asciiTheme="majorHAnsi" w:hAnsiTheme="majorHAnsi"/>
          <w:sz w:val="22"/>
          <w:szCs w:val="22"/>
          <w:lang w:val="en-GB"/>
        </w:rPr>
        <w:t xml:space="preserve"> and, in particular, ensure that the system of detention complies with international law as expressed in ERT’s </w:t>
      </w:r>
      <w:r w:rsidRPr="009555CF">
        <w:rPr>
          <w:rFonts w:asciiTheme="majorHAnsi" w:hAnsiTheme="majorHAnsi"/>
          <w:sz w:val="22"/>
          <w:szCs w:val="22"/>
          <w:lang w:val="en-GB"/>
        </w:rPr>
        <w:t>Guidelines to Protect Stateless Persons from Arbitrary Detention</w:t>
      </w:r>
      <w:r>
        <w:rPr>
          <w:rFonts w:asciiTheme="majorHAnsi" w:hAnsiTheme="majorHAnsi"/>
          <w:sz w:val="22"/>
          <w:szCs w:val="22"/>
          <w:lang w:val="en-GB"/>
        </w:rPr>
        <w:t>.</w:t>
      </w:r>
    </w:p>
    <w:p w:rsidR="006A3DCF" w:rsidRDefault="006A3DCF" w:rsidP="004751D6">
      <w:pPr>
        <w:pStyle w:val="Listenabsatz"/>
        <w:widowControl w:val="0"/>
        <w:spacing w:line="276" w:lineRule="auto"/>
        <w:ind w:left="0"/>
        <w:contextualSpacing/>
        <w:jc w:val="both"/>
        <w:rPr>
          <w:rFonts w:asciiTheme="majorHAnsi" w:hAnsiTheme="majorHAnsi"/>
          <w:b/>
          <w:sz w:val="22"/>
          <w:szCs w:val="22"/>
          <w:lang w:val="en-GB"/>
        </w:rPr>
      </w:pPr>
    </w:p>
    <w:p w:rsidR="004751D6" w:rsidRPr="004751D6" w:rsidRDefault="004751D6" w:rsidP="004751D6">
      <w:pPr>
        <w:pStyle w:val="Listenabsatz"/>
        <w:widowControl w:val="0"/>
        <w:spacing w:line="276" w:lineRule="auto"/>
        <w:ind w:left="0"/>
        <w:contextualSpacing/>
        <w:jc w:val="both"/>
        <w:rPr>
          <w:rFonts w:asciiTheme="majorHAnsi" w:hAnsiTheme="majorHAnsi"/>
          <w:b/>
          <w:sz w:val="22"/>
          <w:szCs w:val="22"/>
          <w:lang w:val="en-GB"/>
        </w:rPr>
      </w:pPr>
      <w:r w:rsidRPr="004751D6">
        <w:rPr>
          <w:rFonts w:asciiTheme="majorHAnsi" w:hAnsiTheme="majorHAnsi"/>
          <w:b/>
          <w:sz w:val="22"/>
          <w:szCs w:val="22"/>
          <w:lang w:val="en-GB"/>
        </w:rPr>
        <w:t>Education (Article 5(e</w:t>
      </w:r>
      <w:proofErr w:type="gramStart"/>
      <w:r w:rsidRPr="004751D6">
        <w:rPr>
          <w:rFonts w:asciiTheme="majorHAnsi" w:hAnsiTheme="majorHAnsi"/>
          <w:b/>
          <w:sz w:val="22"/>
          <w:szCs w:val="22"/>
          <w:lang w:val="en-GB"/>
        </w:rPr>
        <w:t>)(</w:t>
      </w:r>
      <w:proofErr w:type="gramEnd"/>
      <w:r w:rsidRPr="004751D6">
        <w:rPr>
          <w:rFonts w:asciiTheme="majorHAnsi" w:hAnsiTheme="majorHAnsi"/>
          <w:b/>
          <w:sz w:val="22"/>
          <w:szCs w:val="22"/>
          <w:lang w:val="en-GB"/>
        </w:rPr>
        <w:t>v))</w:t>
      </w:r>
    </w:p>
    <w:p w:rsidR="004751D6" w:rsidRDefault="004751D6" w:rsidP="004751D6">
      <w:pPr>
        <w:pStyle w:val="Listenabsatz"/>
        <w:widowControl w:val="0"/>
        <w:spacing w:line="276" w:lineRule="auto"/>
        <w:ind w:left="0"/>
        <w:contextualSpacing/>
        <w:jc w:val="both"/>
        <w:rPr>
          <w:rFonts w:asciiTheme="majorHAnsi" w:hAnsiTheme="majorHAnsi"/>
          <w:sz w:val="22"/>
          <w:szCs w:val="22"/>
          <w:lang w:val="en-GB"/>
        </w:rPr>
      </w:pPr>
    </w:p>
    <w:p w:rsidR="004751D6" w:rsidRDefault="00662672" w:rsidP="00864F55">
      <w:pPr>
        <w:pStyle w:val="Listenabsatz"/>
        <w:widowControl w:val="0"/>
        <w:numPr>
          <w:ilvl w:val="0"/>
          <w:numId w:val="1"/>
        </w:numPr>
        <w:spacing w:line="276" w:lineRule="auto"/>
        <w:ind w:left="567" w:hanging="567"/>
        <w:contextualSpacing/>
        <w:jc w:val="both"/>
        <w:rPr>
          <w:rFonts w:asciiTheme="majorHAnsi" w:hAnsiTheme="majorHAnsi"/>
          <w:sz w:val="22"/>
          <w:szCs w:val="22"/>
          <w:lang w:val="en-GB"/>
        </w:rPr>
      </w:pPr>
      <w:r>
        <w:rPr>
          <w:rFonts w:asciiTheme="majorHAnsi" w:hAnsiTheme="majorHAnsi"/>
          <w:sz w:val="22"/>
          <w:szCs w:val="22"/>
          <w:lang w:val="en-GB"/>
        </w:rPr>
        <w:t xml:space="preserve">Respondents in ERT interviews </w:t>
      </w:r>
      <w:r w:rsidR="004751D6">
        <w:rPr>
          <w:rFonts w:asciiTheme="majorHAnsi" w:hAnsiTheme="majorHAnsi"/>
          <w:sz w:val="22"/>
          <w:szCs w:val="22"/>
          <w:lang w:val="en-GB"/>
        </w:rPr>
        <w:t>stated that non-Kazakhs are not able to study abroad on an equal basis with Kazakhs with only the latter receiving stipends from the government in order to be able to do so.</w:t>
      </w:r>
    </w:p>
    <w:p w:rsidR="00E864F5" w:rsidRDefault="00E864F5" w:rsidP="00E864F5">
      <w:pPr>
        <w:pStyle w:val="Listenabsatz"/>
        <w:widowControl w:val="0"/>
        <w:spacing w:line="276" w:lineRule="auto"/>
        <w:ind w:left="0"/>
        <w:contextualSpacing/>
        <w:jc w:val="both"/>
        <w:rPr>
          <w:rFonts w:asciiTheme="majorHAnsi" w:hAnsiTheme="majorHAnsi"/>
          <w:sz w:val="22"/>
          <w:szCs w:val="22"/>
          <w:lang w:val="en-GB"/>
        </w:rPr>
      </w:pPr>
    </w:p>
    <w:p w:rsidR="00E864F5" w:rsidRDefault="00E864F5" w:rsidP="00E864F5">
      <w:pPr>
        <w:widowControl w:val="0"/>
        <w:pBdr>
          <w:top w:val="single" w:sz="18" w:space="1" w:color="auto"/>
          <w:left w:val="single" w:sz="18" w:space="4" w:color="auto"/>
          <w:bottom w:val="single" w:sz="18" w:space="1" w:color="auto"/>
          <w:right w:val="single" w:sz="18" w:space="4" w:color="auto"/>
        </w:pBdr>
        <w:shd w:val="clear" w:color="auto" w:fill="00B5CC"/>
        <w:spacing w:line="276" w:lineRule="auto"/>
        <w:jc w:val="both"/>
        <w:rPr>
          <w:rFonts w:asciiTheme="majorHAnsi" w:hAnsiTheme="majorHAnsi"/>
          <w:sz w:val="22"/>
          <w:szCs w:val="22"/>
          <w:lang w:val="en-GB"/>
        </w:rPr>
      </w:pPr>
      <w:r w:rsidRPr="00E413C2">
        <w:rPr>
          <w:rFonts w:asciiTheme="majorHAnsi" w:hAnsiTheme="majorHAnsi"/>
          <w:sz w:val="22"/>
          <w:szCs w:val="22"/>
          <w:lang w:val="en-GB"/>
        </w:rPr>
        <w:t xml:space="preserve">ERT </w:t>
      </w:r>
      <w:r>
        <w:rPr>
          <w:rFonts w:asciiTheme="majorHAnsi" w:hAnsiTheme="majorHAnsi"/>
          <w:sz w:val="22"/>
          <w:szCs w:val="22"/>
          <w:lang w:val="en-GB"/>
        </w:rPr>
        <w:t>urges the Committee to recommend that Kazakhstan ensures that all students, regardless of race or ethnicity, are able to enjoy the right to education on an equal basis including in access to government stipends and other forms of financial support.</w:t>
      </w:r>
    </w:p>
    <w:sectPr w:rsidR="00E864F5" w:rsidSect="00E811E1">
      <w:headerReference w:type="default" r:id="rId12"/>
      <w:footerReference w:type="default" r:id="rId13"/>
      <w:headerReference w:type="first" r:id="rId14"/>
      <w:footerReference w:type="first" r:id="rId15"/>
      <w:pgSz w:w="11907" w:h="16839" w:code="9"/>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299" w:rsidRDefault="007E2299">
      <w:r>
        <w:separator/>
      </w:r>
    </w:p>
  </w:endnote>
  <w:endnote w:type="continuationSeparator" w:id="0">
    <w:p w:rsidR="007E2299" w:rsidRDefault="007E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D6" w:rsidRPr="00E811E1" w:rsidRDefault="003A0D03" w:rsidP="00E811E1">
    <w:pPr>
      <w:pStyle w:val="Fuzeile"/>
      <w:jc w:val="center"/>
      <w:rPr>
        <w:rFonts w:asciiTheme="majorHAnsi" w:hAnsiTheme="majorHAnsi"/>
        <w:sz w:val="20"/>
        <w:szCs w:val="20"/>
      </w:rPr>
    </w:pPr>
    <w:r w:rsidRPr="00E811E1">
      <w:rPr>
        <w:rFonts w:asciiTheme="majorHAnsi" w:hAnsiTheme="majorHAnsi"/>
        <w:sz w:val="20"/>
        <w:szCs w:val="20"/>
      </w:rPr>
      <w:fldChar w:fldCharType="begin"/>
    </w:r>
    <w:r w:rsidR="004751D6" w:rsidRPr="00E811E1">
      <w:rPr>
        <w:rFonts w:asciiTheme="majorHAnsi" w:hAnsiTheme="majorHAnsi"/>
        <w:sz w:val="20"/>
        <w:szCs w:val="20"/>
      </w:rPr>
      <w:instrText xml:space="preserve"> PAGE   \* MERGEFORMAT </w:instrText>
    </w:r>
    <w:r w:rsidRPr="00E811E1">
      <w:rPr>
        <w:rFonts w:asciiTheme="majorHAnsi" w:hAnsiTheme="majorHAnsi"/>
        <w:sz w:val="20"/>
        <w:szCs w:val="20"/>
      </w:rPr>
      <w:fldChar w:fldCharType="separate"/>
    </w:r>
    <w:r w:rsidR="0023525B">
      <w:rPr>
        <w:rFonts w:asciiTheme="majorHAnsi" w:hAnsiTheme="majorHAnsi"/>
        <w:noProof/>
        <w:sz w:val="20"/>
        <w:szCs w:val="20"/>
      </w:rPr>
      <w:t>10</w:t>
    </w:r>
    <w:r w:rsidRPr="00E811E1">
      <w:rPr>
        <w:rFonts w:asciiTheme="majorHAnsi" w:hAnsiTheme="majorHAns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D6" w:rsidRPr="00E811E1" w:rsidRDefault="003A0D03" w:rsidP="00E811E1">
    <w:pPr>
      <w:pStyle w:val="Fuzeile"/>
      <w:jc w:val="center"/>
      <w:rPr>
        <w:rFonts w:asciiTheme="majorHAnsi" w:hAnsiTheme="majorHAnsi"/>
        <w:sz w:val="18"/>
        <w:szCs w:val="18"/>
      </w:rPr>
    </w:pPr>
    <w:r w:rsidRPr="00E811E1">
      <w:rPr>
        <w:rFonts w:asciiTheme="majorHAnsi" w:hAnsiTheme="majorHAnsi"/>
        <w:sz w:val="18"/>
        <w:szCs w:val="18"/>
      </w:rPr>
      <w:fldChar w:fldCharType="begin"/>
    </w:r>
    <w:r w:rsidR="004751D6" w:rsidRPr="00E811E1">
      <w:rPr>
        <w:rFonts w:asciiTheme="majorHAnsi" w:hAnsiTheme="majorHAnsi"/>
        <w:sz w:val="18"/>
        <w:szCs w:val="18"/>
      </w:rPr>
      <w:instrText xml:space="preserve"> PAGE   \* MERGEFORMAT </w:instrText>
    </w:r>
    <w:r w:rsidRPr="00E811E1">
      <w:rPr>
        <w:rFonts w:asciiTheme="majorHAnsi" w:hAnsiTheme="majorHAnsi"/>
        <w:sz w:val="18"/>
        <w:szCs w:val="18"/>
      </w:rPr>
      <w:fldChar w:fldCharType="separate"/>
    </w:r>
    <w:r w:rsidR="0023525B">
      <w:rPr>
        <w:rFonts w:asciiTheme="majorHAnsi" w:hAnsiTheme="majorHAnsi"/>
        <w:noProof/>
        <w:sz w:val="18"/>
        <w:szCs w:val="18"/>
      </w:rPr>
      <w:t>1</w:t>
    </w:r>
    <w:r w:rsidRPr="00E811E1">
      <w:rPr>
        <w:rFonts w:asciiTheme="majorHAnsi" w:hAnsiTheme="maj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299" w:rsidRDefault="007E2299">
      <w:r>
        <w:separator/>
      </w:r>
    </w:p>
  </w:footnote>
  <w:footnote w:type="continuationSeparator" w:id="0">
    <w:p w:rsidR="007E2299" w:rsidRDefault="007E2299">
      <w:r>
        <w:continuationSeparator/>
      </w:r>
    </w:p>
  </w:footnote>
  <w:footnote w:id="1">
    <w:p w:rsidR="004751D6" w:rsidRPr="009555CF" w:rsidRDefault="004751D6" w:rsidP="0054112F">
      <w:pPr>
        <w:pStyle w:val="Funotentext"/>
        <w:spacing w:line="276" w:lineRule="auto"/>
        <w:contextualSpacing/>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r w:rsidRPr="009555CF">
        <w:rPr>
          <w:rFonts w:asciiTheme="majorHAnsi" w:hAnsiTheme="majorHAnsi"/>
          <w:i/>
        </w:rPr>
        <w:t>Declaration of Principles on Equality</w:t>
      </w:r>
      <w:r w:rsidRPr="009555CF">
        <w:rPr>
          <w:rFonts w:asciiTheme="majorHAnsi" w:hAnsiTheme="majorHAnsi"/>
        </w:rPr>
        <w:t xml:space="preserve">, </w:t>
      </w:r>
      <w:proofErr w:type="gramStart"/>
      <w:r w:rsidRPr="009555CF">
        <w:rPr>
          <w:rFonts w:asciiTheme="majorHAnsi" w:hAnsiTheme="majorHAnsi"/>
        </w:rPr>
        <w:t>The</w:t>
      </w:r>
      <w:proofErr w:type="gramEnd"/>
      <w:r w:rsidRPr="009555CF">
        <w:rPr>
          <w:rFonts w:asciiTheme="majorHAnsi" w:hAnsiTheme="majorHAnsi"/>
        </w:rPr>
        <w:t xml:space="preserve"> Equal Rights Trust, London, 2008.</w:t>
      </w:r>
    </w:p>
    <w:p w:rsidR="004751D6" w:rsidRPr="009555CF" w:rsidRDefault="004751D6" w:rsidP="0054112F">
      <w:pPr>
        <w:pStyle w:val="Funotentext"/>
        <w:spacing w:line="276" w:lineRule="auto"/>
        <w:contextualSpacing/>
        <w:rPr>
          <w:rFonts w:asciiTheme="majorHAnsi" w:hAnsiTheme="majorHAnsi"/>
        </w:rPr>
      </w:pPr>
    </w:p>
  </w:footnote>
  <w:footnote w:id="2">
    <w:p w:rsidR="004751D6" w:rsidRPr="009555CF" w:rsidRDefault="004751D6" w:rsidP="0054112F">
      <w:pPr>
        <w:pStyle w:val="Funotentext"/>
        <w:spacing w:line="276" w:lineRule="auto"/>
        <w:contextualSpacing/>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spellStart"/>
      <w:proofErr w:type="gramStart"/>
      <w:r w:rsidRPr="009555CF">
        <w:rPr>
          <w:rFonts w:asciiTheme="majorHAnsi" w:hAnsiTheme="majorHAnsi"/>
          <w:i/>
        </w:rPr>
        <w:t>Naz</w:t>
      </w:r>
      <w:proofErr w:type="spellEnd"/>
      <w:r w:rsidRPr="009555CF">
        <w:rPr>
          <w:rFonts w:asciiTheme="majorHAnsi" w:hAnsiTheme="majorHAnsi"/>
          <w:i/>
        </w:rPr>
        <w:t xml:space="preserve"> Foundation v. Government of NCT of Delhi and Others</w:t>
      </w:r>
      <w:r w:rsidRPr="009555CF">
        <w:rPr>
          <w:rFonts w:asciiTheme="majorHAnsi" w:hAnsiTheme="majorHAnsi"/>
        </w:rPr>
        <w:t xml:space="preserve"> WP(C) No.7455/2001, Para 93.</w:t>
      </w:r>
      <w:proofErr w:type="gramEnd"/>
    </w:p>
    <w:p w:rsidR="004751D6" w:rsidRPr="009555CF" w:rsidRDefault="004751D6" w:rsidP="0054112F">
      <w:pPr>
        <w:pStyle w:val="Funotentext"/>
        <w:spacing w:line="276" w:lineRule="auto"/>
        <w:contextualSpacing/>
        <w:rPr>
          <w:rFonts w:asciiTheme="majorHAnsi" w:hAnsiTheme="majorHAnsi"/>
        </w:rPr>
      </w:pPr>
    </w:p>
  </w:footnote>
  <w:footnote w:id="3">
    <w:p w:rsidR="004751D6" w:rsidRPr="009555CF" w:rsidRDefault="004751D6" w:rsidP="0054112F">
      <w:pPr>
        <w:pStyle w:val="Funotentext"/>
        <w:spacing w:line="276" w:lineRule="auto"/>
        <w:contextualSpacing/>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Parliamentary Assembly of the Council of Europe, </w:t>
      </w:r>
      <w:r w:rsidRPr="009555CF">
        <w:rPr>
          <w:rFonts w:asciiTheme="majorHAnsi" w:hAnsiTheme="majorHAnsi"/>
          <w:i/>
        </w:rPr>
        <w:t>Resolution and Recommendation: The Declaration of Principles on Equality and activities of the Council of Europe</w:t>
      </w:r>
      <w:r w:rsidRPr="009555CF">
        <w:rPr>
          <w:rFonts w:asciiTheme="majorHAnsi" w:hAnsiTheme="majorHAnsi"/>
        </w:rPr>
        <w:t>, REC 1986 (2011), 25 November 2011, available at: http://assembly.coe.int/ASP/Doc/ATListingDetails_E.asp?ATID=11380.</w:t>
      </w:r>
    </w:p>
    <w:p w:rsidR="004751D6" w:rsidRPr="009555CF" w:rsidRDefault="004751D6" w:rsidP="0054112F">
      <w:pPr>
        <w:pStyle w:val="Funotentext"/>
        <w:spacing w:line="276" w:lineRule="auto"/>
        <w:contextualSpacing/>
        <w:rPr>
          <w:rFonts w:asciiTheme="majorHAnsi" w:hAnsiTheme="majorHAnsi"/>
        </w:rPr>
      </w:pPr>
    </w:p>
  </w:footnote>
  <w:footnote w:id="4">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r w:rsidR="00C8086C" w:rsidRPr="009555CF">
        <w:rPr>
          <w:rFonts w:asciiTheme="majorHAnsi" w:hAnsiTheme="majorHAnsi"/>
        </w:rPr>
        <w:t xml:space="preserve">Committee on the Elimination of Racial Discrimination, </w:t>
      </w:r>
      <w:r w:rsidR="00C8086C" w:rsidRPr="009555CF">
        <w:rPr>
          <w:rFonts w:asciiTheme="majorHAnsi" w:hAnsiTheme="majorHAnsi"/>
          <w:i/>
        </w:rPr>
        <w:t>Consideration of reports submitted by States parties under article 9 of the convention, Concluding observations of the Committee on the Elimination of Racial Discrimination: Kazakhstan</w:t>
      </w:r>
      <w:r w:rsidR="00C8086C" w:rsidRPr="009555CF">
        <w:rPr>
          <w:rFonts w:asciiTheme="majorHAnsi" w:hAnsiTheme="majorHAnsi"/>
        </w:rPr>
        <w:t>, UN Doc. CERD/C/KAZ/CO/4-5, 6 April 2010</w:t>
      </w:r>
      <w:r w:rsidRPr="009555CF">
        <w:rPr>
          <w:rFonts w:asciiTheme="majorHAnsi" w:hAnsiTheme="majorHAnsi"/>
        </w:rPr>
        <w:t>, Para 10.</w:t>
      </w:r>
    </w:p>
    <w:p w:rsidR="00C45FD8" w:rsidRPr="009555CF" w:rsidRDefault="00C45FD8" w:rsidP="00C45FD8">
      <w:pPr>
        <w:pStyle w:val="Funotentext"/>
        <w:rPr>
          <w:rFonts w:asciiTheme="majorHAnsi" w:hAnsiTheme="majorHAnsi"/>
        </w:rPr>
      </w:pPr>
    </w:p>
  </w:footnote>
  <w:footnote w:id="5">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Committee on the Elimination of Racial Discrimination, </w:t>
      </w:r>
      <w:r w:rsidRPr="009555CF">
        <w:rPr>
          <w:rFonts w:asciiTheme="majorHAnsi" w:hAnsiTheme="majorHAnsi"/>
          <w:i/>
        </w:rPr>
        <w:t>List of themes in relation to the combined sixth and seventh periodic reports of Kazakhstan (CERD/C/KAZ/6-7)</w:t>
      </w:r>
      <w:r w:rsidRPr="009555CF">
        <w:rPr>
          <w:rFonts w:asciiTheme="majorHAnsi" w:hAnsiTheme="majorHAnsi"/>
        </w:rPr>
        <w:t>, UN Doc. CERD/C/KAZ/Q/6-7, 16 December 2013.</w:t>
      </w:r>
    </w:p>
  </w:footnote>
  <w:footnote w:id="6">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Code on Administrative Offences of the Republic of Kazakhstan of 30 January 2001. Code No. 155.</w:t>
      </w:r>
    </w:p>
    <w:p w:rsidR="00C45FD8" w:rsidRPr="009555CF" w:rsidRDefault="00C45FD8" w:rsidP="00C45FD8">
      <w:pPr>
        <w:pStyle w:val="Funotentext"/>
        <w:rPr>
          <w:rFonts w:asciiTheme="majorHAnsi" w:hAnsiTheme="majorHAnsi"/>
        </w:rPr>
      </w:pPr>
    </w:p>
  </w:footnote>
  <w:footnote w:id="7">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Code of Criminal Procedure of the Republic of Kazakhstan, 13 December 1997. Code No. 206.</w:t>
      </w:r>
    </w:p>
    <w:p w:rsidR="00C45FD8" w:rsidRPr="009555CF" w:rsidRDefault="00C45FD8" w:rsidP="00C45FD8">
      <w:pPr>
        <w:pStyle w:val="Funotentext"/>
        <w:rPr>
          <w:rFonts w:asciiTheme="majorHAnsi" w:hAnsiTheme="majorHAnsi"/>
        </w:rPr>
      </w:pPr>
    </w:p>
  </w:footnote>
  <w:footnote w:id="8">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Code of Civil Procedure of the Republic of Kazakhstan, 13 July 1999. Code No. 411.</w:t>
      </w:r>
    </w:p>
    <w:p w:rsidR="00C45FD8" w:rsidRPr="009555CF" w:rsidRDefault="00C45FD8" w:rsidP="00C45FD8">
      <w:pPr>
        <w:pStyle w:val="Funotentext"/>
        <w:rPr>
          <w:rFonts w:asciiTheme="majorHAnsi" w:hAnsiTheme="majorHAnsi"/>
        </w:rPr>
      </w:pPr>
    </w:p>
  </w:footnote>
  <w:footnote w:id="9">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Labour Code of the Republic of Kazakhstan, 15 May 2007. Code No. 251.</w:t>
      </w:r>
    </w:p>
  </w:footnote>
  <w:footnote w:id="10">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rPr>
        <w:t>Code on People's Health and the Health Care System, approved by President's Decree No. 193-IV ZRK of 18 September 2009.</w:t>
      </w:r>
      <w:proofErr w:type="gramEnd"/>
    </w:p>
    <w:p w:rsidR="00C45FD8" w:rsidRPr="009555CF" w:rsidRDefault="00C45FD8" w:rsidP="00C45FD8">
      <w:pPr>
        <w:pStyle w:val="Funotentext"/>
        <w:rPr>
          <w:rFonts w:asciiTheme="majorHAnsi" w:hAnsiTheme="majorHAnsi"/>
        </w:rPr>
      </w:pPr>
    </w:p>
  </w:footnote>
  <w:footnote w:id="11">
    <w:p w:rsidR="00C45FD8"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rPr>
        <w:t>Law of the Republic of Kazakhstan about the rights of the child in the Republic of Kazakhstan,</w:t>
      </w:r>
      <w:r>
        <w:rPr>
          <w:rFonts w:asciiTheme="majorHAnsi" w:hAnsiTheme="majorHAnsi"/>
        </w:rPr>
        <w:t xml:space="preserve"> Law No.</w:t>
      </w:r>
      <w:proofErr w:type="gramEnd"/>
      <w:r>
        <w:rPr>
          <w:rFonts w:asciiTheme="majorHAnsi" w:hAnsiTheme="majorHAnsi"/>
        </w:rPr>
        <w:t xml:space="preserve"> No. 345-II of</w:t>
      </w:r>
      <w:r w:rsidRPr="009555CF">
        <w:rPr>
          <w:rFonts w:asciiTheme="majorHAnsi" w:hAnsiTheme="majorHAnsi"/>
        </w:rPr>
        <w:t xml:space="preserve"> 8 August 2009.</w:t>
      </w:r>
    </w:p>
    <w:p w:rsidR="00C8086C" w:rsidRPr="009555CF" w:rsidRDefault="00C8086C" w:rsidP="00C45FD8">
      <w:pPr>
        <w:pStyle w:val="Funotentext"/>
        <w:rPr>
          <w:rFonts w:asciiTheme="majorHAnsi" w:hAnsiTheme="majorHAnsi"/>
        </w:rPr>
      </w:pPr>
    </w:p>
  </w:footnote>
  <w:footnote w:id="12">
    <w:p w:rsidR="004751D6" w:rsidRPr="009555CF" w:rsidRDefault="004751D6" w:rsidP="0054112F">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r w:rsidR="00C8086C">
        <w:rPr>
          <w:rFonts w:asciiTheme="majorHAnsi" w:hAnsiTheme="majorHAnsi"/>
        </w:rPr>
        <w:t>See above, note 4</w:t>
      </w:r>
      <w:r w:rsidRPr="009555CF">
        <w:rPr>
          <w:rFonts w:asciiTheme="majorHAnsi" w:hAnsiTheme="majorHAnsi"/>
        </w:rPr>
        <w:t>, Para 8.</w:t>
      </w:r>
    </w:p>
  </w:footnote>
  <w:footnote w:id="13">
    <w:p w:rsidR="004751D6" w:rsidRPr="009555CF" w:rsidRDefault="004751D6" w:rsidP="0054112F">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Oka, N., </w:t>
      </w:r>
      <w:r w:rsidRPr="009555CF">
        <w:rPr>
          <w:rFonts w:asciiTheme="majorHAnsi" w:hAnsiTheme="majorHAnsi"/>
          <w:i/>
        </w:rPr>
        <w:t>IDE Discussion Paper No. 194, Ethnicity and Elections under Authoritarianism: The Case of Kazakhstan, Table 2</w:t>
      </w:r>
      <w:r w:rsidRPr="009555CF">
        <w:rPr>
          <w:rFonts w:asciiTheme="majorHAnsi" w:hAnsiTheme="majorHAnsi"/>
        </w:rPr>
        <w:t>, Institute of Developing Economies, March 2009, available at: http://www.ide.go.jp/English/Publish/Download/Dp/pdf/194.pdf. The figures in brackets represent the proportion of the particular status of deputy i.e. directly elected or representing the Assembly of the People of Kazakhstan.</w:t>
      </w:r>
    </w:p>
    <w:p w:rsidR="004751D6" w:rsidRPr="009555CF" w:rsidRDefault="004751D6" w:rsidP="0054112F">
      <w:pPr>
        <w:pStyle w:val="Funotentext"/>
        <w:rPr>
          <w:rFonts w:asciiTheme="majorHAnsi" w:hAnsiTheme="majorHAnsi"/>
        </w:rPr>
      </w:pPr>
    </w:p>
  </w:footnote>
  <w:footnote w:id="14">
    <w:p w:rsidR="004751D6" w:rsidRPr="009555CF" w:rsidRDefault="004751D6" w:rsidP="0054112F">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rPr>
        <w:t>Figures taken from the 2009 census.</w:t>
      </w:r>
      <w:proofErr w:type="gramEnd"/>
    </w:p>
  </w:footnote>
  <w:footnote w:id="15">
    <w:p w:rsidR="004751D6" w:rsidRPr="009555CF" w:rsidRDefault="004751D6" w:rsidP="006E0DE3">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r w:rsidR="00C45FD8">
        <w:rPr>
          <w:rFonts w:asciiTheme="majorHAnsi" w:hAnsiTheme="majorHAnsi"/>
        </w:rPr>
        <w:t xml:space="preserve">See above, note </w:t>
      </w:r>
      <w:r w:rsidR="00C8086C">
        <w:rPr>
          <w:rFonts w:asciiTheme="majorHAnsi" w:hAnsiTheme="majorHAnsi"/>
        </w:rPr>
        <w:t>5,</w:t>
      </w:r>
      <w:r w:rsidRPr="009555CF">
        <w:rPr>
          <w:rFonts w:asciiTheme="majorHAnsi" w:hAnsiTheme="majorHAnsi"/>
        </w:rPr>
        <w:t xml:space="preserve"> Para 2(a).</w:t>
      </w:r>
    </w:p>
    <w:p w:rsidR="004751D6" w:rsidRPr="009555CF" w:rsidRDefault="004751D6" w:rsidP="006E0DE3">
      <w:pPr>
        <w:pStyle w:val="Funotentext"/>
        <w:rPr>
          <w:rFonts w:asciiTheme="majorHAnsi" w:hAnsiTheme="majorHAnsi"/>
        </w:rPr>
      </w:pPr>
    </w:p>
  </w:footnote>
  <w:footnote w:id="16">
    <w:p w:rsidR="004751D6" w:rsidRDefault="004751D6">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i/>
        </w:rPr>
        <w:t>Ibid</w:t>
      </w:r>
      <w:r w:rsidRPr="009555CF">
        <w:rPr>
          <w:rFonts w:asciiTheme="majorHAnsi" w:hAnsiTheme="majorHAnsi"/>
        </w:rPr>
        <w:t>.,</w:t>
      </w:r>
      <w:proofErr w:type="gramEnd"/>
      <w:r w:rsidRPr="009555CF">
        <w:rPr>
          <w:rFonts w:asciiTheme="majorHAnsi" w:hAnsiTheme="majorHAnsi"/>
        </w:rPr>
        <w:t xml:space="preserve"> Para 2(d).</w:t>
      </w:r>
    </w:p>
    <w:p w:rsidR="00C45FD8" w:rsidRPr="009555CF" w:rsidRDefault="00C45FD8">
      <w:pPr>
        <w:pStyle w:val="Funotentext"/>
        <w:rPr>
          <w:rFonts w:asciiTheme="majorHAnsi" w:hAnsiTheme="majorHAnsi"/>
        </w:rPr>
      </w:pPr>
    </w:p>
  </w:footnote>
  <w:footnote w:id="17">
    <w:p w:rsidR="003D5280" w:rsidRPr="003D5280" w:rsidRDefault="003D5280" w:rsidP="003D5280">
      <w:pPr>
        <w:pStyle w:val="Funotentext"/>
      </w:pPr>
      <w:r w:rsidRPr="003D5280">
        <w:rPr>
          <w:rStyle w:val="Funotenzeichen"/>
        </w:rPr>
        <w:footnoteRef/>
      </w:r>
      <w:r w:rsidRPr="003D5280">
        <w:t xml:space="preserve"> Law On Religious Activity and Religious Associations, Law No. 483-IV of 11 October 2011.</w:t>
      </w:r>
    </w:p>
    <w:p w:rsidR="003D5280" w:rsidRPr="003D5280" w:rsidRDefault="003D5280" w:rsidP="003D5280">
      <w:pPr>
        <w:pStyle w:val="Funotentext"/>
      </w:pPr>
    </w:p>
  </w:footnote>
  <w:footnote w:id="18">
    <w:p w:rsidR="00C45FD8" w:rsidRPr="009555CF" w:rsidRDefault="00C45FD8" w:rsidP="00C45FD8">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See above, note </w:t>
      </w:r>
      <w:r w:rsidR="00C8086C">
        <w:rPr>
          <w:rFonts w:asciiTheme="majorHAnsi" w:hAnsiTheme="majorHAnsi"/>
        </w:rPr>
        <w:t>5</w:t>
      </w:r>
      <w:r w:rsidRPr="009555CF">
        <w:rPr>
          <w:rFonts w:asciiTheme="majorHAnsi" w:hAnsiTheme="majorHAnsi"/>
        </w:rPr>
        <w:t>, Para 2(f).</w:t>
      </w:r>
    </w:p>
  </w:footnote>
  <w:footnote w:id="19">
    <w:p w:rsidR="00761FB1" w:rsidRPr="00761FB1" w:rsidRDefault="00761FB1" w:rsidP="00761FB1">
      <w:pPr>
        <w:pStyle w:val="Funotentext"/>
      </w:pPr>
      <w:r w:rsidRPr="00761FB1">
        <w:rPr>
          <w:rStyle w:val="Funotenzeichen"/>
        </w:rPr>
        <w:footnoteRef/>
      </w:r>
      <w:r w:rsidRPr="00761FB1">
        <w:t xml:space="preserve"> </w:t>
      </w:r>
      <w:proofErr w:type="gramStart"/>
      <w:r w:rsidRPr="00761FB1">
        <w:rPr>
          <w:i/>
        </w:rPr>
        <w:t>Ibid</w:t>
      </w:r>
      <w:r w:rsidRPr="00761FB1">
        <w:t>.,</w:t>
      </w:r>
      <w:proofErr w:type="gramEnd"/>
      <w:r w:rsidRPr="00761FB1">
        <w:t xml:space="preserve"> Para 3(b).</w:t>
      </w:r>
    </w:p>
    <w:p w:rsidR="00761FB1" w:rsidRPr="00761FB1" w:rsidRDefault="00761FB1" w:rsidP="00761FB1">
      <w:pPr>
        <w:pStyle w:val="Funotentext"/>
      </w:pPr>
    </w:p>
  </w:footnote>
  <w:footnote w:id="20">
    <w:p w:rsidR="006A3DCF" w:rsidRPr="009555CF" w:rsidRDefault="006A3DCF">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Committee on the Elimination of Racial Discrimination, </w:t>
      </w:r>
      <w:r w:rsidRPr="009555CF">
        <w:rPr>
          <w:rFonts w:asciiTheme="majorHAnsi" w:hAnsiTheme="majorHAnsi"/>
          <w:i/>
        </w:rPr>
        <w:t xml:space="preserve">General Recommendation No. 30: Discrimination </w:t>
      </w:r>
      <w:proofErr w:type="gramStart"/>
      <w:r w:rsidRPr="009555CF">
        <w:rPr>
          <w:rFonts w:asciiTheme="majorHAnsi" w:hAnsiTheme="majorHAnsi"/>
          <w:i/>
        </w:rPr>
        <w:t>Against</w:t>
      </w:r>
      <w:proofErr w:type="gramEnd"/>
      <w:r w:rsidRPr="009555CF">
        <w:rPr>
          <w:rFonts w:asciiTheme="majorHAnsi" w:hAnsiTheme="majorHAnsi"/>
          <w:i/>
        </w:rPr>
        <w:t xml:space="preserve"> Non Citizens</w:t>
      </w:r>
      <w:r w:rsidRPr="009555CF">
        <w:rPr>
          <w:rFonts w:asciiTheme="majorHAnsi" w:hAnsiTheme="majorHAnsi"/>
        </w:rPr>
        <w:t>, UN Doc. HRI/GEN/1/Rev.7/Add.1 2005, Para 2.</w:t>
      </w:r>
    </w:p>
  </w:footnote>
  <w:footnote w:id="21">
    <w:p w:rsidR="006A3DCF" w:rsidRDefault="004751D6" w:rsidP="00810B48">
      <w:pPr>
        <w:pStyle w:val="Funotentext"/>
        <w:rPr>
          <w:rFonts w:asciiTheme="majorHAnsi" w:hAnsiTheme="majorHAnsi"/>
        </w:rPr>
      </w:pPr>
      <w:r w:rsidRPr="00C45FD8">
        <w:rPr>
          <w:rStyle w:val="Funotenzeichen"/>
          <w:rFonts w:asciiTheme="majorHAnsi" w:hAnsiTheme="majorHAnsi"/>
        </w:rPr>
        <w:footnoteRef/>
      </w:r>
      <w:r w:rsidRPr="00C45FD8">
        <w:rPr>
          <w:rFonts w:asciiTheme="majorHAnsi" w:hAnsiTheme="majorHAnsi"/>
        </w:rPr>
        <w:t xml:space="preserve"> </w:t>
      </w:r>
      <w:r w:rsidR="00C45FD8" w:rsidRPr="00C45FD8">
        <w:rPr>
          <w:rFonts w:asciiTheme="majorHAnsi" w:hAnsiTheme="majorHAnsi"/>
        </w:rPr>
        <w:t xml:space="preserve">See above, note </w:t>
      </w:r>
      <w:r w:rsidR="00C8086C">
        <w:rPr>
          <w:rFonts w:asciiTheme="majorHAnsi" w:hAnsiTheme="majorHAnsi"/>
        </w:rPr>
        <w:t>5</w:t>
      </w:r>
      <w:r w:rsidRPr="00C45FD8">
        <w:rPr>
          <w:rFonts w:asciiTheme="majorHAnsi" w:hAnsiTheme="majorHAnsi"/>
        </w:rPr>
        <w:t>, Para 3(a).</w:t>
      </w:r>
    </w:p>
    <w:p w:rsidR="00C8086C" w:rsidRPr="009555CF" w:rsidRDefault="00C8086C" w:rsidP="00810B48">
      <w:pPr>
        <w:pStyle w:val="Funotentext"/>
        <w:rPr>
          <w:rFonts w:asciiTheme="majorHAnsi" w:hAnsiTheme="majorHAnsi"/>
        </w:rPr>
      </w:pPr>
    </w:p>
  </w:footnote>
  <w:footnote w:id="22">
    <w:p w:rsidR="006A3DCF" w:rsidRPr="009555CF" w:rsidRDefault="004751D6">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i/>
        </w:rPr>
        <w:t>Ibid</w:t>
      </w:r>
      <w:r w:rsidRPr="009555CF">
        <w:rPr>
          <w:rFonts w:asciiTheme="majorHAnsi" w:hAnsiTheme="majorHAnsi"/>
        </w:rPr>
        <w:t>.,</w:t>
      </w:r>
      <w:proofErr w:type="gramEnd"/>
      <w:r w:rsidRPr="009555CF">
        <w:rPr>
          <w:rFonts w:asciiTheme="majorHAnsi" w:hAnsiTheme="majorHAnsi"/>
        </w:rPr>
        <w:t xml:space="preserve"> Para 3(c).</w:t>
      </w:r>
    </w:p>
  </w:footnote>
  <w:footnote w:id="23">
    <w:p w:rsidR="00E864F5" w:rsidRDefault="004751D6">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i/>
        </w:rPr>
        <w:t>Ibid</w:t>
      </w:r>
      <w:r w:rsidRPr="009555CF">
        <w:rPr>
          <w:rFonts w:asciiTheme="majorHAnsi" w:hAnsiTheme="majorHAnsi"/>
        </w:rPr>
        <w:t>.,</w:t>
      </w:r>
      <w:proofErr w:type="gramEnd"/>
      <w:r w:rsidRPr="009555CF">
        <w:rPr>
          <w:rFonts w:asciiTheme="majorHAnsi" w:hAnsiTheme="majorHAnsi"/>
        </w:rPr>
        <w:t xml:space="preserve"> Para 3(d).</w:t>
      </w:r>
    </w:p>
    <w:p w:rsidR="00C8086C" w:rsidRPr="009555CF" w:rsidRDefault="00C8086C">
      <w:pPr>
        <w:pStyle w:val="Funotentext"/>
        <w:rPr>
          <w:rFonts w:asciiTheme="majorHAnsi" w:hAnsiTheme="majorHAnsi"/>
        </w:rPr>
      </w:pPr>
    </w:p>
  </w:footnote>
  <w:footnote w:id="24">
    <w:p w:rsidR="009555CF" w:rsidRDefault="004751D6" w:rsidP="004751D6">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w:t>
      </w:r>
      <w:proofErr w:type="gramStart"/>
      <w:r w:rsidRPr="009555CF">
        <w:rPr>
          <w:rFonts w:asciiTheme="majorHAnsi" w:hAnsiTheme="majorHAnsi"/>
          <w:i/>
        </w:rPr>
        <w:t>Ibid</w:t>
      </w:r>
      <w:r w:rsidRPr="009555CF">
        <w:rPr>
          <w:rFonts w:asciiTheme="majorHAnsi" w:hAnsiTheme="majorHAnsi"/>
        </w:rPr>
        <w:t>.,</w:t>
      </w:r>
      <w:proofErr w:type="gramEnd"/>
      <w:r w:rsidRPr="009555CF">
        <w:rPr>
          <w:rFonts w:asciiTheme="majorHAnsi" w:hAnsiTheme="majorHAnsi"/>
        </w:rPr>
        <w:t xml:space="preserve"> Para 3(e).</w:t>
      </w:r>
    </w:p>
    <w:p w:rsidR="00C8086C" w:rsidRPr="009555CF" w:rsidRDefault="00C8086C" w:rsidP="004751D6">
      <w:pPr>
        <w:pStyle w:val="Funotentext"/>
        <w:rPr>
          <w:rFonts w:asciiTheme="majorHAnsi" w:hAnsiTheme="majorHAnsi"/>
        </w:rPr>
      </w:pPr>
    </w:p>
  </w:footnote>
  <w:footnote w:id="25">
    <w:p w:rsidR="009555CF" w:rsidRPr="009555CF" w:rsidRDefault="009555CF">
      <w:pPr>
        <w:pStyle w:val="Funotentext"/>
        <w:rPr>
          <w:rFonts w:asciiTheme="majorHAnsi" w:hAnsiTheme="majorHAnsi"/>
        </w:rPr>
      </w:pPr>
      <w:r w:rsidRPr="009555CF">
        <w:rPr>
          <w:rStyle w:val="Funotenzeichen"/>
          <w:rFonts w:asciiTheme="majorHAnsi" w:hAnsiTheme="majorHAnsi"/>
        </w:rPr>
        <w:footnoteRef/>
      </w:r>
      <w:r w:rsidRPr="009555CF">
        <w:rPr>
          <w:rFonts w:asciiTheme="majorHAnsi" w:hAnsiTheme="majorHAnsi"/>
        </w:rPr>
        <w:t xml:space="preserve"> The Equal Rights Trust, Guidelines to Protect Stateless Persons from Arbitrary Detention, 2012, available at: http://www.equalrightstrust.org/ertdocumentbank/guidelines%20complete.pdf</w:t>
      </w:r>
      <w:r w:rsidR="00C45FD8">
        <w:rPr>
          <w:rFonts w:asciiTheme="majorHAnsi" w:hAnsiTheme="maj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D6" w:rsidRDefault="004751D6" w:rsidP="005971B8">
    <w:pPr>
      <w:pStyle w:val="Kopfzeile"/>
      <w:ind w:left="-1800"/>
    </w:pPr>
    <w:r>
      <w:softHyphen/>
    </w:r>
    <w: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D6" w:rsidRDefault="0072330D">
    <w:pPr>
      <w:pStyle w:val="Kopfzeile"/>
    </w:pPr>
    <w:r>
      <w:rPr>
        <w:noProof/>
        <w:lang w:val="de-AT" w:eastAsia="de-AT"/>
      </w:rPr>
      <w:drawing>
        <wp:anchor distT="0" distB="0" distL="114300" distR="114300" simplePos="0" relativeHeight="251657728" behindDoc="1" locked="0" layoutInCell="1" allowOverlap="1">
          <wp:simplePos x="0" y="0"/>
          <wp:positionH relativeFrom="column">
            <wp:posOffset>-1038225</wp:posOffset>
          </wp:positionH>
          <wp:positionV relativeFrom="paragraph">
            <wp:posOffset>-123825</wp:posOffset>
          </wp:positionV>
          <wp:extent cx="7791450" cy="11029950"/>
          <wp:effectExtent l="0" t="0" r="0" b="0"/>
          <wp:wrapNone/>
          <wp:docPr id="24" name="Picture 24" descr="leterhead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erhead la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10299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0ED0"/>
    <w:multiLevelType w:val="hybridMultilevel"/>
    <w:tmpl w:val="9DB26562"/>
    <w:lvl w:ilvl="0" w:tplc="B998894C">
      <w:start w:val="1"/>
      <w:numFmt w:val="decimal"/>
      <w:lvlText w:val="%1."/>
      <w:lvlJc w:val="left"/>
      <w:pPr>
        <w:ind w:left="7023" w:hanging="360"/>
      </w:pPr>
      <w:rPr>
        <w:rFonts w:asciiTheme="majorHAnsi" w:hAnsiTheme="majorHAnsi" w:hint="default"/>
        <w:b w:val="0"/>
      </w:rPr>
    </w:lvl>
    <w:lvl w:ilvl="1" w:tplc="4E00AF08">
      <w:start w:val="1"/>
      <w:numFmt w:val="lowerRoman"/>
      <w:lvlText w:val="(%2)"/>
      <w:lvlJc w:val="left"/>
      <w:pPr>
        <w:ind w:left="2356" w:hanging="360"/>
      </w:pPr>
      <w:rPr>
        <w:rFonts w:hint="default"/>
      </w:rPr>
    </w:lvl>
    <w:lvl w:ilvl="2" w:tplc="0809001B">
      <w:start w:val="1"/>
      <w:numFmt w:val="lowerRoman"/>
      <w:lvlText w:val="%3."/>
      <w:lvlJc w:val="right"/>
      <w:pPr>
        <w:ind w:left="3076" w:hanging="180"/>
      </w:pPr>
    </w:lvl>
    <w:lvl w:ilvl="3" w:tplc="0809000F">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
    <w:nsid w:val="10DF794E"/>
    <w:multiLevelType w:val="hybridMultilevel"/>
    <w:tmpl w:val="CE6E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ED0FCC"/>
    <w:multiLevelType w:val="hybridMultilevel"/>
    <w:tmpl w:val="73A6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6678BB"/>
    <w:multiLevelType w:val="hybridMultilevel"/>
    <w:tmpl w:val="5DA03C4C"/>
    <w:lvl w:ilvl="0" w:tplc="70C0105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A208FD"/>
    <w:multiLevelType w:val="hybridMultilevel"/>
    <w:tmpl w:val="F09AFA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mitrina Petrova">
    <w15:presenceInfo w15:providerId="None" w15:userId="Dimitrina Petr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B8"/>
    <w:rsid w:val="000053E7"/>
    <w:rsid w:val="00023D4C"/>
    <w:rsid w:val="000244DB"/>
    <w:rsid w:val="00043B8E"/>
    <w:rsid w:val="00094DDC"/>
    <w:rsid w:val="000E3514"/>
    <w:rsid w:val="00115D35"/>
    <w:rsid w:val="00123C82"/>
    <w:rsid w:val="001307B5"/>
    <w:rsid w:val="00147F55"/>
    <w:rsid w:val="001A2D29"/>
    <w:rsid w:val="001A761A"/>
    <w:rsid w:val="001B7108"/>
    <w:rsid w:val="002014F9"/>
    <w:rsid w:val="00203A07"/>
    <w:rsid w:val="00212E7B"/>
    <w:rsid w:val="00220CE7"/>
    <w:rsid w:val="0023525B"/>
    <w:rsid w:val="002E4EDE"/>
    <w:rsid w:val="002F212F"/>
    <w:rsid w:val="00341671"/>
    <w:rsid w:val="003567F1"/>
    <w:rsid w:val="00390583"/>
    <w:rsid w:val="003A0D03"/>
    <w:rsid w:val="003A32D2"/>
    <w:rsid w:val="003D5280"/>
    <w:rsid w:val="0040474D"/>
    <w:rsid w:val="0042046D"/>
    <w:rsid w:val="00446733"/>
    <w:rsid w:val="0047395E"/>
    <w:rsid w:val="004751D6"/>
    <w:rsid w:val="004901AA"/>
    <w:rsid w:val="004B27F7"/>
    <w:rsid w:val="0054112F"/>
    <w:rsid w:val="005654AA"/>
    <w:rsid w:val="00596B76"/>
    <w:rsid w:val="005971B8"/>
    <w:rsid w:val="005F1953"/>
    <w:rsid w:val="005F4132"/>
    <w:rsid w:val="00631B3B"/>
    <w:rsid w:val="00662672"/>
    <w:rsid w:val="00671F87"/>
    <w:rsid w:val="006A3DCF"/>
    <w:rsid w:val="006B6802"/>
    <w:rsid w:val="006E0DE3"/>
    <w:rsid w:val="006F0A5A"/>
    <w:rsid w:val="00710BFA"/>
    <w:rsid w:val="0071624C"/>
    <w:rsid w:val="0072330D"/>
    <w:rsid w:val="0075783E"/>
    <w:rsid w:val="00761FB1"/>
    <w:rsid w:val="00762F9F"/>
    <w:rsid w:val="00775AF4"/>
    <w:rsid w:val="007A3FC4"/>
    <w:rsid w:val="007E2299"/>
    <w:rsid w:val="00810B48"/>
    <w:rsid w:val="00864F55"/>
    <w:rsid w:val="008659E8"/>
    <w:rsid w:val="008A2D87"/>
    <w:rsid w:val="008A5AB0"/>
    <w:rsid w:val="00906945"/>
    <w:rsid w:val="00940EF0"/>
    <w:rsid w:val="009555CF"/>
    <w:rsid w:val="009A0952"/>
    <w:rsid w:val="009A4110"/>
    <w:rsid w:val="00A07D28"/>
    <w:rsid w:val="00A4555A"/>
    <w:rsid w:val="00A95D46"/>
    <w:rsid w:val="00AA2FC1"/>
    <w:rsid w:val="00AA6A00"/>
    <w:rsid w:val="00AC1AEA"/>
    <w:rsid w:val="00AD3556"/>
    <w:rsid w:val="00AE1BA1"/>
    <w:rsid w:val="00B0122E"/>
    <w:rsid w:val="00B242DC"/>
    <w:rsid w:val="00B31743"/>
    <w:rsid w:val="00B73760"/>
    <w:rsid w:val="00B96C69"/>
    <w:rsid w:val="00C34BFC"/>
    <w:rsid w:val="00C45FD8"/>
    <w:rsid w:val="00C8086C"/>
    <w:rsid w:val="00CB2B40"/>
    <w:rsid w:val="00CF2222"/>
    <w:rsid w:val="00CF78C1"/>
    <w:rsid w:val="00D30237"/>
    <w:rsid w:val="00D32DF5"/>
    <w:rsid w:val="00D44B32"/>
    <w:rsid w:val="00D512DA"/>
    <w:rsid w:val="00D9022F"/>
    <w:rsid w:val="00D90871"/>
    <w:rsid w:val="00DB069F"/>
    <w:rsid w:val="00DB457F"/>
    <w:rsid w:val="00DD1000"/>
    <w:rsid w:val="00E1174E"/>
    <w:rsid w:val="00E30B33"/>
    <w:rsid w:val="00E65183"/>
    <w:rsid w:val="00E811E1"/>
    <w:rsid w:val="00E864F5"/>
    <w:rsid w:val="00E95D9F"/>
    <w:rsid w:val="00EB42CB"/>
    <w:rsid w:val="00EC4C81"/>
    <w:rsid w:val="00EF73B9"/>
    <w:rsid w:val="00F04DD2"/>
    <w:rsid w:val="00FD1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783E"/>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971B8"/>
    <w:pPr>
      <w:tabs>
        <w:tab w:val="center" w:pos="4703"/>
        <w:tab w:val="right" w:pos="9406"/>
      </w:tabs>
    </w:pPr>
  </w:style>
  <w:style w:type="paragraph" w:styleId="Fuzeile">
    <w:name w:val="footer"/>
    <w:basedOn w:val="Standard"/>
    <w:link w:val="FuzeileZchn"/>
    <w:uiPriority w:val="99"/>
    <w:rsid w:val="005971B8"/>
    <w:pPr>
      <w:tabs>
        <w:tab w:val="center" w:pos="4703"/>
        <w:tab w:val="right" w:pos="9406"/>
      </w:tabs>
    </w:pPr>
  </w:style>
  <w:style w:type="paragraph" w:styleId="Listenabsatz">
    <w:name w:val="List Paragraph"/>
    <w:basedOn w:val="Standard"/>
    <w:uiPriority w:val="34"/>
    <w:qFormat/>
    <w:rsid w:val="00CF78C1"/>
    <w:pPr>
      <w:ind w:left="720"/>
    </w:pPr>
  </w:style>
  <w:style w:type="paragraph" w:styleId="Funotentext">
    <w:name w:val="footnote text"/>
    <w:aliases w:val="Footnote, Char,Footnote Text Char1 Char,Footnote Text Char Char1 Char,Footnote Text Char1 Char Char Char,Footnote Text Char Char1 Char Char Char,Footnote Text Char Char2 Char,Footnote Text Char1 Char1,Footnote Text Char Char1 Char1,Char"/>
    <w:basedOn w:val="Standard"/>
    <w:link w:val="FunotentextZchn"/>
    <w:unhideWhenUsed/>
    <w:rsid w:val="00CF78C1"/>
    <w:rPr>
      <w:rFonts w:ascii="Cambria" w:eastAsia="Calibri" w:hAnsi="Cambria"/>
      <w:sz w:val="20"/>
      <w:szCs w:val="20"/>
      <w:lang w:val="en-GB"/>
    </w:rPr>
  </w:style>
  <w:style w:type="character" w:customStyle="1" w:styleId="FunotentextZchn">
    <w:name w:val="Fußnotentext Zchn"/>
    <w:aliases w:val="Footnote Zchn, Char Zchn,Footnote Text Char1 Char Zchn,Footnote Text Char Char1 Char Zchn,Footnote Text Char1 Char Char Char Zchn,Footnote Text Char Char1 Char Char Char Zchn,Footnote Text Char Char2 Char Zchn,Char Zchn"/>
    <w:basedOn w:val="Absatz-Standardschriftart"/>
    <w:link w:val="Funotentext"/>
    <w:rsid w:val="00CF78C1"/>
    <w:rPr>
      <w:rFonts w:ascii="Cambria" w:eastAsia="Calibri" w:hAnsi="Cambria" w:cs="Times New Roman"/>
      <w:lang w:eastAsia="en-US"/>
    </w:rPr>
  </w:style>
  <w:style w:type="character" w:styleId="Funotenzeichen">
    <w:name w:val="footnote reference"/>
    <w:aliases w:val="4_G,Texto de nota al pie,f,Footnotes refss,Rimando nota a piè di pagina,Marque note bas de page,Appel note de bas de page,Footnote number,referencia nota al pie,BVI fnr,16 Point,Superscript 6 Point,Texto nota al pie"/>
    <w:basedOn w:val="Absatz-Standardschriftart"/>
    <w:unhideWhenUsed/>
    <w:rsid w:val="00CF78C1"/>
    <w:rPr>
      <w:vertAlign w:val="superscript"/>
    </w:rPr>
  </w:style>
  <w:style w:type="character" w:customStyle="1" w:styleId="FootnoteCharacters">
    <w:name w:val="Footnote Characters"/>
    <w:rsid w:val="00CF78C1"/>
    <w:rPr>
      <w:vertAlign w:val="superscript"/>
    </w:rPr>
  </w:style>
  <w:style w:type="character" w:customStyle="1" w:styleId="WW-FootnoteCharacters">
    <w:name w:val="WW-Footnote Characters"/>
    <w:rsid w:val="00CF78C1"/>
    <w:rPr>
      <w:vertAlign w:val="superscript"/>
    </w:rPr>
  </w:style>
  <w:style w:type="paragraph" w:customStyle="1" w:styleId="WW-Default1">
    <w:name w:val="WW-Default1"/>
    <w:rsid w:val="00CF78C1"/>
    <w:pPr>
      <w:suppressAutoHyphens/>
      <w:autoSpaceDE w:val="0"/>
    </w:pPr>
    <w:rPr>
      <w:rFonts w:ascii="Cambria" w:hAnsi="Cambria" w:cs="Cambria"/>
      <w:color w:val="000000"/>
      <w:sz w:val="24"/>
      <w:szCs w:val="24"/>
      <w:lang w:val="en-US" w:eastAsia="ar-SA"/>
    </w:rPr>
  </w:style>
  <w:style w:type="character" w:styleId="Kommentarzeichen">
    <w:name w:val="annotation reference"/>
    <w:basedOn w:val="Absatz-Standardschriftart"/>
    <w:uiPriority w:val="99"/>
    <w:unhideWhenUsed/>
    <w:rsid w:val="00CF78C1"/>
    <w:rPr>
      <w:sz w:val="16"/>
      <w:szCs w:val="16"/>
    </w:rPr>
  </w:style>
  <w:style w:type="paragraph" w:styleId="Kommentartext">
    <w:name w:val="annotation text"/>
    <w:basedOn w:val="Standard"/>
    <w:link w:val="KommentartextZchn"/>
    <w:uiPriority w:val="99"/>
    <w:unhideWhenUsed/>
    <w:rsid w:val="00CF78C1"/>
    <w:rPr>
      <w:sz w:val="20"/>
      <w:szCs w:val="20"/>
    </w:rPr>
  </w:style>
  <w:style w:type="character" w:customStyle="1" w:styleId="KommentartextZchn">
    <w:name w:val="Kommentartext Zchn"/>
    <w:basedOn w:val="Absatz-Standardschriftart"/>
    <w:link w:val="Kommentartext"/>
    <w:uiPriority w:val="99"/>
    <w:rsid w:val="00CF78C1"/>
    <w:rPr>
      <w:lang w:val="en-US" w:eastAsia="en-US"/>
    </w:rPr>
  </w:style>
  <w:style w:type="paragraph" w:styleId="Sprechblasentext">
    <w:name w:val="Balloon Text"/>
    <w:basedOn w:val="Standard"/>
    <w:link w:val="SprechblasentextZchn"/>
    <w:rsid w:val="00CF78C1"/>
    <w:rPr>
      <w:rFonts w:ascii="Tahoma" w:hAnsi="Tahoma" w:cs="Tahoma"/>
      <w:sz w:val="16"/>
      <w:szCs w:val="16"/>
    </w:rPr>
  </w:style>
  <w:style w:type="character" w:customStyle="1" w:styleId="SprechblasentextZchn">
    <w:name w:val="Sprechblasentext Zchn"/>
    <w:basedOn w:val="Absatz-Standardschriftart"/>
    <w:link w:val="Sprechblasentext"/>
    <w:rsid w:val="00CF78C1"/>
    <w:rPr>
      <w:rFonts w:ascii="Tahoma" w:hAnsi="Tahoma" w:cs="Tahoma"/>
      <w:sz w:val="16"/>
      <w:szCs w:val="16"/>
      <w:lang w:val="en-US" w:eastAsia="en-US"/>
    </w:rPr>
  </w:style>
  <w:style w:type="character" w:customStyle="1" w:styleId="FuzeileZchn">
    <w:name w:val="Fußzeile Zchn"/>
    <w:basedOn w:val="Absatz-Standardschriftart"/>
    <w:link w:val="Fuzeile"/>
    <w:uiPriority w:val="99"/>
    <w:rsid w:val="00E811E1"/>
    <w:rPr>
      <w:sz w:val="24"/>
      <w:szCs w:val="24"/>
      <w:lang w:val="en-US" w:eastAsia="en-US"/>
    </w:rPr>
  </w:style>
  <w:style w:type="table" w:styleId="Tabellenraster">
    <w:name w:val="Table Grid"/>
    <w:basedOn w:val="NormaleTabelle"/>
    <w:rsid w:val="0054112F"/>
    <w:rPr>
      <w:rFonts w:ascii="Cambria" w:eastAsiaTheme="minorHAnsi" w:hAnsi="Cambria"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semiHidden/>
    <w:unhideWhenUsed/>
    <w:rsid w:val="004751D6"/>
    <w:rPr>
      <w:sz w:val="20"/>
      <w:szCs w:val="20"/>
    </w:rPr>
  </w:style>
  <w:style w:type="character" w:customStyle="1" w:styleId="EndnotentextZchn">
    <w:name w:val="Endnotentext Zchn"/>
    <w:basedOn w:val="Absatz-Standardschriftart"/>
    <w:link w:val="Endnotentext"/>
    <w:semiHidden/>
    <w:rsid w:val="004751D6"/>
    <w:rPr>
      <w:lang w:val="en-US" w:eastAsia="en-US"/>
    </w:rPr>
  </w:style>
  <w:style w:type="character" w:styleId="Endnotenzeichen">
    <w:name w:val="endnote reference"/>
    <w:basedOn w:val="Absatz-Standardschriftart"/>
    <w:semiHidden/>
    <w:unhideWhenUsed/>
    <w:rsid w:val="004751D6"/>
    <w:rPr>
      <w:vertAlign w:val="superscript"/>
    </w:rPr>
  </w:style>
  <w:style w:type="paragraph" w:styleId="Kommentarthema">
    <w:name w:val="annotation subject"/>
    <w:basedOn w:val="Kommentartext"/>
    <w:next w:val="Kommentartext"/>
    <w:link w:val="KommentarthemaZchn"/>
    <w:semiHidden/>
    <w:unhideWhenUsed/>
    <w:rsid w:val="00D32DF5"/>
    <w:rPr>
      <w:b/>
      <w:bCs/>
    </w:rPr>
  </w:style>
  <w:style w:type="character" w:customStyle="1" w:styleId="KommentarthemaZchn">
    <w:name w:val="Kommentarthema Zchn"/>
    <w:basedOn w:val="KommentartextZchn"/>
    <w:link w:val="Kommentarthema"/>
    <w:semiHidden/>
    <w:rsid w:val="00D32DF5"/>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783E"/>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971B8"/>
    <w:pPr>
      <w:tabs>
        <w:tab w:val="center" w:pos="4703"/>
        <w:tab w:val="right" w:pos="9406"/>
      </w:tabs>
    </w:pPr>
  </w:style>
  <w:style w:type="paragraph" w:styleId="Fuzeile">
    <w:name w:val="footer"/>
    <w:basedOn w:val="Standard"/>
    <w:link w:val="FuzeileZchn"/>
    <w:uiPriority w:val="99"/>
    <w:rsid w:val="005971B8"/>
    <w:pPr>
      <w:tabs>
        <w:tab w:val="center" w:pos="4703"/>
        <w:tab w:val="right" w:pos="9406"/>
      </w:tabs>
    </w:pPr>
  </w:style>
  <w:style w:type="paragraph" w:styleId="Listenabsatz">
    <w:name w:val="List Paragraph"/>
    <w:basedOn w:val="Standard"/>
    <w:uiPriority w:val="34"/>
    <w:qFormat/>
    <w:rsid w:val="00CF78C1"/>
    <w:pPr>
      <w:ind w:left="720"/>
    </w:pPr>
  </w:style>
  <w:style w:type="paragraph" w:styleId="Funotentext">
    <w:name w:val="footnote text"/>
    <w:aliases w:val="Footnote, Char,Footnote Text Char1 Char,Footnote Text Char Char1 Char,Footnote Text Char1 Char Char Char,Footnote Text Char Char1 Char Char Char,Footnote Text Char Char2 Char,Footnote Text Char1 Char1,Footnote Text Char Char1 Char1,Char"/>
    <w:basedOn w:val="Standard"/>
    <w:link w:val="FunotentextZchn"/>
    <w:unhideWhenUsed/>
    <w:rsid w:val="00CF78C1"/>
    <w:rPr>
      <w:rFonts w:ascii="Cambria" w:eastAsia="Calibri" w:hAnsi="Cambria"/>
      <w:sz w:val="20"/>
      <w:szCs w:val="20"/>
      <w:lang w:val="en-GB"/>
    </w:rPr>
  </w:style>
  <w:style w:type="character" w:customStyle="1" w:styleId="FunotentextZchn">
    <w:name w:val="Fußnotentext Zchn"/>
    <w:aliases w:val="Footnote Zchn, Char Zchn,Footnote Text Char1 Char Zchn,Footnote Text Char Char1 Char Zchn,Footnote Text Char1 Char Char Char Zchn,Footnote Text Char Char1 Char Char Char Zchn,Footnote Text Char Char2 Char Zchn,Char Zchn"/>
    <w:basedOn w:val="Absatz-Standardschriftart"/>
    <w:link w:val="Funotentext"/>
    <w:rsid w:val="00CF78C1"/>
    <w:rPr>
      <w:rFonts w:ascii="Cambria" w:eastAsia="Calibri" w:hAnsi="Cambria" w:cs="Times New Roman"/>
      <w:lang w:eastAsia="en-US"/>
    </w:rPr>
  </w:style>
  <w:style w:type="character" w:styleId="Funotenzeichen">
    <w:name w:val="footnote reference"/>
    <w:aliases w:val="4_G,Texto de nota al pie,f,Footnotes refss,Rimando nota a piè di pagina,Marque note bas de page,Appel note de bas de page,Footnote number,referencia nota al pie,BVI fnr,16 Point,Superscript 6 Point,Texto nota al pie"/>
    <w:basedOn w:val="Absatz-Standardschriftart"/>
    <w:unhideWhenUsed/>
    <w:rsid w:val="00CF78C1"/>
    <w:rPr>
      <w:vertAlign w:val="superscript"/>
    </w:rPr>
  </w:style>
  <w:style w:type="character" w:customStyle="1" w:styleId="FootnoteCharacters">
    <w:name w:val="Footnote Characters"/>
    <w:rsid w:val="00CF78C1"/>
    <w:rPr>
      <w:vertAlign w:val="superscript"/>
    </w:rPr>
  </w:style>
  <w:style w:type="character" w:customStyle="1" w:styleId="WW-FootnoteCharacters">
    <w:name w:val="WW-Footnote Characters"/>
    <w:rsid w:val="00CF78C1"/>
    <w:rPr>
      <w:vertAlign w:val="superscript"/>
    </w:rPr>
  </w:style>
  <w:style w:type="paragraph" w:customStyle="1" w:styleId="WW-Default1">
    <w:name w:val="WW-Default1"/>
    <w:rsid w:val="00CF78C1"/>
    <w:pPr>
      <w:suppressAutoHyphens/>
      <w:autoSpaceDE w:val="0"/>
    </w:pPr>
    <w:rPr>
      <w:rFonts w:ascii="Cambria" w:hAnsi="Cambria" w:cs="Cambria"/>
      <w:color w:val="000000"/>
      <w:sz w:val="24"/>
      <w:szCs w:val="24"/>
      <w:lang w:val="en-US" w:eastAsia="ar-SA"/>
    </w:rPr>
  </w:style>
  <w:style w:type="character" w:styleId="Kommentarzeichen">
    <w:name w:val="annotation reference"/>
    <w:basedOn w:val="Absatz-Standardschriftart"/>
    <w:uiPriority w:val="99"/>
    <w:unhideWhenUsed/>
    <w:rsid w:val="00CF78C1"/>
    <w:rPr>
      <w:sz w:val="16"/>
      <w:szCs w:val="16"/>
    </w:rPr>
  </w:style>
  <w:style w:type="paragraph" w:styleId="Kommentartext">
    <w:name w:val="annotation text"/>
    <w:basedOn w:val="Standard"/>
    <w:link w:val="KommentartextZchn"/>
    <w:uiPriority w:val="99"/>
    <w:unhideWhenUsed/>
    <w:rsid w:val="00CF78C1"/>
    <w:rPr>
      <w:sz w:val="20"/>
      <w:szCs w:val="20"/>
    </w:rPr>
  </w:style>
  <w:style w:type="character" w:customStyle="1" w:styleId="KommentartextZchn">
    <w:name w:val="Kommentartext Zchn"/>
    <w:basedOn w:val="Absatz-Standardschriftart"/>
    <w:link w:val="Kommentartext"/>
    <w:uiPriority w:val="99"/>
    <w:rsid w:val="00CF78C1"/>
    <w:rPr>
      <w:lang w:val="en-US" w:eastAsia="en-US"/>
    </w:rPr>
  </w:style>
  <w:style w:type="paragraph" w:styleId="Sprechblasentext">
    <w:name w:val="Balloon Text"/>
    <w:basedOn w:val="Standard"/>
    <w:link w:val="SprechblasentextZchn"/>
    <w:rsid w:val="00CF78C1"/>
    <w:rPr>
      <w:rFonts w:ascii="Tahoma" w:hAnsi="Tahoma" w:cs="Tahoma"/>
      <w:sz w:val="16"/>
      <w:szCs w:val="16"/>
    </w:rPr>
  </w:style>
  <w:style w:type="character" w:customStyle="1" w:styleId="SprechblasentextZchn">
    <w:name w:val="Sprechblasentext Zchn"/>
    <w:basedOn w:val="Absatz-Standardschriftart"/>
    <w:link w:val="Sprechblasentext"/>
    <w:rsid w:val="00CF78C1"/>
    <w:rPr>
      <w:rFonts w:ascii="Tahoma" w:hAnsi="Tahoma" w:cs="Tahoma"/>
      <w:sz w:val="16"/>
      <w:szCs w:val="16"/>
      <w:lang w:val="en-US" w:eastAsia="en-US"/>
    </w:rPr>
  </w:style>
  <w:style w:type="character" w:customStyle="1" w:styleId="FuzeileZchn">
    <w:name w:val="Fußzeile Zchn"/>
    <w:basedOn w:val="Absatz-Standardschriftart"/>
    <w:link w:val="Fuzeile"/>
    <w:uiPriority w:val="99"/>
    <w:rsid w:val="00E811E1"/>
    <w:rPr>
      <w:sz w:val="24"/>
      <w:szCs w:val="24"/>
      <w:lang w:val="en-US" w:eastAsia="en-US"/>
    </w:rPr>
  </w:style>
  <w:style w:type="table" w:styleId="Tabellenraster">
    <w:name w:val="Table Grid"/>
    <w:basedOn w:val="NormaleTabelle"/>
    <w:rsid w:val="0054112F"/>
    <w:rPr>
      <w:rFonts w:ascii="Cambria" w:eastAsiaTheme="minorHAnsi" w:hAnsi="Cambria"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semiHidden/>
    <w:unhideWhenUsed/>
    <w:rsid w:val="004751D6"/>
    <w:rPr>
      <w:sz w:val="20"/>
      <w:szCs w:val="20"/>
    </w:rPr>
  </w:style>
  <w:style w:type="character" w:customStyle="1" w:styleId="EndnotentextZchn">
    <w:name w:val="Endnotentext Zchn"/>
    <w:basedOn w:val="Absatz-Standardschriftart"/>
    <w:link w:val="Endnotentext"/>
    <w:semiHidden/>
    <w:rsid w:val="004751D6"/>
    <w:rPr>
      <w:lang w:val="en-US" w:eastAsia="en-US"/>
    </w:rPr>
  </w:style>
  <w:style w:type="character" w:styleId="Endnotenzeichen">
    <w:name w:val="endnote reference"/>
    <w:basedOn w:val="Absatz-Standardschriftart"/>
    <w:semiHidden/>
    <w:unhideWhenUsed/>
    <w:rsid w:val="004751D6"/>
    <w:rPr>
      <w:vertAlign w:val="superscript"/>
    </w:rPr>
  </w:style>
  <w:style w:type="paragraph" w:styleId="Kommentarthema">
    <w:name w:val="annotation subject"/>
    <w:basedOn w:val="Kommentartext"/>
    <w:next w:val="Kommentartext"/>
    <w:link w:val="KommentarthemaZchn"/>
    <w:semiHidden/>
    <w:unhideWhenUsed/>
    <w:rsid w:val="00D32DF5"/>
    <w:rPr>
      <w:b/>
      <w:bCs/>
    </w:rPr>
  </w:style>
  <w:style w:type="character" w:customStyle="1" w:styleId="KommentarthemaZchn">
    <w:name w:val="Kommentarthema Zchn"/>
    <w:basedOn w:val="KommentartextZchn"/>
    <w:link w:val="Kommentarthema"/>
    <w:semiHidden/>
    <w:rsid w:val="00D32DF5"/>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616F4B01AD3042B4895A3197099D5B" ma:contentTypeVersion="0" ma:contentTypeDescription="Create a new document." ma:contentTypeScope="" ma:versionID="ab0357f9cb43be2d995f579f53f06f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DC60B-A132-40D6-ACA0-528F6859A525}">
  <ds:schemaRefs>
    <ds:schemaRef ds:uri="http://schemas.microsoft.com/sharepoint/v3/contenttype/forms"/>
  </ds:schemaRefs>
</ds:datastoreItem>
</file>

<file path=customXml/itemProps2.xml><?xml version="1.0" encoding="utf-8"?>
<ds:datastoreItem xmlns:ds="http://schemas.openxmlformats.org/officeDocument/2006/customXml" ds:itemID="{DFBC67DA-FC55-4069-9E4A-5CC4C8F85C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5AD7AD-C15E-4258-9FFB-280069085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671887-6CA0-4536-8AEB-23FFA9DD2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3429</Words>
  <Characters>21608</Characters>
  <Application>Microsoft Office Word</Application>
  <DocSecurity>0</DocSecurity>
  <Lines>180</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bhc</Company>
  <LinksUpToDate>false</LinksUpToDate>
  <CharactersWithSpaces>24988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Krassimir Kanev</dc:creator>
  <cp:lastModifiedBy>allacher</cp:lastModifiedBy>
  <cp:revision>2</cp:revision>
  <cp:lastPrinted>2008-04-28T15:24:00Z</cp:lastPrinted>
  <dcterms:created xsi:type="dcterms:W3CDTF">2014-02-05T12:31:00Z</dcterms:created>
  <dcterms:modified xsi:type="dcterms:W3CDTF">2014-02-05T12:31:00Z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0x0101002D616F4B01AD3042B4895A3197099D5B</vt:lpwstr>
  </property>
</Properties>
</file>